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xml" ContentType="application/vnd.openxmlformats-officedocument.wordprocessingml.header+xml"/>
  <Override PartName="/word/footer16.xml" ContentType="application/vnd.openxmlformats-officedocument.wordprocessingml.footer+xml"/>
  <Override PartName="/word/header3.xml" ContentType="application/vnd.openxmlformats-officedocument.wordprocessingml.header+xml"/>
  <Override PartName="/word/footer17.xml" ContentType="application/vnd.openxmlformats-officedocument.wordprocessingml.footer+xml"/>
  <Override PartName="/word/header4.xml" ContentType="application/vnd.openxmlformats-officedocument.wordprocessingml.header+xml"/>
  <Override PartName="/word/footer18.xml" ContentType="application/vnd.openxmlformats-officedocument.wordprocessingml.footer+xml"/>
  <Override PartName="/word/header5.xml" ContentType="application/vnd.openxmlformats-officedocument.wordprocessingml.header+xml"/>
  <Override PartName="/word/footer19.xml" ContentType="application/vnd.openxmlformats-officedocument.wordprocessingml.footer+xml"/>
  <Override PartName="/word/header6.xml" ContentType="application/vnd.openxmlformats-officedocument.wordprocessingml.header+xml"/>
  <Override PartName="/word/footer20.xml" ContentType="application/vnd.openxmlformats-officedocument.wordprocessingml.footer+xml"/>
  <Override PartName="/word/header7.xml" ContentType="application/vnd.openxmlformats-officedocument.wordprocessingml.header+xml"/>
  <Override PartName="/word/footer21.xml" ContentType="application/vnd.openxmlformats-officedocument.wordprocessingml.footer+xml"/>
  <Override PartName="/word/header8.xml" ContentType="application/vnd.openxmlformats-officedocument.wordprocessingml.header+xml"/>
  <Override PartName="/word/footer22.xml" ContentType="application/vnd.openxmlformats-officedocument.wordprocessingml.footer+xml"/>
  <Override PartName="/word/header9.xml" ContentType="application/vnd.openxmlformats-officedocument.wordprocessingml.header+xml"/>
  <Override PartName="/word/footer23.xml" ContentType="application/vnd.openxmlformats-officedocument.wordprocessingml.footer+xml"/>
  <Override PartName="/word/header10.xml" ContentType="application/vnd.openxmlformats-officedocument.wordprocessingml.header+xml"/>
  <Override PartName="/word/footer24.xml" ContentType="application/vnd.openxmlformats-officedocument.wordprocessingml.footer+xml"/>
  <Override PartName="/word/header11.xml" ContentType="application/vnd.openxmlformats-officedocument.wordprocessingml.header+xml"/>
  <Override PartName="/word/footer25.xml" ContentType="application/vnd.openxmlformats-officedocument.wordprocessingml.footer+xml"/>
  <Override PartName="/word/header12.xml" ContentType="application/vnd.openxmlformats-officedocument.wordprocessingml.header+xml"/>
  <Override PartName="/word/footer26.xml" ContentType="application/vnd.openxmlformats-officedocument.wordprocessingml.footer+xml"/>
  <Override PartName="/word/header13.xml" ContentType="application/vnd.openxmlformats-officedocument.wordprocessingml.header+xml"/>
  <Override PartName="/word/footer27.xml" ContentType="application/vnd.openxmlformats-officedocument.wordprocessingml.footer+xml"/>
  <Override PartName="/word/header14.xml" ContentType="application/vnd.openxmlformats-officedocument.wordprocessingml.header+xml"/>
  <Override PartName="/word/footer28.xml" ContentType="application/vnd.openxmlformats-officedocument.wordprocessingml.footer+xml"/>
  <Override PartName="/word/header15.xml" ContentType="application/vnd.openxmlformats-officedocument.wordprocessingml.header+xml"/>
  <Override PartName="/word/footer29.xml" ContentType="application/vnd.openxmlformats-officedocument.wordprocessingml.footer+xml"/>
  <Override PartName="/word/header16.xml" ContentType="application/vnd.openxmlformats-officedocument.wordprocessingml.header+xml"/>
  <Override PartName="/word/footer30.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tabs>
          <w:tab w:pos="2564" w:val="left" w:leader="none"/>
        </w:tabs>
        <w:spacing w:line="240" w:lineRule="auto"/>
        <w:ind w:left="101" w:right="0" w:firstLine="0"/>
        <w:rPr>
          <w:rFonts w:ascii="Times New Roman"/>
          <w:sz w:val="20"/>
        </w:rPr>
      </w:pPr>
      <w:r>
        <w:rPr>
          <w:rFonts w:ascii="Times New Roman"/>
          <w:position w:val="992"/>
          <w:sz w:val="20"/>
        </w:rPr>
        <w:drawing>
          <wp:inline distT="0" distB="0" distL="0" distR="0">
            <wp:extent cx="1236243" cy="1088136"/>
            <wp:effectExtent l="0" t="0" r="0" b="0"/>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236243" cy="1088136"/>
                    </a:xfrm>
                    <a:prstGeom prst="rect">
                      <a:avLst/>
                    </a:prstGeom>
                  </pic:spPr>
                </pic:pic>
              </a:graphicData>
            </a:graphic>
          </wp:inline>
        </w:drawing>
      </w:r>
      <w:r>
        <w:rPr>
          <w:rFonts w:ascii="Times New Roman"/>
          <w:position w:val="992"/>
          <w:sz w:val="20"/>
        </w:rPr>
      </w:r>
      <w:r>
        <w:rPr>
          <w:rFonts w:ascii="Times New Roman"/>
          <w:position w:val="992"/>
          <w:sz w:val="20"/>
        </w:rPr>
        <w:tab/>
      </w:r>
      <w:r>
        <w:rPr>
          <w:rFonts w:ascii="Times New Roman"/>
          <w:sz w:val="20"/>
        </w:rPr>
        <w:pict>
          <v:group style="width:386.9pt;height:568.8pt;mso-position-horizontal-relative:char;mso-position-vertical-relative:line" coordorigin="0,0" coordsize="7738,11376">
            <v:shape style="position:absolute;left:0;top:0;width:7738;height:11376" type="#_x0000_t75" stroked="false">
              <v:imagedata r:id="rId6" o:title=""/>
            </v:shape>
            <v:shapetype id="_x0000_t202" o:spt="202" coordsize="21600,21600" path="m,l,21600r21600,l21600,xe">
              <v:stroke joinstyle="miter"/>
              <v:path gradientshapeok="t" o:connecttype="rect"/>
            </v:shapetype>
            <v:shape style="position:absolute;left:821;top:22;width:6096;height:240" type="#_x0000_t202" filled="false" stroked="false">
              <v:textbox inset="0,0,0,0">
                <w:txbxContent>
                  <w:p>
                    <w:pPr>
                      <w:spacing w:line="240" w:lineRule="exact" w:before="0"/>
                      <w:ind w:left="0" w:right="-19" w:firstLine="0"/>
                      <w:jc w:val="left"/>
                      <w:rPr>
                        <w:sz w:val="24"/>
                      </w:rPr>
                    </w:pPr>
                    <w:r>
                      <w:rPr>
                        <w:sz w:val="24"/>
                      </w:rPr>
                      <w:t>UNIVERSIDAD AUTONOMA DEL ESTADO DE MÉXICO</w:t>
                    </w:r>
                  </w:p>
                </w:txbxContent>
              </v:textbox>
              <w10:wrap type="none"/>
            </v:shape>
            <v:shape style="position:absolute;left:451;top:1054;width:6837;height:759" type="#_x0000_t202" filled="false" stroked="false">
              <v:textbox inset="0,0,0,0">
                <w:txbxContent>
                  <w:p>
                    <w:pPr>
                      <w:spacing w:line="245" w:lineRule="exact" w:before="0"/>
                      <w:ind w:left="0" w:right="0" w:firstLine="0"/>
                      <w:jc w:val="center"/>
                      <w:rPr>
                        <w:sz w:val="24"/>
                      </w:rPr>
                    </w:pPr>
                    <w:r>
                      <w:rPr>
                        <w:sz w:val="24"/>
                      </w:rPr>
                      <w:t>MAESTRIA Y DOCTORADO EN CIENCIAS</w:t>
                    </w:r>
                    <w:r>
                      <w:rPr>
                        <w:spacing w:val="-22"/>
                        <w:sz w:val="24"/>
                      </w:rPr>
                      <w:t> </w:t>
                    </w:r>
                    <w:r>
                      <w:rPr>
                        <w:sz w:val="24"/>
                      </w:rPr>
                      <w:t>AGROPECUARIAS</w:t>
                    </w:r>
                  </w:p>
                  <w:p>
                    <w:pPr>
                      <w:spacing w:line="240" w:lineRule="auto" w:before="0"/>
                      <w:rPr>
                        <w:rFonts w:ascii="Times New Roman"/>
                        <w:sz w:val="21"/>
                      </w:rPr>
                    </w:pPr>
                  </w:p>
                  <w:p>
                    <w:pPr>
                      <w:spacing w:line="271" w:lineRule="exact" w:before="1"/>
                      <w:ind w:left="0" w:right="4" w:firstLine="0"/>
                      <w:jc w:val="center"/>
                      <w:rPr>
                        <w:sz w:val="24"/>
                      </w:rPr>
                    </w:pPr>
                    <w:r>
                      <w:rPr>
                        <w:sz w:val="24"/>
                      </w:rPr>
                      <w:t>Y RECURSOS NATURALES</w:t>
                    </w:r>
                  </w:p>
                </w:txbxContent>
              </v:textbox>
              <w10:wrap type="none"/>
            </v:shape>
            <v:shape style="position:absolute;left:936;top:3122;width:5865;height:759" type="#_x0000_t202" filled="false" stroked="false">
              <v:textbox inset="0,0,0,0">
                <w:txbxContent>
                  <w:p>
                    <w:pPr>
                      <w:spacing w:line="245" w:lineRule="exact" w:before="0"/>
                      <w:ind w:left="0" w:right="0" w:firstLine="0"/>
                      <w:jc w:val="center"/>
                      <w:rPr>
                        <w:sz w:val="24"/>
                      </w:rPr>
                    </w:pPr>
                    <w:r>
                      <w:rPr>
                        <w:sz w:val="24"/>
                      </w:rPr>
                      <w:t>ENFERMEDADES DEL TRACTO URINARIO</w:t>
                    </w:r>
                    <w:r>
                      <w:rPr>
                        <w:spacing w:val="-16"/>
                        <w:sz w:val="24"/>
                      </w:rPr>
                      <w:t> </w:t>
                    </w:r>
                    <w:r>
                      <w:rPr>
                        <w:sz w:val="24"/>
                      </w:rPr>
                      <w:t>CAUDAL</w:t>
                    </w:r>
                  </w:p>
                  <w:p>
                    <w:pPr>
                      <w:spacing w:line="240" w:lineRule="auto" w:before="0"/>
                      <w:rPr>
                        <w:rFonts w:ascii="Times New Roman"/>
                        <w:sz w:val="21"/>
                      </w:rPr>
                    </w:pPr>
                  </w:p>
                  <w:p>
                    <w:pPr>
                      <w:spacing w:line="271" w:lineRule="exact" w:before="1"/>
                      <w:ind w:left="0" w:right="0" w:firstLine="0"/>
                      <w:jc w:val="center"/>
                      <w:rPr>
                        <w:sz w:val="24"/>
                      </w:rPr>
                    </w:pPr>
                    <w:r>
                      <w:rPr>
                        <w:sz w:val="24"/>
                      </w:rPr>
                      <w:t>DE LOS PERROS</w:t>
                    </w:r>
                  </w:p>
                </w:txbxContent>
              </v:textbox>
              <w10:wrap type="none"/>
            </v:shape>
            <v:shape style="position:absolute;left:3466;top:4690;width:810;height:279" type="#_x0000_t202" filled="false" stroked="false">
              <v:textbox inset="0,0,0,0">
                <w:txbxContent>
                  <w:p>
                    <w:pPr>
                      <w:spacing w:line="278" w:lineRule="exact" w:before="0"/>
                      <w:ind w:left="0" w:right="-20" w:firstLine="0"/>
                      <w:jc w:val="left"/>
                      <w:rPr>
                        <w:b/>
                        <w:sz w:val="28"/>
                      </w:rPr>
                    </w:pPr>
                    <w:r>
                      <w:rPr>
                        <w:b/>
                        <w:sz w:val="28"/>
                      </w:rPr>
                      <w:t>TESIS</w:t>
                    </w:r>
                  </w:p>
                </w:txbxContent>
              </v:textbox>
              <w10:wrap type="none"/>
            </v:shape>
            <v:shape style="position:absolute;left:1430;top:5762;width:4946;height:1277" type="#_x0000_t202" filled="false" stroked="false">
              <v:textbox inset="0,0,0,0">
                <w:txbxContent>
                  <w:p>
                    <w:pPr>
                      <w:spacing w:line="245" w:lineRule="exact" w:before="0"/>
                      <w:ind w:left="647" w:right="-8" w:firstLine="0"/>
                      <w:jc w:val="left"/>
                      <w:rPr>
                        <w:sz w:val="24"/>
                      </w:rPr>
                    </w:pPr>
                    <w:r>
                      <w:rPr>
                        <w:sz w:val="24"/>
                      </w:rPr>
                      <w:t>PARA OBTENER EL GRADO DE</w:t>
                    </w:r>
                  </w:p>
                  <w:p>
                    <w:pPr>
                      <w:spacing w:line="520" w:lineRule="atLeast" w:before="0"/>
                      <w:ind w:left="921" w:right="-8" w:hanging="922"/>
                      <w:jc w:val="left"/>
                      <w:rPr>
                        <w:sz w:val="24"/>
                      </w:rPr>
                    </w:pPr>
                    <w:r>
                      <w:rPr>
                        <w:sz w:val="24"/>
                      </w:rPr>
                      <w:t>MAESTRO EN CIENCIAS</w:t>
                    </w:r>
                    <w:r>
                      <w:rPr>
                        <w:spacing w:val="-13"/>
                        <w:sz w:val="24"/>
                      </w:rPr>
                      <w:t> </w:t>
                    </w:r>
                    <w:r>
                      <w:rPr>
                        <w:sz w:val="24"/>
                      </w:rPr>
                      <w:t>AGROPECUARIAS Y RECURSOS</w:t>
                    </w:r>
                    <w:r>
                      <w:rPr>
                        <w:spacing w:val="-8"/>
                        <w:sz w:val="24"/>
                      </w:rPr>
                      <w:t> </w:t>
                    </w:r>
                    <w:r>
                      <w:rPr>
                        <w:sz w:val="24"/>
                      </w:rPr>
                      <w:t>NATURALES</w:t>
                    </w:r>
                  </w:p>
                </w:txbxContent>
              </v:textbox>
              <w10:wrap type="none"/>
            </v:shape>
            <v:shape style="position:absolute;left:1171;top:8350;width:5391;height:809" type="#_x0000_t202" filled="false" stroked="false">
              <v:textbox inset="0,0,0,0">
                <w:txbxContent>
                  <w:p>
                    <w:pPr>
                      <w:spacing w:line="245" w:lineRule="exact" w:before="0"/>
                      <w:ind w:left="8" w:right="0" w:firstLine="0"/>
                      <w:jc w:val="center"/>
                      <w:rPr>
                        <w:sz w:val="24"/>
                      </w:rPr>
                    </w:pPr>
                    <w:r>
                      <w:rPr>
                        <w:sz w:val="24"/>
                      </w:rPr>
                      <w:t>PRESENTA:</w:t>
                    </w:r>
                  </w:p>
                  <w:p>
                    <w:pPr>
                      <w:spacing w:line="240" w:lineRule="auto" w:before="6"/>
                      <w:rPr>
                        <w:rFonts w:ascii="Times New Roman"/>
                        <w:sz w:val="21"/>
                      </w:rPr>
                    </w:pPr>
                  </w:p>
                  <w:p>
                    <w:pPr>
                      <w:spacing w:line="315" w:lineRule="exact" w:before="0"/>
                      <w:ind w:left="0" w:right="0" w:firstLine="0"/>
                      <w:jc w:val="center"/>
                      <w:rPr>
                        <w:b/>
                        <w:sz w:val="28"/>
                      </w:rPr>
                    </w:pPr>
                    <w:r>
                      <w:rPr>
                        <w:b/>
                        <w:sz w:val="28"/>
                      </w:rPr>
                      <w:t>MVZ. Esp. Claudia Iveth Mendoza</w:t>
                    </w:r>
                    <w:r>
                      <w:rPr>
                        <w:b/>
                        <w:spacing w:val="-27"/>
                        <w:sz w:val="28"/>
                      </w:rPr>
                      <w:t> </w:t>
                    </w:r>
                    <w:r>
                      <w:rPr>
                        <w:b/>
                        <w:sz w:val="28"/>
                      </w:rPr>
                      <w:t>López.</w:t>
                    </w:r>
                  </w:p>
                </w:txbxContent>
              </v:textbox>
              <w10:wrap type="none"/>
            </v:shape>
            <v:shape style="position:absolute;left:970;top:10471;width:5803;height:759" type="#_x0000_t202" filled="false" stroked="false">
              <v:textbox inset="0,0,0,0">
                <w:txbxContent>
                  <w:p>
                    <w:pPr>
                      <w:spacing w:line="245" w:lineRule="exact" w:before="0"/>
                      <w:ind w:left="-1" w:right="0" w:firstLine="0"/>
                      <w:jc w:val="center"/>
                      <w:rPr>
                        <w:sz w:val="24"/>
                      </w:rPr>
                    </w:pPr>
                    <w:r>
                      <w:rPr>
                        <w:sz w:val="24"/>
                      </w:rPr>
                      <w:t>El Cerrillo Piedras Blancas, Toluca, Estado de</w:t>
                    </w:r>
                    <w:r>
                      <w:rPr>
                        <w:spacing w:val="-23"/>
                        <w:sz w:val="24"/>
                      </w:rPr>
                      <w:t> </w:t>
                    </w:r>
                    <w:r>
                      <w:rPr>
                        <w:sz w:val="24"/>
                      </w:rPr>
                      <w:t>México.</w:t>
                    </w:r>
                  </w:p>
                  <w:p>
                    <w:pPr>
                      <w:spacing w:line="240" w:lineRule="auto" w:before="0"/>
                      <w:rPr>
                        <w:rFonts w:ascii="Times New Roman"/>
                        <w:sz w:val="21"/>
                      </w:rPr>
                    </w:pPr>
                  </w:p>
                  <w:p>
                    <w:pPr>
                      <w:spacing w:line="271" w:lineRule="exact" w:before="1"/>
                      <w:ind w:left="2039" w:right="2042" w:firstLine="0"/>
                      <w:jc w:val="center"/>
                      <w:rPr>
                        <w:sz w:val="24"/>
                      </w:rPr>
                    </w:pPr>
                    <w:r>
                      <w:rPr>
                        <w:sz w:val="24"/>
                      </w:rPr>
                      <w:t>Diciembre 2015</w:t>
                    </w:r>
                  </w:p>
                </w:txbxContent>
              </v:textbox>
              <w10:wrap type="none"/>
            </v:shape>
          </v:group>
        </w:pict>
      </w:r>
      <w:r>
        <w:rPr>
          <w:rFonts w:ascii="Times New Roman"/>
          <w:sz w:val="20"/>
        </w:rPr>
      </w:r>
    </w:p>
    <w:p>
      <w:pPr>
        <w:spacing w:after="0" w:line="240" w:lineRule="auto"/>
        <w:rPr>
          <w:rFonts w:ascii="Times New Roman"/>
          <w:sz w:val="20"/>
        </w:rPr>
        <w:sectPr>
          <w:type w:val="continuous"/>
          <w:pgSz w:w="12240" w:h="15840"/>
          <w:pgMar w:top="1260" w:bottom="280" w:left="940" w:right="880"/>
        </w:sectPr>
      </w:pPr>
    </w:p>
    <w:p>
      <w:pPr>
        <w:pStyle w:val="BodyText"/>
        <w:spacing w:before="70"/>
        <w:ind w:left="2634" w:right="539"/>
        <w:jc w:val="center"/>
      </w:pPr>
      <w:r>
        <w:rPr/>
        <w:drawing>
          <wp:anchor distT="0" distB="0" distL="0" distR="0" allowOverlap="1" layoutInCell="1" locked="0" behindDoc="0" simplePos="0" relativeHeight="1216">
            <wp:simplePos x="0" y="0"/>
            <wp:positionH relativeFrom="page">
              <wp:posOffset>661581</wp:posOffset>
            </wp:positionH>
            <wp:positionV relativeFrom="paragraph">
              <wp:posOffset>4520</wp:posOffset>
            </wp:positionV>
            <wp:extent cx="1246631" cy="1097279"/>
            <wp:effectExtent l="0" t="0" r="0" b="0"/>
            <wp:wrapNone/>
            <wp:docPr id="3" name="image1.jpeg" descr=""/>
            <wp:cNvGraphicFramePr>
              <a:graphicFrameLocks noChangeAspect="1"/>
            </wp:cNvGraphicFramePr>
            <a:graphic>
              <a:graphicData uri="http://schemas.openxmlformats.org/drawingml/2006/picture">
                <pic:pic>
                  <pic:nvPicPr>
                    <pic:cNvPr id="4" name="image1.jpeg"/>
                    <pic:cNvPicPr/>
                  </pic:nvPicPr>
                  <pic:blipFill>
                    <a:blip r:embed="rId5" cstate="print"/>
                    <a:stretch>
                      <a:fillRect/>
                    </a:stretch>
                  </pic:blipFill>
                  <pic:spPr>
                    <a:xfrm>
                      <a:off x="0" y="0"/>
                      <a:ext cx="1246631" cy="1097279"/>
                    </a:xfrm>
                    <a:prstGeom prst="rect">
                      <a:avLst/>
                    </a:prstGeom>
                  </pic:spPr>
                </pic:pic>
              </a:graphicData>
            </a:graphic>
          </wp:anchor>
        </w:drawing>
      </w:r>
      <w:r>
        <w:rPr/>
        <w:drawing>
          <wp:anchor distT="0" distB="0" distL="0" distR="0" allowOverlap="1" layoutInCell="1" locked="0" behindDoc="1" simplePos="0" relativeHeight="268341143">
            <wp:simplePos x="0" y="0"/>
            <wp:positionH relativeFrom="page">
              <wp:posOffset>1999653</wp:posOffset>
            </wp:positionH>
            <wp:positionV relativeFrom="paragraph">
              <wp:posOffset>50240</wp:posOffset>
            </wp:positionV>
            <wp:extent cx="4916424" cy="8138159"/>
            <wp:effectExtent l="0" t="0" r="0" b="0"/>
            <wp:wrapNone/>
            <wp:docPr id="5" name="image3.png" descr=""/>
            <wp:cNvGraphicFramePr>
              <a:graphicFrameLocks noChangeAspect="1"/>
            </wp:cNvGraphicFramePr>
            <a:graphic>
              <a:graphicData uri="http://schemas.openxmlformats.org/drawingml/2006/picture">
                <pic:pic>
                  <pic:nvPicPr>
                    <pic:cNvPr id="6" name="image3.png"/>
                    <pic:cNvPicPr/>
                  </pic:nvPicPr>
                  <pic:blipFill>
                    <a:blip r:embed="rId7" cstate="print"/>
                    <a:stretch>
                      <a:fillRect/>
                    </a:stretch>
                  </pic:blipFill>
                  <pic:spPr>
                    <a:xfrm>
                      <a:off x="0" y="0"/>
                      <a:ext cx="4916424" cy="8138159"/>
                    </a:xfrm>
                    <a:prstGeom prst="rect">
                      <a:avLst/>
                    </a:prstGeom>
                  </pic:spPr>
                </pic:pic>
              </a:graphicData>
            </a:graphic>
          </wp:anchor>
        </w:drawing>
      </w:r>
      <w:r>
        <w:rPr/>
        <w:t>UNIVERSIDAD AUTONOMA DEL ESTADO DE MÉXICO</w:t>
      </w:r>
    </w:p>
    <w:p>
      <w:pPr>
        <w:pStyle w:val="BodyText"/>
      </w:pPr>
    </w:p>
    <w:p>
      <w:pPr>
        <w:pStyle w:val="BodyText"/>
      </w:pPr>
    </w:p>
    <w:p>
      <w:pPr>
        <w:pStyle w:val="BodyText"/>
        <w:spacing w:line="451" w:lineRule="auto" w:before="204"/>
        <w:ind w:left="2639" w:right="539"/>
        <w:jc w:val="center"/>
      </w:pPr>
      <w:r>
        <w:rPr/>
        <w:t>MAESTRIA Y DOCTORADO EN CIENCIAS AGROPECUARIAS Y RECURSOS NATURALES</w:t>
      </w:r>
    </w:p>
    <w:p>
      <w:pPr>
        <w:pStyle w:val="BodyText"/>
      </w:pPr>
    </w:p>
    <w:p>
      <w:pPr>
        <w:pStyle w:val="BodyText"/>
        <w:spacing w:before="2"/>
        <w:rPr>
          <w:sz w:val="21"/>
        </w:rPr>
      </w:pPr>
    </w:p>
    <w:p>
      <w:pPr>
        <w:pStyle w:val="BodyText"/>
        <w:spacing w:line="451" w:lineRule="auto"/>
        <w:ind w:left="3124" w:right="1027"/>
        <w:jc w:val="center"/>
      </w:pPr>
      <w:r>
        <w:rPr/>
        <w:t>ENFERMEDADES DEL TRACTO URINARIO CAUDAL DE LOS PERROS</w:t>
      </w:r>
    </w:p>
    <w:p>
      <w:pPr>
        <w:pStyle w:val="BodyText"/>
      </w:pPr>
    </w:p>
    <w:p>
      <w:pPr>
        <w:pStyle w:val="BodyText"/>
        <w:spacing w:before="1"/>
        <w:rPr>
          <w:sz w:val="22"/>
        </w:rPr>
      </w:pPr>
    </w:p>
    <w:p>
      <w:pPr>
        <w:spacing w:before="0"/>
        <w:ind w:left="2637" w:right="539" w:firstLine="0"/>
        <w:jc w:val="center"/>
        <w:rPr>
          <w:b/>
          <w:sz w:val="28"/>
        </w:rPr>
      </w:pPr>
      <w:r>
        <w:rPr>
          <w:b/>
          <w:sz w:val="28"/>
        </w:rPr>
        <w:t>TESIS</w:t>
      </w:r>
    </w:p>
    <w:p>
      <w:pPr>
        <w:pStyle w:val="BodyText"/>
        <w:rPr>
          <w:b/>
          <w:sz w:val="28"/>
        </w:rPr>
      </w:pPr>
    </w:p>
    <w:p>
      <w:pPr>
        <w:pStyle w:val="BodyText"/>
        <w:spacing w:before="9"/>
        <w:rPr>
          <w:b/>
          <w:sz w:val="37"/>
        </w:rPr>
      </w:pPr>
    </w:p>
    <w:p>
      <w:pPr>
        <w:pStyle w:val="BodyText"/>
        <w:spacing w:line="451" w:lineRule="auto"/>
        <w:ind w:left="3639" w:right="1453" w:firstLine="648"/>
      </w:pPr>
      <w:r>
        <w:rPr/>
        <w:t>PARA OBTENER EL GRADO DE MAESTRO EN CIENCIAS AGROPECUARIAS</w:t>
      </w:r>
    </w:p>
    <w:p>
      <w:pPr>
        <w:pStyle w:val="BodyText"/>
        <w:spacing w:before="6"/>
        <w:ind w:left="2639" w:right="485"/>
        <w:jc w:val="center"/>
      </w:pPr>
      <w:r>
        <w:rPr/>
        <w:t>Y RECURSOS NATURALES</w:t>
      </w:r>
    </w:p>
    <w:p>
      <w:pPr>
        <w:pStyle w:val="BodyText"/>
      </w:pPr>
    </w:p>
    <w:p>
      <w:pPr>
        <w:pStyle w:val="BodyText"/>
      </w:pPr>
    </w:p>
    <w:p>
      <w:pPr>
        <w:pStyle w:val="BodyText"/>
      </w:pPr>
    </w:p>
    <w:p>
      <w:pPr>
        <w:pStyle w:val="BodyText"/>
      </w:pPr>
    </w:p>
    <w:p>
      <w:pPr>
        <w:pStyle w:val="BodyText"/>
        <w:spacing w:before="170"/>
        <w:ind w:left="2638" w:right="539"/>
        <w:jc w:val="center"/>
      </w:pPr>
      <w:r>
        <w:rPr/>
        <w:t>PRESENTA:</w:t>
      </w:r>
    </w:p>
    <w:p>
      <w:pPr>
        <w:pStyle w:val="BodyText"/>
        <w:spacing w:before="6"/>
        <w:rPr>
          <w:sz w:val="21"/>
        </w:rPr>
      </w:pPr>
    </w:p>
    <w:p>
      <w:pPr>
        <w:spacing w:before="0"/>
        <w:ind w:left="2630" w:right="539" w:firstLine="0"/>
        <w:jc w:val="center"/>
        <w:rPr>
          <w:b/>
          <w:sz w:val="28"/>
        </w:rPr>
      </w:pPr>
      <w:r>
        <w:rPr>
          <w:b/>
          <w:sz w:val="28"/>
        </w:rPr>
        <w:t>MVZ. Esp. Claudia Iveth Mendoza López.</w:t>
      </w:r>
    </w:p>
    <w:p>
      <w:pPr>
        <w:pStyle w:val="BodyText"/>
        <w:rPr>
          <w:b/>
          <w:sz w:val="28"/>
        </w:rPr>
      </w:pPr>
    </w:p>
    <w:p>
      <w:pPr>
        <w:pStyle w:val="BodyText"/>
        <w:rPr>
          <w:b/>
          <w:sz w:val="28"/>
        </w:rPr>
      </w:pPr>
    </w:p>
    <w:p>
      <w:pPr>
        <w:pStyle w:val="BodyText"/>
        <w:spacing w:before="171"/>
        <w:ind w:left="2634" w:right="539"/>
        <w:jc w:val="center"/>
      </w:pPr>
      <w:r>
        <w:rPr/>
        <w:t>COMITÉ DE TUTORES:</w:t>
      </w:r>
    </w:p>
    <w:p>
      <w:pPr>
        <w:pStyle w:val="BodyText"/>
        <w:rPr>
          <w:sz w:val="21"/>
        </w:rPr>
      </w:pPr>
    </w:p>
    <w:p>
      <w:pPr>
        <w:pStyle w:val="BodyText"/>
        <w:spacing w:before="1"/>
        <w:ind w:left="2638" w:right="539"/>
        <w:jc w:val="center"/>
      </w:pPr>
      <w:r>
        <w:rPr/>
        <w:t>Dr en C. Javier Del Ángel Caraza</w:t>
      </w:r>
    </w:p>
    <w:p>
      <w:pPr>
        <w:pStyle w:val="BodyText"/>
        <w:spacing w:line="412" w:lineRule="auto" w:before="204"/>
        <w:ind w:left="3676" w:right="1583"/>
        <w:jc w:val="center"/>
      </w:pPr>
      <w:r>
        <w:rPr/>
        <w:t>Dr en C. Israel Alejandro Quijano Hernández Dr en C. José Mauro Victoria Mora</w:t>
      </w:r>
    </w:p>
    <w:p>
      <w:pPr>
        <w:pStyle w:val="BodyText"/>
      </w:pPr>
    </w:p>
    <w:p>
      <w:pPr>
        <w:pStyle w:val="BodyText"/>
        <w:spacing w:before="2"/>
        <w:rPr>
          <w:sz w:val="21"/>
        </w:rPr>
      </w:pPr>
    </w:p>
    <w:p>
      <w:pPr>
        <w:pStyle w:val="BodyText"/>
        <w:ind w:left="2638" w:right="539"/>
        <w:jc w:val="center"/>
      </w:pPr>
      <w:r>
        <w:rPr/>
        <w:t>El Cerrillo Piedras Blancas, Toluca, Estado de México.</w:t>
      </w:r>
    </w:p>
    <w:p>
      <w:pPr>
        <w:pStyle w:val="BodyText"/>
        <w:rPr>
          <w:sz w:val="21"/>
        </w:rPr>
      </w:pPr>
    </w:p>
    <w:p>
      <w:pPr>
        <w:pStyle w:val="BodyText"/>
        <w:spacing w:before="1"/>
        <w:ind w:left="2633" w:right="539"/>
        <w:jc w:val="center"/>
      </w:pPr>
      <w:r>
        <w:rPr/>
        <w:t>Diciembre 2015</w:t>
      </w:r>
    </w:p>
    <w:p>
      <w:pPr>
        <w:spacing w:after="0"/>
        <w:jc w:val="center"/>
        <w:sectPr>
          <w:pgSz w:w="12240" w:h="15840"/>
          <w:pgMar w:top="1260" w:bottom="280" w:left="940" w:right="1240"/>
        </w:sectPr>
      </w:pPr>
    </w:p>
    <w:p>
      <w:pPr>
        <w:spacing w:before="37"/>
        <w:ind w:left="104" w:right="0" w:firstLine="0"/>
        <w:jc w:val="both"/>
        <w:rPr>
          <w:b/>
          <w:sz w:val="28"/>
        </w:rPr>
      </w:pPr>
      <w:r>
        <w:rPr>
          <w:b/>
          <w:sz w:val="28"/>
        </w:rPr>
        <w:t>Agradecimientos</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6"/>
        </w:rPr>
      </w:pPr>
    </w:p>
    <w:p>
      <w:pPr>
        <w:spacing w:line="360" w:lineRule="auto" w:before="0"/>
        <w:ind w:left="104" w:right="115" w:firstLine="0"/>
        <w:jc w:val="both"/>
        <w:rPr>
          <w:sz w:val="24"/>
        </w:rPr>
      </w:pPr>
      <w:r>
        <w:rPr>
          <w:sz w:val="24"/>
        </w:rPr>
        <w:t>Al </w:t>
      </w:r>
      <w:r>
        <w:rPr>
          <w:b/>
          <w:sz w:val="24"/>
        </w:rPr>
        <w:t>Consejo Nacional de Ciencia y Tecnología (CONACyT) </w:t>
      </w:r>
      <w:r>
        <w:rPr>
          <w:sz w:val="24"/>
        </w:rPr>
        <w:t>por su apoyo mediante la beca proporcionada durante este periodo, que hizo posible poder concluir mis estudios de maestría.</w:t>
      </w:r>
    </w:p>
    <w:p>
      <w:pPr>
        <w:pStyle w:val="BodyText"/>
      </w:pPr>
    </w:p>
    <w:p>
      <w:pPr>
        <w:pStyle w:val="BodyText"/>
      </w:pPr>
    </w:p>
    <w:p>
      <w:pPr>
        <w:pStyle w:val="BodyText"/>
      </w:pPr>
    </w:p>
    <w:p>
      <w:pPr>
        <w:pStyle w:val="BodyText"/>
      </w:pPr>
    </w:p>
    <w:p>
      <w:pPr>
        <w:pStyle w:val="BodyText"/>
        <w:rPr>
          <w:sz w:val="29"/>
        </w:rPr>
      </w:pPr>
    </w:p>
    <w:p>
      <w:pPr>
        <w:spacing w:line="357" w:lineRule="auto" w:before="0"/>
        <w:ind w:left="104" w:right="115" w:firstLine="0"/>
        <w:jc w:val="both"/>
        <w:rPr>
          <w:sz w:val="24"/>
        </w:rPr>
      </w:pPr>
      <w:r>
        <w:rPr>
          <w:sz w:val="24"/>
        </w:rPr>
        <w:t>Al </w:t>
      </w:r>
      <w:r>
        <w:rPr>
          <w:b/>
          <w:sz w:val="24"/>
        </w:rPr>
        <w:t>Hospital Veterinario para Pequeñas Especies </w:t>
      </w:r>
      <w:r>
        <w:rPr>
          <w:sz w:val="24"/>
        </w:rPr>
        <w:t>(HVPE) de la Universidad Autónoma del Estado de México por el uso de sus instalaciones y por todas las facilidades brindadas.</w:t>
      </w:r>
    </w:p>
    <w:p>
      <w:pPr>
        <w:pStyle w:val="BodyText"/>
      </w:pPr>
    </w:p>
    <w:p>
      <w:pPr>
        <w:pStyle w:val="BodyText"/>
      </w:pPr>
    </w:p>
    <w:p>
      <w:pPr>
        <w:pStyle w:val="BodyText"/>
      </w:pPr>
    </w:p>
    <w:p>
      <w:pPr>
        <w:pStyle w:val="BodyText"/>
      </w:pPr>
    </w:p>
    <w:p>
      <w:pPr>
        <w:pStyle w:val="BodyText"/>
        <w:spacing w:before="3"/>
        <w:rPr>
          <w:sz w:val="29"/>
        </w:rPr>
      </w:pPr>
    </w:p>
    <w:p>
      <w:pPr>
        <w:spacing w:line="360" w:lineRule="auto" w:before="0"/>
        <w:ind w:left="104" w:right="114" w:firstLine="0"/>
        <w:jc w:val="both"/>
        <w:rPr>
          <w:sz w:val="24"/>
        </w:rPr>
      </w:pPr>
      <w:r>
        <w:rPr>
          <w:sz w:val="24"/>
        </w:rPr>
        <w:t>A mis tutores: </w:t>
      </w:r>
      <w:r>
        <w:rPr>
          <w:b/>
          <w:sz w:val="24"/>
        </w:rPr>
        <w:t>Dr. Javier Del Ángel Caraza y Dr. Israel Alejandro Quijano Hernández, </w:t>
      </w:r>
      <w:r>
        <w:rPr>
          <w:sz w:val="24"/>
        </w:rPr>
        <w:t>por darme la oportunidad de ser parte de este proyecto. Por brindarme su tiempo, consejos y experiencias que ayudaron a mi formación profesional, y por todas sus exigencias y lecciones que sirvieron para el desarrollo de este trabajo de investigación.</w:t>
      </w:r>
    </w:p>
    <w:p>
      <w:pPr>
        <w:pStyle w:val="BodyText"/>
      </w:pPr>
    </w:p>
    <w:p>
      <w:pPr>
        <w:pStyle w:val="BodyText"/>
      </w:pPr>
    </w:p>
    <w:p>
      <w:pPr>
        <w:pStyle w:val="BodyText"/>
      </w:pPr>
    </w:p>
    <w:p>
      <w:pPr>
        <w:pStyle w:val="BodyText"/>
      </w:pPr>
    </w:p>
    <w:p>
      <w:pPr>
        <w:pStyle w:val="BodyText"/>
        <w:spacing w:before="7"/>
        <w:rPr>
          <w:sz w:val="28"/>
        </w:rPr>
      </w:pPr>
    </w:p>
    <w:p>
      <w:pPr>
        <w:pStyle w:val="BodyText"/>
        <w:spacing w:line="360" w:lineRule="auto"/>
        <w:ind w:left="104" w:right="115"/>
        <w:jc w:val="both"/>
      </w:pPr>
      <w:r>
        <w:rPr/>
        <w:t>A todos los pacientes que formaron parte de este estudio, que sin ellos no hubiera sido posible la realización de esta investigación.</w:t>
      </w:r>
    </w:p>
    <w:p>
      <w:pPr>
        <w:spacing w:after="0" w:line="360" w:lineRule="auto"/>
        <w:jc w:val="both"/>
        <w:sectPr>
          <w:pgSz w:w="12240" w:h="15840"/>
          <w:pgMar w:top="1380" w:bottom="280" w:left="1600" w:right="1580"/>
        </w:sectPr>
      </w:pPr>
    </w:p>
    <w:p>
      <w:pPr>
        <w:spacing w:before="37"/>
        <w:ind w:left="104" w:right="0" w:firstLine="0"/>
        <w:jc w:val="both"/>
        <w:rPr>
          <w:b/>
          <w:sz w:val="28"/>
        </w:rPr>
      </w:pPr>
      <w:r>
        <w:rPr>
          <w:b/>
          <w:sz w:val="28"/>
        </w:rPr>
        <w:t>Dedicatorias</w:t>
      </w:r>
    </w:p>
    <w:p>
      <w:pPr>
        <w:pStyle w:val="BodyText"/>
        <w:rPr>
          <w:b/>
          <w:sz w:val="28"/>
        </w:rPr>
      </w:pPr>
    </w:p>
    <w:p>
      <w:pPr>
        <w:pStyle w:val="BodyText"/>
        <w:rPr>
          <w:b/>
          <w:sz w:val="28"/>
        </w:rPr>
      </w:pPr>
    </w:p>
    <w:p>
      <w:pPr>
        <w:pStyle w:val="BodyText"/>
        <w:spacing w:before="10"/>
        <w:rPr>
          <w:b/>
          <w:sz w:val="34"/>
        </w:rPr>
      </w:pPr>
    </w:p>
    <w:p>
      <w:pPr>
        <w:pStyle w:val="BodyText"/>
        <w:ind w:left="104" w:right="115"/>
        <w:jc w:val="both"/>
      </w:pPr>
      <w:r>
        <w:rPr/>
        <w:t>A mis padres </w:t>
      </w:r>
      <w:r>
        <w:rPr>
          <w:b/>
        </w:rPr>
        <w:t>María E. López y José Ma. Mendoza</w:t>
      </w:r>
      <w:r>
        <w:rPr/>
        <w:t>, por todo el amor y consejos que siempre me han dado. Que aunque nos separen distancias, sé que siempre están conmigo y los llevo en mi corazón y pensamientos.</w:t>
      </w:r>
    </w:p>
    <w:p>
      <w:pPr>
        <w:pStyle w:val="BodyText"/>
      </w:pPr>
    </w:p>
    <w:p>
      <w:pPr>
        <w:pStyle w:val="BodyText"/>
      </w:pPr>
    </w:p>
    <w:p>
      <w:pPr>
        <w:pStyle w:val="BodyText"/>
        <w:spacing w:before="9"/>
        <w:rPr>
          <w:sz w:val="34"/>
        </w:rPr>
      </w:pPr>
    </w:p>
    <w:p>
      <w:pPr>
        <w:spacing w:line="240" w:lineRule="auto" w:before="1"/>
        <w:ind w:left="104" w:right="115" w:firstLine="0"/>
        <w:jc w:val="both"/>
        <w:rPr>
          <w:sz w:val="24"/>
        </w:rPr>
      </w:pPr>
      <w:r>
        <w:rPr>
          <w:sz w:val="24"/>
        </w:rPr>
        <w:t>A mis hermanas </w:t>
      </w:r>
      <w:r>
        <w:rPr>
          <w:b/>
          <w:sz w:val="24"/>
        </w:rPr>
        <w:t>Lidia y Marlene </w:t>
      </w:r>
      <w:r>
        <w:rPr>
          <w:sz w:val="24"/>
        </w:rPr>
        <w:t>y cuñados </w:t>
      </w:r>
      <w:r>
        <w:rPr>
          <w:b/>
          <w:sz w:val="24"/>
        </w:rPr>
        <w:t>Jorge y José Antonio</w:t>
      </w:r>
      <w:r>
        <w:rPr>
          <w:sz w:val="24"/>
        </w:rPr>
        <w:t>. Por darme el ejemplo de la superación, por todo el cariño y el gran apoyo incondicional que siempre me han brindado.</w:t>
      </w:r>
    </w:p>
    <w:p>
      <w:pPr>
        <w:pStyle w:val="BodyText"/>
      </w:pPr>
    </w:p>
    <w:p>
      <w:pPr>
        <w:pStyle w:val="BodyText"/>
      </w:pPr>
    </w:p>
    <w:p>
      <w:pPr>
        <w:pStyle w:val="BodyText"/>
        <w:spacing w:before="5"/>
        <w:rPr>
          <w:sz w:val="34"/>
        </w:rPr>
      </w:pPr>
    </w:p>
    <w:p>
      <w:pPr>
        <w:pStyle w:val="BodyText"/>
        <w:ind w:left="104" w:right="115"/>
        <w:jc w:val="both"/>
      </w:pPr>
      <w:r>
        <w:rPr/>
        <w:t>A mis sobrinos </w:t>
      </w:r>
      <w:r>
        <w:rPr>
          <w:b/>
        </w:rPr>
        <w:t>Jorge, Eduardo, José A. y Karen </w:t>
      </w:r>
      <w:r>
        <w:rPr/>
        <w:t>que con sus alegrías y travesuras han llenado parte de mi vida. Espero que esto les sirva como ejemplo y estímulo para la superación.</w:t>
      </w:r>
    </w:p>
    <w:p>
      <w:pPr>
        <w:pStyle w:val="BodyText"/>
      </w:pPr>
    </w:p>
    <w:p>
      <w:pPr>
        <w:pStyle w:val="BodyText"/>
        <w:spacing w:before="2"/>
      </w:pPr>
    </w:p>
    <w:p>
      <w:pPr>
        <w:pStyle w:val="BodyText"/>
        <w:ind w:left="104" w:right="115"/>
        <w:jc w:val="both"/>
      </w:pPr>
      <w:r>
        <w:rPr/>
        <w:t>A mi nueva familia política: suegros y cuñados que desde siempre me han demostrado mucho cariño y aprecio, y que me han brindado su apoyado incondicionalmente.</w:t>
      </w:r>
    </w:p>
    <w:p>
      <w:pPr>
        <w:pStyle w:val="BodyText"/>
      </w:pPr>
    </w:p>
    <w:p>
      <w:pPr>
        <w:pStyle w:val="BodyText"/>
      </w:pPr>
    </w:p>
    <w:p>
      <w:pPr>
        <w:pStyle w:val="BodyText"/>
        <w:spacing w:before="9"/>
        <w:rPr>
          <w:sz w:val="34"/>
        </w:rPr>
      </w:pPr>
    </w:p>
    <w:p>
      <w:pPr>
        <w:pStyle w:val="BodyText"/>
        <w:spacing w:before="1"/>
        <w:ind w:left="104" w:right="115"/>
        <w:jc w:val="both"/>
      </w:pPr>
      <w:r>
        <w:rPr/>
        <w:t>A todas aquellas personas y amigos que directa o indirectamente participaron en  la realización de esta investigación y que de  alguna u otra manera forman parte  de mi vida y que han estado en los momentos más difíciles, acompañándome y haciendo más ameno mi estancia en</w:t>
      </w:r>
      <w:r>
        <w:rPr>
          <w:spacing w:val="-1"/>
        </w:rPr>
        <w:t> </w:t>
      </w:r>
      <w:r>
        <w:rPr/>
        <w:t>Toluca.</w:t>
      </w:r>
    </w:p>
    <w:p>
      <w:pPr>
        <w:pStyle w:val="BodyText"/>
      </w:pPr>
    </w:p>
    <w:p>
      <w:pPr>
        <w:pStyle w:val="BodyText"/>
        <w:spacing w:before="2"/>
      </w:pPr>
    </w:p>
    <w:p>
      <w:pPr>
        <w:pStyle w:val="BodyText"/>
        <w:ind w:left="104" w:right="115" w:firstLine="66"/>
        <w:jc w:val="both"/>
      </w:pPr>
      <w:r>
        <w:rPr/>
        <w:t>A </w:t>
      </w:r>
      <w:r>
        <w:rPr>
          <w:b/>
        </w:rPr>
        <w:t>Miguel Juárez </w:t>
      </w:r>
      <w:r>
        <w:rPr/>
        <w:t>por ser mi compañero, amigo y sobre todo mi esposo, el cual ha estado conmigo en los momentos más difíciles. Por darme su compañía y  palabras de aliento cuando más lo necesitaba y hacer que no me rindiera en este camino.</w:t>
      </w:r>
    </w:p>
    <w:p>
      <w:pPr>
        <w:spacing w:after="0"/>
        <w:jc w:val="both"/>
        <w:sectPr>
          <w:pgSz w:w="12240" w:h="15840"/>
          <w:pgMar w:top="1380" w:bottom="280" w:left="1600" w:right="1580"/>
        </w:sectPr>
      </w:pPr>
    </w:p>
    <w:p>
      <w:pPr>
        <w:spacing w:before="35"/>
        <w:ind w:left="104" w:right="0" w:firstLine="0"/>
        <w:jc w:val="left"/>
        <w:rPr>
          <w:b/>
          <w:sz w:val="40"/>
        </w:rPr>
      </w:pPr>
      <w:r>
        <w:rPr>
          <w:b/>
          <w:sz w:val="40"/>
        </w:rPr>
        <w:t>ÍNDICE GENERAL</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spacing w:before="240"/>
        <w:ind w:left="0" w:right="181" w:firstLine="0"/>
        <w:jc w:val="right"/>
        <w:rPr>
          <w:i/>
          <w:sz w:val="28"/>
        </w:rPr>
      </w:pPr>
      <w:r>
        <w:rPr>
          <w:i/>
          <w:w w:val="95"/>
          <w:sz w:val="28"/>
          <w:u w:val="single"/>
        </w:rPr>
        <w:t>Página</w:t>
      </w:r>
    </w:p>
    <w:p>
      <w:pPr>
        <w:pStyle w:val="BodyText"/>
        <w:spacing w:before="2"/>
        <w:rPr>
          <w:i/>
          <w:sz w:val="17"/>
        </w:rPr>
      </w:pPr>
    </w:p>
    <w:sdt>
      <w:sdtPr>
        <w:docPartObj>
          <w:docPartGallery w:val="Table of Contents"/>
          <w:docPartUnique/>
        </w:docPartObj>
      </w:sdtPr>
      <w:sdtEndPr/>
      <w:sdtContent>
        <w:p>
          <w:pPr>
            <w:pStyle w:val="TOC1"/>
            <w:tabs>
              <w:tab w:pos="8249" w:val="left" w:leader="none"/>
            </w:tabs>
            <w:spacing w:before="70"/>
            <w:rPr>
              <w:i/>
              <w:sz w:val="28"/>
            </w:rPr>
          </w:pPr>
          <w:hyperlink w:history="true" w:anchor="_TOC_250010">
            <w:r>
              <w:rPr/>
              <w:t>Listado de</w:t>
            </w:r>
            <w:r>
              <w:rPr>
                <w:spacing w:val="-1"/>
              </w:rPr>
              <w:t> </w:t>
            </w:r>
            <w:r>
              <w:rPr/>
              <w:t>abreviaturas…………………………………………………</w:t>
            </w:r>
            <w:r>
              <w:rPr>
                <w:rFonts w:ascii="Times New Roman" w:hAnsi="Times New Roman"/>
                <w:position w:val="-3"/>
                <w:sz w:val="28"/>
              </w:rPr>
              <w:tab/>
            </w:r>
            <w:r>
              <w:rPr>
                <w:i/>
                <w:position w:val="-3"/>
                <w:sz w:val="28"/>
              </w:rPr>
              <w:t>1</w:t>
            </w:r>
          </w:hyperlink>
        </w:p>
        <w:p>
          <w:pPr>
            <w:pStyle w:val="TOC1"/>
            <w:tabs>
              <w:tab w:pos="8249" w:val="left" w:leader="none"/>
            </w:tabs>
            <w:spacing w:before="227"/>
            <w:rPr>
              <w:i/>
              <w:sz w:val="28"/>
            </w:rPr>
          </w:pPr>
          <w:hyperlink w:history="true" w:anchor="_TOC_250009">
            <w:r>
              <w:rPr/>
              <w:t>Resumen…………………………………………………………………</w:t>
            </w:r>
            <w:r>
              <w:rPr>
                <w:rFonts w:ascii="Times New Roman" w:hAnsi="Times New Roman"/>
                <w:position w:val="-3"/>
                <w:sz w:val="28"/>
              </w:rPr>
              <w:tab/>
            </w:r>
            <w:r>
              <w:rPr>
                <w:i/>
                <w:position w:val="-3"/>
                <w:sz w:val="28"/>
              </w:rPr>
              <w:t>2</w:t>
            </w:r>
          </w:hyperlink>
        </w:p>
        <w:p>
          <w:pPr>
            <w:pStyle w:val="TOC1"/>
            <w:tabs>
              <w:tab w:pos="8249" w:val="left" w:leader="none"/>
            </w:tabs>
            <w:spacing w:before="227"/>
            <w:rPr>
              <w:i/>
              <w:sz w:val="28"/>
            </w:rPr>
          </w:pPr>
          <w:hyperlink w:history="true" w:anchor="_TOC_250008">
            <w:r>
              <w:rPr/>
              <w:t>Abstract……………………………………………………………………</w:t>
            </w:r>
            <w:r>
              <w:rPr>
                <w:rFonts w:ascii="Times New Roman" w:hAnsi="Times New Roman"/>
                <w:position w:val="-3"/>
                <w:sz w:val="28"/>
              </w:rPr>
              <w:tab/>
            </w:r>
            <w:r>
              <w:rPr>
                <w:i/>
                <w:position w:val="-3"/>
                <w:sz w:val="28"/>
              </w:rPr>
              <w:t>5</w:t>
            </w:r>
          </w:hyperlink>
        </w:p>
        <w:p>
          <w:pPr>
            <w:pStyle w:val="TOC1"/>
            <w:tabs>
              <w:tab w:pos="8249" w:val="left" w:leader="none"/>
            </w:tabs>
            <w:spacing w:before="227"/>
            <w:rPr>
              <w:i/>
              <w:sz w:val="28"/>
            </w:rPr>
          </w:pPr>
          <w:hyperlink w:history="true" w:anchor="_TOC_250007">
            <w:r>
              <w:rPr/>
              <w:t>Introducción………………………………………………………………</w:t>
            </w:r>
            <w:r>
              <w:rPr>
                <w:rFonts w:ascii="Times New Roman" w:hAnsi="Times New Roman"/>
                <w:position w:val="-3"/>
                <w:sz w:val="28"/>
              </w:rPr>
              <w:tab/>
            </w:r>
            <w:r>
              <w:rPr>
                <w:i/>
                <w:position w:val="-3"/>
                <w:sz w:val="28"/>
              </w:rPr>
              <w:t>8</w:t>
            </w:r>
          </w:hyperlink>
        </w:p>
        <w:p>
          <w:pPr>
            <w:pStyle w:val="TOC1"/>
            <w:tabs>
              <w:tab w:pos="8171" w:val="left" w:leader="none"/>
            </w:tabs>
            <w:spacing w:before="227"/>
            <w:rPr>
              <w:i/>
              <w:sz w:val="28"/>
            </w:rPr>
          </w:pPr>
          <w:hyperlink w:history="true" w:anchor="_TOC_250006">
            <w:r>
              <w:rPr/>
              <w:t>Marco</w:t>
            </w:r>
            <w:r>
              <w:rPr>
                <w:spacing w:val="-1"/>
              </w:rPr>
              <w:t> </w:t>
            </w:r>
            <w:r>
              <w:rPr/>
              <w:t>teórico………………………………………………………...........</w:t>
            </w:r>
            <w:r>
              <w:rPr>
                <w:rFonts w:ascii="Times New Roman" w:hAnsi="Times New Roman"/>
                <w:position w:val="-3"/>
                <w:sz w:val="28"/>
              </w:rPr>
              <w:tab/>
            </w:r>
            <w:r>
              <w:rPr>
                <w:i/>
                <w:position w:val="-3"/>
                <w:sz w:val="28"/>
              </w:rPr>
              <w:t>10</w:t>
            </w:r>
          </w:hyperlink>
        </w:p>
        <w:p>
          <w:pPr>
            <w:pStyle w:val="TOC1"/>
            <w:tabs>
              <w:tab w:pos="8171" w:val="left" w:leader="none"/>
            </w:tabs>
            <w:spacing w:before="227"/>
            <w:rPr>
              <w:i/>
              <w:sz w:val="28"/>
            </w:rPr>
          </w:pPr>
          <w:hyperlink w:history="true" w:anchor="_TOC_250005">
            <w:r>
              <w:rPr/>
              <w:t>Justificación………………………………………………………….........</w:t>
            </w:r>
            <w:r>
              <w:rPr>
                <w:rFonts w:ascii="Times New Roman" w:hAnsi="Times New Roman"/>
                <w:position w:val="-3"/>
                <w:sz w:val="28"/>
              </w:rPr>
              <w:tab/>
            </w:r>
            <w:r>
              <w:rPr>
                <w:i/>
                <w:position w:val="-3"/>
                <w:sz w:val="28"/>
              </w:rPr>
              <w:t>38</w:t>
            </w:r>
          </w:hyperlink>
        </w:p>
        <w:p>
          <w:pPr>
            <w:pStyle w:val="TOC1"/>
            <w:tabs>
              <w:tab w:pos="8171" w:val="left" w:leader="none"/>
            </w:tabs>
            <w:rPr>
              <w:i/>
              <w:sz w:val="28"/>
            </w:rPr>
          </w:pPr>
          <w:hyperlink w:history="true" w:anchor="_TOC_250004">
            <w:r>
              <w:rPr/>
              <w:t>Objetivos……………………………………………………………..…….</w:t>
            </w:r>
            <w:r>
              <w:rPr>
                <w:rFonts w:ascii="Times New Roman" w:hAnsi="Times New Roman"/>
                <w:position w:val="-3"/>
                <w:sz w:val="28"/>
              </w:rPr>
              <w:tab/>
            </w:r>
            <w:r>
              <w:rPr>
                <w:i/>
                <w:position w:val="-3"/>
                <w:sz w:val="28"/>
              </w:rPr>
              <w:t>39</w:t>
            </w:r>
          </w:hyperlink>
        </w:p>
        <w:p>
          <w:pPr>
            <w:pStyle w:val="TOC1"/>
            <w:tabs>
              <w:tab w:pos="8171" w:val="left" w:leader="none"/>
            </w:tabs>
            <w:rPr>
              <w:i/>
              <w:sz w:val="28"/>
            </w:rPr>
          </w:pPr>
          <w:hyperlink w:history="true" w:anchor="_TOC_250003">
            <w:r>
              <w:rPr/>
              <w:t>Material</w:t>
            </w:r>
            <w:r>
              <w:rPr>
                <w:spacing w:val="-1"/>
              </w:rPr>
              <w:t> </w:t>
            </w:r>
            <w:r>
              <w:rPr/>
              <w:t>y</w:t>
            </w:r>
            <w:r>
              <w:rPr>
                <w:spacing w:val="-1"/>
              </w:rPr>
              <w:t> </w:t>
            </w:r>
            <w:r>
              <w:rPr/>
              <w:t>métodos………………………………………………………..</w:t>
            </w:r>
            <w:r>
              <w:rPr>
                <w:rFonts w:ascii="Times New Roman" w:hAnsi="Times New Roman"/>
                <w:position w:val="-3"/>
                <w:sz w:val="28"/>
              </w:rPr>
              <w:tab/>
            </w:r>
            <w:r>
              <w:rPr>
                <w:i/>
                <w:position w:val="-3"/>
                <w:sz w:val="28"/>
              </w:rPr>
              <w:t>40</w:t>
            </w:r>
          </w:hyperlink>
        </w:p>
        <w:p>
          <w:pPr>
            <w:pStyle w:val="TOC1"/>
            <w:tabs>
              <w:tab w:pos="8171" w:val="left" w:leader="none"/>
            </w:tabs>
            <w:spacing w:before="194"/>
            <w:rPr>
              <w:i/>
              <w:sz w:val="28"/>
            </w:rPr>
          </w:pPr>
          <w:hyperlink w:history="true" w:anchor="_TOC_250002">
            <w:r>
              <w:rPr/>
              <w:t>Resultados…………………………………………………………………</w:t>
            </w:r>
            <w:r>
              <w:rPr>
                <w:rFonts w:ascii="Times New Roman" w:hAnsi="Times New Roman"/>
                <w:position w:val="-3"/>
                <w:sz w:val="28"/>
              </w:rPr>
              <w:tab/>
            </w:r>
            <w:r>
              <w:rPr>
                <w:i/>
                <w:position w:val="-3"/>
                <w:sz w:val="28"/>
              </w:rPr>
              <w:t>43</w:t>
            </w:r>
          </w:hyperlink>
        </w:p>
        <w:p>
          <w:pPr>
            <w:pStyle w:val="TOC1"/>
            <w:tabs>
              <w:tab w:pos="8171" w:val="left" w:leader="none"/>
            </w:tabs>
            <w:rPr>
              <w:i/>
              <w:sz w:val="28"/>
            </w:rPr>
          </w:pPr>
          <w:hyperlink w:history="true" w:anchor="_TOC_250001">
            <w:r>
              <w:rPr/>
              <w:t>Discusión………………………………………………………………......</w:t>
            </w:r>
            <w:r>
              <w:rPr>
                <w:rFonts w:ascii="Times New Roman" w:hAnsi="Times New Roman"/>
                <w:position w:val="-3"/>
                <w:sz w:val="28"/>
              </w:rPr>
              <w:tab/>
            </w:r>
            <w:r>
              <w:rPr>
                <w:i/>
                <w:position w:val="-3"/>
                <w:sz w:val="28"/>
              </w:rPr>
              <w:t>48</w:t>
            </w:r>
          </w:hyperlink>
        </w:p>
        <w:p>
          <w:pPr>
            <w:pStyle w:val="TOC1"/>
            <w:tabs>
              <w:tab w:pos="8171" w:val="left" w:leader="none"/>
            </w:tabs>
            <w:rPr>
              <w:i/>
              <w:sz w:val="28"/>
            </w:rPr>
          </w:pPr>
          <w:hyperlink w:history="true" w:anchor="_TOC_250000">
            <w:r>
              <w:rPr/>
              <w:t>Conclusiones………………………………………………………………</w:t>
            </w:r>
            <w:r>
              <w:rPr>
                <w:rFonts w:ascii="Times New Roman" w:hAnsi="Times New Roman"/>
                <w:position w:val="-3"/>
                <w:sz w:val="28"/>
              </w:rPr>
              <w:tab/>
            </w:r>
            <w:r>
              <w:rPr>
                <w:i/>
                <w:position w:val="-3"/>
                <w:sz w:val="28"/>
              </w:rPr>
              <w:t>56</w:t>
            </w:r>
          </w:hyperlink>
        </w:p>
        <w:p>
          <w:pPr>
            <w:pStyle w:val="TOC1"/>
            <w:tabs>
              <w:tab w:pos="8171" w:val="left" w:leader="none"/>
            </w:tabs>
            <w:spacing w:before="194"/>
            <w:rPr>
              <w:i/>
              <w:sz w:val="28"/>
            </w:rPr>
          </w:pPr>
          <w:r>
            <w:rPr/>
            <w:t>Referencias</w:t>
          </w:r>
          <w:r>
            <w:rPr>
              <w:spacing w:val="-1"/>
            </w:rPr>
            <w:t> </w:t>
          </w:r>
          <w:r>
            <w:rPr/>
            <w:t>bibliográficas…………………………………….................</w:t>
          </w:r>
          <w:r>
            <w:rPr>
              <w:rFonts w:ascii="Times New Roman" w:hAnsi="Times New Roman"/>
              <w:position w:val="-3"/>
              <w:sz w:val="28"/>
            </w:rPr>
            <w:tab/>
          </w:r>
          <w:r>
            <w:rPr>
              <w:i/>
              <w:position w:val="-3"/>
              <w:sz w:val="28"/>
            </w:rPr>
            <w:t>58</w:t>
          </w:r>
        </w:p>
        <w:p>
          <w:pPr>
            <w:pStyle w:val="TOC1"/>
            <w:tabs>
              <w:tab w:pos="8171" w:val="left" w:leader="none"/>
            </w:tabs>
            <w:rPr>
              <w:i/>
              <w:sz w:val="28"/>
            </w:rPr>
          </w:pPr>
          <w:r>
            <w:rPr/>
            <w:t>Anexos……………………………………………………………………...</w:t>
          </w:r>
          <w:r>
            <w:rPr>
              <w:rFonts w:ascii="Times New Roman" w:hAnsi="Times New Roman"/>
              <w:position w:val="-3"/>
              <w:sz w:val="28"/>
            </w:rPr>
            <w:tab/>
          </w:r>
          <w:r>
            <w:rPr>
              <w:i/>
              <w:position w:val="-3"/>
              <w:sz w:val="28"/>
            </w:rPr>
            <w:t>70</w:t>
          </w:r>
        </w:p>
        <w:p>
          <w:pPr>
            <w:pStyle w:val="TOC1"/>
            <w:tabs>
              <w:tab w:pos="8171" w:val="left" w:leader="none"/>
            </w:tabs>
            <w:rPr>
              <w:i/>
              <w:sz w:val="28"/>
            </w:rPr>
          </w:pPr>
          <w:r>
            <w:rPr/>
            <w:t>Artículo</w:t>
          </w:r>
          <w:r>
            <w:rPr>
              <w:spacing w:val="-1"/>
            </w:rPr>
            <w:t> </w:t>
          </w:r>
          <w:r>
            <w:rPr/>
            <w:t>de</w:t>
          </w:r>
          <w:r>
            <w:rPr>
              <w:spacing w:val="-1"/>
            </w:rPr>
            <w:t> </w:t>
          </w:r>
          <w:r>
            <w:rPr/>
            <w:t>investigación………………………………………………….</w:t>
          </w:r>
          <w:r>
            <w:rPr>
              <w:rFonts w:ascii="Times New Roman" w:hAnsi="Times New Roman"/>
              <w:position w:val="-3"/>
              <w:sz w:val="28"/>
            </w:rPr>
            <w:tab/>
          </w:r>
          <w:r>
            <w:rPr>
              <w:i/>
              <w:position w:val="-3"/>
              <w:sz w:val="28"/>
            </w:rPr>
            <w:t>76</w:t>
          </w:r>
        </w:p>
      </w:sdtContent>
    </w:sdt>
    <w:p>
      <w:pPr>
        <w:spacing w:after="0"/>
        <w:rPr>
          <w:sz w:val="28"/>
        </w:rPr>
        <w:sectPr>
          <w:pgSz w:w="12240" w:h="15840"/>
          <w:pgMar w:top="1380" w:bottom="280" w:left="1600" w:right="17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rPr>
          <w:rFonts w:ascii="Times New Roman"/>
          <w:sz w:val="28"/>
        </w:rPr>
      </w:pPr>
    </w:p>
    <w:p>
      <w:pPr>
        <w:pStyle w:val="Heading1"/>
        <w:spacing w:before="236"/>
      </w:pPr>
      <w:bookmarkStart w:name="_TOC_250010" w:id="1"/>
      <w:bookmarkEnd w:id="1"/>
      <w:r>
        <w:rPr/>
        <w:t>Listado de abreviaturas</w:t>
      </w:r>
    </w:p>
    <w:p>
      <w:pPr>
        <w:pStyle w:val="BodyText"/>
        <w:rPr>
          <w:b/>
          <w:sz w:val="28"/>
        </w:rPr>
      </w:pPr>
    </w:p>
    <w:p>
      <w:pPr>
        <w:pStyle w:val="BodyText"/>
        <w:rPr>
          <w:b/>
          <w:sz w:val="28"/>
        </w:rPr>
      </w:pPr>
    </w:p>
    <w:p>
      <w:pPr>
        <w:pStyle w:val="BodyText"/>
        <w:tabs>
          <w:tab w:pos="1814" w:val="left" w:leader="none"/>
        </w:tabs>
        <w:spacing w:before="175"/>
        <w:ind w:left="144" w:right="144"/>
      </w:pPr>
      <w:r>
        <w:rPr>
          <w:b/>
        </w:rPr>
        <w:t>ETUC</w:t>
        <w:tab/>
      </w:r>
      <w:r>
        <w:rPr/>
        <w:t>Enfermedad del tracto urinario caudal</w:t>
      </w:r>
    </w:p>
    <w:p>
      <w:pPr>
        <w:pStyle w:val="BodyText"/>
      </w:pPr>
    </w:p>
    <w:p>
      <w:pPr>
        <w:pStyle w:val="BodyText"/>
        <w:tabs>
          <w:tab w:pos="1814" w:val="left" w:leader="none"/>
        </w:tabs>
        <w:ind w:left="144" w:right="144"/>
      </w:pPr>
      <w:r>
        <w:rPr>
          <w:b/>
        </w:rPr>
        <w:t>IBTU</w:t>
        <w:tab/>
      </w:r>
      <w:r>
        <w:rPr/>
        <w:t>Infección bacteriana del tracto urinario</w:t>
      </w:r>
    </w:p>
    <w:p>
      <w:pPr>
        <w:pStyle w:val="BodyText"/>
      </w:pPr>
    </w:p>
    <w:p>
      <w:pPr>
        <w:pStyle w:val="BodyText"/>
        <w:tabs>
          <w:tab w:pos="1814" w:val="left" w:leader="none"/>
        </w:tabs>
        <w:ind w:left="144" w:right="144"/>
      </w:pPr>
      <w:r>
        <w:rPr>
          <w:b/>
        </w:rPr>
        <w:t>UFCB</w:t>
        <w:tab/>
      </w:r>
      <w:r>
        <w:rPr/>
        <w:t>Unidades formadoras de colonias bacterianas</w:t>
      </w:r>
    </w:p>
    <w:p>
      <w:pPr>
        <w:pStyle w:val="BodyText"/>
      </w:pPr>
    </w:p>
    <w:p>
      <w:pPr>
        <w:tabs>
          <w:tab w:pos="1814" w:val="left" w:leader="none"/>
        </w:tabs>
        <w:spacing w:before="0"/>
        <w:ind w:left="144" w:right="144" w:firstLine="0"/>
        <w:jc w:val="left"/>
        <w:rPr>
          <w:sz w:val="24"/>
        </w:rPr>
      </w:pPr>
      <w:r>
        <w:rPr>
          <w:b/>
          <w:sz w:val="24"/>
        </w:rPr>
        <w:t>OxCa</w:t>
        <w:tab/>
      </w:r>
      <w:r>
        <w:rPr>
          <w:sz w:val="24"/>
        </w:rPr>
        <w:t>Oxalato de</w:t>
      </w:r>
      <w:r>
        <w:rPr>
          <w:spacing w:val="-1"/>
          <w:sz w:val="24"/>
        </w:rPr>
        <w:t> </w:t>
      </w:r>
      <w:r>
        <w:rPr>
          <w:sz w:val="24"/>
        </w:rPr>
        <w:t>calcio</w:t>
      </w:r>
    </w:p>
    <w:p>
      <w:pPr>
        <w:pStyle w:val="BodyText"/>
      </w:pPr>
    </w:p>
    <w:p>
      <w:pPr>
        <w:pStyle w:val="BodyText"/>
        <w:tabs>
          <w:tab w:pos="1814" w:val="left" w:leader="none"/>
        </w:tabs>
        <w:ind w:left="144" w:right="144"/>
      </w:pPr>
      <w:r>
        <w:rPr>
          <w:b/>
        </w:rPr>
        <w:t>NMA</w:t>
        <w:tab/>
      </w:r>
      <w:r>
        <w:rPr/>
        <w:t>Neurona motora alta</w:t>
      </w:r>
    </w:p>
    <w:p>
      <w:pPr>
        <w:pStyle w:val="BodyText"/>
      </w:pPr>
    </w:p>
    <w:p>
      <w:pPr>
        <w:pStyle w:val="BodyText"/>
        <w:tabs>
          <w:tab w:pos="1814" w:val="left" w:leader="none"/>
        </w:tabs>
        <w:ind w:left="144" w:right="144"/>
      </w:pPr>
      <w:r>
        <w:rPr>
          <w:b/>
        </w:rPr>
        <w:t>NMB</w:t>
        <w:tab/>
      </w:r>
      <w:r>
        <w:rPr/>
        <w:t>Neurona motora</w:t>
      </w:r>
      <w:r>
        <w:rPr>
          <w:spacing w:val="-1"/>
        </w:rPr>
        <w:t> </w:t>
      </w:r>
      <w:r>
        <w:rPr/>
        <w:t>baja</w:t>
      </w:r>
    </w:p>
    <w:p>
      <w:pPr>
        <w:pStyle w:val="BodyText"/>
      </w:pPr>
    </w:p>
    <w:p>
      <w:pPr>
        <w:pStyle w:val="BodyText"/>
        <w:tabs>
          <w:tab w:pos="1814" w:val="left" w:leader="none"/>
        </w:tabs>
        <w:ind w:left="144" w:right="144"/>
      </w:pPr>
      <w:r>
        <w:rPr>
          <w:b/>
        </w:rPr>
        <w:t>AM</w:t>
        <w:tab/>
      </w:r>
      <w:r>
        <w:rPr/>
        <w:t>Alteraciones de la</w:t>
      </w:r>
      <w:r>
        <w:rPr>
          <w:spacing w:val="-1"/>
        </w:rPr>
        <w:t> </w:t>
      </w:r>
      <w:r>
        <w:rPr/>
        <w:t>micción</w:t>
      </w:r>
    </w:p>
    <w:p>
      <w:pPr>
        <w:spacing w:after="0"/>
        <w:sectPr>
          <w:headerReference w:type="default" r:id="rId8"/>
          <w:footerReference w:type="default" r:id="rId9"/>
          <w:pgSz w:w="12240" w:h="15840"/>
          <w:pgMar w:header="886" w:footer="882" w:top="1140" w:bottom="1080" w:left="1560" w:right="980"/>
          <w:pgNumType w:start="1"/>
        </w:sectPr>
      </w:pPr>
    </w:p>
    <w:p>
      <w:pPr>
        <w:pStyle w:val="BodyText"/>
        <w:rPr>
          <w:sz w:val="20"/>
        </w:rPr>
      </w:pPr>
    </w:p>
    <w:p>
      <w:pPr>
        <w:pStyle w:val="BodyText"/>
        <w:rPr>
          <w:sz w:val="23"/>
        </w:rPr>
      </w:pPr>
    </w:p>
    <w:p>
      <w:pPr>
        <w:pStyle w:val="Heading1"/>
      </w:pPr>
      <w:bookmarkStart w:name="_TOC_250009" w:id="2"/>
      <w:bookmarkEnd w:id="2"/>
      <w:r>
        <w:rPr/>
        <w:t>RESUMEN</w:t>
      </w:r>
    </w:p>
    <w:p>
      <w:pPr>
        <w:pStyle w:val="BodyText"/>
        <w:rPr>
          <w:b/>
          <w:sz w:val="28"/>
        </w:rPr>
      </w:pPr>
    </w:p>
    <w:p>
      <w:pPr>
        <w:pStyle w:val="BodyText"/>
        <w:spacing w:before="2"/>
        <w:rPr>
          <w:b/>
          <w:sz w:val="28"/>
        </w:rPr>
      </w:pPr>
    </w:p>
    <w:p>
      <w:pPr>
        <w:pStyle w:val="BodyText"/>
        <w:spacing w:line="360" w:lineRule="auto" w:before="1"/>
        <w:ind w:left="144" w:right="148" w:firstLine="775"/>
        <w:jc w:val="both"/>
      </w:pPr>
      <w:r>
        <w:rPr/>
        <w:t>Las enfermedades del tracto urinario caudal </w:t>
      </w:r>
      <w:r>
        <w:rPr>
          <w:b/>
        </w:rPr>
        <w:t>ETUC </w:t>
      </w:r>
      <w:r>
        <w:rPr/>
        <w:t>en perros son un conjunto de enfermedades que afectan a la vejiga, uretra y próstata siendo los signos clínicos más comunes la estranguria, polaquiuria, disuria y hematuria. Las ETUC más comunes en los perros son la urolitiasis, la infección del tracto urinario, las alteraciones de la  micción, las enfermedades de la próstata, las neoplasias, las alteraciones anatómicas congénitas y los traumatismos. En México las ETUC se presentan de forma habitual en la clínica diaria, pero no se ha estudiado la población de perros que las padecen y se desconocen sus factores de riesgo.</w:t>
      </w:r>
    </w:p>
    <w:p>
      <w:pPr>
        <w:pStyle w:val="BodyText"/>
      </w:pPr>
    </w:p>
    <w:p>
      <w:pPr>
        <w:pStyle w:val="BodyText"/>
        <w:spacing w:line="360" w:lineRule="auto" w:before="144"/>
        <w:ind w:left="144" w:right="148" w:firstLine="709"/>
        <w:jc w:val="both"/>
      </w:pPr>
      <w:r>
        <w:rPr/>
        <w:t>El objetivo de este estudio fue determinar la frecuencia de las diferentes enfermedades que afectan al tracto urinario caudal así como determinar las características epidemiológicas y sus factores de riesgo en los perros. Los casos  clínicos con ETUC fueron diagnosticados por medio de un examen físico general, estudios de laboratorio y de</w:t>
      </w:r>
      <w:r>
        <w:rPr>
          <w:spacing w:val="-1"/>
        </w:rPr>
        <w:t> </w:t>
      </w:r>
      <w:r>
        <w:rPr/>
        <w:t>imagen.</w:t>
      </w:r>
    </w:p>
    <w:p>
      <w:pPr>
        <w:pStyle w:val="BodyText"/>
        <w:spacing w:line="357" w:lineRule="auto" w:before="209"/>
        <w:ind w:left="144" w:right="148" w:firstLine="709"/>
        <w:jc w:val="both"/>
      </w:pPr>
      <w:r>
        <w:rPr/>
        <w:t>Durante el periodo de estudio se analizaron 435 casos clínicos de perros de los cuales 97 tuvieron un diagnóstico definitivo de alguna ETUC. De los perros diagnosticados con alguna ETUC (n=97), el 74,22% (n=72) fueron machos y el 25.79% (n=25) hembras. Observándose una asociación positiva estadísticamente significativa  de los machos sugiriendo una mayor predisposición a presentar algún tipo de ETUC (OR </w:t>
      </w:r>
      <w:r>
        <w:rPr>
          <w:spacing w:val="11"/>
        </w:rPr>
        <w:t> </w:t>
      </w:r>
      <w:r>
        <w:rPr/>
        <w:t>2.17</w:t>
      </w:r>
      <w:r>
        <w:rPr>
          <w:w w:val="41"/>
        </w:rPr>
        <w:t>X</w:t>
      </w:r>
      <w:r>
        <w:rPr/>
        <w:t> </w:t>
      </w:r>
      <w:r>
        <w:rPr>
          <w:spacing w:val="11"/>
        </w:rPr>
        <w:t> </w:t>
      </w:r>
      <w:r>
        <w:rPr/>
        <w:t>IC</w:t>
      </w:r>
      <w:r>
        <w:rPr>
          <w:w w:val="98"/>
          <w:position w:val="-2"/>
          <w:sz w:val="16"/>
        </w:rPr>
        <w:t>0.95</w:t>
      </w:r>
      <w:r>
        <w:rPr>
          <w:position w:val="-2"/>
          <w:sz w:val="16"/>
        </w:rPr>
        <w:t>  </w:t>
      </w:r>
      <w:r>
        <w:rPr>
          <w:spacing w:val="11"/>
          <w:position w:val="-2"/>
          <w:sz w:val="16"/>
        </w:rPr>
        <w:t> </w:t>
      </w:r>
      <w:r>
        <w:rPr/>
        <w:t>1.6</w:t>
      </w:r>
      <w:r>
        <w:rPr>
          <w:spacing w:val="-1"/>
        </w:rPr>
        <w:t>4</w:t>
      </w:r>
      <w:r>
        <w:rPr>
          <w:w w:val="119"/>
        </w:rPr>
        <w:t>[</w:t>
      </w:r>
      <w:r>
        <w:rPr>
          <w:spacing w:val="-1"/>
          <w:w w:val="85"/>
        </w:rPr>
        <w:t>4.78</w:t>
      </w:r>
      <w:r>
        <w:rPr>
          <w:w w:val="85"/>
        </w:rPr>
        <w:t>X</w:t>
      </w:r>
      <w:r>
        <w:rPr/>
        <w:t> </w:t>
      </w:r>
      <w:r>
        <w:rPr>
          <w:spacing w:val="11"/>
        </w:rPr>
        <w:t> </w:t>
      </w:r>
      <w:r>
        <w:rPr>
          <w:i/>
        </w:rPr>
        <w:t>p</w:t>
      </w:r>
      <w:r>
        <w:rPr/>
        <w:t>&lt;0.05). </w:t>
      </w:r>
      <w:r>
        <w:rPr>
          <w:spacing w:val="11"/>
        </w:rPr>
        <w:t> </w:t>
      </w:r>
      <w:r>
        <w:rPr/>
        <w:t>Las </w:t>
      </w:r>
      <w:r>
        <w:rPr>
          <w:spacing w:val="11"/>
        </w:rPr>
        <w:t> </w:t>
      </w:r>
      <w:r>
        <w:rPr/>
        <w:t>razas </w:t>
      </w:r>
      <w:r>
        <w:rPr>
          <w:spacing w:val="11"/>
        </w:rPr>
        <w:t> </w:t>
      </w:r>
      <w:r>
        <w:rPr/>
        <w:t>más </w:t>
      </w:r>
      <w:r>
        <w:rPr>
          <w:spacing w:val="11"/>
        </w:rPr>
        <w:t> </w:t>
      </w:r>
      <w:r>
        <w:rPr/>
        <w:t>frecuentes </w:t>
      </w:r>
      <w:r>
        <w:rPr>
          <w:spacing w:val="11"/>
        </w:rPr>
        <w:t> </w:t>
      </w:r>
      <w:r>
        <w:rPr/>
        <w:t>fueron </w:t>
      </w:r>
      <w:r>
        <w:rPr>
          <w:spacing w:val="11"/>
        </w:rPr>
        <w:t> </w:t>
      </w:r>
      <w:r>
        <w:rPr/>
        <w:t>los </w:t>
      </w:r>
      <w:r>
        <w:rPr>
          <w:spacing w:val="11"/>
        </w:rPr>
        <w:t> </w:t>
      </w:r>
      <w:r>
        <w:rPr/>
        <w:t>poodle, labrador, pastor alemán, schnauzer, cocker spaniel y chihuahueño, no teniendo predisposición por raza por presentar alguna patología. Los pacientes presentaron un rango de edad de 3 meses a 18 años con una mediana de 8 años.</w:t>
      </w:r>
    </w:p>
    <w:p>
      <w:pPr>
        <w:pStyle w:val="BodyText"/>
        <w:spacing w:line="357" w:lineRule="auto" w:before="212"/>
        <w:ind w:left="144" w:right="148" w:firstLine="709"/>
        <w:jc w:val="both"/>
      </w:pPr>
      <w:r>
        <w:rPr/>
        <w:t>Los signos clínicos observados con mayor frecuencia fueron la hematuria y retención urinaria en el 19.58% cada uno, estranguria 5.15%, polaquiuria 4.11%, incontinencia urinaria 2.06%, depresión 2.06%, tenesmo fecal 2.06%, y la debilidad en miembros pélvicos, dolor abdominal y fístula urinaria con 1.03% cada uno.</w:t>
      </w:r>
    </w:p>
    <w:p>
      <w:pPr>
        <w:spacing w:after="0" w:line="357"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9"/>
        <w:jc w:val="both"/>
      </w:pPr>
      <w:r>
        <w:rPr/>
        <w:t>Las patologías que se presentaron fueron en orden de frecuencia: infección bacteriana del tracto urinario, anomalías de la micción, urolitiasis, enfermedades de la próstata y problemas por traumatismos.</w:t>
      </w:r>
    </w:p>
    <w:p>
      <w:pPr>
        <w:pStyle w:val="BodyText"/>
        <w:spacing w:line="357" w:lineRule="auto" w:before="209"/>
        <w:ind w:left="144" w:right="148" w:firstLine="709"/>
        <w:jc w:val="both"/>
      </w:pPr>
      <w:r>
        <w:rPr/>
        <w:t>La Infección bacteriana del tracto urinario (IBTU) fue la patología que se observó con mayor frecuencia 34.02% (n=33) de los casos. Estadísticamente no se apreció predisposición </w:t>
      </w:r>
      <w:r>
        <w:rPr>
          <w:spacing w:val="-14"/>
        </w:rPr>
        <w:t> </w:t>
      </w:r>
      <w:r>
        <w:rPr/>
        <w:t>por </w:t>
      </w:r>
      <w:r>
        <w:rPr>
          <w:spacing w:val="-14"/>
        </w:rPr>
        <w:t> </w:t>
      </w:r>
      <w:r>
        <w:rPr/>
        <w:t>sexo </w:t>
      </w:r>
      <w:r>
        <w:rPr>
          <w:spacing w:val="-14"/>
        </w:rPr>
        <w:t> </w:t>
      </w:r>
      <w:r>
        <w:rPr/>
        <w:t>para </w:t>
      </w:r>
      <w:r>
        <w:rPr>
          <w:spacing w:val="-14"/>
        </w:rPr>
        <w:t> </w:t>
      </w:r>
      <w:r>
        <w:rPr/>
        <w:t>presentar </w:t>
      </w:r>
      <w:r>
        <w:rPr>
          <w:spacing w:val="-14"/>
        </w:rPr>
        <w:t> </w:t>
      </w:r>
      <w:r>
        <w:rPr/>
        <w:t>IBTU </w:t>
      </w:r>
      <w:r>
        <w:rPr>
          <w:spacing w:val="-14"/>
        </w:rPr>
        <w:t> </w:t>
      </w:r>
      <w:r>
        <w:rPr>
          <w:spacing w:val="-1"/>
        </w:rPr>
        <w:t>(</w:t>
      </w:r>
      <w:r>
        <w:rPr/>
        <w:t>Machos: </w:t>
      </w:r>
      <w:r>
        <w:rPr>
          <w:spacing w:val="-14"/>
        </w:rPr>
        <w:t> </w:t>
      </w:r>
      <w:r>
        <w:rPr/>
        <w:t>OR </w:t>
      </w:r>
      <w:r>
        <w:rPr>
          <w:spacing w:val="-14"/>
        </w:rPr>
        <w:t> </w:t>
      </w:r>
      <w:r>
        <w:rPr/>
        <w:t>1.3</w:t>
      </w:r>
      <w:r>
        <w:rPr>
          <w:w w:val="41"/>
        </w:rPr>
        <w:t>X</w:t>
      </w:r>
      <w:r>
        <w:rPr/>
        <w:t> </w:t>
      </w:r>
      <w:r>
        <w:rPr>
          <w:spacing w:val="-14"/>
        </w:rPr>
        <w:t> </w:t>
      </w:r>
      <w:r>
        <w:rPr/>
        <w:t>I</w:t>
      </w:r>
      <w:r>
        <w:rPr>
          <w:spacing w:val="-1"/>
        </w:rPr>
        <w:t>C</w:t>
      </w:r>
      <w:r>
        <w:rPr>
          <w:w w:val="98"/>
          <w:position w:val="-2"/>
          <w:sz w:val="16"/>
        </w:rPr>
        <w:t>0.95</w:t>
      </w:r>
      <w:r>
        <w:rPr>
          <w:position w:val="-2"/>
          <w:sz w:val="16"/>
        </w:rPr>
        <w:t>  </w:t>
      </w:r>
      <w:r>
        <w:rPr>
          <w:spacing w:val="-13"/>
          <w:position w:val="-2"/>
          <w:sz w:val="16"/>
        </w:rPr>
        <w:t> </w:t>
      </w:r>
      <w:r>
        <w:rPr/>
        <w:t>0.6</w:t>
      </w:r>
      <w:r>
        <w:rPr>
          <w:spacing w:val="-1"/>
        </w:rPr>
        <w:t>5</w:t>
      </w:r>
      <w:r>
        <w:rPr>
          <w:w w:val="119"/>
        </w:rPr>
        <w:t>[</w:t>
      </w:r>
      <w:r>
        <w:rPr>
          <w:spacing w:val="-1"/>
          <w:w w:val="85"/>
        </w:rPr>
        <w:t>2.87</w:t>
      </w:r>
      <w:r>
        <w:rPr>
          <w:w w:val="85"/>
        </w:rPr>
        <w:t>X</w:t>
      </w:r>
      <w:r>
        <w:rPr/>
        <w:t> </w:t>
      </w:r>
      <w:r>
        <w:rPr>
          <w:spacing w:val="-13"/>
        </w:rPr>
        <w:t> </w:t>
      </w:r>
      <w:r>
        <w:rPr>
          <w:i/>
        </w:rPr>
        <w:t>p</w:t>
      </w:r>
      <w:r>
        <w:rPr/>
        <w:t>&gt; 0.05). El 54.55% (n=18) casos fueron diagnosticados como IBTU agudas simples y el 45.45% (n=15) fueron consideradas complicadas con IBTU por urolitiasis, hiperplasia prostática, alteraciones de la micción, u otras posibles enfermedades o causas asociadas como neoplasia, hipotiroidismo, diabetes mellitus, piómetra y sondeo uretral previo.</w:t>
      </w:r>
    </w:p>
    <w:p>
      <w:pPr>
        <w:pStyle w:val="BodyText"/>
        <w:spacing w:line="360" w:lineRule="auto" w:before="212"/>
        <w:ind w:left="144" w:right="148" w:firstLine="709"/>
        <w:jc w:val="both"/>
      </w:pPr>
      <w:r>
        <w:rPr/>
        <w:t>Las alteraciones de la micción (AM) fueron el segundo grupo de patologías más frecuentesX siendo el 22.68% (n=22). Las AM por causas neurológicas se presentaron en 20 casos. El signo clínico asociado a estas AM de origen neurológico fue la  retención urinaria relacionada con diferentes lesiones que afectaban a la neurona motora alta. En cuanto a AM por causas no neurológicas se encontraron en el 9.09% (n=2) siendo hembras con incontinencia urinaria atribuidos a incompetencia del esfínter uretral y a uréter ectópico.</w:t>
      </w:r>
    </w:p>
    <w:p>
      <w:pPr>
        <w:pStyle w:val="BodyText"/>
        <w:spacing w:line="357" w:lineRule="auto" w:before="209"/>
        <w:ind w:left="144" w:right="148" w:firstLine="709"/>
        <w:jc w:val="both"/>
      </w:pPr>
      <w:r>
        <w:rPr/>
        <w:t>La urolitiasis representó el 20.16% (n=20) de los casos. Los urolitos fueron localizados anatómicamente en vejiga 75%, vejiga y uretra 20% y riñón y vejiga 5%. Presentándose el 20% de animales obstruidos. De acuerdo a la composición química  de los urolitos el 55% fueron de silicato, estruvita 30% y oxalato de calcio 15%.</w:t>
      </w:r>
    </w:p>
    <w:p>
      <w:pPr>
        <w:pStyle w:val="BodyText"/>
        <w:spacing w:line="360" w:lineRule="auto" w:before="212"/>
        <w:ind w:left="144" w:right="148" w:firstLine="709"/>
        <w:jc w:val="both"/>
      </w:pPr>
      <w:r>
        <w:rPr/>
        <w:t>Las enfermedades de la próstata se presentaron en un 14,4% (n=14) encontrándose dos patologías: la hiperplasia prostática y quistes prostáticos. La hiperplasia prostática se presentó en todos estos casos, de los cuales el 57% presento signos clínicos relacionados con la enfermedad prostática. Los quistes prostáticos se presentaron solo en dos casos, simultáneamente con la hiperplasia prostática. El 100% de los pacientes fueron enteros (no castrados).</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9"/>
        <w:jc w:val="both"/>
      </w:pPr>
      <w:r>
        <w:rPr/>
        <w:t>Los problemas por traumatismos se presentaron en un 8,24% (n=8) y las patologías observadas fueron: ruptura de uretra, ruptura vesical y cistitis hemorrágica.</w:t>
      </w:r>
    </w:p>
    <w:p>
      <w:pPr>
        <w:pStyle w:val="BodyText"/>
        <w:spacing w:line="357" w:lineRule="auto" w:before="209"/>
        <w:ind w:left="144" w:right="148" w:firstLine="709"/>
        <w:jc w:val="both"/>
      </w:pPr>
      <w:r>
        <w:rPr/>
        <w:t>El 67% de los casos presentaron una enfermedad específica como infección bacteriana del tracto urinario complicada y no complicada, retención urinaria de origen neurológico y urolitiasis de silicato.</w:t>
      </w:r>
    </w:p>
    <w:p>
      <w:pPr>
        <w:spacing w:after="0" w:line="357" w:lineRule="auto"/>
        <w:jc w:val="both"/>
        <w:sectPr>
          <w:pgSz w:w="12240" w:h="15840"/>
          <w:pgMar w:header="886" w:footer="882" w:top="1140" w:bottom="1080" w:left="1560" w:right="980"/>
        </w:sectPr>
      </w:pPr>
    </w:p>
    <w:p>
      <w:pPr>
        <w:pStyle w:val="BodyText"/>
        <w:rPr>
          <w:sz w:val="20"/>
        </w:rPr>
      </w:pPr>
    </w:p>
    <w:p>
      <w:pPr>
        <w:pStyle w:val="BodyText"/>
        <w:rPr>
          <w:sz w:val="23"/>
        </w:rPr>
      </w:pPr>
    </w:p>
    <w:p>
      <w:pPr>
        <w:pStyle w:val="Heading1"/>
      </w:pPr>
      <w:bookmarkStart w:name="_TOC_250008" w:id="3"/>
      <w:bookmarkEnd w:id="3"/>
      <w:r>
        <w:rPr/>
        <w:t>ABSTRACT</w:t>
      </w:r>
    </w:p>
    <w:p>
      <w:pPr>
        <w:pStyle w:val="BodyText"/>
        <w:rPr>
          <w:b/>
          <w:sz w:val="28"/>
        </w:rPr>
      </w:pPr>
    </w:p>
    <w:p>
      <w:pPr>
        <w:pStyle w:val="BodyText"/>
        <w:rPr>
          <w:b/>
          <w:sz w:val="28"/>
        </w:rPr>
      </w:pPr>
    </w:p>
    <w:p>
      <w:pPr>
        <w:pStyle w:val="BodyText"/>
        <w:rPr>
          <w:b/>
          <w:sz w:val="29"/>
        </w:rPr>
      </w:pPr>
    </w:p>
    <w:p>
      <w:pPr>
        <w:pStyle w:val="BodyText"/>
        <w:spacing w:line="360" w:lineRule="auto"/>
        <w:ind w:left="144" w:right="148" w:firstLine="709"/>
        <w:jc w:val="both"/>
      </w:pPr>
      <w:r>
        <w:rPr/>
        <w:t>Lower Urinary tract disease LUTD in dogs are a group of diseases that affect the bladder, urethra and prostate being the most common clinical signs strangury, pollakiuria, dysuria and hematuria. The most common LUTD in dogs are urolithiasis, urinary tract infection, micturition disorders, prostate diseases, neoplasms, congenital anatomical abnormalities and trauma. In Mexico the ETUC occur routinely in daily practice, but has not been studied population of dogs who suffer and their risk factors are unknown</w:t>
      </w:r>
    </w:p>
    <w:p>
      <w:pPr>
        <w:pStyle w:val="BodyText"/>
        <w:spacing w:line="360" w:lineRule="auto" w:before="209"/>
        <w:ind w:left="144" w:right="148" w:firstLine="709"/>
        <w:jc w:val="both"/>
      </w:pPr>
      <w:r>
        <w:rPr/>
        <w:t>The objetive of this study was to determine the frequency of different diseases affecting the Low urinary tract and determine the epidemiological characteristics and risk factors in dogs. LUTD clinical cases were diagnosed by a physical examination and clinical laboratory and imaging studies.</w:t>
      </w:r>
    </w:p>
    <w:p>
      <w:pPr>
        <w:pStyle w:val="BodyText"/>
        <w:spacing w:line="357" w:lineRule="auto" w:before="209"/>
        <w:ind w:left="144" w:right="148" w:firstLine="709"/>
        <w:jc w:val="both"/>
      </w:pPr>
      <w:r>
        <w:rPr/>
        <w:t>During the study period 435 clinical cases analyzed of dogs of which 97 had a definitive diagnosis of any LUTD. Dogs diagnosed with some LUTD (n=97), the 74.22% (n=72) were males and 25.79% (n=25) females. Observed a statistically significant positive association of males suggesting a greater predisposition to some kind of LUTD (OR  2.17</w:t>
      </w:r>
      <w:r>
        <w:rPr>
          <w:w w:val="41"/>
        </w:rPr>
        <w:t>X</w:t>
      </w:r>
      <w:r>
        <w:rPr/>
        <w:t>  IC</w:t>
      </w:r>
      <w:r>
        <w:rPr>
          <w:w w:val="98"/>
          <w:position w:val="-2"/>
          <w:sz w:val="16"/>
        </w:rPr>
        <w:t>0.95</w:t>
      </w:r>
      <w:r>
        <w:rPr>
          <w:position w:val="-2"/>
          <w:sz w:val="16"/>
        </w:rPr>
        <w:t>   </w:t>
      </w:r>
      <w:r>
        <w:rPr/>
        <w:t>1.64</w:t>
      </w:r>
      <w:r>
        <w:rPr>
          <w:w w:val="119"/>
        </w:rPr>
        <w:t>[</w:t>
      </w:r>
      <w:r>
        <w:rPr>
          <w:w w:val="85"/>
        </w:rPr>
        <w:t>4.78X</w:t>
      </w:r>
      <w:r>
        <w:rPr/>
        <w:t>  </w:t>
      </w:r>
      <w:r>
        <w:rPr>
          <w:i/>
        </w:rPr>
        <w:t>p  &lt;</w:t>
      </w:r>
      <w:r>
        <w:rPr/>
        <w:t>0.05).  The  most  common  breeds  were  the  poodle, labrador, german shepherd, schnauzers, cocker spaniel and chihuahua, having breed predisposition to present any pathology. The patients had an age range of 3 months to 18 years with a median of 8 years.</w:t>
      </w:r>
    </w:p>
    <w:p>
      <w:pPr>
        <w:pStyle w:val="BodyText"/>
      </w:pPr>
    </w:p>
    <w:p>
      <w:pPr>
        <w:pStyle w:val="BodyText"/>
      </w:pPr>
    </w:p>
    <w:p>
      <w:pPr>
        <w:pStyle w:val="BodyText"/>
        <w:spacing w:before="9"/>
        <w:rPr>
          <w:sz w:val="23"/>
        </w:rPr>
      </w:pPr>
    </w:p>
    <w:p>
      <w:pPr>
        <w:pStyle w:val="BodyText"/>
        <w:spacing w:line="360" w:lineRule="auto" w:before="1"/>
        <w:ind w:left="144" w:right="148" w:firstLine="709"/>
        <w:jc w:val="both"/>
      </w:pPr>
      <w:r>
        <w:rPr/>
        <w:t>The more frequently observed clinical signs were hematuria and urinary retention 19.58% each, stranguria 5.15%, pollakiuria 4.11%, urinary incontinence 2.06%, depression 2.06%, fecal urgency 2.06%, and weakness in lower limbs, abdominal pain and urinary fistula with 1.03% each.</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9"/>
        <w:jc w:val="both"/>
      </w:pPr>
      <w:r>
        <w:rPr/>
        <w:t>The pathologies presented were in order of frequency: bacterial urinary tract infection, micturition disorders, urolithiasis, prostate diseases and traumatic problems.</w:t>
      </w:r>
    </w:p>
    <w:p>
      <w:pPr>
        <w:pStyle w:val="BodyText"/>
        <w:spacing w:line="357" w:lineRule="auto" w:before="209"/>
        <w:ind w:left="144" w:right="148" w:firstLine="709"/>
        <w:jc w:val="both"/>
      </w:pPr>
      <w:r>
        <w:rPr/>
        <w:t>Bacterial urinary tract infection (BUTI) was pathology that most frequently observed 34.02% (n=33) of cases. Statistically it not appreciated by sex predisposition to</w:t>
      </w:r>
      <w:r>
        <w:rPr>
          <w:spacing w:val="28"/>
        </w:rPr>
        <w:t> </w:t>
      </w:r>
      <w:r>
        <w:rPr/>
        <w:t>present</w:t>
      </w:r>
      <w:r>
        <w:rPr>
          <w:spacing w:val="28"/>
        </w:rPr>
        <w:t> </w:t>
      </w:r>
      <w:r>
        <w:rPr/>
        <w:t>BUTI</w:t>
      </w:r>
      <w:r>
        <w:rPr>
          <w:spacing w:val="28"/>
        </w:rPr>
        <w:t> </w:t>
      </w:r>
      <w:r>
        <w:rPr/>
        <w:t>(males:</w:t>
      </w:r>
      <w:r>
        <w:rPr>
          <w:spacing w:val="28"/>
        </w:rPr>
        <w:t> </w:t>
      </w:r>
      <w:r>
        <w:rPr/>
        <w:t>OR</w:t>
      </w:r>
      <w:r>
        <w:rPr>
          <w:spacing w:val="28"/>
        </w:rPr>
        <w:t> </w:t>
      </w:r>
      <w:r>
        <w:rPr/>
        <w:t>1.3</w:t>
      </w:r>
      <w:r>
        <w:rPr>
          <w:w w:val="41"/>
        </w:rPr>
        <w:t>X</w:t>
      </w:r>
      <w:r>
        <w:rPr>
          <w:spacing w:val="28"/>
        </w:rPr>
        <w:t> </w:t>
      </w:r>
      <w:r>
        <w:rPr/>
        <w:t>IC</w:t>
      </w:r>
      <w:r>
        <w:rPr>
          <w:w w:val="98"/>
          <w:position w:val="-2"/>
          <w:sz w:val="16"/>
        </w:rPr>
        <w:t>0.95</w:t>
      </w:r>
      <w:r>
        <w:rPr>
          <w:position w:val="-2"/>
          <w:sz w:val="16"/>
        </w:rPr>
        <w:t> </w:t>
      </w:r>
      <w:r>
        <w:rPr>
          <w:spacing w:val="7"/>
          <w:position w:val="-2"/>
          <w:sz w:val="16"/>
        </w:rPr>
        <w:t> </w:t>
      </w:r>
      <w:r>
        <w:rPr/>
        <w:t>0.6</w:t>
      </w:r>
      <w:r>
        <w:rPr>
          <w:spacing w:val="-1"/>
        </w:rPr>
        <w:t>5</w:t>
      </w:r>
      <w:r>
        <w:rPr>
          <w:w w:val="119"/>
        </w:rPr>
        <w:t>[</w:t>
      </w:r>
      <w:r>
        <w:rPr>
          <w:spacing w:val="-1"/>
          <w:w w:val="85"/>
        </w:rPr>
        <w:t>2.87</w:t>
      </w:r>
      <w:r>
        <w:rPr>
          <w:w w:val="85"/>
        </w:rPr>
        <w:t>X</w:t>
      </w:r>
      <w:r>
        <w:rPr>
          <w:spacing w:val="28"/>
        </w:rPr>
        <w:t> </w:t>
      </w:r>
      <w:r>
        <w:rPr>
          <w:i/>
        </w:rPr>
        <w:t>p&gt;</w:t>
      </w:r>
      <w:r>
        <w:rPr>
          <w:i/>
          <w:spacing w:val="28"/>
        </w:rPr>
        <w:t> </w:t>
      </w:r>
      <w:r>
        <w:rPr/>
        <w:t>0.05).</w:t>
      </w:r>
      <w:r>
        <w:rPr>
          <w:spacing w:val="28"/>
        </w:rPr>
        <w:t> </w:t>
      </w:r>
      <w:r>
        <w:rPr/>
        <w:t>The</w:t>
      </w:r>
      <w:r>
        <w:rPr>
          <w:spacing w:val="28"/>
        </w:rPr>
        <w:t> </w:t>
      </w:r>
      <w:r>
        <w:rPr/>
        <w:t>54.55%</w:t>
      </w:r>
      <w:r>
        <w:rPr>
          <w:spacing w:val="28"/>
        </w:rPr>
        <w:t> </w:t>
      </w:r>
      <w:r>
        <w:rPr/>
        <w:t>(n=1</w:t>
      </w:r>
      <w:r>
        <w:rPr>
          <w:spacing w:val="-1"/>
        </w:rPr>
        <w:t>8</w:t>
      </w:r>
      <w:r>
        <w:rPr/>
        <w:t>)</w:t>
      </w:r>
      <w:r>
        <w:rPr>
          <w:spacing w:val="28"/>
        </w:rPr>
        <w:t> </w:t>
      </w:r>
      <w:r>
        <w:rPr/>
        <w:t>cases were diagnosed as simple acute BUTI and 45.45% (n=15) were considered complicated with IBTU by urolithiasis, prostatic hyperplasia, micturition disorders, or other possible diseases or causes associated as neoplasia, hypothyroidism, diabetes mellitus, pyometra and a previous urethral catheter</w:t>
      </w:r>
      <w:r>
        <w:rPr>
          <w:spacing w:val="-1"/>
        </w:rPr>
        <w:t> </w:t>
      </w:r>
      <w:r>
        <w:rPr/>
        <w:t>placement.</w:t>
      </w:r>
    </w:p>
    <w:p>
      <w:pPr>
        <w:pStyle w:val="BodyText"/>
        <w:spacing w:line="360" w:lineRule="auto" w:before="212"/>
        <w:ind w:left="144" w:right="148" w:firstLine="709"/>
        <w:jc w:val="both"/>
      </w:pPr>
      <w:r>
        <w:rPr/>
        <w:t>Micturition disorders (MD) were the second most common group of diseasesX being 22.68% (n=22). The MD by neurological causes occurred in 20 cases. The clinical signs associated with neurological MD were urinary retention associated with different injuries affecting the upper motor neuron. As for non[neurological MD causes these  were found in 9.09% (n=2) being females with urinary incontinence attributed to urethral sphincter incompetence and ectopic ureter.</w:t>
      </w:r>
    </w:p>
    <w:p>
      <w:pPr>
        <w:pStyle w:val="BodyText"/>
        <w:spacing w:line="360" w:lineRule="auto" w:before="209"/>
        <w:ind w:left="144" w:right="148" w:firstLine="709"/>
        <w:jc w:val="both"/>
      </w:pPr>
      <w:r>
        <w:rPr/>
        <w:t>Urolithiasis represented 20.16% (n=20) of cases. Uroliths were anatomically located in bladder 75%, bladder and urethra 20% and kidney and bladder 5%. Presenting 20% of obstructed animals. According to the chemical composition of uroliths were 55% silicate, 30% struvite and calcium oxalate 15%.</w:t>
      </w:r>
    </w:p>
    <w:p>
      <w:pPr>
        <w:pStyle w:val="BodyText"/>
      </w:pPr>
    </w:p>
    <w:p>
      <w:pPr>
        <w:pStyle w:val="BodyText"/>
        <w:spacing w:before="7"/>
        <w:rPr>
          <w:sz w:val="29"/>
        </w:rPr>
      </w:pPr>
    </w:p>
    <w:p>
      <w:pPr>
        <w:pStyle w:val="BodyText"/>
        <w:spacing w:line="360" w:lineRule="auto"/>
        <w:ind w:left="144" w:right="148" w:firstLine="709"/>
        <w:jc w:val="both"/>
      </w:pPr>
      <w:r>
        <w:rPr/>
        <w:t>The prostate diseases occurred in 14.4% (n=14) meeting two pathologies: prostatic hyperplasia and prostatic cysts. Prostatic hyperplasia occurred in all these cases, of which 57% showed clinical signs related to prostate disease. Prostatic cysts showed only two cases simultaneously with prostatic hyperplasia. 100% of patients were intact (not neutered).</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9"/>
        <w:jc w:val="both"/>
      </w:pPr>
      <w:r>
        <w:rPr/>
        <w:t>Problems caused by trauma occurred in 8.24% (n=8) and pathologies were observed: ruptured urethra, bladder rupture and hemorrhagic cystitis.</w:t>
      </w:r>
    </w:p>
    <w:p>
      <w:pPr>
        <w:pStyle w:val="BodyText"/>
        <w:spacing w:line="357" w:lineRule="auto" w:before="209"/>
        <w:ind w:left="144" w:right="148" w:firstLine="709"/>
        <w:jc w:val="both"/>
      </w:pPr>
      <w:r>
        <w:rPr/>
        <w:t>67% of the cases presented a specific disease such as complicated and uncomplicated bacterial urinary tract infection, urinary retention by neurologic origin and silica urolithiasis.</w:t>
      </w:r>
    </w:p>
    <w:p>
      <w:pPr>
        <w:spacing w:after="0" w:line="357" w:lineRule="auto"/>
        <w:jc w:val="both"/>
        <w:sectPr>
          <w:pgSz w:w="12240" w:h="15840"/>
          <w:pgMar w:header="886" w:footer="882" w:top="1140" w:bottom="1080" w:left="1560" w:right="980"/>
        </w:sectPr>
      </w:pPr>
    </w:p>
    <w:p>
      <w:pPr>
        <w:pStyle w:val="BodyText"/>
        <w:rPr>
          <w:sz w:val="20"/>
        </w:rPr>
      </w:pPr>
    </w:p>
    <w:p>
      <w:pPr>
        <w:pStyle w:val="BodyText"/>
        <w:rPr>
          <w:sz w:val="23"/>
        </w:rPr>
      </w:pPr>
    </w:p>
    <w:p>
      <w:pPr>
        <w:pStyle w:val="Heading1"/>
      </w:pPr>
      <w:bookmarkStart w:name="_TOC_250007" w:id="4"/>
      <w:bookmarkEnd w:id="4"/>
      <w:r>
        <w:rPr/>
        <w:t>INTRODUCCIÓN</w:t>
      </w:r>
    </w:p>
    <w:p>
      <w:pPr>
        <w:pStyle w:val="BodyText"/>
        <w:rPr>
          <w:b/>
          <w:sz w:val="28"/>
        </w:rPr>
      </w:pPr>
    </w:p>
    <w:p>
      <w:pPr>
        <w:pStyle w:val="BodyText"/>
        <w:rPr>
          <w:b/>
          <w:sz w:val="28"/>
        </w:rPr>
      </w:pPr>
    </w:p>
    <w:p>
      <w:pPr>
        <w:pStyle w:val="BodyText"/>
        <w:spacing w:before="10"/>
        <w:rPr>
          <w:b/>
          <w:sz w:val="29"/>
        </w:rPr>
      </w:pPr>
    </w:p>
    <w:p>
      <w:pPr>
        <w:pStyle w:val="BodyText"/>
        <w:spacing w:line="360" w:lineRule="auto"/>
        <w:ind w:left="144" w:right="148" w:firstLine="708"/>
        <w:jc w:val="both"/>
      </w:pPr>
      <w:r>
        <w:rPr/>
        <w:t>Las enfermedades del tracto urinario caudal (ETUC) son un conjunto de enfermedades que afectan a la vejiga, la uretra y próstata en los machos siendo los signos clínicos más comunes relacionados con estas enfermedades: la estranguria, polaquiuria, disuria, hematuria (Kruger y col. 1991), pero ninguno de estos es indicativo de una enfermedad específica (Buffintong y col. 1997). En ocasiones los pacientes son asintomáticos y la enfermedad se detecta de manera incidental.</w:t>
      </w:r>
    </w:p>
    <w:p>
      <w:pPr>
        <w:pStyle w:val="BodyText"/>
      </w:pPr>
    </w:p>
    <w:p>
      <w:pPr>
        <w:pStyle w:val="BodyText"/>
        <w:spacing w:line="360" w:lineRule="auto" w:before="139"/>
        <w:ind w:left="144" w:right="148" w:firstLine="708"/>
        <w:jc w:val="both"/>
      </w:pPr>
      <w:r>
        <w:rPr/>
        <w:t>Las ETUC más comunes en los perros son la urolitiasis, la infección del tracto urinario, las alteraciones de la micción, las enfermedades de la próstata, las neoplasias, las alteraciones anatómicas congénitas y los traumatismos (Bartges 2004).</w:t>
      </w:r>
    </w:p>
    <w:p>
      <w:pPr>
        <w:pStyle w:val="BodyText"/>
      </w:pPr>
    </w:p>
    <w:p>
      <w:pPr>
        <w:pStyle w:val="BodyText"/>
        <w:spacing w:line="360" w:lineRule="auto" w:before="139"/>
        <w:ind w:left="144" w:right="148" w:firstLine="708"/>
        <w:jc w:val="both"/>
      </w:pPr>
      <w:r>
        <w:rPr/>
        <w:t>En humanos la epidemiologia de las enfermedades que afectan al tracto urinario bajo varia de una población a otra, la prevalencia de estas cambia de acuerdo a la región geográfica, la edad, el género, la raza, la alimentación, el estilo de vida y la predisposición genética, considerando estas variables como factores de riesgo (Medina y col. 2004).</w:t>
      </w:r>
    </w:p>
    <w:p>
      <w:pPr>
        <w:pStyle w:val="BodyText"/>
      </w:pPr>
    </w:p>
    <w:p>
      <w:pPr>
        <w:pStyle w:val="BodyText"/>
        <w:spacing w:line="360" w:lineRule="auto" w:before="144"/>
        <w:ind w:left="144" w:right="148" w:firstLine="708"/>
        <w:jc w:val="both"/>
      </w:pPr>
      <w:r>
        <w:rPr/>
        <w:t>Existen escasos estudios epidemiológicos de la frecuencia de las diferentes ETUC en perros y gatos. En EE.UU. se ha reportado que las ETUC presentan una prevalencia </w:t>
      </w:r>
      <w:r>
        <w:rPr>
          <w:spacing w:val="-16"/>
        </w:rPr>
        <w:t> </w:t>
      </w:r>
      <w:r>
        <w:rPr/>
        <w:t>en </w:t>
      </w:r>
      <w:r>
        <w:rPr>
          <w:spacing w:val="-16"/>
        </w:rPr>
        <w:t> </w:t>
      </w:r>
      <w:r>
        <w:rPr/>
        <w:t>gatos </w:t>
      </w:r>
      <w:r>
        <w:rPr>
          <w:spacing w:val="-16"/>
        </w:rPr>
        <w:t> </w:t>
      </w:r>
      <w:r>
        <w:rPr/>
        <w:t>con </w:t>
      </w:r>
      <w:r>
        <w:rPr>
          <w:spacing w:val="-16"/>
        </w:rPr>
        <w:t> </w:t>
      </w:r>
      <w:r>
        <w:rPr/>
        <w:t>el </w:t>
      </w:r>
      <w:r>
        <w:rPr>
          <w:spacing w:val="-16"/>
        </w:rPr>
        <w:t> </w:t>
      </w:r>
      <w:r>
        <w:rPr/>
        <w:t>7.3% </w:t>
      </w:r>
      <w:r>
        <w:rPr>
          <w:spacing w:val="-16"/>
        </w:rPr>
        <w:t> </w:t>
      </w:r>
      <w:r>
        <w:rPr/>
        <w:t>a </w:t>
      </w:r>
      <w:r>
        <w:rPr>
          <w:spacing w:val="-16"/>
        </w:rPr>
        <w:t> </w:t>
      </w:r>
      <w:r>
        <w:rPr/>
        <w:t>di</w:t>
      </w:r>
      <w:r>
        <w:rPr>
          <w:spacing w:val="-1"/>
        </w:rPr>
        <w:t>f</w:t>
      </w:r>
      <w:r>
        <w:rPr/>
        <w:t>erencia </w:t>
      </w:r>
      <w:r>
        <w:rPr>
          <w:spacing w:val="-16"/>
        </w:rPr>
        <w:t> </w:t>
      </w:r>
      <w:r>
        <w:rPr/>
        <w:t>de </w:t>
      </w:r>
      <w:r>
        <w:rPr>
          <w:spacing w:val="-16"/>
        </w:rPr>
        <w:t> </w:t>
      </w:r>
      <w:r>
        <w:rPr/>
        <w:t>los </w:t>
      </w:r>
      <w:r>
        <w:rPr>
          <w:spacing w:val="-16"/>
        </w:rPr>
        <w:t> </w:t>
      </w:r>
      <w:r>
        <w:rPr/>
        <w:t>perros </w:t>
      </w:r>
      <w:r>
        <w:rPr>
          <w:spacing w:val="-16"/>
        </w:rPr>
        <w:t> </w:t>
      </w:r>
      <w:r>
        <w:rPr/>
        <w:t>con </w:t>
      </w:r>
      <w:r>
        <w:rPr>
          <w:spacing w:val="-16"/>
        </w:rPr>
        <w:t> </w:t>
      </w:r>
      <w:r>
        <w:rPr/>
        <w:t>el </w:t>
      </w:r>
      <w:r>
        <w:rPr>
          <w:spacing w:val="-16"/>
        </w:rPr>
        <w:t> </w:t>
      </w:r>
      <w:r>
        <w:rPr/>
        <w:t>3%</w:t>
      </w:r>
      <w:r>
        <w:rPr>
          <w:w w:val="41"/>
        </w:rPr>
        <w:t>X</w:t>
      </w:r>
      <w:r>
        <w:rPr/>
        <w:t> </w:t>
      </w:r>
      <w:r>
        <w:rPr>
          <w:spacing w:val="-16"/>
        </w:rPr>
        <w:t> </w:t>
      </w:r>
      <w:r>
        <w:rPr/>
        <w:t>siendo </w:t>
      </w:r>
      <w:r>
        <w:rPr>
          <w:spacing w:val="-16"/>
        </w:rPr>
        <w:t> </w:t>
      </w:r>
      <w:r>
        <w:rPr/>
        <w:t>las patologías más frecuentes en los perros la infección del tracto urinario, seguido de la urolitiasis y la incontinencia urinaria (Bartges</w:t>
      </w:r>
      <w:r>
        <w:rPr>
          <w:spacing w:val="-3"/>
        </w:rPr>
        <w:t> </w:t>
      </w:r>
      <w:r>
        <w:rPr/>
        <w:t>2004).</w:t>
      </w:r>
    </w:p>
    <w:p>
      <w:pPr>
        <w:pStyle w:val="BodyText"/>
      </w:pPr>
    </w:p>
    <w:p>
      <w:pPr>
        <w:pStyle w:val="BodyText"/>
        <w:spacing w:line="360" w:lineRule="auto" w:before="139"/>
        <w:ind w:left="144" w:right="148" w:firstLine="708"/>
        <w:jc w:val="both"/>
      </w:pPr>
      <w:r>
        <w:rPr/>
        <w:t>Sin embargo existen estudios publicados donde se ha estudiado los aspectos de una enfermedad en particular: Evaluación de la cateterización asociado a infección del tracto urinario en perros (Ogger y col. 2006b), Carcinoma prostático en perros (Teske y col. 2002), Tapones uretrales en perros (Stiller y col. 2014).</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En México las ETUC se presentan de forma habitual en la clínica diaria, pero no se han estudiado en la población de perros que las padecen y se desconocen sus factores de riesgo.</w:t>
      </w:r>
    </w:p>
    <w:p>
      <w:pPr>
        <w:pStyle w:val="BodyText"/>
      </w:pPr>
    </w:p>
    <w:p>
      <w:pPr>
        <w:pStyle w:val="BodyText"/>
        <w:spacing w:line="360" w:lineRule="auto" w:before="139"/>
        <w:ind w:left="144" w:right="148" w:firstLine="708"/>
        <w:jc w:val="both"/>
      </w:pPr>
      <w:r>
        <w:rPr/>
        <w:t>El conocimiento de los factores de riesgo en una población facilita un abordaje diagnóstico más ágil y temprano, lo que permite establecer un manejo específico y curar o controlar la enfermedad en su caso, mejorando la calidad de vida del paciente.</w:t>
      </w:r>
    </w:p>
    <w:p>
      <w:pPr>
        <w:spacing w:after="0" w:line="360" w:lineRule="auto"/>
        <w:jc w:val="both"/>
        <w:sectPr>
          <w:pgSz w:w="12240" w:h="15840"/>
          <w:pgMar w:header="886" w:footer="882" w:top="1140" w:bottom="1080" w:left="1560" w:right="980"/>
        </w:sectPr>
      </w:pPr>
    </w:p>
    <w:p>
      <w:pPr>
        <w:pStyle w:val="BodyText"/>
        <w:rPr>
          <w:sz w:val="20"/>
        </w:rPr>
      </w:pPr>
    </w:p>
    <w:p>
      <w:pPr>
        <w:pStyle w:val="BodyText"/>
        <w:rPr>
          <w:sz w:val="23"/>
        </w:rPr>
      </w:pPr>
    </w:p>
    <w:p>
      <w:pPr>
        <w:pStyle w:val="Heading1"/>
      </w:pPr>
      <w:bookmarkStart w:name="_TOC_250006" w:id="5"/>
      <w:bookmarkEnd w:id="5"/>
      <w:r>
        <w:rPr/>
        <w:t>MARCO TEÓRICO</w:t>
      </w:r>
    </w:p>
    <w:p>
      <w:pPr>
        <w:pStyle w:val="BodyText"/>
        <w:rPr>
          <w:b/>
          <w:sz w:val="28"/>
        </w:rPr>
      </w:pPr>
    </w:p>
    <w:p>
      <w:pPr>
        <w:pStyle w:val="BodyText"/>
        <w:spacing w:before="3"/>
        <w:rPr>
          <w:b/>
          <w:sz w:val="30"/>
        </w:rPr>
      </w:pPr>
    </w:p>
    <w:p>
      <w:pPr>
        <w:pStyle w:val="Heading3"/>
        <w:spacing w:before="1"/>
      </w:pPr>
      <w:r>
        <w:rPr>
          <w:u w:val="thick"/>
        </w:rPr>
        <w:t>Generalidades sobre las ETUC</w:t>
      </w:r>
    </w:p>
    <w:p>
      <w:pPr>
        <w:pStyle w:val="BodyText"/>
        <w:rPr>
          <w:b/>
          <w:sz w:val="20"/>
        </w:rPr>
      </w:pPr>
    </w:p>
    <w:p>
      <w:pPr>
        <w:pStyle w:val="BodyText"/>
        <w:spacing w:before="8"/>
        <w:rPr>
          <w:b/>
          <w:sz w:val="21"/>
        </w:rPr>
      </w:pPr>
    </w:p>
    <w:p>
      <w:pPr>
        <w:pStyle w:val="BodyText"/>
        <w:spacing w:line="360" w:lineRule="auto" w:before="70"/>
        <w:ind w:left="144" w:right="148" w:firstLine="708"/>
        <w:jc w:val="both"/>
      </w:pPr>
      <w:r>
        <w:rPr/>
        <w:t>El tracto urinario caudal de los perros comprende la vejiga, uretra y próstata en los machos, presentando diferentes patologías, las cuales se pueden manifestar con signos </w:t>
      </w:r>
      <w:r>
        <w:rPr>
          <w:spacing w:val="-20"/>
        </w:rPr>
        <w:t> </w:t>
      </w:r>
      <w:r>
        <w:rPr/>
        <w:t>clínicos </w:t>
      </w:r>
      <w:r>
        <w:rPr>
          <w:spacing w:val="-20"/>
        </w:rPr>
        <w:t> </w:t>
      </w:r>
      <w:r>
        <w:rPr/>
        <w:t>inespecíficos </w:t>
      </w:r>
      <w:r>
        <w:rPr>
          <w:spacing w:val="-20"/>
        </w:rPr>
        <w:t> </w:t>
      </w:r>
      <w:r>
        <w:rPr/>
        <w:t>como </w:t>
      </w:r>
      <w:r>
        <w:rPr>
          <w:spacing w:val="-20"/>
        </w:rPr>
        <w:t> </w:t>
      </w:r>
      <w:r>
        <w:rPr/>
        <w:t>la </w:t>
      </w:r>
      <w:r>
        <w:rPr>
          <w:spacing w:val="-20"/>
        </w:rPr>
        <w:t> </w:t>
      </w:r>
      <w:r>
        <w:rPr/>
        <w:t>hematuria, </w:t>
      </w:r>
      <w:r>
        <w:rPr>
          <w:spacing w:val="-20"/>
        </w:rPr>
        <w:t> </w:t>
      </w:r>
      <w:r>
        <w:rPr/>
        <w:t>disu</w:t>
      </w:r>
      <w:r>
        <w:rPr>
          <w:spacing w:val="-1"/>
        </w:rPr>
        <w:t>r</w:t>
      </w:r>
      <w:r>
        <w:rPr/>
        <w:t>ia, </w:t>
      </w:r>
      <w:r>
        <w:rPr>
          <w:spacing w:val="-20"/>
        </w:rPr>
        <w:t> </w:t>
      </w:r>
      <w:r>
        <w:rPr/>
        <w:t>polaquiuria, </w:t>
      </w:r>
      <w:r>
        <w:rPr>
          <w:spacing w:val="-20"/>
        </w:rPr>
        <w:t> </w:t>
      </w:r>
      <w:r>
        <w:rPr/>
        <w:t>estranguria</w:t>
      </w:r>
      <w:r>
        <w:rPr>
          <w:w w:val="41"/>
        </w:rPr>
        <w:t>X</w:t>
      </w:r>
      <w:r>
        <w:rPr/>
        <w:t> </w:t>
      </w:r>
      <w:r>
        <w:rPr>
          <w:spacing w:val="-20"/>
        </w:rPr>
        <w:t> </w:t>
      </w:r>
      <w:r>
        <w:rPr/>
        <w:t>sin embargo ninguno de estos es característico de alguna enfermedad  particular (Buffintong y col.</w:t>
      </w:r>
      <w:r>
        <w:rPr>
          <w:spacing w:val="-2"/>
        </w:rPr>
        <w:t> </w:t>
      </w:r>
      <w:r>
        <w:rPr/>
        <w:t>1997).</w:t>
      </w:r>
    </w:p>
    <w:p>
      <w:pPr>
        <w:pStyle w:val="BodyText"/>
      </w:pPr>
    </w:p>
    <w:p>
      <w:pPr>
        <w:pStyle w:val="BodyText"/>
        <w:spacing w:line="360" w:lineRule="auto" w:before="144"/>
        <w:ind w:left="144" w:right="148" w:firstLine="708"/>
        <w:jc w:val="both"/>
      </w:pPr>
      <w:r>
        <w:rPr/>
        <w:t>Las ETUC que se presentan en los perros, son la infección del tracto urinario, urolitiasis, las alteraciones de la micción, las enfermedades de la próstata, neoplasias, enfermedades congénitas y traumatismos (Bartges 2004). Cada una de ellas tiene un mecanismo fisiopatológico específico en los que puede estar involucrado uno o más órganos del tracto urinario caudal:</w:t>
      </w:r>
    </w:p>
    <w:p>
      <w:pPr>
        <w:pStyle w:val="BodyText"/>
      </w:pPr>
    </w:p>
    <w:p>
      <w:pPr>
        <w:pStyle w:val="Heading3"/>
      </w:pPr>
      <w:r>
        <w:rPr>
          <w:u w:val="thick"/>
        </w:rPr>
        <w:t>Infección bacteriana del tracto urinario caudal</w:t>
      </w:r>
    </w:p>
    <w:p>
      <w:pPr>
        <w:pStyle w:val="BodyText"/>
        <w:rPr>
          <w:b/>
          <w:sz w:val="20"/>
        </w:rPr>
      </w:pPr>
    </w:p>
    <w:p>
      <w:pPr>
        <w:pStyle w:val="BodyText"/>
        <w:rPr>
          <w:b/>
          <w:sz w:val="20"/>
        </w:rPr>
      </w:pPr>
    </w:p>
    <w:p>
      <w:pPr>
        <w:pStyle w:val="BodyText"/>
        <w:spacing w:line="360" w:lineRule="auto" w:before="195"/>
        <w:ind w:left="144" w:right="148" w:firstLine="708"/>
        <w:jc w:val="both"/>
      </w:pPr>
      <w:r>
        <w:rPr/>
        <w:t>El tracto urinario puede infectarse por patógenos como bacterias, parásitos y hongos, siendo las primeras las responsables de casi la totalidad de los cuadros infecciosos. La infección bacteriana del tracto urinario caudal (IBTUC) ocurre aproximadamente en el 14% de una población de perros, el 95% de los casos son infecciones silenciosas (no manifiestan signos clínicos) y las infecciones reincidentes están presentes hasta en el 4.5 % de los casos (Norris y col. 2000). Algunos autores mencionan que las IBTUC son más frecuentes en hembras, considerando a este  género junto con la edad entre 7 y 8 años como los principales factores de riesgo (Ling  y</w:t>
      </w:r>
      <w:r>
        <w:rPr>
          <w:spacing w:val="-17"/>
        </w:rPr>
        <w:t> </w:t>
      </w:r>
      <w:r>
        <w:rPr/>
        <w:t>col.</w:t>
      </w:r>
      <w:r>
        <w:rPr>
          <w:spacing w:val="-17"/>
        </w:rPr>
        <w:t> </w:t>
      </w:r>
      <w:r>
        <w:rPr/>
        <w:t>2001X</w:t>
      </w:r>
      <w:r>
        <w:rPr>
          <w:spacing w:val="-17"/>
        </w:rPr>
        <w:t> </w:t>
      </w:r>
      <w:r>
        <w:rPr/>
        <w:t>Cohn</w:t>
      </w:r>
      <w:r>
        <w:rPr>
          <w:spacing w:val="-17"/>
        </w:rPr>
        <w:t> </w:t>
      </w:r>
      <w:r>
        <w:rPr/>
        <w:t>y</w:t>
      </w:r>
      <w:r>
        <w:rPr>
          <w:spacing w:val="-17"/>
        </w:rPr>
        <w:t> </w:t>
      </w:r>
      <w:r>
        <w:rPr/>
        <w:t>col.</w:t>
      </w:r>
      <w:r>
        <w:rPr>
          <w:spacing w:val="-17"/>
        </w:rPr>
        <w:t> </w:t>
      </w:r>
      <w:r>
        <w:rPr/>
        <w:t>2003).</w:t>
      </w:r>
    </w:p>
    <w:p>
      <w:pPr>
        <w:spacing w:after="0" w:line="360" w:lineRule="auto"/>
        <w:jc w:val="both"/>
        <w:sectPr>
          <w:footerReference w:type="default" r:id="rId10"/>
          <w:pgSz w:w="12240" w:h="15840"/>
          <w:pgMar w:footer="882" w:header="886"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Las IBTUC infecciones bacterianas del tracto urinario caudal pueden presentarse en un solo sitio o estar implicando más de un lugar del tracto urinario como la vejiga, la uretra y la próstata (Bartges 2004). En la mayoría de los casos es una enfermedad complicada secundaria a otras patologías del tracto urinario como la urolitiasis, las enfermedades de la próstata, alguna alteración en la micción, neoplasia del tracto urinario, y alteraciones anatómicas congénitas o adquiridas (Dowling 1996)X además de algunas enfermedades sistémicas que afectan la osmolaridad característica de la orina como la diabetes mellitus, el hiperadrenocorticismo, la enfermedad renal crónica  pueden predisponer a la infección (Crawford y Adams</w:t>
      </w:r>
      <w:r>
        <w:rPr>
          <w:spacing w:val="-4"/>
        </w:rPr>
        <w:t> </w:t>
      </w:r>
      <w:r>
        <w:rPr/>
        <w:t>2002).</w:t>
      </w:r>
    </w:p>
    <w:p>
      <w:pPr>
        <w:pStyle w:val="BodyText"/>
      </w:pPr>
    </w:p>
    <w:p>
      <w:pPr>
        <w:pStyle w:val="BodyText"/>
        <w:spacing w:line="360" w:lineRule="auto" w:before="144"/>
        <w:ind w:left="144" w:right="148" w:firstLine="708"/>
        <w:jc w:val="both"/>
      </w:pPr>
      <w:r>
        <w:rPr/>
        <w:t>La patogenia de la IBTUC representa un desequilibrio entre agentes infecciosos  y la resistencia del huésped determinada por el estado de los mecanismos de defensas del tracto urinario como los son: una micción normal, las estructuras anatómicas, la barrera mucosa de defensa (glucosaminoglicanos, exfoliación epitelial normal) y las propiedades antimicrobianas de la orina (pH y osmolaridad, principalmente). Cuando exista una alteración en los mecanismos de defensas del huésped y un suficiente número de patógenos, permitirá que estos se adhieran y multipliquen en el tracto urinario, siendo los factores de virulencia más importantes la motilidad, la capacidad para adherirse a las células uroepiteliales y la eficiente inoculación de toxinas bacterianas en la pared de la</w:t>
      </w:r>
      <w:r>
        <w:rPr>
          <w:spacing w:val="-1"/>
        </w:rPr>
        <w:t> </w:t>
      </w:r>
      <w:r>
        <w:rPr/>
        <w:t>mucosa.</w:t>
      </w:r>
    </w:p>
    <w:p>
      <w:pPr>
        <w:pStyle w:val="BodyText"/>
      </w:pPr>
    </w:p>
    <w:p>
      <w:pPr>
        <w:pStyle w:val="BodyText"/>
        <w:spacing w:line="360" w:lineRule="auto" w:before="139"/>
        <w:ind w:left="144" w:right="148" w:firstLine="708"/>
        <w:jc w:val="both"/>
      </w:pPr>
      <w:r>
        <w:rPr/>
        <w:t>La mayoría de este tipo de infecciones es causada por bacterias derivadas del tracto gastrointestinal que cruzan el peritoneo, o que colonizan los genitales externos para luego invadir la uretra y la vejiga en forma retrograda en contra del flujo urinario.  La bacteria </w:t>
      </w:r>
      <w:r>
        <w:rPr>
          <w:i/>
        </w:rPr>
        <w:t>Escherichia coli </w:t>
      </w:r>
      <w:r>
        <w:rPr/>
        <w:t>es la más frecuentemente</w:t>
      </w:r>
      <w:r>
        <w:rPr>
          <w:i/>
        </w:rPr>
        <w:t>, seguida de Staphilococus spp, </w:t>
      </w:r>
      <w:r>
        <w:rPr>
          <w:i/>
        </w:rPr>
        <w:t>Proteus </w:t>
      </w:r>
      <w:r>
        <w:rPr>
          <w:i/>
          <w:spacing w:val="-20"/>
        </w:rPr>
        <w:t> </w:t>
      </w:r>
      <w:r>
        <w:rPr>
          <w:i/>
        </w:rPr>
        <w:t>spp </w:t>
      </w:r>
      <w:r>
        <w:rPr>
          <w:i/>
          <w:spacing w:val="-20"/>
        </w:rPr>
        <w:t> </w:t>
      </w:r>
      <w:r>
        <w:rPr>
          <w:i/>
        </w:rPr>
        <w:t>y </w:t>
      </w:r>
      <w:r>
        <w:rPr>
          <w:i/>
          <w:spacing w:val="-20"/>
        </w:rPr>
        <w:t> </w:t>
      </w:r>
      <w:r>
        <w:rPr>
          <w:i/>
        </w:rPr>
        <w:t>Klebsiella</w:t>
      </w:r>
      <w:r>
        <w:rPr>
          <w:i/>
          <w:w w:val="49"/>
        </w:rPr>
        <w:t>9</w:t>
      </w:r>
      <w:r>
        <w:rPr>
          <w:i/>
        </w:rPr>
        <w:t> </w:t>
      </w:r>
      <w:r>
        <w:rPr>
          <w:i/>
          <w:spacing w:val="-20"/>
        </w:rPr>
        <w:t> </w:t>
      </w:r>
      <w:r>
        <w:rPr/>
        <w:t>sin </w:t>
      </w:r>
      <w:r>
        <w:rPr>
          <w:spacing w:val="-20"/>
        </w:rPr>
        <w:t> </w:t>
      </w:r>
      <w:r>
        <w:rPr/>
        <w:t>embargo, </w:t>
      </w:r>
      <w:r>
        <w:rPr>
          <w:spacing w:val="-20"/>
        </w:rPr>
        <w:t> </w:t>
      </w:r>
      <w:r>
        <w:rPr/>
        <w:t>hongos </w:t>
      </w:r>
      <w:r>
        <w:rPr>
          <w:spacing w:val="-20"/>
        </w:rPr>
        <w:t> </w:t>
      </w:r>
      <w:r>
        <w:rPr>
          <w:spacing w:val="-1"/>
        </w:rPr>
        <w:t>(</w:t>
      </w:r>
      <w:r>
        <w:rPr>
          <w:i/>
        </w:rPr>
        <w:t>Cándida </w:t>
      </w:r>
      <w:r>
        <w:rPr>
          <w:i/>
          <w:spacing w:val="-20"/>
        </w:rPr>
        <w:t> </w:t>
      </w:r>
      <w:r>
        <w:rPr>
          <w:i/>
        </w:rPr>
        <w:t>sp</w:t>
      </w:r>
      <w:r>
        <w:rPr>
          <w:i/>
          <w:spacing w:val="-1"/>
        </w:rPr>
        <w:t>p</w:t>
      </w:r>
      <w:r>
        <w:rPr/>
        <w:t>) </w:t>
      </w:r>
      <w:r>
        <w:rPr>
          <w:spacing w:val="-20"/>
        </w:rPr>
        <w:t> </w:t>
      </w:r>
      <w:r>
        <w:rPr/>
        <w:t>y </w:t>
      </w:r>
      <w:r>
        <w:rPr>
          <w:spacing w:val="-20"/>
        </w:rPr>
        <w:t> </w:t>
      </w:r>
      <w:r>
        <w:rPr/>
        <w:t>parásitos </w:t>
      </w:r>
      <w:r>
        <w:rPr>
          <w:spacing w:val="-20"/>
        </w:rPr>
        <w:t> </w:t>
      </w:r>
      <w:r>
        <w:rPr>
          <w:spacing w:val="-1"/>
        </w:rPr>
        <w:t>(</w:t>
      </w:r>
      <w:r>
        <w:rPr>
          <w:i/>
        </w:rPr>
        <w:t>Cap</w:t>
      </w:r>
      <w:r>
        <w:rPr>
          <w:i/>
          <w:spacing w:val="-1"/>
        </w:rPr>
        <w:t>i</w:t>
      </w:r>
      <w:r>
        <w:rPr>
          <w:i/>
        </w:rPr>
        <w:t>llaria</w:t>
      </w:r>
      <w:r>
        <w:rPr>
          <w:i/>
        </w:rPr>
        <w:t> plica</w:t>
      </w:r>
      <w:r>
        <w:rPr/>
        <w:t>) pueden infectar al tracto urinario asociadas a enfermedades inmunosupresoras (Bartges 2004).</w:t>
      </w:r>
    </w:p>
    <w:p>
      <w:pPr>
        <w:spacing w:after="0" w:line="360" w:lineRule="auto"/>
        <w:jc w:val="both"/>
        <w:sectPr>
          <w:footerReference w:type="default" r:id="rId11"/>
          <w:pgSz w:w="12240" w:h="15840"/>
          <w:pgMar w:footer="882" w:header="886" w:top="1140" w:bottom="1080" w:left="1560" w:right="980"/>
          <w:pgNumType w:start="11"/>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Otro factor que puede favorecer la IBTUC es la colocación de una sonda vesical temporal o permanente al introducir directamente las bacterias al tracto urinario y permitir una migración posterior de bacterias del medio ambiente o de la propia flora intestinal del paciente (Maki y Tambyah 2001X Saint y Lipsky 1999). También factores como traumatismos del tracto urinario, el estado inmune del animal, la contaminación ambiental, la exposición prolongada a una fuente potencial de bacterias en un hospital, pueden influir en el riesgo de infección (Stiffler y col. 2006).</w:t>
      </w:r>
    </w:p>
    <w:p>
      <w:pPr>
        <w:pStyle w:val="BodyText"/>
      </w:pPr>
    </w:p>
    <w:p>
      <w:pPr>
        <w:pStyle w:val="BodyText"/>
        <w:spacing w:line="360" w:lineRule="auto" w:before="139"/>
        <w:ind w:left="144" w:right="148" w:firstLine="708"/>
        <w:jc w:val="both"/>
      </w:pPr>
      <w:r>
        <w:rPr/>
        <w:t>Los signos asociados pueden ser variables y dependen de la interacción de la virulencia y el número de patógenos, presencia o ausencia de causas predisponentes, respuesta compensatoria del cuerpo a la infección, duración de la infección y sitio anatómico de la infección. Los signos típicos de las IBTUC son de inflamación y puede existir hematuria, estranguria, polaquiuria, disuria y una micción inadecuada. Los animales con IBTUC crónica no suelen mostrar signos de enfermedad pero puede existir una vejiga engrosada por edema, hiperplasia mucosal y fibrosis (Bartges</w:t>
      </w:r>
      <w:r>
        <w:rPr>
          <w:spacing w:val="-2"/>
        </w:rPr>
        <w:t> </w:t>
      </w:r>
      <w:r>
        <w:rPr/>
        <w:t>2004).</w:t>
      </w:r>
    </w:p>
    <w:p>
      <w:pPr>
        <w:pStyle w:val="BodyText"/>
      </w:pPr>
    </w:p>
    <w:p>
      <w:pPr>
        <w:pStyle w:val="BodyText"/>
        <w:spacing w:line="362" w:lineRule="auto" w:before="139"/>
        <w:ind w:left="144" w:right="148" w:firstLine="708"/>
        <w:jc w:val="both"/>
      </w:pPr>
      <w:r>
        <w:rPr/>
        <w:t>El diagnóstico de IBTUC se suele hacer con base en la historia clínica, examen físico, urianálisis completo, urocultivo y otros estudios complementarios según el caso.</w:t>
      </w:r>
    </w:p>
    <w:p>
      <w:pPr>
        <w:pStyle w:val="BodyText"/>
        <w:spacing w:before="10"/>
        <w:rPr>
          <w:sz w:val="35"/>
        </w:rPr>
      </w:pPr>
    </w:p>
    <w:p>
      <w:pPr>
        <w:pStyle w:val="BodyText"/>
        <w:spacing w:line="360" w:lineRule="auto"/>
        <w:ind w:left="144" w:right="148" w:firstLine="708"/>
        <w:jc w:val="both"/>
      </w:pPr>
      <w:r>
        <w:rPr/>
        <w:t>La obtención de la orina por cistocentésis es el método más adecuado para la evaluación de pacientes sospechosos de una IBTUC. El urianálisis completo relacionando la densidad urinaria, el análisis químico que indican proteinuria y  hematuria y el examen microscópico del sedimento urinario que revela eritrocitos, leucocitos, bacterias y células epiteliales es suficiente para el diagnóstico (Figura 1). Ya que un número importante de los leucocitos (5 unidades por campo), con frecuencia asociada a hematuria o proteinuria sugieren inflamación y junto a la detección significativa de bacterias con piuria indica inflamación activa asociada con una infección (Bartges y Blanco</w:t>
      </w:r>
      <w:r>
        <w:rPr>
          <w:spacing w:val="-1"/>
        </w:rPr>
        <w:t> </w:t>
      </w:r>
      <w:r>
        <w:rPr/>
        <w:t>20</w:t>
      </w:r>
      <w:r>
        <w:rPr>
          <w:spacing w:val="-1"/>
        </w:rPr>
        <w:t>0</w:t>
      </w:r>
      <w:r>
        <w:rPr/>
        <w:t>1</w:t>
      </w:r>
      <w:r>
        <w:rPr>
          <w:w w:val="41"/>
        </w:rPr>
        <w:t>X</w:t>
      </w:r>
      <w:r>
        <w:rPr/>
        <w:t> Pressler y co</w:t>
      </w:r>
      <w:r>
        <w:rPr>
          <w:spacing w:val="-1"/>
        </w:rPr>
        <w:t>l</w:t>
      </w:r>
      <w:r>
        <w:rPr/>
        <w:t>. </w:t>
      </w:r>
      <w:r>
        <w:rPr>
          <w:w w:val="86"/>
        </w:rPr>
        <w:t>2003X</w:t>
      </w:r>
      <w:r>
        <w:rPr>
          <w:spacing w:val="-1"/>
        </w:rPr>
        <w:t> </w:t>
      </w:r>
      <w:r>
        <w:rPr/>
        <w:t>Buffintong y co</w:t>
      </w:r>
      <w:r>
        <w:rPr>
          <w:spacing w:val="-1"/>
        </w:rPr>
        <w:t>l</w:t>
      </w:r>
      <w:r>
        <w:rPr/>
        <w:t>. 1997</w:t>
      </w:r>
      <w:r>
        <w:rPr>
          <w:spacing w:val="-1"/>
        </w:rPr>
        <w:t>)</w:t>
      </w:r>
      <w:r>
        <w:rPr/>
        <w:t>.</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En infecciones complicadas o reincidentes se deben de realizar otros estudios como urocultivos cuantitativos con antibiograma para identificar a la bacteria responsable e identificar la resistencia a ciertos antibióticos, considerando una IBTU cuando se encuentran más de &gt;10,000 unidades formadoras de colonias bacterianas (UFCB) </w:t>
      </w:r>
      <w:r>
        <w:rPr>
          <w:spacing w:val="-26"/>
        </w:rPr>
        <w:t> </w:t>
      </w:r>
      <w:r>
        <w:rPr/>
        <w:t>por </w:t>
      </w:r>
      <w:r>
        <w:rPr>
          <w:spacing w:val="-26"/>
        </w:rPr>
        <w:t> </w:t>
      </w:r>
      <w:r>
        <w:rPr/>
        <w:t>mililitro </w:t>
      </w:r>
      <w:r>
        <w:rPr>
          <w:spacing w:val="-26"/>
        </w:rPr>
        <w:t> </w:t>
      </w:r>
      <w:r>
        <w:rPr/>
        <w:t>en </w:t>
      </w:r>
      <w:r>
        <w:rPr>
          <w:spacing w:val="-26"/>
        </w:rPr>
        <w:t> </w:t>
      </w:r>
      <w:r>
        <w:rPr/>
        <w:t>una </w:t>
      </w:r>
      <w:r>
        <w:rPr>
          <w:spacing w:val="-26"/>
        </w:rPr>
        <w:t> </w:t>
      </w:r>
      <w:r>
        <w:rPr/>
        <w:t>muestra </w:t>
      </w:r>
      <w:r>
        <w:rPr>
          <w:spacing w:val="-26"/>
        </w:rPr>
        <w:t> </w:t>
      </w:r>
      <w:r>
        <w:rPr/>
        <w:t>de </w:t>
      </w:r>
      <w:r>
        <w:rPr>
          <w:spacing w:val="-26"/>
        </w:rPr>
        <w:t> </w:t>
      </w:r>
      <w:r>
        <w:rPr/>
        <w:t>orina </w:t>
      </w:r>
      <w:r>
        <w:rPr>
          <w:spacing w:val="-26"/>
        </w:rPr>
        <w:t> </w:t>
      </w:r>
      <w:r>
        <w:rPr/>
        <w:t>obtenida </w:t>
      </w:r>
      <w:r>
        <w:rPr>
          <w:spacing w:val="-26"/>
        </w:rPr>
        <w:t> </w:t>
      </w:r>
      <w:r>
        <w:rPr/>
        <w:t>por </w:t>
      </w:r>
      <w:r>
        <w:rPr>
          <w:spacing w:val="-26"/>
        </w:rPr>
        <w:t> </w:t>
      </w:r>
      <w:r>
        <w:rPr/>
        <w:t>cistocentési</w:t>
      </w:r>
      <w:r>
        <w:rPr>
          <w:spacing w:val="-1"/>
        </w:rPr>
        <w:t>s</w:t>
      </w:r>
      <w:r>
        <w:rPr>
          <w:w w:val="41"/>
        </w:rPr>
        <w:t>X</w:t>
      </w:r>
      <w:r>
        <w:rPr/>
        <w:t> </w:t>
      </w:r>
      <w:r>
        <w:rPr>
          <w:spacing w:val="-26"/>
        </w:rPr>
        <w:t> </w:t>
      </w:r>
      <w:r>
        <w:rPr/>
        <w:t>estudios </w:t>
      </w:r>
      <w:r>
        <w:rPr>
          <w:spacing w:val="-26"/>
        </w:rPr>
        <w:t> </w:t>
      </w:r>
      <w:r>
        <w:rPr/>
        <w:t>de imagen, perfiles bioquímicos y otras pruebas específicas deben de ser consideradas según el caso (Weese y col.</w:t>
      </w:r>
      <w:r>
        <w:rPr>
          <w:spacing w:val="-1"/>
        </w:rPr>
        <w:t> </w:t>
      </w:r>
      <w:r>
        <w:rPr/>
        <w:t>2011).</w:t>
      </w:r>
    </w:p>
    <w:p>
      <w:pPr>
        <w:pStyle w:val="BodyText"/>
      </w:pPr>
    </w:p>
    <w:p>
      <w:pPr>
        <w:pStyle w:val="BodyText"/>
        <w:spacing w:line="360" w:lineRule="auto" w:before="139"/>
        <w:ind w:left="144" w:right="148" w:firstLine="708"/>
        <w:jc w:val="both"/>
      </w:pPr>
      <w:r>
        <w:rPr/>
        <w:t>Las radiografías simples o de contraste del tracto urinario caudal pueden revelar urolitiasis, alteraciones anatómicas. Por medio del ultrasonido se evalúa la ecotextura y la arquitectura del tracto urinario a excepción de la parte distal de la uretra. La endoscopia del tracto urinario caudal puede ser útil también para observar la mucosa y lesiones intraluminales que pueden predisponer a la infección (Lavocat y col. 1997).</w:t>
      </w:r>
    </w:p>
    <w:p>
      <w:pPr>
        <w:pStyle w:val="BodyText"/>
      </w:pPr>
    </w:p>
    <w:p>
      <w:pPr>
        <w:pStyle w:val="BodyText"/>
        <w:spacing w:line="360" w:lineRule="auto" w:before="144"/>
        <w:ind w:left="144" w:right="144" w:firstLine="360"/>
      </w:pPr>
      <w:r>
        <w:rPr/>
        <w:t>Las IBTUC pueden clasificarse de acuerdo a su presentación como agudas y reincidentes:</w:t>
      </w:r>
    </w:p>
    <w:p>
      <w:pPr>
        <w:pStyle w:val="BodyText"/>
      </w:pPr>
    </w:p>
    <w:p>
      <w:pPr>
        <w:pStyle w:val="ListParagraph"/>
        <w:numPr>
          <w:ilvl w:val="0"/>
          <w:numId w:val="1"/>
        </w:numPr>
        <w:tabs>
          <w:tab w:pos="865" w:val="left" w:leader="none"/>
        </w:tabs>
        <w:spacing w:line="357" w:lineRule="auto" w:before="142" w:after="0"/>
        <w:ind w:left="864" w:right="148" w:hanging="360"/>
        <w:jc w:val="both"/>
        <w:rPr>
          <w:rFonts w:ascii="Arial" w:hAnsi="Arial"/>
          <w:sz w:val="24"/>
        </w:rPr>
      </w:pPr>
      <w:r>
        <w:rPr>
          <w:rFonts w:ascii="Arial" w:hAnsi="Arial"/>
          <w:i/>
          <w:sz w:val="24"/>
          <w:u w:val="single"/>
        </w:rPr>
        <w:t>Aguda no complicada: </w:t>
      </w:r>
      <w:r>
        <w:rPr>
          <w:rFonts w:ascii="Arial" w:hAnsi="Arial"/>
          <w:sz w:val="24"/>
        </w:rPr>
        <w:t>Es una infección espontánea generalmente por primera ocasión, </w:t>
      </w:r>
      <w:r>
        <w:rPr>
          <w:rFonts w:ascii="Arial" w:hAnsi="Arial"/>
          <w:spacing w:val="-33"/>
          <w:sz w:val="24"/>
        </w:rPr>
        <w:t> </w:t>
      </w:r>
      <w:r>
        <w:rPr>
          <w:rFonts w:ascii="Arial" w:hAnsi="Arial"/>
          <w:sz w:val="24"/>
        </w:rPr>
        <w:t>o </w:t>
      </w:r>
      <w:r>
        <w:rPr>
          <w:rFonts w:ascii="Arial" w:hAnsi="Arial"/>
          <w:spacing w:val="-33"/>
          <w:sz w:val="24"/>
        </w:rPr>
        <w:t> </w:t>
      </w:r>
      <w:r>
        <w:rPr>
          <w:rFonts w:ascii="Arial" w:hAnsi="Arial"/>
          <w:sz w:val="24"/>
        </w:rPr>
        <w:t>con </w:t>
      </w:r>
      <w:r>
        <w:rPr>
          <w:rFonts w:ascii="Arial" w:hAnsi="Arial"/>
          <w:spacing w:val="-33"/>
          <w:sz w:val="24"/>
        </w:rPr>
        <w:t> </w:t>
      </w:r>
      <w:r>
        <w:rPr>
          <w:rFonts w:ascii="Arial" w:hAnsi="Arial"/>
          <w:sz w:val="24"/>
        </w:rPr>
        <w:t>un </w:t>
      </w:r>
      <w:r>
        <w:rPr>
          <w:rFonts w:ascii="Arial" w:hAnsi="Arial"/>
          <w:spacing w:val="-33"/>
          <w:sz w:val="24"/>
        </w:rPr>
        <w:t> </w:t>
      </w:r>
      <w:r>
        <w:rPr>
          <w:rFonts w:ascii="Arial" w:hAnsi="Arial"/>
          <w:sz w:val="24"/>
        </w:rPr>
        <w:t>cuadro </w:t>
      </w:r>
      <w:r>
        <w:rPr>
          <w:rFonts w:ascii="Arial" w:hAnsi="Arial"/>
          <w:spacing w:val="-33"/>
          <w:sz w:val="24"/>
        </w:rPr>
        <w:t> </w:t>
      </w:r>
      <w:r>
        <w:rPr>
          <w:rFonts w:ascii="Arial" w:hAnsi="Arial"/>
          <w:sz w:val="24"/>
        </w:rPr>
        <w:t>clínico </w:t>
      </w:r>
      <w:r>
        <w:rPr>
          <w:rFonts w:ascii="Arial" w:hAnsi="Arial"/>
          <w:spacing w:val="-33"/>
          <w:sz w:val="24"/>
        </w:rPr>
        <w:t> </w:t>
      </w:r>
      <w:r>
        <w:rPr>
          <w:rFonts w:ascii="Arial" w:hAnsi="Arial"/>
          <w:sz w:val="24"/>
        </w:rPr>
        <w:t>muy </w:t>
      </w:r>
      <w:r>
        <w:rPr>
          <w:rFonts w:ascii="Arial" w:hAnsi="Arial"/>
          <w:spacing w:val="-33"/>
          <w:sz w:val="24"/>
        </w:rPr>
        <w:t> </w:t>
      </w:r>
      <w:r>
        <w:rPr>
          <w:rFonts w:ascii="Arial" w:hAnsi="Arial"/>
          <w:sz w:val="24"/>
        </w:rPr>
        <w:t>poco </w:t>
      </w:r>
      <w:r>
        <w:rPr>
          <w:rFonts w:ascii="Arial" w:hAnsi="Arial"/>
          <w:spacing w:val="-33"/>
          <w:sz w:val="24"/>
        </w:rPr>
        <w:t> </w:t>
      </w:r>
      <w:r>
        <w:rPr>
          <w:rFonts w:ascii="Arial" w:hAnsi="Arial"/>
          <w:sz w:val="24"/>
        </w:rPr>
        <w:t>frecuent</w:t>
      </w:r>
      <w:r>
        <w:rPr>
          <w:rFonts w:ascii="Arial" w:hAnsi="Arial"/>
          <w:spacing w:val="-1"/>
          <w:sz w:val="24"/>
        </w:rPr>
        <w:t>e</w:t>
      </w:r>
      <w:r>
        <w:rPr>
          <w:rFonts w:ascii="Arial" w:hAnsi="Arial"/>
          <w:w w:val="41"/>
          <w:sz w:val="24"/>
        </w:rPr>
        <w:t>X</w:t>
      </w:r>
      <w:r>
        <w:rPr>
          <w:rFonts w:ascii="Arial" w:hAnsi="Arial"/>
          <w:sz w:val="24"/>
        </w:rPr>
        <w:t> </w:t>
      </w:r>
      <w:r>
        <w:rPr>
          <w:rFonts w:ascii="Arial" w:hAnsi="Arial"/>
          <w:spacing w:val="-33"/>
          <w:sz w:val="24"/>
        </w:rPr>
        <w:t> </w:t>
      </w:r>
      <w:r>
        <w:rPr>
          <w:rFonts w:ascii="Arial" w:hAnsi="Arial"/>
          <w:sz w:val="24"/>
        </w:rPr>
        <w:t>no </w:t>
      </w:r>
      <w:r>
        <w:rPr>
          <w:rFonts w:ascii="Arial" w:hAnsi="Arial"/>
          <w:spacing w:val="-33"/>
          <w:sz w:val="24"/>
        </w:rPr>
        <w:t> </w:t>
      </w:r>
      <w:r>
        <w:rPr>
          <w:rFonts w:ascii="Arial" w:hAnsi="Arial"/>
          <w:sz w:val="24"/>
        </w:rPr>
        <w:t>estando </w:t>
      </w:r>
      <w:r>
        <w:rPr>
          <w:rFonts w:ascii="Arial" w:hAnsi="Arial"/>
          <w:spacing w:val="-33"/>
          <w:sz w:val="24"/>
        </w:rPr>
        <w:t> </w:t>
      </w:r>
      <w:r>
        <w:rPr>
          <w:rFonts w:ascii="Arial" w:hAnsi="Arial"/>
          <w:sz w:val="24"/>
        </w:rPr>
        <w:t>asociadas </w:t>
      </w:r>
      <w:r>
        <w:rPr>
          <w:rFonts w:ascii="Arial" w:hAnsi="Arial"/>
          <w:spacing w:val="-33"/>
          <w:sz w:val="24"/>
        </w:rPr>
        <w:t> </w:t>
      </w:r>
      <w:r>
        <w:rPr>
          <w:rFonts w:ascii="Arial" w:hAnsi="Arial"/>
          <w:sz w:val="24"/>
        </w:rPr>
        <w:t>a ningún tipo de alteración patológica, anatómica, fisiológica o funcional del tracto urinario</w:t>
      </w:r>
      <w:r>
        <w:rPr>
          <w:rFonts w:ascii="Arial" w:hAnsi="Arial"/>
          <w:w w:val="41"/>
          <w:sz w:val="24"/>
        </w:rPr>
        <w:t>X</w:t>
      </w:r>
      <w:r>
        <w:rPr>
          <w:rFonts w:ascii="Arial" w:hAnsi="Arial"/>
          <w:sz w:val="24"/>
        </w:rPr>
        <w:t> </w:t>
      </w:r>
      <w:r>
        <w:rPr>
          <w:rFonts w:ascii="Arial" w:hAnsi="Arial"/>
          <w:spacing w:val="9"/>
          <w:sz w:val="24"/>
        </w:rPr>
        <w:t> </w:t>
      </w:r>
      <w:r>
        <w:rPr>
          <w:rFonts w:ascii="Arial" w:hAnsi="Arial"/>
          <w:sz w:val="24"/>
        </w:rPr>
        <w:t>o </w:t>
      </w:r>
      <w:r>
        <w:rPr>
          <w:rFonts w:ascii="Arial" w:hAnsi="Arial"/>
          <w:spacing w:val="9"/>
          <w:sz w:val="24"/>
        </w:rPr>
        <w:t> </w:t>
      </w:r>
      <w:r>
        <w:rPr>
          <w:rFonts w:ascii="Arial" w:hAnsi="Arial"/>
          <w:sz w:val="24"/>
        </w:rPr>
        <w:t>la </w:t>
      </w:r>
      <w:r>
        <w:rPr>
          <w:rFonts w:ascii="Arial" w:hAnsi="Arial"/>
          <w:spacing w:val="9"/>
          <w:sz w:val="24"/>
        </w:rPr>
        <w:t> </w:t>
      </w:r>
      <w:r>
        <w:rPr>
          <w:rFonts w:ascii="Arial" w:hAnsi="Arial"/>
          <w:sz w:val="24"/>
        </w:rPr>
        <w:t>presencia </w:t>
      </w:r>
      <w:r>
        <w:rPr>
          <w:rFonts w:ascii="Arial" w:hAnsi="Arial"/>
          <w:spacing w:val="9"/>
          <w:sz w:val="24"/>
        </w:rPr>
        <w:t> </w:t>
      </w:r>
      <w:r>
        <w:rPr>
          <w:rFonts w:ascii="Arial" w:hAnsi="Arial"/>
          <w:spacing w:val="-1"/>
          <w:sz w:val="24"/>
        </w:rPr>
        <w:t>d</w:t>
      </w:r>
      <w:r>
        <w:rPr>
          <w:rFonts w:ascii="Arial" w:hAnsi="Arial"/>
          <w:sz w:val="24"/>
        </w:rPr>
        <w:t>e </w:t>
      </w:r>
      <w:r>
        <w:rPr>
          <w:rFonts w:ascii="Arial" w:hAnsi="Arial"/>
          <w:spacing w:val="9"/>
          <w:sz w:val="24"/>
        </w:rPr>
        <w:t> </w:t>
      </w:r>
      <w:r>
        <w:rPr>
          <w:rFonts w:ascii="Arial" w:hAnsi="Arial"/>
          <w:sz w:val="24"/>
        </w:rPr>
        <w:t>alguna </w:t>
      </w:r>
      <w:r>
        <w:rPr>
          <w:rFonts w:ascii="Arial" w:hAnsi="Arial"/>
          <w:spacing w:val="9"/>
          <w:sz w:val="24"/>
        </w:rPr>
        <w:t> </w:t>
      </w:r>
      <w:r>
        <w:rPr>
          <w:rFonts w:ascii="Arial" w:hAnsi="Arial"/>
          <w:sz w:val="24"/>
        </w:rPr>
        <w:t>patología </w:t>
      </w:r>
      <w:r>
        <w:rPr>
          <w:rFonts w:ascii="Arial" w:hAnsi="Arial"/>
          <w:spacing w:val="9"/>
          <w:sz w:val="24"/>
        </w:rPr>
        <w:t> </w:t>
      </w:r>
      <w:r>
        <w:rPr>
          <w:rFonts w:ascii="Arial" w:hAnsi="Arial"/>
          <w:sz w:val="24"/>
        </w:rPr>
        <w:t>sistémica </w:t>
      </w:r>
      <w:r>
        <w:rPr>
          <w:rFonts w:ascii="Arial" w:hAnsi="Arial"/>
          <w:spacing w:val="9"/>
          <w:sz w:val="24"/>
        </w:rPr>
        <w:t> </w:t>
      </w:r>
      <w:r>
        <w:rPr>
          <w:rFonts w:ascii="Arial" w:hAnsi="Arial"/>
          <w:sz w:val="24"/>
        </w:rPr>
        <w:t>que </w:t>
      </w:r>
      <w:r>
        <w:rPr>
          <w:rFonts w:ascii="Arial" w:hAnsi="Arial"/>
          <w:spacing w:val="9"/>
          <w:sz w:val="24"/>
        </w:rPr>
        <w:t> </w:t>
      </w:r>
      <w:r>
        <w:rPr>
          <w:rFonts w:ascii="Arial" w:hAnsi="Arial"/>
          <w:sz w:val="24"/>
        </w:rPr>
        <w:t>predispone </w:t>
      </w:r>
      <w:r>
        <w:rPr>
          <w:rFonts w:ascii="Arial" w:hAnsi="Arial"/>
          <w:spacing w:val="9"/>
          <w:sz w:val="24"/>
        </w:rPr>
        <w:t> </w:t>
      </w:r>
      <w:r>
        <w:rPr>
          <w:rFonts w:ascii="Arial" w:hAnsi="Arial"/>
          <w:sz w:val="24"/>
        </w:rPr>
        <w:t>a </w:t>
      </w:r>
      <w:r>
        <w:rPr>
          <w:rFonts w:ascii="Arial" w:hAnsi="Arial"/>
          <w:spacing w:val="9"/>
          <w:sz w:val="24"/>
        </w:rPr>
        <w:t> </w:t>
      </w:r>
      <w:r>
        <w:rPr>
          <w:rFonts w:ascii="Arial" w:hAnsi="Arial"/>
          <w:sz w:val="24"/>
        </w:rPr>
        <w:t>la infección.</w:t>
      </w:r>
    </w:p>
    <w:p>
      <w:pPr>
        <w:pStyle w:val="ListParagraph"/>
        <w:numPr>
          <w:ilvl w:val="0"/>
          <w:numId w:val="1"/>
        </w:numPr>
        <w:tabs>
          <w:tab w:pos="865" w:val="left" w:leader="none"/>
        </w:tabs>
        <w:spacing w:line="357" w:lineRule="auto" w:before="3" w:after="0"/>
        <w:ind w:left="864" w:right="148" w:hanging="360"/>
        <w:jc w:val="both"/>
        <w:rPr>
          <w:rFonts w:ascii="Arial" w:hAnsi="Arial"/>
          <w:sz w:val="24"/>
        </w:rPr>
      </w:pPr>
      <w:r>
        <w:rPr>
          <w:rFonts w:ascii="Arial" w:hAnsi="Arial"/>
          <w:i/>
          <w:sz w:val="24"/>
          <w:u w:val="single"/>
        </w:rPr>
        <w:t>Aguda complicada: </w:t>
      </w:r>
      <w:r>
        <w:rPr>
          <w:rFonts w:ascii="Arial" w:hAnsi="Arial"/>
          <w:sz w:val="24"/>
        </w:rPr>
        <w:t>Es una infección que se relaciona con algún tipo de alteración </w:t>
      </w:r>
      <w:r>
        <w:rPr>
          <w:rFonts w:ascii="Arial" w:hAnsi="Arial"/>
          <w:spacing w:val="-28"/>
          <w:sz w:val="24"/>
        </w:rPr>
        <w:t> </w:t>
      </w:r>
      <w:r>
        <w:rPr>
          <w:rFonts w:ascii="Arial" w:hAnsi="Arial"/>
          <w:sz w:val="24"/>
        </w:rPr>
        <w:t>patológica, </w:t>
      </w:r>
      <w:r>
        <w:rPr>
          <w:rFonts w:ascii="Arial" w:hAnsi="Arial"/>
          <w:spacing w:val="-28"/>
          <w:sz w:val="24"/>
        </w:rPr>
        <w:t> </w:t>
      </w:r>
      <w:r>
        <w:rPr>
          <w:rFonts w:ascii="Arial" w:hAnsi="Arial"/>
          <w:sz w:val="24"/>
        </w:rPr>
        <w:t>anatómica, </w:t>
      </w:r>
      <w:r>
        <w:rPr>
          <w:rFonts w:ascii="Arial" w:hAnsi="Arial"/>
          <w:spacing w:val="-28"/>
          <w:sz w:val="24"/>
        </w:rPr>
        <w:t> </w:t>
      </w:r>
      <w:r>
        <w:rPr>
          <w:rFonts w:ascii="Arial" w:hAnsi="Arial"/>
          <w:sz w:val="24"/>
        </w:rPr>
        <w:t>fisiológica </w:t>
      </w:r>
      <w:r>
        <w:rPr>
          <w:rFonts w:ascii="Arial" w:hAnsi="Arial"/>
          <w:spacing w:val="-28"/>
          <w:sz w:val="24"/>
        </w:rPr>
        <w:t> </w:t>
      </w:r>
      <w:r>
        <w:rPr>
          <w:rFonts w:ascii="Arial" w:hAnsi="Arial"/>
          <w:sz w:val="24"/>
        </w:rPr>
        <w:t>o </w:t>
      </w:r>
      <w:r>
        <w:rPr>
          <w:rFonts w:ascii="Arial" w:hAnsi="Arial"/>
          <w:spacing w:val="-28"/>
          <w:sz w:val="24"/>
        </w:rPr>
        <w:t> </w:t>
      </w:r>
      <w:r>
        <w:rPr>
          <w:rFonts w:ascii="Arial" w:hAnsi="Arial"/>
          <w:spacing w:val="-1"/>
          <w:sz w:val="24"/>
        </w:rPr>
        <w:t>f</w:t>
      </w:r>
      <w:r>
        <w:rPr>
          <w:rFonts w:ascii="Arial" w:hAnsi="Arial"/>
          <w:sz w:val="24"/>
        </w:rPr>
        <w:t>uncional </w:t>
      </w:r>
      <w:r>
        <w:rPr>
          <w:rFonts w:ascii="Arial" w:hAnsi="Arial"/>
          <w:spacing w:val="-28"/>
          <w:sz w:val="24"/>
        </w:rPr>
        <w:t> </w:t>
      </w:r>
      <w:r>
        <w:rPr>
          <w:rFonts w:ascii="Arial" w:hAnsi="Arial"/>
          <w:sz w:val="24"/>
        </w:rPr>
        <w:t>del </w:t>
      </w:r>
      <w:r>
        <w:rPr>
          <w:rFonts w:ascii="Arial" w:hAnsi="Arial"/>
          <w:spacing w:val="-28"/>
          <w:sz w:val="24"/>
        </w:rPr>
        <w:t> </w:t>
      </w:r>
      <w:r>
        <w:rPr>
          <w:rFonts w:ascii="Arial" w:hAnsi="Arial"/>
          <w:sz w:val="24"/>
        </w:rPr>
        <w:t>tracto </w:t>
      </w:r>
      <w:r>
        <w:rPr>
          <w:rFonts w:ascii="Arial" w:hAnsi="Arial"/>
          <w:spacing w:val="-28"/>
          <w:sz w:val="24"/>
        </w:rPr>
        <w:t> </w:t>
      </w:r>
      <w:r>
        <w:rPr>
          <w:rFonts w:ascii="Arial" w:hAnsi="Arial"/>
          <w:sz w:val="24"/>
        </w:rPr>
        <w:t>urinario</w:t>
      </w:r>
      <w:r>
        <w:rPr>
          <w:rFonts w:ascii="Arial" w:hAnsi="Arial"/>
          <w:w w:val="41"/>
          <w:sz w:val="24"/>
        </w:rPr>
        <w:t>X</w:t>
      </w:r>
      <w:r>
        <w:rPr>
          <w:rFonts w:ascii="Arial" w:hAnsi="Arial"/>
          <w:sz w:val="24"/>
        </w:rPr>
        <w:t> </w:t>
      </w:r>
      <w:r>
        <w:rPr>
          <w:rFonts w:ascii="Arial" w:hAnsi="Arial"/>
          <w:spacing w:val="-28"/>
          <w:sz w:val="24"/>
        </w:rPr>
        <w:t> </w:t>
      </w:r>
      <w:r>
        <w:rPr>
          <w:rFonts w:ascii="Arial" w:hAnsi="Arial"/>
          <w:sz w:val="24"/>
        </w:rPr>
        <w:t>o </w:t>
      </w:r>
      <w:r>
        <w:rPr>
          <w:rFonts w:ascii="Arial" w:hAnsi="Arial"/>
          <w:spacing w:val="-28"/>
          <w:sz w:val="24"/>
        </w:rPr>
        <w:t> </w:t>
      </w:r>
      <w:r>
        <w:rPr>
          <w:rFonts w:ascii="Arial" w:hAnsi="Arial"/>
          <w:sz w:val="24"/>
        </w:rPr>
        <w:t>la presencia de alguna patología sistémica que predispone a la</w:t>
      </w:r>
      <w:r>
        <w:rPr>
          <w:rFonts w:ascii="Arial" w:hAnsi="Arial"/>
          <w:spacing w:val="-3"/>
          <w:sz w:val="24"/>
        </w:rPr>
        <w:t> </w:t>
      </w:r>
      <w:r>
        <w:rPr>
          <w:rFonts w:ascii="Arial" w:hAnsi="Arial"/>
          <w:sz w:val="24"/>
        </w:rPr>
        <w:t>infección.</w:t>
      </w:r>
    </w:p>
    <w:p>
      <w:pPr>
        <w:pStyle w:val="ListParagraph"/>
        <w:numPr>
          <w:ilvl w:val="0"/>
          <w:numId w:val="1"/>
        </w:numPr>
        <w:tabs>
          <w:tab w:pos="865" w:val="left" w:leader="none"/>
        </w:tabs>
        <w:spacing w:line="357" w:lineRule="auto" w:before="3" w:after="0"/>
        <w:ind w:left="864" w:right="148" w:hanging="360"/>
        <w:jc w:val="both"/>
        <w:rPr>
          <w:rFonts w:ascii="Arial" w:hAnsi="Arial"/>
          <w:sz w:val="24"/>
        </w:rPr>
      </w:pPr>
      <w:r>
        <w:rPr>
          <w:rFonts w:ascii="Arial" w:hAnsi="Arial"/>
          <w:i/>
          <w:sz w:val="24"/>
          <w:u w:val="single"/>
        </w:rPr>
        <w:t>Reincidente: </w:t>
      </w:r>
      <w:r>
        <w:rPr>
          <w:rFonts w:ascii="Arial" w:hAnsi="Arial"/>
          <w:sz w:val="24"/>
        </w:rPr>
        <w:t>Son infecciones que se presentan de 3 o más episodios durante 12 meses, relacionadas comúnmente con complicaciones urinarias o sistémicas (Albert y col. 2004). Las IBTUC reincidentes pueden clasificarse  como infecciones por recaída, reinfección o infección</w:t>
      </w:r>
      <w:r>
        <w:rPr>
          <w:rFonts w:ascii="Arial" w:hAnsi="Arial"/>
          <w:spacing w:val="-2"/>
          <w:sz w:val="24"/>
        </w:rPr>
        <w:t> </w:t>
      </w:r>
      <w:r>
        <w:rPr>
          <w:rFonts w:ascii="Arial" w:hAnsi="Arial"/>
          <w:sz w:val="24"/>
        </w:rPr>
        <w:t>refractaría.</w:t>
      </w:r>
    </w:p>
    <w:p>
      <w:pPr>
        <w:spacing w:after="0" w:line="357" w:lineRule="auto"/>
        <w:jc w:val="both"/>
        <w:rPr>
          <w:rFonts w:ascii="Arial" w:hAnsi="Arial"/>
          <w:sz w:val="24"/>
        </w:rPr>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212" w:right="148" w:hanging="360"/>
        <w:jc w:val="both"/>
      </w:pPr>
      <w:r>
        <w:rPr>
          <w:i/>
          <w:w w:val="90"/>
        </w:rPr>
        <w:t>A </w:t>
      </w:r>
      <w:r>
        <w:rPr>
          <w:i/>
        </w:rPr>
        <w:t>La recaída </w:t>
      </w:r>
      <w:r>
        <w:rPr/>
        <w:t>es la reincidencia de una infección urinaria pocos días o meses después de haber finalizado el tratamiento aparentemente de forma exitosa. Generalmente se relaciona con un fracaso terapéutico por falta de  penetración del antibiótico al sitio de infección eliminando la causa predisponente, relacionándose siempre con la misma bacteria implicada en los cuadros clínicos</w:t>
      </w:r>
      <w:r>
        <w:rPr>
          <w:spacing w:val="-1"/>
        </w:rPr>
        <w:t> </w:t>
      </w:r>
      <w:r>
        <w:rPr/>
        <w:t>previos.</w:t>
      </w:r>
    </w:p>
    <w:p>
      <w:pPr>
        <w:pStyle w:val="BodyText"/>
        <w:spacing w:line="360" w:lineRule="auto" w:before="2"/>
        <w:ind w:left="1212" w:right="148" w:hanging="360"/>
        <w:jc w:val="both"/>
      </w:pPr>
      <w:r>
        <w:rPr>
          <w:i/>
          <w:w w:val="90"/>
        </w:rPr>
        <w:t>A </w:t>
      </w:r>
      <w:r>
        <w:rPr>
          <w:i/>
        </w:rPr>
        <w:t>La reinfección </w:t>
      </w:r>
      <w:r>
        <w:rPr/>
        <w:t>es la recurrencia de una infección urinaria relacionada con factores que complican el caso, donde se encuentran involucradas bacterias diferentes inclusive las mismas de episodios previos. Se presentan a los meses después de haber tratado con éxito el cuadro clínico anterior.</w:t>
      </w:r>
    </w:p>
    <w:p>
      <w:pPr>
        <w:pStyle w:val="BodyText"/>
        <w:spacing w:line="360" w:lineRule="auto" w:before="2"/>
        <w:ind w:left="1212" w:right="148" w:hanging="360"/>
        <w:jc w:val="both"/>
      </w:pPr>
      <w:r>
        <w:rPr>
          <w:i/>
          <w:w w:val="90"/>
        </w:rPr>
        <w:t>A </w:t>
      </w:r>
      <w:r>
        <w:rPr>
          <w:i/>
        </w:rPr>
        <w:t>La Infección refractaria </w:t>
      </w:r>
      <w:r>
        <w:rPr/>
        <w:t>similar a una infección por recaída excepto que se caracteriza por urocultivos positivos realizados durante el periodo de tratamiento. Se asocian con resistencia bacteriana y/o comunicación directa del epitelio urinario con el medio ambiente como en el caso de uretrostomías perineales, derivaciones urinarias y cateterización uretral por largos periodos.</w:t>
      </w:r>
    </w:p>
    <w:p>
      <w:pPr>
        <w:pStyle w:val="BodyText"/>
        <w:spacing w:before="11"/>
        <w:rPr>
          <w:sz w:val="35"/>
        </w:rPr>
      </w:pPr>
    </w:p>
    <w:p>
      <w:pPr>
        <w:pStyle w:val="ListParagraph"/>
        <w:numPr>
          <w:ilvl w:val="1"/>
          <w:numId w:val="1"/>
        </w:numPr>
        <w:tabs>
          <w:tab w:pos="1213" w:val="left" w:leader="none"/>
        </w:tabs>
        <w:spacing w:line="355" w:lineRule="auto" w:before="0" w:after="0"/>
        <w:ind w:left="1212" w:right="148" w:hanging="360"/>
        <w:jc w:val="both"/>
        <w:rPr>
          <w:rFonts w:ascii="Arial" w:hAnsi="Arial"/>
          <w:sz w:val="24"/>
        </w:rPr>
      </w:pPr>
      <w:r>
        <w:rPr>
          <w:rFonts w:ascii="Arial" w:hAnsi="Arial"/>
          <w:i/>
          <w:sz w:val="24"/>
          <w:u w:val="single"/>
        </w:rPr>
        <w:t>Bacteriuria subclínica: </w:t>
      </w:r>
      <w:r>
        <w:rPr>
          <w:rFonts w:ascii="Arial" w:hAnsi="Arial"/>
          <w:sz w:val="24"/>
        </w:rPr>
        <w:t>Es la presencia de bacterias en el sedimento urinario con ausencia de signos</w:t>
      </w:r>
      <w:r>
        <w:rPr>
          <w:rFonts w:ascii="Arial" w:hAnsi="Arial"/>
          <w:spacing w:val="-1"/>
          <w:sz w:val="24"/>
        </w:rPr>
        <w:t> </w:t>
      </w:r>
      <w:r>
        <w:rPr>
          <w:rFonts w:ascii="Arial" w:hAnsi="Arial"/>
          <w:sz w:val="24"/>
        </w:rPr>
        <w:t>clínicos.</w:t>
      </w:r>
    </w:p>
    <w:p>
      <w:pPr>
        <w:pStyle w:val="BodyText"/>
      </w:pPr>
    </w:p>
    <w:p>
      <w:pPr>
        <w:pStyle w:val="BodyText"/>
        <w:spacing w:line="360" w:lineRule="auto" w:before="145"/>
        <w:ind w:left="144" w:right="148" w:firstLine="708"/>
        <w:jc w:val="both"/>
      </w:pPr>
      <w:r>
        <w:rPr/>
        <w:t>Más del 90% de los microorganismos son sensibles a la ampicilina, amoxicilina, y a las fluoroquinolonas. El tratamiento debe durar entre 7 y 14 días. Si se sospecha compromiso prostático o renal se recomienda continuar por 30 días. En casos de bacteriuria subclínica el tratamiento puede no ser necesario en los animales que no presentes signos clínicos de infección urinaria.</w:t>
      </w:r>
    </w:p>
    <w:p>
      <w:pPr>
        <w:pStyle w:val="BodyText"/>
      </w:pPr>
    </w:p>
    <w:p>
      <w:pPr>
        <w:pStyle w:val="BodyText"/>
        <w:spacing w:line="360" w:lineRule="auto" w:before="144"/>
        <w:ind w:left="144" w:right="148" w:firstLine="708"/>
        <w:jc w:val="both"/>
      </w:pPr>
      <w:r>
        <w:rPr/>
        <w:t>En los casos de infección reincidente es necesario realizar un urocultivo dos semanas después de suspender la terapia antibiótica para comprobar el éxito o la reincidencia de la IBTU (Naber 1999), cualquier crecimiento bacteriano durante el tratamiento indica fracaso del tratamiento y el caso necesita ser reevaluado (Weese y col. 2011).</w:t>
      </w:r>
    </w:p>
    <w:p>
      <w:pPr>
        <w:spacing w:after="0" w:line="360" w:lineRule="auto"/>
        <w:jc w:val="both"/>
        <w:sectPr>
          <w:pgSz w:w="12240" w:h="15840"/>
          <w:pgMar w:header="886" w:footer="882" w:top="1140" w:bottom="1080" w:left="1560" w:right="980"/>
        </w:sectPr>
      </w:pPr>
    </w:p>
    <w:p>
      <w:pPr>
        <w:pStyle w:val="BodyText"/>
        <w:rPr>
          <w:sz w:val="20"/>
        </w:rPr>
      </w:pPr>
    </w:p>
    <w:p>
      <w:pPr>
        <w:pStyle w:val="BodyText"/>
        <w:rPr>
          <w:sz w:val="22"/>
        </w:rPr>
      </w:pPr>
    </w:p>
    <w:p>
      <w:pPr>
        <w:pStyle w:val="Heading3"/>
        <w:spacing w:before="69"/>
      </w:pPr>
      <w:r>
        <w:rPr/>
        <w:t>Urolitiasis</w:t>
      </w:r>
    </w:p>
    <w:p>
      <w:pPr>
        <w:pStyle w:val="BodyText"/>
        <w:spacing w:line="24" w:lineRule="exact"/>
        <w:ind w:left="132"/>
        <w:rPr>
          <w:sz w:val="2"/>
        </w:rPr>
      </w:pPr>
      <w:r>
        <w:rPr>
          <w:sz w:val="2"/>
        </w:rPr>
        <w:pict>
          <v:group style="width:59.3pt;height:1.2pt;mso-position-horizontal-relative:char;mso-position-vertical-relative:line" coordorigin="0,0" coordsize="1186,24">
            <v:line style="position:absolute" from="12,12" to="1174,12" stroked="true" strokeweight="1.2pt" strokecolor="#000000"/>
          </v:group>
        </w:pict>
      </w:r>
      <w:r>
        <w:rPr>
          <w:sz w:val="2"/>
        </w:rPr>
      </w:r>
    </w:p>
    <w:p>
      <w:pPr>
        <w:pStyle w:val="BodyText"/>
        <w:rPr>
          <w:b/>
          <w:sz w:val="20"/>
        </w:rPr>
      </w:pPr>
    </w:p>
    <w:p>
      <w:pPr>
        <w:pStyle w:val="BodyText"/>
        <w:spacing w:before="3"/>
        <w:rPr>
          <w:b/>
          <w:sz w:val="29"/>
        </w:rPr>
      </w:pPr>
    </w:p>
    <w:p>
      <w:pPr>
        <w:pStyle w:val="Heading3"/>
        <w:spacing w:before="69"/>
      </w:pPr>
      <w:r>
        <w:rPr/>
        <w:t>Generalidades</w:t>
      </w:r>
    </w:p>
    <w:p>
      <w:pPr>
        <w:pStyle w:val="BodyText"/>
        <w:rPr>
          <w:b/>
        </w:rPr>
      </w:pPr>
    </w:p>
    <w:p>
      <w:pPr>
        <w:pStyle w:val="BodyText"/>
        <w:spacing w:before="2"/>
        <w:rPr>
          <w:b/>
        </w:rPr>
      </w:pPr>
    </w:p>
    <w:p>
      <w:pPr>
        <w:pStyle w:val="BodyText"/>
        <w:spacing w:line="360" w:lineRule="auto"/>
        <w:ind w:left="144" w:right="148" w:firstLine="708"/>
        <w:jc w:val="both"/>
      </w:pPr>
      <w:r>
        <w:rPr/>
        <w:t>La urolitiasis se define como la formación de piedras a partir de sedimentos compuestos por uno o más cristaloides poco solubles en las vías urinarias.</w:t>
      </w:r>
    </w:p>
    <w:p>
      <w:pPr>
        <w:pStyle w:val="BodyText"/>
      </w:pPr>
    </w:p>
    <w:p>
      <w:pPr>
        <w:pStyle w:val="BodyText"/>
        <w:spacing w:line="360" w:lineRule="auto" w:before="144"/>
        <w:ind w:left="144" w:right="148" w:firstLine="708"/>
        <w:jc w:val="both"/>
      </w:pPr>
      <w:r>
        <w:rPr/>
        <w:t>La urolitiasis en si no es un problema que se debe tomar de manera aislada si no considerar que es una patología que está estrechamente relacionada con factores bioquímicos, fisiológicos, patológicos, congénitos, hereditarios o adquiridos. Se han implicado aspectos epidemiológicos, influidos por diferentes factores de riesgo, como la raza, el sexo, la edad, la dieta, alteraciones anatómicas y funcionales, alteraciones metabólicas, infección del tracto urinario, pH urinario, geográficos y hereditarios (Osborne y col. 1999).</w:t>
      </w:r>
    </w:p>
    <w:p>
      <w:pPr>
        <w:pStyle w:val="BodyText"/>
      </w:pPr>
    </w:p>
    <w:p>
      <w:pPr>
        <w:pStyle w:val="BodyText"/>
        <w:spacing w:line="360" w:lineRule="auto" w:before="144"/>
        <w:ind w:left="144" w:right="148" w:firstLine="708"/>
        <w:jc w:val="both"/>
      </w:pPr>
      <w:r>
        <w:rPr/>
        <w:t>Esta patología constituye un problema frecuente y recurrente en los perros alrededor del mundo, siendo la causa de aproximadamente el 18% de las consultas en perros con signos de enfermedad del tracto urinario caudal en hospitales de USA  (Lulich y col. 2000). La prevalencia solo ha sido determinada en Suecia y Noruega siendo del 0.05% y 0.24% respectivamente (Wallestrom y Wagberg</w:t>
      </w:r>
      <w:r>
        <w:rPr>
          <w:spacing w:val="-3"/>
        </w:rPr>
        <w:t> </w:t>
      </w:r>
      <w:r>
        <w:rPr/>
        <w:t>1992).</w:t>
      </w:r>
    </w:p>
    <w:p>
      <w:pPr>
        <w:pStyle w:val="BodyText"/>
      </w:pPr>
    </w:p>
    <w:p>
      <w:pPr>
        <w:pStyle w:val="BodyText"/>
        <w:spacing w:line="360" w:lineRule="auto" w:before="139"/>
        <w:ind w:left="144" w:right="148" w:firstLine="708"/>
        <w:jc w:val="both"/>
      </w:pPr>
      <w:r>
        <w:rPr/>
        <w:t>Los urolitos pueden estar formados por minerales como la estruvita, oxalato de calcio, purinas (ácido úrico, urato de amonio, urato de sodio, xatina, etc.), cistina y sílice</w:t>
      </w:r>
      <w:r>
        <w:rPr>
          <w:w w:val="41"/>
        </w:rPr>
        <w:t>X</w:t>
      </w:r>
      <w:r>
        <w:rPr>
          <w:spacing w:val="16"/>
        </w:rPr>
        <w:t> </w:t>
      </w:r>
      <w:r>
        <w:rPr/>
        <w:t>las</w:t>
      </w:r>
      <w:r>
        <w:rPr>
          <w:spacing w:val="16"/>
        </w:rPr>
        <w:t> </w:t>
      </w:r>
      <w:r>
        <w:rPr/>
        <w:t>mezclas</w:t>
      </w:r>
      <w:r>
        <w:rPr>
          <w:spacing w:val="16"/>
        </w:rPr>
        <w:t> </w:t>
      </w:r>
      <w:r>
        <w:rPr/>
        <w:t>de</w:t>
      </w:r>
      <w:r>
        <w:rPr>
          <w:spacing w:val="16"/>
        </w:rPr>
        <w:t> </w:t>
      </w:r>
      <w:r>
        <w:rPr/>
        <w:t>estos</w:t>
      </w:r>
      <w:r>
        <w:rPr>
          <w:spacing w:val="16"/>
        </w:rPr>
        <w:t> </w:t>
      </w:r>
      <w:r>
        <w:rPr/>
        <w:t>mi</w:t>
      </w:r>
      <w:r>
        <w:rPr>
          <w:spacing w:val="-1"/>
        </w:rPr>
        <w:t>n</w:t>
      </w:r>
      <w:r>
        <w:rPr/>
        <w:t>erales</w:t>
      </w:r>
      <w:r>
        <w:rPr>
          <w:spacing w:val="16"/>
        </w:rPr>
        <w:t> </w:t>
      </w:r>
      <w:r>
        <w:rPr/>
        <w:t>forman</w:t>
      </w:r>
      <w:r>
        <w:rPr>
          <w:spacing w:val="16"/>
        </w:rPr>
        <w:t> </w:t>
      </w:r>
      <w:r>
        <w:rPr/>
        <w:t>urolitos</w:t>
      </w:r>
      <w:r>
        <w:rPr>
          <w:spacing w:val="16"/>
        </w:rPr>
        <w:t> </w:t>
      </w:r>
      <w:r>
        <w:rPr/>
        <w:t>mixtos</w:t>
      </w:r>
      <w:r>
        <w:rPr>
          <w:spacing w:val="16"/>
        </w:rPr>
        <w:t> </w:t>
      </w:r>
      <w:r>
        <w:rPr/>
        <w:t>o</w:t>
      </w:r>
      <w:r>
        <w:rPr>
          <w:spacing w:val="16"/>
        </w:rPr>
        <w:t> </w:t>
      </w:r>
      <w:r>
        <w:rPr/>
        <w:t>compuestos,</w:t>
      </w:r>
      <w:r>
        <w:rPr>
          <w:spacing w:val="16"/>
        </w:rPr>
        <w:t> </w:t>
      </w:r>
      <w:r>
        <w:rPr/>
        <w:t>por</w:t>
      </w:r>
      <w:r>
        <w:rPr>
          <w:spacing w:val="16"/>
        </w:rPr>
        <w:t> </w:t>
      </w:r>
      <w:r>
        <w:rPr/>
        <w:t>lo</w:t>
      </w:r>
      <w:r>
        <w:rPr>
          <w:spacing w:val="16"/>
        </w:rPr>
        <w:t> </w:t>
      </w:r>
      <w:r>
        <w:rPr/>
        <w:t>que es indispensable que una vez que el urolito es extraído de las vías urinarias se analizado mediante microscopía estereoscópica y una técnica de análisis físico (espectroscopía infrarroja o difractometría de Rx) (Figura</w:t>
      </w:r>
      <w:r>
        <w:rPr>
          <w:spacing w:val="-3"/>
        </w:rPr>
        <w:t> </w:t>
      </w:r>
      <w:r>
        <w:rPr/>
        <w:t>10).</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Heading3"/>
        <w:spacing w:before="70"/>
      </w:pPr>
      <w:r>
        <w:rPr/>
        <w:t>Análisis de la composición de los urolitos</w:t>
      </w:r>
    </w:p>
    <w:p>
      <w:pPr>
        <w:pStyle w:val="BodyText"/>
        <w:rPr>
          <w:b/>
        </w:rPr>
      </w:pPr>
    </w:p>
    <w:p>
      <w:pPr>
        <w:pStyle w:val="BodyText"/>
        <w:spacing w:before="2"/>
        <w:rPr>
          <w:b/>
        </w:rPr>
      </w:pPr>
    </w:p>
    <w:p>
      <w:pPr>
        <w:pStyle w:val="BodyText"/>
        <w:spacing w:line="360" w:lineRule="auto"/>
        <w:ind w:left="144" w:right="148" w:firstLine="708"/>
        <w:jc w:val="both"/>
      </w:pPr>
      <w:r>
        <w:rPr/>
        <w:t>Los urolitos están conformados por cuatro capas del interior al exterior: </w:t>
      </w:r>
      <w:r>
        <w:rPr>
          <w:i/>
        </w:rPr>
        <w:t>núcleo, </w:t>
      </w:r>
      <w:r>
        <w:rPr>
          <w:i/>
        </w:rPr>
        <w:t>piedra, corteza y cristales de superficie. </w:t>
      </w:r>
      <w:r>
        <w:rPr/>
        <w:t>El </w:t>
      </w:r>
      <w:r>
        <w:rPr>
          <w:i/>
        </w:rPr>
        <w:t>núcleo </w:t>
      </w:r>
      <w:r>
        <w:rPr/>
        <w:t>es el inicio del proceso formado por cristales urinarios de algún mineral o diferentes minerales se adhieren y pueden combinarse con matriz orgánica o cuerpos extraños (pelo, suturas), alrededor del  núcleo se forman múltiples capas excéntricas de cristales dándole volumen al urolito llamada </w:t>
      </w:r>
      <w:r>
        <w:rPr>
          <w:i/>
        </w:rPr>
        <w:t>piedra o cuerpo</w:t>
      </w:r>
      <w:r>
        <w:rPr/>
        <w:t>, la última capa externa completa del urolito se llama </w:t>
      </w:r>
      <w:r>
        <w:rPr>
          <w:i/>
        </w:rPr>
        <w:t>corteza </w:t>
      </w:r>
      <w:r>
        <w:rPr/>
        <w:t>y finalmente la última capa externa incompleta son los </w:t>
      </w:r>
      <w:r>
        <w:rPr>
          <w:i/>
        </w:rPr>
        <w:t>cristales de superficie </w:t>
      </w:r>
      <w:r>
        <w:rPr/>
        <w:t>que cubren de forma irregular superficie del urolito (Osborne y col.</w:t>
      </w:r>
      <w:r>
        <w:rPr>
          <w:spacing w:val="-3"/>
        </w:rPr>
        <w:t> </w:t>
      </w:r>
      <w:r>
        <w:rPr/>
        <w:t>1999).</w:t>
      </w:r>
    </w:p>
    <w:p>
      <w:pPr>
        <w:pStyle w:val="BodyText"/>
      </w:pPr>
    </w:p>
    <w:p>
      <w:pPr>
        <w:pStyle w:val="BodyText"/>
        <w:spacing w:line="360" w:lineRule="auto" w:before="139"/>
        <w:ind w:left="144" w:right="148" w:firstLine="774"/>
        <w:jc w:val="both"/>
      </w:pPr>
      <w:r>
        <w:rPr/>
        <w:t>La definitiva identificación de la composición química de los urolitos requiere la combinación de diferentes métodos como microscopia estereoscópica, difracción de Rx, espectroscopia infrarroja, la microscopia electrónica de barrido y la cristalografía óptica, permitiendo saber el porcentaje de cada componente del urolito y también su localización en las diferentes capas del urolito (Osborne y col. 1999) (Figura</w:t>
      </w:r>
      <w:r>
        <w:rPr>
          <w:spacing w:val="63"/>
        </w:rPr>
        <w:t> </w:t>
      </w:r>
      <w:r>
        <w:rPr/>
        <w:t>8).</w:t>
      </w:r>
    </w:p>
    <w:p>
      <w:pPr>
        <w:pStyle w:val="BodyText"/>
      </w:pPr>
    </w:p>
    <w:p>
      <w:pPr>
        <w:pStyle w:val="BodyText"/>
        <w:spacing w:line="360" w:lineRule="auto" w:before="144"/>
        <w:ind w:left="144" w:right="148" w:firstLine="708"/>
        <w:jc w:val="both"/>
      </w:pPr>
      <w:r>
        <w:rPr/>
        <w:t>Para un análisis detallado se encuentran dos métodos que en conjunto dan un resultado más preciso y confiable de la composición de los urolitos, como es el método fisicoquímico cualitativo y cuantitativo que consta de la microscopía estereoscópica y espectroscopía infrarroja. El método físico cualitativo por medio de un microscopio esteroscópico evalúa la superficie externa e interna del urolito, en el cual se observan la arquitectura y estructura con la finalidad de diferenciar las capas que componen el urolito (Figura 7). La espectroscopia infrarroja proporciona la información necesaria sobre las particularidades cristaloquímicas de los minerales, y se fundamenta en la interacción de la materia con la radiación. Esta interacción va a provocar procesos de absorción, emisión y reflexión propios de las moléculas estudiadas, las particularidades específicas de cualquier espectro infrarrojo, se determinan por los movimientos vibracionales y rotacionales de los grupos anatómicos estudiados.</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2" w:lineRule="auto" w:before="70"/>
        <w:ind w:left="144" w:right="148" w:firstLine="708"/>
        <w:jc w:val="both"/>
      </w:pPr>
      <w:r>
        <w:rPr/>
        <w:t>Así todos los espectros infrarrojos de los minerales están relacionados con las particularidades de composición química y estructura cristalina (Ostrooumov 2007).</w:t>
      </w:r>
    </w:p>
    <w:p>
      <w:pPr>
        <w:pStyle w:val="BodyText"/>
        <w:spacing w:before="10"/>
        <w:rPr>
          <w:sz w:val="35"/>
        </w:rPr>
      </w:pPr>
    </w:p>
    <w:p>
      <w:pPr>
        <w:pStyle w:val="BodyText"/>
        <w:spacing w:line="360" w:lineRule="auto"/>
        <w:ind w:left="144" w:right="148" w:firstLine="708"/>
        <w:jc w:val="both"/>
      </w:pPr>
      <w:r>
        <w:rPr/>
        <w:t>Cada una de las capas puede tener una composición diferente o igual a las otras. En urolitos de más de 5 mm es posible determinar la composición cada una de las capas que conforman el urolitos. Cuando una capa del urolito está compuesta de al menos un 70% de un solo mineral esta recibe el nombre del mineral. Si presenta menos del 70% de un mineral se denomina mixta (Figura 9). Si el urolito tiene un núcleo diferente a la piedra, corteza o cristales de superficie se denomina urolito compuesto (Osborne y col.</w:t>
      </w:r>
      <w:r>
        <w:rPr>
          <w:spacing w:val="-1"/>
        </w:rPr>
        <w:t> </w:t>
      </w:r>
      <w:r>
        <w:rPr/>
        <w:t>1999).</w:t>
      </w:r>
    </w:p>
    <w:p>
      <w:pPr>
        <w:pStyle w:val="BodyText"/>
      </w:pPr>
    </w:p>
    <w:p>
      <w:pPr>
        <w:pStyle w:val="Heading3"/>
      </w:pPr>
      <w:r>
        <w:rPr/>
        <w:t>Patogenia de la urolitiasis</w:t>
      </w:r>
    </w:p>
    <w:p>
      <w:pPr>
        <w:pStyle w:val="BodyText"/>
        <w:rPr>
          <w:b/>
        </w:rPr>
      </w:pPr>
    </w:p>
    <w:p>
      <w:pPr>
        <w:pStyle w:val="BodyText"/>
        <w:spacing w:before="2"/>
        <w:rPr>
          <w:b/>
        </w:rPr>
      </w:pPr>
    </w:p>
    <w:p>
      <w:pPr>
        <w:pStyle w:val="BodyText"/>
        <w:spacing w:line="360" w:lineRule="auto"/>
        <w:ind w:left="144" w:right="148" w:firstLine="708"/>
        <w:jc w:val="both"/>
      </w:pPr>
      <w:r>
        <w:rPr/>
        <w:t>El riñón excreta con la orina diferentes sustancias derivadas del metabolismo en cantidades variables que sobresaturan la orina, a mayor presencia provocan una mayor sobresaturación urinaria que en condiciones fisicoquímicas de la orina adecuadas favorecen la formación de cristales característicos de uno o diferentes minerales. Así que las condiciones de sobresaturación y fisicoquímicas de la orina presentes por  largos periodos pueden favorecer la formación y crecimiento del</w:t>
      </w:r>
      <w:r>
        <w:rPr>
          <w:spacing w:val="-1"/>
        </w:rPr>
        <w:t> </w:t>
      </w:r>
      <w:r>
        <w:rPr/>
        <w:t>urolito.</w:t>
      </w:r>
    </w:p>
    <w:p>
      <w:pPr>
        <w:pStyle w:val="BodyText"/>
      </w:pPr>
    </w:p>
    <w:p>
      <w:pPr>
        <w:pStyle w:val="BodyText"/>
        <w:spacing w:line="360" w:lineRule="auto" w:before="139"/>
        <w:ind w:left="144" w:right="148" w:firstLine="708"/>
        <w:jc w:val="both"/>
      </w:pPr>
      <w:r>
        <w:rPr/>
        <w:t>Para la formación y crecimiento del urolito es necesario una sucesión de etapas como cambios en la concentración urinaria de componentes químicos (necesaria para  la precipitación de un mineral), cambios en el pH urinario, disminución o modificación de sustancias orgánicas e inorgánicas que inhiben o dificultan la formación de un determinado cristal (citrato, magnesio, pirofosfato y proteínas sintetizadas por el riñón),  y sustancias promotoras de la cristalización (detritus, proteínas, bacterias). Es importante considerar que generalmente los factores promotores de la cristalización están compensados por los factores inhibidores de la cristalización, evitando así la formación de cristales. Existiendo una alteración en cualquiera de estos mecanismos se puede predisponer a la formación de un urolito (Lieske y col.</w:t>
      </w:r>
      <w:r>
        <w:rPr>
          <w:spacing w:val="-3"/>
        </w:rPr>
        <w:t> </w:t>
      </w:r>
      <w:r>
        <w:rPr/>
        <w:t>2000).</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271" w:lineRule="auto" w:before="70"/>
        <w:ind w:left="144" w:right="144"/>
      </w:pPr>
      <w:r>
        <w:rPr/>
        <w:t>Lo anterior expresa el mecanismo fisiopatológico general de la urolitiasis, pero debemos considerar que cada mineral tiene un mecanismo fisiopatológico particular.</w:t>
      </w:r>
    </w:p>
    <w:p>
      <w:pPr>
        <w:pStyle w:val="BodyText"/>
      </w:pPr>
    </w:p>
    <w:p>
      <w:pPr>
        <w:pStyle w:val="BodyText"/>
        <w:spacing w:before="9"/>
        <w:rPr>
          <w:sz w:val="30"/>
        </w:rPr>
      </w:pPr>
    </w:p>
    <w:p>
      <w:pPr>
        <w:pStyle w:val="Heading3"/>
        <w:spacing w:before="0"/>
      </w:pPr>
      <w:r>
        <w:rPr/>
        <w:t>Urolitiasis de estruvita</w:t>
      </w:r>
    </w:p>
    <w:p>
      <w:pPr>
        <w:pStyle w:val="BodyText"/>
        <w:rPr>
          <w:b/>
        </w:rPr>
      </w:pPr>
    </w:p>
    <w:p>
      <w:pPr>
        <w:pStyle w:val="BodyText"/>
        <w:spacing w:before="9"/>
        <w:rPr>
          <w:b/>
          <w:sz w:val="23"/>
        </w:rPr>
      </w:pPr>
    </w:p>
    <w:p>
      <w:pPr>
        <w:pStyle w:val="BodyText"/>
        <w:spacing w:line="360" w:lineRule="auto"/>
        <w:ind w:left="144" w:right="148" w:firstLine="708"/>
        <w:jc w:val="both"/>
      </w:pPr>
      <w:r>
        <w:rPr/>
        <w:t>Para la formación de los urolitos de estruvita es necesaria la sobresaturación en la orina de fosfato amónico magnésico. La mayoría de los urolitos de estruvita en los perros se asocian a una infección del tracto urinario por bacterias productoras de ureasa, las más comunes </w:t>
      </w:r>
      <w:r>
        <w:rPr>
          <w:i/>
        </w:rPr>
        <w:t>son Estafilococos spp., Estreptococos spp y Proteus spp. </w:t>
      </w:r>
      <w:r>
        <w:rPr/>
        <w:t>La Ureasa es una enzima que en presencia de agua hidroliza la urea aumentando la concentración de amoniaco y dióxido de carbono produciendo así una orina alcalina y  en presencia de magnesio y fosfato se forman cristales de estruvita (Osborne y col. 20</w:t>
      </w:r>
      <w:r>
        <w:rPr>
          <w:spacing w:val="-1"/>
        </w:rPr>
        <w:t>0</w:t>
      </w:r>
      <w:r>
        <w:rPr/>
        <w:t>9</w:t>
      </w:r>
      <w:r>
        <w:rPr>
          <w:w w:val="41"/>
        </w:rPr>
        <w:t>X</w:t>
      </w:r>
      <w:r>
        <w:rPr/>
        <w:t> Vraveloba y co</w:t>
      </w:r>
      <w:r>
        <w:rPr>
          <w:spacing w:val="-1"/>
        </w:rPr>
        <w:t>l</w:t>
      </w:r>
      <w:r>
        <w:rPr/>
        <w:t>. 2011).</w:t>
      </w:r>
    </w:p>
    <w:p>
      <w:pPr>
        <w:pStyle w:val="BodyText"/>
      </w:pPr>
    </w:p>
    <w:p>
      <w:pPr>
        <w:pStyle w:val="BodyText"/>
        <w:spacing w:line="360" w:lineRule="auto" w:before="139"/>
        <w:ind w:left="144" w:right="148" w:firstLine="708"/>
        <w:jc w:val="both"/>
      </w:pPr>
      <w:r>
        <w:rPr/>
        <w:t>Los urolitos de estruvita son los más frecuentes en perros y en la mayoría de los casos se presenta más en hembras que en los machos (Del Ángel y col. 2010). Este  tipo de urolitos puede disolverse con dietas terapéuticas y requiere una terapia antibiótica adecuada, y mantener este tratamiento durante la disolución del urolito ya que se pueden ir eliminando bacterias de las capas del urolito a medida que  se disuelve. Los urolitos son moderadamente radiopacos y adoptan la forma donde se encuentren y cuando son múltiples presentan caras planas  y lisas de forma</w:t>
      </w:r>
      <w:r>
        <w:rPr>
          <w:spacing w:val="-1"/>
        </w:rPr>
        <w:t> </w:t>
      </w:r>
      <w:r>
        <w:rPr/>
        <w:t>piramidal.</w:t>
      </w:r>
    </w:p>
    <w:p>
      <w:pPr>
        <w:pStyle w:val="BodyText"/>
      </w:pPr>
    </w:p>
    <w:p>
      <w:pPr>
        <w:pStyle w:val="Heading3"/>
      </w:pPr>
      <w:r>
        <w:rPr/>
        <w:t>Urolitiasis de oxalato de calcio (OxCa)</w:t>
      </w:r>
    </w:p>
    <w:p>
      <w:pPr>
        <w:pStyle w:val="BodyText"/>
        <w:rPr>
          <w:b/>
        </w:rPr>
      </w:pPr>
    </w:p>
    <w:p>
      <w:pPr>
        <w:pStyle w:val="BodyText"/>
        <w:spacing w:before="2"/>
        <w:rPr>
          <w:b/>
        </w:rPr>
      </w:pPr>
    </w:p>
    <w:p>
      <w:pPr>
        <w:pStyle w:val="BodyText"/>
        <w:spacing w:line="360" w:lineRule="auto"/>
        <w:ind w:left="144" w:right="148" w:firstLine="708"/>
        <w:jc w:val="both"/>
      </w:pPr>
      <w:r>
        <w:rPr/>
        <w:t>Se pueden presentar dos formas cristalinas de oxalato de calcio: monohidratado  y dihidratado. La hipercalciuria y la oxaluria aumentan el riesgo de que se formen urolitos de oxalato de calcio. La hipercalciuria puede producirse por diferentes razones: excesiva absorción de calcio por el intestino, alteración en la reabsorción de calcio en los túbulos renales y por desmineralización ósea (Osborne y col.</w:t>
      </w:r>
      <w:r>
        <w:rPr>
          <w:spacing w:val="-2"/>
        </w:rPr>
        <w:t> </w:t>
      </w:r>
      <w:r>
        <w:rPr/>
        <w:t>2009).</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La concentración urinaria de oxalato tiene más efecto sobre la saturación urinaria de OxCa que un aumento equivalente de la concentración de calcio en la orina. El oxalato urinario deriva principalmente de la producción endógena por el metabolismo hepático de ácido ascórbico, el glioxilato y la glicina y en menor cantidad de la procedente de la dieta. La hiperabsorción intestinal o la síntesis acelerada de ácido oxálico pueden producir hiperoxaluria. En los mamíferos se ha identificado el oxalobacter forgimenes en el tracto gastrointestinal, que es una bacteria que degrada el oxalato para su energía y se ha reportado que en perros la presencia de esta bacteria juega un rol importante para la prevención de la formación de la urolitiasis de OxCa (Weese y Palmer 2009</w:t>
      </w:r>
      <w:r>
        <w:rPr>
          <w:w w:val="41"/>
        </w:rPr>
        <w:t>X</w:t>
      </w:r>
      <w:r>
        <w:rPr/>
        <w:t> Gnanandarajah y col. 2012).</w:t>
      </w:r>
    </w:p>
    <w:p>
      <w:pPr>
        <w:pStyle w:val="BodyText"/>
      </w:pPr>
    </w:p>
    <w:p>
      <w:pPr>
        <w:pStyle w:val="BodyText"/>
        <w:spacing w:line="360" w:lineRule="auto" w:before="139"/>
        <w:ind w:left="144" w:right="148" w:firstLine="708"/>
        <w:jc w:val="both"/>
      </w:pPr>
      <w:r>
        <w:rPr/>
        <w:t>El oxalato de calcio es poco soluble y un pH urinario acido aumenta el riesgo de formación de cristales, aunque también se pueden formar con cualquier pH. Los urolitos son de tamaño pequeño de 1mm a 1.5 cm, color café claro y presentan protrusiones puntiagudas desde su superficie.</w:t>
      </w:r>
    </w:p>
    <w:p>
      <w:pPr>
        <w:pStyle w:val="BodyText"/>
      </w:pPr>
    </w:p>
    <w:p>
      <w:pPr>
        <w:pStyle w:val="Heading3"/>
      </w:pPr>
      <w:r>
        <w:rPr/>
        <w:t>Urolitiasis de purinas</w:t>
      </w:r>
    </w:p>
    <w:p>
      <w:pPr>
        <w:pStyle w:val="BodyText"/>
        <w:rPr>
          <w:b/>
        </w:rPr>
      </w:pPr>
    </w:p>
    <w:p>
      <w:pPr>
        <w:pStyle w:val="BodyText"/>
        <w:spacing w:before="2"/>
        <w:rPr>
          <w:b/>
        </w:rPr>
      </w:pPr>
    </w:p>
    <w:p>
      <w:pPr>
        <w:pStyle w:val="BodyText"/>
        <w:spacing w:line="360" w:lineRule="auto"/>
        <w:ind w:left="144" w:right="148" w:firstLine="708"/>
        <w:jc w:val="both"/>
      </w:pPr>
      <w:r>
        <w:rPr/>
        <w:t>Los urolitos de urato incluyen los compuestos de ácido úrico, urato de amonio, urato de sodio y xantina. El ácido úrico es producto de la degradación de las purinas endógenas y las provenientes de la dieta. Las purinas se convierten en hipoxantina y xantina y posteriormente a ácido úrico por medio de la enzima xantina oxidasa  (Osborne y col. 2009b). En la mayoría de los perros se cataboliza el ácido úrico a alantoina por medio de la enzima uricasa a excepción de la raza dálmata ya que presentan una alteración genética donde el hígado no puede metabolizar completamente el ácido úrico aunque tenga niveles normales de uricasa, ya que existe un defecto que no permite el transporte del ácido úrico al interior de las células hepáticas y también los túbulos renales absorben menos ácido úrico que otras razas (mutación del gen SLC2A9) (Stone  y</w:t>
      </w:r>
      <w:r>
        <w:rPr>
          <w:spacing w:val="-1"/>
        </w:rPr>
        <w:t> </w:t>
      </w:r>
      <w:r>
        <w:rPr/>
        <w:t>Barsanti</w:t>
      </w:r>
      <w:r>
        <w:rPr>
          <w:spacing w:val="-1"/>
        </w:rPr>
        <w:t> </w:t>
      </w:r>
      <w:r>
        <w:rPr/>
        <w:t>199</w:t>
      </w:r>
      <w:r>
        <w:rPr>
          <w:spacing w:val="-1"/>
        </w:rPr>
        <w:t>2</w:t>
      </w:r>
      <w:r>
        <w:rPr>
          <w:w w:val="41"/>
        </w:rPr>
        <w:t>X</w:t>
      </w:r>
      <w:r>
        <w:rPr/>
        <w:t> Bannasch y co</w:t>
      </w:r>
      <w:r>
        <w:rPr>
          <w:spacing w:val="-1"/>
        </w:rPr>
        <w:t>l</w:t>
      </w:r>
      <w:r>
        <w:rPr/>
        <w:t>. 2008).</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2" w:lineRule="auto" w:before="70"/>
        <w:ind w:left="144" w:right="148" w:firstLine="708"/>
        <w:jc w:val="both"/>
      </w:pPr>
      <w:r>
        <w:rPr/>
        <w:t>Por ello existe un aumento en la excreción urinaria de ácido úrico lo que predispone a la formación de los urolitos.</w:t>
      </w:r>
    </w:p>
    <w:p>
      <w:pPr>
        <w:pStyle w:val="BodyText"/>
        <w:spacing w:before="10"/>
        <w:rPr>
          <w:sz w:val="35"/>
        </w:rPr>
      </w:pPr>
    </w:p>
    <w:p>
      <w:pPr>
        <w:pStyle w:val="BodyText"/>
        <w:spacing w:line="360" w:lineRule="auto"/>
        <w:ind w:left="144" w:right="148" w:firstLine="708"/>
        <w:jc w:val="both"/>
      </w:pPr>
      <w:r>
        <w:rPr/>
        <w:t>En otras razas los posibles factores que puedan afectar para la formación de estos urolitos son el aumento de las concentraciones plasmáticas de la excreción renal  y de la concentración urinaria de ácido úrico, pH urinario bajo y presencia de promotores o ausencia de inhibidores de la formación de urolitos de urato. Los perros con puentes portosistémicos presentan una mayor incidencia de formación de uratos, asociada a la reducción de la conversión hepática de ácido úrico a alantoina y del amoniaco a urea, lo cual provoca hiperuricemia e hiperamoniemia (Stone y Barsanti 1992).</w:t>
      </w:r>
    </w:p>
    <w:p>
      <w:pPr>
        <w:pStyle w:val="BodyText"/>
      </w:pPr>
    </w:p>
    <w:p>
      <w:pPr>
        <w:pStyle w:val="BodyText"/>
        <w:spacing w:line="360" w:lineRule="auto" w:before="139"/>
        <w:ind w:left="144" w:right="148" w:firstLine="708"/>
        <w:jc w:val="both"/>
      </w:pPr>
      <w:r>
        <w:rPr/>
        <w:t>Los factores de riesgo involucrados son las dietas ricas en purinas, un  pH urinario acido (las mismas dietas altas en proteínas constituye un factor que favorece a la aciduria).</w:t>
      </w:r>
    </w:p>
    <w:p>
      <w:pPr>
        <w:pStyle w:val="BodyText"/>
      </w:pPr>
    </w:p>
    <w:p>
      <w:pPr>
        <w:pStyle w:val="BodyText"/>
        <w:spacing w:before="139"/>
        <w:ind w:left="852" w:right="144"/>
      </w:pPr>
      <w:r>
        <w:rPr/>
        <w:t>Los urolitos suelen ser múltiples, pequeños, lisos, ovoides y verdosos.</w:t>
      </w:r>
    </w:p>
    <w:p>
      <w:pPr>
        <w:pStyle w:val="BodyText"/>
      </w:pPr>
    </w:p>
    <w:p>
      <w:pPr>
        <w:pStyle w:val="BodyText"/>
        <w:spacing w:before="10"/>
        <w:rPr>
          <w:sz w:val="30"/>
        </w:rPr>
      </w:pPr>
    </w:p>
    <w:p>
      <w:pPr>
        <w:pStyle w:val="BodyText"/>
        <w:spacing w:line="360" w:lineRule="auto"/>
        <w:ind w:left="144" w:right="148" w:firstLine="708"/>
        <w:jc w:val="both"/>
      </w:pPr>
      <w:r>
        <w:rPr/>
        <w:t>La xantina es producto de la degradación del metabolismo de las purinas que por acción de la enzima xantina deshidrogenasa, se convierte a hipoxantina, ésta a xantina y finalmente a ácido úrico. La xantina es la menos soluble en la orina por tanto se asocia en la formación de urolitos especialmente en presencia de un pH  ácido  (Osborne y col.</w:t>
      </w:r>
      <w:r>
        <w:rPr>
          <w:spacing w:val="-2"/>
        </w:rPr>
        <w:t> </w:t>
      </w:r>
      <w:r>
        <w:rPr/>
        <w:t>2009b).</w:t>
      </w:r>
    </w:p>
    <w:p>
      <w:pPr>
        <w:pStyle w:val="BodyText"/>
      </w:pPr>
    </w:p>
    <w:p>
      <w:pPr>
        <w:pStyle w:val="BodyText"/>
        <w:spacing w:line="360" w:lineRule="auto" w:before="139"/>
        <w:ind w:left="144" w:right="148" w:firstLine="708"/>
        <w:jc w:val="both"/>
      </w:pPr>
      <w:r>
        <w:rPr/>
        <w:t>Las causas de xantinuria son de origen primario y secundario. La primaria es hereditaria y es una enfermedad autosómica recesiva caracterizada por la deficiencia  de xantina oxidasa, se ha relacionado con la presencia de esta enfermedad a los cavalier king charles spaniel (Van Zuilen y col. 1997), los dachshunds (Kucera y col. 199</w:t>
      </w:r>
      <w:r>
        <w:rPr>
          <w:spacing w:val="-1"/>
        </w:rPr>
        <w:t>7</w:t>
      </w:r>
      <w:r>
        <w:rPr>
          <w:w w:val="41"/>
        </w:rPr>
        <w:t>X</w:t>
      </w:r>
      <w:r>
        <w:rPr/>
        <w:t> Flegel</w:t>
      </w:r>
      <w:r>
        <w:rPr>
          <w:spacing w:val="-1"/>
        </w:rPr>
        <w:t> </w:t>
      </w:r>
      <w:r>
        <w:rPr/>
        <w:t>y col. 1998) y en gatos (Tsuchida y co</w:t>
      </w:r>
      <w:r>
        <w:rPr>
          <w:spacing w:val="-1"/>
        </w:rPr>
        <w:t>l</w:t>
      </w:r>
      <w:r>
        <w:rPr/>
        <w:t>. 200</w:t>
      </w:r>
      <w:r>
        <w:rPr>
          <w:spacing w:val="-1"/>
        </w:rPr>
        <w:t>7</w:t>
      </w:r>
      <w:r>
        <w:rPr>
          <w:w w:val="41"/>
        </w:rPr>
        <w:t>X</w:t>
      </w:r>
      <w:r>
        <w:rPr/>
        <w:t> Shweighauser y co</w:t>
      </w:r>
      <w:r>
        <w:rPr>
          <w:spacing w:val="-1"/>
        </w:rPr>
        <w:t>l</w:t>
      </w:r>
      <w:r>
        <w:rPr/>
        <w:t>. 2009).</w:t>
      </w:r>
    </w:p>
    <w:p>
      <w:pPr>
        <w:spacing w:after="0" w:line="360" w:lineRule="auto"/>
        <w:jc w:val="both"/>
        <w:sectPr>
          <w:footerReference w:type="default" r:id="rId12"/>
          <w:pgSz w:w="12240" w:h="15840"/>
          <w:pgMar w:footer="882" w:header="886"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La de origen secundario se presenta por una inhibición de la enzima xantina deshidrogenasa inducida por fármacos como el alopurinol que es administrado en pacientes con hiperuricemia, el cual es un isómero sintético de la hipoxantina que rápidamente se une e inhibe la acción de la xantina oxidasa y por lo tanto disminuye la producción de ácido úrico, inhibiendo la conversión de hipoxantina a xantina y xantina a ácido úrico, y así ocasionando hipouricemia, hiperxantinemia, y la xantinuria lo que induce la formación de urolitos de xantina (Bartges y col. 1992</w:t>
      </w:r>
      <w:r>
        <w:rPr>
          <w:w w:val="41"/>
        </w:rPr>
        <w:t>X</w:t>
      </w:r>
      <w:r>
        <w:rPr/>
        <w:t> Osborne y col. 2009b).</w:t>
      </w:r>
    </w:p>
    <w:p>
      <w:pPr>
        <w:pStyle w:val="BodyText"/>
      </w:pPr>
    </w:p>
    <w:p>
      <w:pPr>
        <w:pStyle w:val="BodyText"/>
        <w:spacing w:line="360" w:lineRule="auto" w:before="139"/>
        <w:ind w:left="144" w:right="148" w:firstLine="708"/>
        <w:jc w:val="both"/>
      </w:pPr>
      <w:r>
        <w:rPr/>
        <w:t>La xantina es poco soluble en la orina y el pH acido es otro factor de riesgo por lo tanto se asocia a la formación de urolitos (). La radiodensidad de los urolitos de xantina es similar a los tejidos blandos, por lo que no se observan fácilmente en radiografías simples. Por lo general se recurre a la utilización de estudios ultrasonográficos o radiográficos con medio de contraste para el diagnóstico de urolitiasis (Bartges y col. 1992).</w:t>
      </w:r>
    </w:p>
    <w:p>
      <w:pPr>
        <w:pStyle w:val="BodyText"/>
      </w:pPr>
    </w:p>
    <w:p>
      <w:pPr>
        <w:pStyle w:val="Heading3"/>
      </w:pPr>
      <w:r>
        <w:rPr/>
        <w:t>Urolitiasis de silicato</w:t>
      </w:r>
    </w:p>
    <w:p>
      <w:pPr>
        <w:pStyle w:val="BodyText"/>
        <w:rPr>
          <w:b/>
        </w:rPr>
      </w:pPr>
    </w:p>
    <w:p>
      <w:pPr>
        <w:pStyle w:val="BodyText"/>
        <w:spacing w:before="2"/>
        <w:rPr>
          <w:b/>
        </w:rPr>
      </w:pPr>
    </w:p>
    <w:p>
      <w:pPr>
        <w:pStyle w:val="BodyText"/>
        <w:spacing w:line="360" w:lineRule="auto"/>
        <w:ind w:left="144" w:right="148" w:firstLine="708"/>
        <w:jc w:val="both"/>
      </w:pPr>
      <w:r>
        <w:rPr/>
        <w:t>El Silicato es un compuesto originado de la combinación de oxígeno y sílice, es un mineral muy abundante en la corteza terrestre y se encuentra en algunos alimentos como en los tejidos vegetales y diluidos en el agua principalmente.</w:t>
      </w:r>
    </w:p>
    <w:p>
      <w:pPr>
        <w:pStyle w:val="BodyText"/>
      </w:pPr>
    </w:p>
    <w:p>
      <w:pPr>
        <w:pStyle w:val="BodyText"/>
        <w:spacing w:line="360" w:lineRule="auto" w:before="139"/>
        <w:ind w:left="144" w:right="148" w:firstLine="708"/>
        <w:jc w:val="both"/>
      </w:pPr>
      <w:r>
        <w:rPr/>
        <w:t>Se ha propuesto que la urolitiasis de sílice se desarrolla debido al aumento de la ingestión de este mineral en la dieta o en la ingesta de agua que contiene alto  contenido de sílice, como las aguas subterráneas locales (Del Ángel y col. 2010). Las partículas de este elemento llegan al plasma sanguíneo donde permanecen en solución y se absorbe, pasa a los tejidos y son eliminados por el riñón y el intestino, es excretado por heces y orina.</w:t>
      </w:r>
    </w:p>
    <w:p>
      <w:pPr>
        <w:spacing w:after="0" w:line="360" w:lineRule="auto"/>
        <w:jc w:val="both"/>
        <w:sectPr>
          <w:footerReference w:type="default" r:id="rId13"/>
          <w:pgSz w:w="12240" w:h="15840"/>
          <w:pgMar w:footer="882" w:header="886" w:top="1140" w:bottom="1080" w:left="1560" w:right="980"/>
          <w:pgNumType w:start="21"/>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La eliminación renal depende de la cantidad de sílice ingerida, en perros la concentración normal es de 1 mg de sílice en 100 ml de orina (King y col. 1993) y cuando se sobre pasan los niveles normales y se encuentran condiciones adecuadas  en la vejiga se forman los urolitos de silicato. El pH urinario no parece influir en la precipitación de los cálculos de sílice.</w:t>
      </w:r>
    </w:p>
    <w:p>
      <w:pPr>
        <w:pStyle w:val="BodyText"/>
      </w:pPr>
    </w:p>
    <w:p>
      <w:pPr>
        <w:pStyle w:val="BodyText"/>
        <w:spacing w:line="360" w:lineRule="auto" w:before="144"/>
        <w:ind w:left="144" w:right="148" w:firstLine="708"/>
        <w:jc w:val="both"/>
      </w:pPr>
      <w:r>
        <w:rPr/>
        <w:t>En la mayoría de los casos afecta principalmente a los machos siendo las razas con más frecuencia el pastor alemán, golden retriever y labrador (Ling  y col. 1998).</w:t>
      </w:r>
    </w:p>
    <w:p>
      <w:pPr>
        <w:pStyle w:val="BodyText"/>
      </w:pPr>
    </w:p>
    <w:p>
      <w:pPr>
        <w:pStyle w:val="BodyText"/>
        <w:spacing w:line="360" w:lineRule="auto" w:before="144"/>
        <w:ind w:left="144" w:right="148" w:firstLine="708"/>
        <w:jc w:val="both"/>
      </w:pPr>
      <w:r>
        <w:rPr/>
        <w:t>Los urolitos de silicato tienen diferentes formas siendo la más común con protrusiones que varían en número y tamaño, algunas son largas y delgadas mientras que otras son romas y poco aparentes (Forma de matatena) (Osborne y col. 1999), de tamaño variable desde unos milímetros hasta centímetros, en la mayoría de los casos pueden ser múltiples aunque pueden presentarse solitarios (Figura 6).</w:t>
      </w:r>
    </w:p>
    <w:p>
      <w:pPr>
        <w:pStyle w:val="BodyText"/>
      </w:pPr>
    </w:p>
    <w:p>
      <w:pPr>
        <w:pStyle w:val="Heading3"/>
      </w:pPr>
      <w:r>
        <w:rPr/>
        <w:t>Urolitiasis de Cistina</w:t>
      </w:r>
    </w:p>
    <w:p>
      <w:pPr>
        <w:pStyle w:val="BodyText"/>
        <w:rPr>
          <w:b/>
        </w:rPr>
      </w:pPr>
    </w:p>
    <w:p>
      <w:pPr>
        <w:pStyle w:val="BodyText"/>
        <w:spacing w:before="2"/>
        <w:rPr>
          <w:b/>
        </w:rPr>
      </w:pPr>
    </w:p>
    <w:p>
      <w:pPr>
        <w:pStyle w:val="BodyText"/>
        <w:spacing w:line="360" w:lineRule="auto"/>
        <w:ind w:left="144" w:right="148" w:firstLine="708"/>
        <w:jc w:val="both"/>
      </w:pPr>
      <w:r>
        <w:rPr/>
        <w:t>La cistina es un aminoácido no esencial formado por dos moléculas del aminoácido cisteína. Los urolitos de cistina están asociados con cistinuria. La cistinuria es una anomalía congénita del metabolismo que da lugar a una alteración en el transporte de cisteína y otros aminoácidos en los túbulos renales, se excretan grandes cantidades de cistina y otros aminoácidos. En los perros normales la cistina se reabsorbe en su totalidad, en los perros afectados varia la reabsorción desde total hasta parcial debido a que existe un defecto hereditario de las proteínas transportadoras responsables de la reabsorción tubular (Bartges y col. 1992).</w:t>
      </w:r>
    </w:p>
    <w:p>
      <w:pPr>
        <w:pStyle w:val="BodyText"/>
      </w:pPr>
    </w:p>
    <w:p>
      <w:pPr>
        <w:pStyle w:val="BodyText"/>
        <w:spacing w:line="360" w:lineRule="auto" w:before="144"/>
        <w:ind w:left="144" w:right="148" w:firstLine="708"/>
        <w:jc w:val="both"/>
      </w:pPr>
      <w:r>
        <w:rPr/>
        <w:t>Se desconoce el mecanismo exacto de la formación de urolitos de cistina ya que muchos perros con cistinuria no forman urolitos. La cistina es insoluble en orina acida por lo que los perros con cistinuria y pH bajo están predispuestos a la formación de urolitos (Osborne y col. 1999).</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La prevalencia es más elevada en algunas razas como los daschunds y bulldog inglés y es más común en machos que en hembras. Los urolitos suelen ser rugosos y nudosos y se presentan frecuentemente obstruyendo la uretra, los cristales tienen una forma hexagonal característica.</w:t>
      </w:r>
    </w:p>
    <w:p>
      <w:pPr>
        <w:pStyle w:val="Heading3"/>
        <w:spacing w:before="2"/>
      </w:pPr>
      <w:r>
        <w:rPr/>
        <w:t>Signos clínicos del paciente con urolitiasis</w:t>
      </w:r>
    </w:p>
    <w:p>
      <w:pPr>
        <w:pStyle w:val="BodyText"/>
        <w:rPr>
          <w:b/>
        </w:rPr>
      </w:pPr>
    </w:p>
    <w:p>
      <w:pPr>
        <w:pStyle w:val="BodyText"/>
        <w:spacing w:before="2"/>
        <w:rPr>
          <w:b/>
        </w:rPr>
      </w:pPr>
    </w:p>
    <w:p>
      <w:pPr>
        <w:pStyle w:val="BodyText"/>
        <w:spacing w:line="360" w:lineRule="auto"/>
        <w:ind w:left="144" w:right="148" w:firstLine="708"/>
        <w:jc w:val="both"/>
      </w:pPr>
      <w:r>
        <w:rPr/>
        <w:t>Los signos clínicos varían de acuerdo con la localización del urolito, los más frecuentes son: hematuria, estranguria y polaquiuria, esto derivado de la lesión e inflamación que causan los urolitos en la mucosa del tracto urinario.</w:t>
      </w:r>
    </w:p>
    <w:p>
      <w:pPr>
        <w:pStyle w:val="BodyText"/>
      </w:pPr>
    </w:p>
    <w:p>
      <w:pPr>
        <w:pStyle w:val="Heading3"/>
        <w:spacing w:before="144"/>
      </w:pPr>
      <w:r>
        <w:rPr/>
        <w:t>Diagnóstico</w:t>
      </w:r>
    </w:p>
    <w:p>
      <w:pPr>
        <w:pStyle w:val="BodyText"/>
        <w:rPr>
          <w:b/>
        </w:rPr>
      </w:pPr>
    </w:p>
    <w:p>
      <w:pPr>
        <w:pStyle w:val="BodyText"/>
        <w:spacing w:before="9"/>
        <w:rPr>
          <w:b/>
          <w:sz w:val="23"/>
        </w:rPr>
      </w:pPr>
    </w:p>
    <w:p>
      <w:pPr>
        <w:pStyle w:val="BodyText"/>
        <w:spacing w:line="360" w:lineRule="auto"/>
        <w:ind w:left="144" w:right="148" w:firstLine="708"/>
        <w:jc w:val="both"/>
      </w:pPr>
      <w:r>
        <w:rPr/>
        <w:t>Para el diagnóstico se deben realizar pruebas de laboratorio: análisis de orina, urocultivo y diagnóstico por imagen: radiografía y ecografía necesarios para confirmar la urolitiasis, ya que nos permiten identificar la localización, número, tamaño, densidad y forma del urolito. Es importante que en las radiografías incluyan todas las vías urinarias como la uretra distal, la uretra perineal y peneana debido a que muchas veces se pasa por alto y pueden existir urolitos en esta región provocando una obstrucción (Figura 4).</w:t>
      </w:r>
    </w:p>
    <w:p>
      <w:pPr>
        <w:pStyle w:val="BodyText"/>
      </w:pPr>
    </w:p>
    <w:p>
      <w:pPr>
        <w:pStyle w:val="BodyText"/>
        <w:spacing w:line="360" w:lineRule="auto" w:before="139"/>
        <w:ind w:left="144" w:right="148" w:firstLine="708"/>
        <w:jc w:val="both"/>
      </w:pPr>
      <w:r>
        <w:rPr/>
        <w:t>Los urolitos pueden llegar a formarse en cualquier parte de las vías urinarias sin embargo se ha reportado que la mayoría de los urolitos son encontrados en la vejiga  y/o uretra (Osborne y col.</w:t>
      </w:r>
      <w:r>
        <w:rPr>
          <w:spacing w:val="-1"/>
        </w:rPr>
        <w:t> </w:t>
      </w:r>
      <w:r>
        <w:rPr/>
        <w:t>2009).</w:t>
      </w:r>
    </w:p>
    <w:p>
      <w:pPr>
        <w:pStyle w:val="BodyText"/>
      </w:pPr>
    </w:p>
    <w:p>
      <w:pPr>
        <w:pStyle w:val="Heading3"/>
        <w:spacing w:before="144"/>
      </w:pPr>
      <w:r>
        <w:rPr/>
        <w:t>Tratamiento</w:t>
      </w:r>
    </w:p>
    <w:p>
      <w:pPr>
        <w:pStyle w:val="BodyText"/>
        <w:rPr>
          <w:b/>
        </w:rPr>
      </w:pPr>
    </w:p>
    <w:p>
      <w:pPr>
        <w:pStyle w:val="BodyText"/>
        <w:spacing w:before="9"/>
        <w:rPr>
          <w:b/>
          <w:sz w:val="23"/>
        </w:rPr>
      </w:pPr>
    </w:p>
    <w:p>
      <w:pPr>
        <w:pStyle w:val="BodyText"/>
        <w:spacing w:line="360" w:lineRule="auto"/>
        <w:ind w:left="144" w:right="148" w:firstLine="708"/>
        <w:jc w:val="both"/>
      </w:pPr>
      <w:r>
        <w:rPr/>
        <w:t>El manejo de la urolitiasis comprende el alivio de todos los signos clínicos, en ocasiones la urolitiasis puede provocar obstrucción en los uréteres o uretra y obstruir el flujo de la orina ocasionando azotemia posrrenal y enfermedad renal.</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En caso de existir obstrucción uretral es importante desobstruir lo antes posible, se puede realizar urohidropropulsión retrograda para desobstruir la uretra y una cistocentésis para la descompresión de vejiga urinaria (Lulich y col. 1993), en algunos casos suelen salir urolitos muy pequeños o arenillas al momento de la desobstrucción,  o pueden ser retirados por medio de endoscopia (Figura 5), cuando los urolitos se han detectado que son demasiado grandes como para pasar por la uretra o urolitos que no pueden disolverse como el oxalato de calcio, fosfatos o sílice es necesario realizar procedimiento quirúrgico recalcando que el procedimiento quirúrgico no es  el tratamiento</w:t>
      </w:r>
      <w:r>
        <w:rPr>
          <w:spacing w:val="-2"/>
        </w:rPr>
        <w:t> </w:t>
      </w:r>
      <w:r>
        <w:rPr/>
        <w:t>definitivo.</w:t>
      </w:r>
    </w:p>
    <w:p>
      <w:pPr>
        <w:pStyle w:val="BodyText"/>
      </w:pPr>
    </w:p>
    <w:p>
      <w:pPr>
        <w:pStyle w:val="BodyText"/>
        <w:spacing w:line="360" w:lineRule="auto" w:before="144"/>
        <w:ind w:left="144" w:right="148" w:firstLine="708"/>
        <w:jc w:val="both"/>
      </w:pPr>
      <w:r>
        <w:rPr/>
        <w:t>Es importante tratar la infección urinaria ya que pueden predisponer a una infección bacteriana en las vías urinarias por bacterias productoras de ureasa. La modificación dietética es importante para evitar la recurrencia tras la extracción quirúrgica o la disolución, favoreciendo la dilución urinaria, modificación del pH de la orina y estimulación de la diuresis para ayudar a reducir la saturación urinaria con minerales calculogénicos y aumentar el volumen urinario por tanto, aumentar el número de micciones y evitar la formación de cristales (Stone y Barsanti 1992).</w:t>
      </w:r>
    </w:p>
    <w:p>
      <w:pPr>
        <w:pStyle w:val="BodyText"/>
      </w:pPr>
    </w:p>
    <w:p>
      <w:pPr>
        <w:pStyle w:val="BodyText"/>
        <w:spacing w:line="360" w:lineRule="auto" w:before="144"/>
        <w:ind w:left="144" w:right="148" w:firstLine="708"/>
        <w:jc w:val="both"/>
      </w:pPr>
      <w:r>
        <w:rPr/>
        <w:t>Por medio de la dieta puede resultar eficaz la disolución, solo en el caso de la estruvita, ya que en una orina acida se inhibe la precipitación de los cristales de estruvita y se pueden disolver los urolitos, caso contrario con los cristales de oxalato, ya que se pueden formar a cualquier pH si la concentración de sus precursores es adecuada. La probabilidad de recurrencia parece ser máxima en los caso de urolitos metabólicos como el oxalato de calcio, uratos y</w:t>
      </w:r>
      <w:r>
        <w:rPr>
          <w:spacing w:val="-1"/>
        </w:rPr>
        <w:t> </w:t>
      </w:r>
      <w:r>
        <w:rPr/>
        <w:t>cistina.</w:t>
      </w:r>
    </w:p>
    <w:p>
      <w:pPr>
        <w:pStyle w:val="BodyText"/>
      </w:pPr>
    </w:p>
    <w:p>
      <w:pPr>
        <w:pStyle w:val="BodyText"/>
        <w:spacing w:line="360" w:lineRule="auto" w:before="139"/>
        <w:ind w:left="144" w:right="148" w:firstLine="708"/>
        <w:jc w:val="both"/>
      </w:pPr>
      <w:r>
        <w:rPr/>
        <w:t>Para un tratamiento correcto y prevención de la urolitiasis es necesario conocer  la composición química del urolito para así determinar las causas fisiopatológicas involucradas en su formación.</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Heading3"/>
        <w:spacing w:before="70"/>
      </w:pPr>
      <w:r>
        <w:rPr/>
        <w:t>Alteraciones de la micción</w:t>
      </w:r>
    </w:p>
    <w:p>
      <w:pPr>
        <w:pStyle w:val="BodyText"/>
        <w:spacing w:line="24" w:lineRule="exact"/>
        <w:ind w:left="132"/>
        <w:rPr>
          <w:sz w:val="2"/>
        </w:rPr>
      </w:pPr>
      <w:r>
        <w:rPr>
          <w:sz w:val="2"/>
        </w:rPr>
        <w:pict>
          <v:group style="width:152.65pt;height:1.2pt;mso-position-horizontal-relative:char;mso-position-vertical-relative:line" coordorigin="0,0" coordsize="3053,24">
            <v:line style="position:absolute" from="12,12" to="3041,12" stroked="true" strokeweight="1.2pt" strokecolor="#000000"/>
          </v:group>
        </w:pict>
      </w:r>
      <w:r>
        <w:rPr>
          <w:sz w:val="2"/>
        </w:rPr>
      </w:r>
    </w:p>
    <w:p>
      <w:pPr>
        <w:pStyle w:val="BodyText"/>
        <w:rPr>
          <w:b/>
          <w:sz w:val="20"/>
        </w:rPr>
      </w:pPr>
    </w:p>
    <w:p>
      <w:pPr>
        <w:pStyle w:val="BodyText"/>
        <w:spacing w:before="1"/>
        <w:rPr>
          <w:b/>
          <w:sz w:val="20"/>
        </w:rPr>
      </w:pPr>
    </w:p>
    <w:p>
      <w:pPr>
        <w:pStyle w:val="BodyText"/>
        <w:spacing w:line="360" w:lineRule="auto" w:before="69"/>
        <w:ind w:left="144" w:right="148" w:firstLine="708"/>
        <w:jc w:val="both"/>
      </w:pPr>
      <w:r>
        <w:rPr/>
        <w:t>La micción se define como el proceso fisiológico de la alternancia entre la fase de almacenamiento (la vejiga se llena y se relaja) y la evacuación de la orina (la vejiga se contrae y la orina es expulsada) (Ling 1995). Requiere de la coordinación del sistema nervioso, la vejiga y uretra, (contracción y relajación alterna de la musculatura lisa de la vejiga y el esfínter uretral interno y externo), siendo generalmente en los perros un acto consciente que está sujeto a un control voluntario (Fenner 1993).</w:t>
      </w:r>
    </w:p>
    <w:p>
      <w:pPr>
        <w:pStyle w:val="BodyText"/>
      </w:pPr>
    </w:p>
    <w:p>
      <w:pPr>
        <w:pStyle w:val="Heading3"/>
        <w:spacing w:before="144"/>
      </w:pPr>
      <w:r>
        <w:rPr/>
        <w:t>Fisiología de la micción</w:t>
      </w:r>
    </w:p>
    <w:p>
      <w:pPr>
        <w:pStyle w:val="BodyText"/>
        <w:rPr>
          <w:b/>
        </w:rPr>
      </w:pPr>
    </w:p>
    <w:p>
      <w:pPr>
        <w:pStyle w:val="BodyText"/>
        <w:spacing w:before="9"/>
        <w:rPr>
          <w:b/>
          <w:sz w:val="23"/>
        </w:rPr>
      </w:pPr>
    </w:p>
    <w:p>
      <w:pPr>
        <w:pStyle w:val="BodyText"/>
        <w:spacing w:line="360" w:lineRule="auto"/>
        <w:ind w:left="144" w:right="148" w:firstLine="708"/>
        <w:jc w:val="both"/>
      </w:pPr>
      <w:r>
        <w:rPr/>
        <w:t>Los componentes anatómicos incluyen el musculo detrusor (musculo liso que forma el cuerpo y cuello de la vejiga), esfínter uretral interno (musculo liso de la unión uretrovesical y esfínter uretral externo (musculo estriado que rodea la unión uretrovesical) (Ling 1995).</w:t>
      </w:r>
    </w:p>
    <w:p>
      <w:pPr>
        <w:pStyle w:val="BodyText"/>
      </w:pPr>
    </w:p>
    <w:p>
      <w:pPr>
        <w:pStyle w:val="BodyText"/>
        <w:spacing w:line="360" w:lineRule="auto" w:before="139"/>
        <w:ind w:left="144" w:right="148" w:firstLine="708"/>
        <w:jc w:val="both"/>
      </w:pPr>
      <w:r>
        <w:rPr/>
        <w:t>La inervación de la vejiga está dada por el nervio pélvico que provee inervación parasimpática (colinérgica), se origina de los segmentos medulares sacros S1[S3, esta actividad inerva al musculo detrusor provocando contracción para el vaciado completo de la vejiga.</w:t>
      </w:r>
    </w:p>
    <w:p>
      <w:pPr>
        <w:pStyle w:val="BodyText"/>
      </w:pPr>
    </w:p>
    <w:p>
      <w:pPr>
        <w:pStyle w:val="BodyText"/>
        <w:spacing w:line="360" w:lineRule="auto" w:before="139"/>
        <w:ind w:left="144" w:right="148" w:firstLine="708"/>
        <w:jc w:val="both"/>
      </w:pPr>
      <w:r>
        <w:rPr/>
        <w:t>La inervación simpática (adrenérgica) está determinada por el nervio hipogástrico que se origina de los segmentos medulares lumbares L1[L4 y prevalece en la fase de llenado, provee inervación β[adrenérgica al musculo liso provocando relajación cuando es estimulado y α[adrenérgica en el cuello de la vejiga y el musculo liso uretral produciendo contracción realizándose así la continencia urinaria.</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El nervio pudendo (Inervación somática) se origina en los segmentos medulares sacros S1[S3 también está involucrado en la fase de vaciado, proporcionando control voluntario en el esfínter uretral externo, la musculatura perineal y el inicio de la presión abdominal los cuales facilitan el vaciado.</w:t>
      </w:r>
    </w:p>
    <w:p>
      <w:pPr>
        <w:pStyle w:val="BodyText"/>
      </w:pPr>
    </w:p>
    <w:p>
      <w:pPr>
        <w:pStyle w:val="BodyText"/>
        <w:spacing w:line="360" w:lineRule="auto" w:before="144"/>
        <w:ind w:left="144" w:right="148" w:firstLine="708"/>
        <w:jc w:val="both"/>
      </w:pPr>
      <w:r>
        <w:rPr/>
        <w:t>Estímulos aferentes de intensidad débil se transmiten a través del nervio pélvico (sensación del llenado vesical, necesidad de orinar), el nervio hipogástrico (sensación de dolor o el exceso de distensión) y el centro de la micción después de la estimulación de los receptores de estiramiento situado en el músculo detrusor (Fenner 1993X Fischer y lane 2007).</w:t>
      </w:r>
    </w:p>
    <w:p>
      <w:pPr>
        <w:pStyle w:val="BodyText"/>
      </w:pPr>
    </w:p>
    <w:p>
      <w:pPr>
        <w:pStyle w:val="BodyText"/>
        <w:spacing w:line="360" w:lineRule="auto" w:before="139"/>
        <w:ind w:left="144" w:right="148" w:firstLine="708"/>
        <w:jc w:val="both"/>
      </w:pPr>
      <w:r>
        <w:rPr/>
        <w:t>Cuando la vejiga no alcanza su volumen umbral, el sistema nervioso simpático domina y estimula a los receptores β[adrenérgicos y causa una contracción del esfínter interno para evitar el escape de orina. Cuando la vejiga alcanza su volumen umbral, la micción inicia la fase. Una descarga parasimpática inicia la micción refleja, mientras que el centro de la micción es estimulado y el reflejo parasimpático es activado (Nickel y Venker[Van Haagen 1999), la contracción del detrusor ocurre después de la liberación de acetilcolina y la estimulación de los receptores muscarínicos de la vejiga. Al mismo tiempo, las estimulaciones nerviosas simpática y somática se inhiben para iniciar el vaciado.</w:t>
      </w:r>
    </w:p>
    <w:p>
      <w:pPr>
        <w:pStyle w:val="BodyText"/>
      </w:pPr>
    </w:p>
    <w:p>
      <w:pPr>
        <w:pStyle w:val="BodyText"/>
        <w:spacing w:line="360" w:lineRule="auto" w:before="139"/>
        <w:ind w:left="144" w:right="148" w:firstLine="708"/>
        <w:jc w:val="both"/>
      </w:pPr>
      <w:r>
        <w:rPr/>
        <w:t>Las alteraciones de la micción se pueden clasificar de acuerdo a la fase de almacenamiento y a la fase de emisión lo cual determina la presentación de incontinencia y la retención urinaria. También según su etiología y pueden ser de origen neurológico </w:t>
      </w:r>
      <w:r>
        <w:rPr>
          <w:spacing w:val="-8"/>
        </w:rPr>
        <w:t> </w:t>
      </w:r>
      <w:r>
        <w:rPr/>
        <w:t>o </w:t>
      </w:r>
      <w:r>
        <w:rPr>
          <w:spacing w:val="-8"/>
        </w:rPr>
        <w:t> </w:t>
      </w:r>
      <w:r>
        <w:rPr/>
        <w:t>funcional </w:t>
      </w:r>
      <w:r>
        <w:rPr>
          <w:spacing w:val="-8"/>
        </w:rPr>
        <w:t> </w:t>
      </w:r>
      <w:r>
        <w:rPr/>
        <w:t>(Fenner </w:t>
      </w:r>
      <w:r>
        <w:rPr>
          <w:spacing w:val="-8"/>
        </w:rPr>
        <w:t> </w:t>
      </w:r>
      <w:r>
        <w:rPr/>
        <w:t>1993</w:t>
      </w:r>
      <w:r>
        <w:rPr>
          <w:w w:val="41"/>
        </w:rPr>
        <w:t>X</w:t>
      </w:r>
      <w:r>
        <w:rPr/>
        <w:t> </w:t>
      </w:r>
      <w:r>
        <w:rPr>
          <w:spacing w:val="-8"/>
        </w:rPr>
        <w:t> </w:t>
      </w:r>
      <w:r>
        <w:rPr/>
        <w:t>Gregory </w:t>
      </w:r>
      <w:r>
        <w:rPr>
          <w:spacing w:val="-8"/>
        </w:rPr>
        <w:t> </w:t>
      </w:r>
      <w:r>
        <w:rPr/>
        <w:t>19</w:t>
      </w:r>
      <w:r>
        <w:rPr>
          <w:spacing w:val="-1"/>
        </w:rPr>
        <w:t>9</w:t>
      </w:r>
      <w:r>
        <w:rPr/>
        <w:t>4</w:t>
      </w:r>
      <w:r>
        <w:rPr>
          <w:w w:val="41"/>
        </w:rPr>
        <w:t>X</w:t>
      </w:r>
      <w:r>
        <w:rPr/>
        <w:t> </w:t>
      </w:r>
      <w:r>
        <w:rPr>
          <w:spacing w:val="-8"/>
        </w:rPr>
        <w:t> </w:t>
      </w:r>
      <w:r>
        <w:rPr>
          <w:spacing w:val="-1"/>
        </w:rPr>
        <w:t>Labat</w:t>
      </w:r>
      <w:r>
        <w:rPr/>
        <w:t>o </w:t>
      </w:r>
      <w:r>
        <w:rPr>
          <w:spacing w:val="-8"/>
        </w:rPr>
        <w:t> </w:t>
      </w:r>
      <w:r>
        <w:rPr/>
        <w:t>200</w:t>
      </w:r>
      <w:r>
        <w:rPr>
          <w:spacing w:val="-1"/>
        </w:rPr>
        <w:t>5</w:t>
      </w:r>
      <w:r>
        <w:rPr>
          <w:w w:val="41"/>
        </w:rPr>
        <w:t>X</w:t>
      </w:r>
      <w:r>
        <w:rPr/>
        <w:t> </w:t>
      </w:r>
      <w:r>
        <w:rPr>
          <w:spacing w:val="-8"/>
        </w:rPr>
        <w:t> </w:t>
      </w:r>
      <w:r>
        <w:rPr/>
        <w:t>Fischer </w:t>
      </w:r>
      <w:r>
        <w:rPr>
          <w:spacing w:val="-8"/>
        </w:rPr>
        <w:t> </w:t>
      </w:r>
      <w:r>
        <w:rPr/>
        <w:t>y </w:t>
      </w:r>
      <w:r>
        <w:rPr>
          <w:spacing w:val="-8"/>
        </w:rPr>
        <w:t> </w:t>
      </w:r>
      <w:r>
        <w:rPr/>
        <w:t>Lane 2007).</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Heading3"/>
        <w:spacing w:before="70"/>
      </w:pPr>
      <w:r>
        <w:rPr/>
        <w:t>Incontinencia Urinaria</w:t>
      </w:r>
    </w:p>
    <w:p>
      <w:pPr>
        <w:pStyle w:val="BodyText"/>
        <w:rPr>
          <w:b/>
        </w:rPr>
      </w:pPr>
    </w:p>
    <w:p>
      <w:pPr>
        <w:pStyle w:val="BodyText"/>
        <w:spacing w:before="2"/>
        <w:rPr>
          <w:b/>
        </w:rPr>
      </w:pPr>
    </w:p>
    <w:p>
      <w:pPr>
        <w:pStyle w:val="BodyText"/>
        <w:spacing w:line="360" w:lineRule="auto"/>
        <w:ind w:left="144" w:right="148" w:firstLine="708"/>
        <w:jc w:val="both"/>
      </w:pPr>
      <w:r>
        <w:rPr/>
        <w:t>La incontinencia urinaria se define como la pérdida involuntaria de orina durante el almacenamiento.</w:t>
      </w:r>
    </w:p>
    <w:p>
      <w:pPr>
        <w:pStyle w:val="BodyText"/>
      </w:pPr>
    </w:p>
    <w:p>
      <w:pPr>
        <w:pStyle w:val="BodyText"/>
        <w:spacing w:line="360" w:lineRule="auto" w:before="144"/>
        <w:ind w:left="144" w:right="148" w:firstLine="708"/>
        <w:jc w:val="both"/>
      </w:pPr>
      <w:r>
        <w:rPr/>
        <w:t>Representa una alteración en la estructura o la función de uno o más componentes del mecanismo de almacenamiento: anormalidad anatómica de la terminación ureteral o vejiga, o defecto del desarrollo ureteral, capacidad insuficiente de la vejiga para almacenar orina o disfuncionalidad del cierre ureteral (Acierno y Labato 2006). Puede ser de origen muscular (funcional) o neurológico. Cuando se presenta disfunción vesical, puede estar relacionado a diferentes factores como a una inestabilidad del detrusor, vejiga hiperactiva (hiperreflexia del detrusor), hipoacomodación vesical y también a una disfunción de almacenamiento vesical relacionado a incontinencia congénita (uréter ectópico, uretra o vejiga hipoplasica (Lane y Lappin 1995).</w:t>
      </w:r>
    </w:p>
    <w:p>
      <w:pPr>
        <w:pStyle w:val="BodyText"/>
      </w:pPr>
    </w:p>
    <w:p>
      <w:pPr>
        <w:pStyle w:val="BodyText"/>
        <w:spacing w:line="360" w:lineRule="auto" w:before="139"/>
        <w:ind w:left="144" w:right="148" w:firstLine="708"/>
        <w:jc w:val="both"/>
      </w:pPr>
      <w:r>
        <w:rPr/>
        <w:t>La incompetencia del esfínter uretral es la causa más común de incontinencia urinaria </w:t>
      </w:r>
      <w:r>
        <w:rPr>
          <w:spacing w:val="-27"/>
        </w:rPr>
        <w:t> </w:t>
      </w:r>
      <w:r>
        <w:rPr/>
        <w:t>en </w:t>
      </w:r>
      <w:r>
        <w:rPr>
          <w:spacing w:val="-27"/>
        </w:rPr>
        <w:t> </w:t>
      </w:r>
      <w:r>
        <w:rPr/>
        <w:t>las </w:t>
      </w:r>
      <w:r>
        <w:rPr>
          <w:spacing w:val="-27"/>
        </w:rPr>
        <w:t> </w:t>
      </w:r>
      <w:r>
        <w:rPr/>
        <w:t>perras </w:t>
      </w:r>
      <w:r>
        <w:rPr>
          <w:spacing w:val="-27"/>
        </w:rPr>
        <w:t> </w:t>
      </w:r>
      <w:r>
        <w:rPr/>
        <w:t>esterilizadas </w:t>
      </w:r>
      <w:r>
        <w:rPr>
          <w:spacing w:val="-27"/>
        </w:rPr>
        <w:t> </w:t>
      </w:r>
      <w:r>
        <w:rPr/>
        <w:t>jóven</w:t>
      </w:r>
      <w:r>
        <w:rPr>
          <w:spacing w:val="-1"/>
        </w:rPr>
        <w:t>e</w:t>
      </w:r>
      <w:r>
        <w:rPr/>
        <w:t>s </w:t>
      </w:r>
      <w:r>
        <w:rPr>
          <w:spacing w:val="-27"/>
        </w:rPr>
        <w:t> </w:t>
      </w:r>
      <w:r>
        <w:rPr/>
        <w:t>o </w:t>
      </w:r>
      <w:r>
        <w:rPr>
          <w:spacing w:val="-27"/>
        </w:rPr>
        <w:t> </w:t>
      </w:r>
      <w:r>
        <w:rPr/>
        <w:t>de </w:t>
      </w:r>
      <w:r>
        <w:rPr>
          <w:spacing w:val="-27"/>
        </w:rPr>
        <w:t> </w:t>
      </w:r>
      <w:r>
        <w:rPr/>
        <w:t>mediana </w:t>
      </w:r>
      <w:r>
        <w:rPr>
          <w:spacing w:val="-27"/>
        </w:rPr>
        <w:t> </w:t>
      </w:r>
      <w:r>
        <w:rPr/>
        <w:t>edad </w:t>
      </w:r>
      <w:r>
        <w:rPr>
          <w:spacing w:val="-27"/>
        </w:rPr>
        <w:t> </w:t>
      </w:r>
      <w:r>
        <w:rPr/>
        <w:t>(Holt </w:t>
      </w:r>
      <w:r>
        <w:rPr>
          <w:spacing w:val="-27"/>
        </w:rPr>
        <w:t> </w:t>
      </w:r>
      <w:r>
        <w:rPr/>
        <w:t>1985ª</w:t>
      </w:r>
      <w:r>
        <w:rPr>
          <w:w w:val="41"/>
        </w:rPr>
        <w:t>X</w:t>
      </w:r>
      <w:r>
        <w:rPr/>
        <w:t> </w:t>
      </w:r>
      <w:r>
        <w:rPr>
          <w:spacing w:val="-27"/>
        </w:rPr>
        <w:t> </w:t>
      </w:r>
      <w:r>
        <w:rPr/>
        <w:t>Krawiec 1989). Esta incontinencia adquirida se propone que se produce como consecuencias neurológicas, vasculares o cambios hormonales, también asociada a la ovariohisterectomía, en lugar de un daño mecánico a las vías urinarias (Gregory 1994). Además de la esterilización se han implicado una serie de factores como el tiempo de la esterilización, de la raza, el tamaño corporal, la longitud de la uretra, menor capacidad de responder de los receptores uretrales, la posición del cuello de la vejiga, la obesidad y el corte de cola (Holt y Thrusfield 199</w:t>
      </w:r>
      <w:r>
        <w:rPr>
          <w:spacing w:val="-1"/>
        </w:rPr>
        <w:t>3</w:t>
      </w:r>
      <w:r>
        <w:rPr>
          <w:w w:val="41"/>
        </w:rPr>
        <w:t>X</w:t>
      </w:r>
      <w:r>
        <w:rPr/>
        <w:t> Gregory 199</w:t>
      </w:r>
      <w:r>
        <w:rPr>
          <w:spacing w:val="-1"/>
        </w:rPr>
        <w:t>4</w:t>
      </w:r>
      <w:r>
        <w:rPr>
          <w:w w:val="41"/>
        </w:rPr>
        <w:t>X</w:t>
      </w:r>
      <w:r>
        <w:rPr/>
        <w:t> Thrusfield y co</w:t>
      </w:r>
      <w:r>
        <w:rPr>
          <w:spacing w:val="-1"/>
        </w:rPr>
        <w:t>l</w:t>
      </w:r>
      <w:r>
        <w:rPr/>
        <w:t>. 1998).</w:t>
      </w:r>
    </w:p>
    <w:p>
      <w:pPr>
        <w:pStyle w:val="BodyText"/>
      </w:pPr>
    </w:p>
    <w:p>
      <w:pPr>
        <w:pStyle w:val="BodyText"/>
        <w:spacing w:before="3"/>
        <w:rPr>
          <w:sz w:val="21"/>
        </w:rPr>
      </w:pPr>
    </w:p>
    <w:p>
      <w:pPr>
        <w:pStyle w:val="BodyText"/>
        <w:spacing w:line="360" w:lineRule="auto"/>
        <w:ind w:left="144" w:right="148" w:firstLine="708"/>
        <w:jc w:val="both"/>
      </w:pPr>
      <w:r>
        <w:rPr/>
        <w:t>Al comparar perras continentes con perras incontinentes se observa una disminución de la presión de cierre uretral y diferencias anatómicas (Arnol y col. 1999).</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Y se ha comprobado que los perros castrados tienen excesiva acumulación de colágeno en vejiga y uretra proximal, mayor que el musculo la cual desplaza o supera la capacidad muscular en la vejiga y la uretra lo que puede afectar la función de cierre (Ponglowhapan y col. 2008).</w:t>
      </w:r>
    </w:p>
    <w:p>
      <w:pPr>
        <w:pStyle w:val="BodyText"/>
      </w:pPr>
    </w:p>
    <w:p>
      <w:pPr>
        <w:pStyle w:val="BodyText"/>
        <w:spacing w:line="360" w:lineRule="auto" w:before="144"/>
        <w:ind w:left="144" w:right="148" w:firstLine="708"/>
        <w:jc w:val="both"/>
      </w:pPr>
      <w:r>
        <w:rPr/>
        <w:t>Existe pérdida de orina entre periodos de intermicción (incontinencia paradójica o por rebosamiento) debido a retención urinaria cuando el volumen y la presión de la vejiga urinaria exceden la resistencia.</w:t>
      </w:r>
    </w:p>
    <w:p>
      <w:pPr>
        <w:pStyle w:val="BodyText"/>
      </w:pPr>
    </w:p>
    <w:p>
      <w:pPr>
        <w:pStyle w:val="BodyText"/>
        <w:spacing w:line="360" w:lineRule="auto" w:before="144"/>
        <w:ind w:left="144" w:right="148" w:firstLine="708"/>
        <w:jc w:val="both"/>
      </w:pPr>
      <w:r>
        <w:rPr/>
        <w:t>Es de importancia la historia clínica donde se menciona por lo regular que existe constantemente goteo de orina del paciente, examen físico general donde la palpación de la vejiga nos permite determinar su tono o su distención. Examen neurológico detallado, la incontinencia es factible en los casos de lesiones de neurona motora baja. Así como estudios de imagen (radiología y ultrasonido).</w:t>
      </w:r>
    </w:p>
    <w:p>
      <w:pPr>
        <w:pStyle w:val="BodyText"/>
      </w:pPr>
    </w:p>
    <w:p>
      <w:pPr>
        <w:pStyle w:val="BodyText"/>
        <w:spacing w:before="3"/>
        <w:rPr>
          <w:sz w:val="21"/>
        </w:rPr>
      </w:pPr>
    </w:p>
    <w:p>
      <w:pPr>
        <w:pStyle w:val="Heading3"/>
        <w:spacing w:before="0"/>
      </w:pPr>
      <w:r>
        <w:rPr/>
        <w:t>Retención urinaria</w:t>
      </w:r>
    </w:p>
    <w:p>
      <w:pPr>
        <w:pStyle w:val="BodyText"/>
        <w:rPr>
          <w:b/>
        </w:rPr>
      </w:pPr>
    </w:p>
    <w:p>
      <w:pPr>
        <w:pStyle w:val="BodyText"/>
        <w:spacing w:before="9"/>
        <w:rPr>
          <w:b/>
          <w:sz w:val="23"/>
        </w:rPr>
      </w:pPr>
    </w:p>
    <w:p>
      <w:pPr>
        <w:pStyle w:val="BodyText"/>
        <w:spacing w:line="360" w:lineRule="auto"/>
        <w:ind w:left="144" w:right="148" w:firstLine="708"/>
        <w:jc w:val="both"/>
      </w:pPr>
      <w:r>
        <w:rPr/>
        <w:t>La retención urinaria se define como la imposibilidad de evacuar adecuadamente y de forma voluntaria el contenido vesical lo que conlleva a intentos frecuentes y fallidos para orinar (Fischer y Lane 2007).</w:t>
      </w:r>
    </w:p>
    <w:p>
      <w:pPr>
        <w:pStyle w:val="BodyText"/>
      </w:pPr>
    </w:p>
    <w:p>
      <w:pPr>
        <w:pStyle w:val="BodyText"/>
        <w:spacing w:line="360" w:lineRule="auto" w:before="139"/>
        <w:ind w:left="144" w:right="148" w:firstLine="708"/>
        <w:jc w:val="both"/>
      </w:pPr>
      <w:r>
        <w:rPr/>
        <w:t>La evacuación incompleta y la consecuente retención urinaria se deben a la insuficiencia de los mecanismos de relajación uretral o contracción del detrusor (o ambos). Las causas pueden ser neurogénica o no neurogénica (funcionales) (Fisher y Lane 2007) (Figura 2). De acuerdo a su aparición la podemos clasificar en aguda y crónica. Refiriéndonos a aguda cuando su instauración es de forma brusca sin que  haya alguna referencia previa y la crónica cuando el paciente refiere alteraciones miccionales desde tiempo pasado que va aumentando de forma lenta y progresiva.</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Heading3"/>
        <w:spacing w:before="70"/>
      </w:pPr>
      <w:r>
        <w:rPr/>
        <w:t>Alteraciones en la micción de origen neurológico</w:t>
      </w:r>
    </w:p>
    <w:p>
      <w:pPr>
        <w:pStyle w:val="BodyText"/>
        <w:rPr>
          <w:b/>
        </w:rPr>
      </w:pPr>
    </w:p>
    <w:p>
      <w:pPr>
        <w:pStyle w:val="BodyText"/>
        <w:spacing w:line="360" w:lineRule="auto" w:before="139"/>
        <w:ind w:left="144" w:right="148" w:firstLine="733"/>
        <w:jc w:val="both"/>
      </w:pPr>
      <w:r>
        <w:rPr/>
        <w:t>Las causas neurológicas son debidas a lesiones del sistema nervioso. Diferenciándose en lesiones de la neurona motora alta (NMA): lesiones asociadas con hipertonía uretral, y neurona motora baja (NMB): asociado con hipotonía uretral, trastornos de disinergia del detrusor[uretral por lesiones suprasacrales parciales que pueden resultar en contracción inapropiada o al fracaso de la relajación del músculo uretral asociada con la contracción del musculo detrusor, en donde existe un aumento del tono de la musculatura estriada uretral con o sin aumento de la tonicidad del músculo liso uretral (Hosgood y Hedlund</w:t>
      </w:r>
      <w:r>
        <w:rPr>
          <w:spacing w:val="-1"/>
        </w:rPr>
        <w:t> </w:t>
      </w:r>
      <w:r>
        <w:rPr/>
        <w:t>1993).</w:t>
      </w:r>
    </w:p>
    <w:p>
      <w:pPr>
        <w:pStyle w:val="BodyText"/>
      </w:pPr>
    </w:p>
    <w:p>
      <w:pPr>
        <w:pStyle w:val="BodyText"/>
        <w:spacing w:before="3"/>
        <w:rPr>
          <w:sz w:val="21"/>
        </w:rPr>
      </w:pPr>
    </w:p>
    <w:p>
      <w:pPr>
        <w:pStyle w:val="Heading3"/>
        <w:spacing w:before="0"/>
      </w:pPr>
      <w:r>
        <w:rPr/>
        <w:t>Alteraciones en la micción de origen no neurológico (funcional)</w:t>
      </w:r>
    </w:p>
    <w:p>
      <w:pPr>
        <w:pStyle w:val="BodyText"/>
        <w:rPr>
          <w:b/>
        </w:rPr>
      </w:pPr>
    </w:p>
    <w:p>
      <w:pPr>
        <w:pStyle w:val="BodyText"/>
        <w:spacing w:line="360" w:lineRule="auto" w:before="139"/>
        <w:ind w:left="144" w:right="148" w:firstLine="567"/>
        <w:jc w:val="both"/>
      </w:pPr>
      <w:r>
        <w:rPr/>
        <w:t>Las causas funcionales son principalmente patologías que involucran la integridad del tracto urinario (obstrucción uretral anatómica, tapones de matriz, tumores, urolitos, obstrucción urinaria funcional por espasmos uretrales, atonía primaria del detrusor por sobredistención, estenosis uretrales y uréter ectópico.</w:t>
      </w:r>
    </w:p>
    <w:p>
      <w:pPr>
        <w:pStyle w:val="BodyText"/>
      </w:pPr>
    </w:p>
    <w:p>
      <w:pPr>
        <w:pStyle w:val="BodyText"/>
        <w:spacing w:line="360" w:lineRule="auto" w:before="144"/>
        <w:ind w:left="144" w:right="148" w:firstLine="567"/>
        <w:jc w:val="both"/>
      </w:pPr>
      <w:r>
        <w:rPr/>
        <w:t>La hipertonicidad uretral también puede ser debido a causas no neurológicas por obstrucción de la salida funcional resultante de un aumento de la estimulación del simpático de la musculatura uretral (Fischer y Lane 2007). Esta condición puede ser idiopática o debido a la irritación de la uretra u obstrucción uretral, también puede ser transitoria después de una cirugía abdominal o pélvica.</w:t>
      </w:r>
    </w:p>
    <w:p>
      <w:pPr>
        <w:pStyle w:val="BodyText"/>
      </w:pPr>
    </w:p>
    <w:p>
      <w:pPr>
        <w:pStyle w:val="BodyText"/>
        <w:spacing w:line="360" w:lineRule="auto" w:before="139"/>
        <w:ind w:left="144" w:right="148" w:firstLine="567"/>
        <w:jc w:val="both"/>
      </w:pPr>
      <w:r>
        <w:rPr/>
        <w:t>Otra causa funcional es el uréter ectópico que es una condición congénita, donde el uréter termina en un sitio que no es normal en la que uno o los dos uréteres en lugar de desembocar en la vejiga lo hacen más distalmente en la uretra o vagina.</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567"/>
        <w:jc w:val="both"/>
      </w:pPr>
      <w:r>
        <w:rPr/>
        <w:t>Se asocia frecuéntenme con incontinencia urinaria, a dermatosis crónica vulvar debida a la humedad constante, a infección del tracto urinario y frecuentemente se presenta  </w:t>
      </w:r>
      <w:r>
        <w:rPr>
          <w:spacing w:val="-23"/>
        </w:rPr>
        <w:t> </w:t>
      </w:r>
      <w:r>
        <w:rPr/>
        <w:t>en  </w:t>
      </w:r>
      <w:r>
        <w:rPr>
          <w:spacing w:val="-23"/>
        </w:rPr>
        <w:t> </w:t>
      </w:r>
      <w:r>
        <w:rPr/>
        <w:t>animales  </w:t>
      </w:r>
      <w:r>
        <w:rPr>
          <w:spacing w:val="-23"/>
        </w:rPr>
        <w:t> </w:t>
      </w:r>
      <w:r>
        <w:rPr/>
        <w:t>jóvenes  </w:t>
      </w:r>
      <w:r>
        <w:rPr>
          <w:spacing w:val="-23"/>
        </w:rPr>
        <w:t> </w:t>
      </w:r>
      <w:r>
        <w:rPr/>
        <w:t>(Holt  </w:t>
      </w:r>
      <w:r>
        <w:rPr>
          <w:spacing w:val="-24"/>
        </w:rPr>
        <w:t> </w:t>
      </w:r>
      <w:r>
        <w:rPr/>
        <w:t>y  </w:t>
      </w:r>
      <w:r>
        <w:rPr>
          <w:spacing w:val="-24"/>
        </w:rPr>
        <w:t> </w:t>
      </w:r>
      <w:r>
        <w:rPr/>
        <w:t>Moore  </w:t>
      </w:r>
      <w:r>
        <w:rPr>
          <w:spacing w:val="-24"/>
        </w:rPr>
        <w:t> </w:t>
      </w:r>
      <w:r>
        <w:rPr>
          <w:w w:val="86"/>
        </w:rPr>
        <w:t>1995X</w:t>
      </w:r>
      <w:r>
        <w:rPr/>
        <w:t>  </w:t>
      </w:r>
      <w:r>
        <w:rPr>
          <w:spacing w:val="-24"/>
        </w:rPr>
        <w:t> </w:t>
      </w:r>
      <w:r>
        <w:rPr/>
        <w:t>McLoughlin  </w:t>
      </w:r>
      <w:r>
        <w:rPr>
          <w:spacing w:val="-23"/>
        </w:rPr>
        <w:t> </w:t>
      </w:r>
      <w:r>
        <w:rPr/>
        <w:t>y  </w:t>
      </w:r>
      <w:r>
        <w:rPr>
          <w:spacing w:val="-24"/>
        </w:rPr>
        <w:t> </w:t>
      </w:r>
      <w:r>
        <w:rPr/>
        <w:t>Chew  </w:t>
      </w:r>
      <w:r>
        <w:rPr>
          <w:spacing w:val="-24"/>
        </w:rPr>
        <w:t> </w:t>
      </w:r>
      <w:r>
        <w:rPr/>
        <w:t>200</w:t>
      </w:r>
      <w:r>
        <w:rPr>
          <w:spacing w:val="-1"/>
        </w:rPr>
        <w:t>0</w:t>
      </w:r>
      <w:r>
        <w:rPr>
          <w:w w:val="41"/>
        </w:rPr>
        <w:t>X </w:t>
      </w:r>
      <w:r>
        <w:rPr/>
        <w:t>Sutherland[Smith y col. 2004) (Figura</w:t>
      </w:r>
      <w:r>
        <w:rPr>
          <w:spacing w:val="12"/>
        </w:rPr>
        <w:t> </w:t>
      </w:r>
      <w:r>
        <w:rPr/>
        <w:t>3).</w:t>
      </w:r>
    </w:p>
    <w:p>
      <w:pPr>
        <w:pStyle w:val="BodyText"/>
      </w:pPr>
    </w:p>
    <w:p>
      <w:pPr>
        <w:pStyle w:val="BodyText"/>
        <w:spacing w:line="360" w:lineRule="auto" w:before="144"/>
        <w:ind w:left="144" w:right="148" w:firstLine="567"/>
        <w:jc w:val="both"/>
      </w:pPr>
      <w:r>
        <w:rPr/>
        <w:t>También puede existir retención urinaria por medicamentos como antidepresivos tricíclicos, anticolinérgicos, opioides, bloqueantes de los canales de calcio, y la administración intratecal de morfina (Drake y col. 1998).</w:t>
      </w:r>
    </w:p>
    <w:p>
      <w:pPr>
        <w:pStyle w:val="BodyText"/>
      </w:pPr>
    </w:p>
    <w:p>
      <w:pPr>
        <w:pStyle w:val="BodyText"/>
        <w:spacing w:line="360" w:lineRule="auto" w:before="144"/>
        <w:ind w:left="144" w:right="148" w:firstLine="567"/>
        <w:jc w:val="both"/>
      </w:pPr>
      <w:r>
        <w:rPr/>
        <w:t>El signo común es la incontinencia urinaria por rebosamiento, esfuerzo evidente al orinar, e incremento en el número de intentos para orinar, distensión y dolor abdominal.</w:t>
      </w:r>
    </w:p>
    <w:p>
      <w:pPr>
        <w:pStyle w:val="BodyText"/>
      </w:pPr>
    </w:p>
    <w:p>
      <w:pPr>
        <w:pStyle w:val="Heading3"/>
        <w:ind w:right="0"/>
        <w:jc w:val="both"/>
      </w:pPr>
      <w:r>
        <w:rPr/>
        <w:t>Diagnóstico de las alteraciones en la micción</w:t>
      </w:r>
    </w:p>
    <w:p>
      <w:pPr>
        <w:pStyle w:val="BodyText"/>
        <w:rPr>
          <w:b/>
        </w:rPr>
      </w:pPr>
    </w:p>
    <w:p>
      <w:pPr>
        <w:pStyle w:val="BodyText"/>
        <w:spacing w:before="2"/>
        <w:rPr>
          <w:b/>
        </w:rPr>
      </w:pPr>
    </w:p>
    <w:p>
      <w:pPr>
        <w:pStyle w:val="BodyText"/>
        <w:spacing w:line="360" w:lineRule="auto"/>
        <w:ind w:left="144" w:right="148" w:firstLine="567"/>
        <w:jc w:val="both"/>
      </w:pPr>
      <w:r>
        <w:rPr/>
        <w:t>El diagnóstico se basa en la historia clínica, examen físico general (observación de la micción y medición de la orina residual), el examen neurológico, así como pruebas complementarias: estudios de radiología y ultrasonido.</w:t>
      </w:r>
    </w:p>
    <w:p>
      <w:pPr>
        <w:pStyle w:val="BodyText"/>
      </w:pPr>
    </w:p>
    <w:p>
      <w:pPr>
        <w:pStyle w:val="BodyText"/>
        <w:spacing w:line="360" w:lineRule="auto" w:before="144"/>
        <w:ind w:left="144" w:right="148" w:firstLine="567"/>
        <w:jc w:val="both"/>
      </w:pPr>
      <w:r>
        <w:rPr/>
        <w:t>En los pacientes con trastornos de la micción es necesario conocer el volumen de orina en la vejiga y tener volúmenes de orina residual medidos (Stone 1988). La orina residual se define como el volumen de fluido restante de la vejiga inmediatamente después de la finalización de la micción. Los volúmenes de orina residual han sido utilizado  como  un  índice  de  la  capacidad  de  la  vejiga  para  vaciar  (Moreau  1982</w:t>
      </w:r>
      <w:r>
        <w:rPr>
          <w:w w:val="41"/>
        </w:rPr>
        <w:t>X </w:t>
      </w:r>
      <w:r>
        <w:rPr/>
        <w:t>Krawiec 1989). Se ha sugerido que la orina residual normal debe ser inferior de 0.2 a</w:t>
      </w:r>
    </w:p>
    <w:p>
      <w:pPr>
        <w:pStyle w:val="ListParagraph"/>
        <w:numPr>
          <w:ilvl w:val="1"/>
          <w:numId w:val="2"/>
        </w:numPr>
        <w:tabs>
          <w:tab w:pos="568" w:val="left" w:leader="none"/>
        </w:tabs>
        <w:spacing w:line="360" w:lineRule="auto" w:before="2" w:after="0"/>
        <w:ind w:left="144" w:right="148" w:firstLine="0"/>
        <w:jc w:val="both"/>
        <w:rPr>
          <w:rFonts w:ascii="Arial" w:hAnsi="Arial"/>
          <w:sz w:val="24"/>
        </w:rPr>
      </w:pPr>
      <w:r>
        <w:rPr>
          <w:rFonts w:ascii="Arial" w:hAnsi="Arial"/>
          <w:sz w:val="24"/>
        </w:rPr>
        <w:t>ml/kg, o menos del 10 por ciento del volumen normal (Stone y Barsanti 1992). Un gran volumen residual también puede ser el resultado de causas funcionales y estructurales como una obstrucción del flujo de orina. Si existe una interferencia mecánica significa que el vaciado de la vejiga será incompleto y puede conducir a retención de orina seguido de desbordamiento.</w:t>
      </w:r>
    </w:p>
    <w:p>
      <w:pPr>
        <w:spacing w:after="0" w:line="360" w:lineRule="auto"/>
        <w:jc w:val="both"/>
        <w:rPr>
          <w:rFonts w:ascii="Arial" w:hAnsi="Arial"/>
          <w:sz w:val="24"/>
        </w:rPr>
        <w:sectPr>
          <w:footerReference w:type="default" r:id="rId14"/>
          <w:pgSz w:w="12240" w:h="15840"/>
          <w:pgMar w:footer="882" w:header="886"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567"/>
        <w:jc w:val="both"/>
      </w:pPr>
      <w:r>
        <w:rPr/>
        <w:t>Una cantidad excesiva de orina residual es una señal de evacuación incompleta que puede complicarse con cistitis, reflujo vesico[ureteral, pielonefritis y/o uremia. La medición del volumen residual de orina puede ser estimado por cateterización y por ecografía (Lees 1986).</w:t>
      </w:r>
    </w:p>
    <w:p>
      <w:pPr>
        <w:pStyle w:val="BodyText"/>
      </w:pPr>
    </w:p>
    <w:p>
      <w:pPr>
        <w:pStyle w:val="BodyText"/>
      </w:pPr>
    </w:p>
    <w:p>
      <w:pPr>
        <w:pStyle w:val="BodyText"/>
      </w:pPr>
    </w:p>
    <w:p>
      <w:pPr>
        <w:pStyle w:val="Heading3"/>
        <w:spacing w:before="207"/>
      </w:pPr>
      <w:r>
        <w:rPr>
          <w:u w:val="thick"/>
        </w:rPr>
        <w:t>Enfermedades de la próstata</w:t>
      </w:r>
    </w:p>
    <w:p>
      <w:pPr>
        <w:pStyle w:val="BodyText"/>
        <w:rPr>
          <w:b/>
          <w:sz w:val="20"/>
        </w:rPr>
      </w:pPr>
    </w:p>
    <w:p>
      <w:pPr>
        <w:pStyle w:val="BodyText"/>
        <w:rPr>
          <w:b/>
          <w:sz w:val="20"/>
        </w:rPr>
      </w:pPr>
    </w:p>
    <w:p>
      <w:pPr>
        <w:pStyle w:val="BodyText"/>
        <w:spacing w:before="8"/>
        <w:rPr>
          <w:b/>
          <w:sz w:val="19"/>
        </w:rPr>
      </w:pPr>
    </w:p>
    <w:p>
      <w:pPr>
        <w:pStyle w:val="Heading3"/>
        <w:spacing w:before="69"/>
      </w:pPr>
      <w:r>
        <w:rPr/>
        <w:t>Generalidades</w:t>
      </w:r>
    </w:p>
    <w:p>
      <w:pPr>
        <w:pStyle w:val="BodyText"/>
        <w:spacing w:before="5"/>
        <w:rPr>
          <w:b/>
          <w:sz w:val="21"/>
        </w:rPr>
      </w:pPr>
    </w:p>
    <w:p>
      <w:pPr>
        <w:pStyle w:val="BodyText"/>
        <w:spacing w:line="360" w:lineRule="auto"/>
        <w:ind w:left="144" w:right="148" w:firstLine="708"/>
        <w:jc w:val="both"/>
      </w:pPr>
      <w:r>
        <w:rPr/>
        <w:t>La próstata es una glándula accesoria sexual en el perro. Rodea el cuello de la vejiga y la uretra proximal en los machos y consta de dos lóbulos mayores con un rafe fibroso en medio. Su papel principal es la producción de líquido prostático, que ayuda al transporte los espermatozoides durante la eyaculación.</w:t>
      </w:r>
    </w:p>
    <w:p>
      <w:pPr>
        <w:pStyle w:val="BodyText"/>
      </w:pPr>
    </w:p>
    <w:p>
      <w:pPr>
        <w:pStyle w:val="Heading3"/>
      </w:pPr>
      <w:r>
        <w:rPr/>
        <w:t>Hiperplasia prostática</w:t>
      </w:r>
    </w:p>
    <w:p>
      <w:pPr>
        <w:pStyle w:val="BodyText"/>
        <w:rPr>
          <w:b/>
        </w:rPr>
      </w:pPr>
    </w:p>
    <w:p>
      <w:pPr>
        <w:pStyle w:val="BodyText"/>
        <w:spacing w:before="2"/>
        <w:rPr>
          <w:b/>
        </w:rPr>
      </w:pPr>
    </w:p>
    <w:p>
      <w:pPr>
        <w:pStyle w:val="BodyText"/>
        <w:spacing w:line="360" w:lineRule="auto"/>
        <w:ind w:left="144" w:right="148" w:firstLine="708"/>
        <w:jc w:val="both"/>
      </w:pPr>
      <w:r>
        <w:rPr/>
        <w:t>La próstata experimenta cambios progresivos con la edad y con la exposición de testosterona y comienza a sufrir hiperplasia. Puede presentarse tanto un aumento del número de células (hiperplasia) como un aumento en el tamaño celular (hipertrofia) de los tejidos conectivo y secretorio de la próstata. La hiperplasia inicial comienza con hiperplasia glandular y posteriormente progresa a hiperplasia quística, que a menudo conduce a la formación de estructuras quísticas dentro del parénquima de la próstata. En los perros generalmente este fenómeno es normal y no es sinónimo de enfermedad. Sin embargo en ocasiones se asocia a diferentes patologías como quistes prostáticos graves, prostatitis, abscesos prostáticos y neoplasias prostáticas. Pueden ser afectados los perros machos mayores, enteros y de cualquier raza (Krawiec y Heflin 1992).</w:t>
      </w:r>
    </w:p>
    <w:p>
      <w:pPr>
        <w:spacing w:after="0" w:line="360" w:lineRule="auto"/>
        <w:jc w:val="both"/>
        <w:sectPr>
          <w:footerReference w:type="default" r:id="rId15"/>
          <w:pgSz w:w="12240" w:h="15840"/>
          <w:pgMar w:footer="882" w:header="886" w:top="1140" w:bottom="1080" w:left="1560" w:right="980"/>
          <w:pgNumType w:start="31"/>
        </w:sectPr>
      </w:pPr>
    </w:p>
    <w:p>
      <w:pPr>
        <w:pStyle w:val="BodyText"/>
        <w:rPr>
          <w:sz w:val="20"/>
        </w:rPr>
      </w:pPr>
    </w:p>
    <w:p>
      <w:pPr>
        <w:pStyle w:val="BodyText"/>
        <w:spacing w:before="4"/>
        <w:rPr>
          <w:sz w:val="22"/>
        </w:rPr>
      </w:pPr>
    </w:p>
    <w:p>
      <w:pPr>
        <w:pStyle w:val="Heading3"/>
        <w:spacing w:before="70"/>
      </w:pPr>
      <w:r>
        <w:rPr/>
        <w:t>Quistes prostáticos</w:t>
      </w:r>
    </w:p>
    <w:p>
      <w:pPr>
        <w:pStyle w:val="BodyText"/>
        <w:rPr>
          <w:b/>
        </w:rPr>
      </w:pPr>
    </w:p>
    <w:p>
      <w:pPr>
        <w:pStyle w:val="BodyText"/>
        <w:spacing w:before="2"/>
        <w:rPr>
          <w:b/>
        </w:rPr>
      </w:pPr>
    </w:p>
    <w:p>
      <w:pPr>
        <w:pStyle w:val="BodyText"/>
        <w:spacing w:line="360" w:lineRule="auto"/>
        <w:ind w:left="144" w:right="148" w:firstLine="708"/>
        <w:jc w:val="both"/>
      </w:pPr>
      <w:r>
        <w:rPr/>
        <w:t>Los quistes ocurren simultáneamente con la hiperplasia prostática. Existen quistes de retención prostáticos y quistes paraprostáticos. Los quistes de retención se encuentran dentro del parénquima prostático y son secundarios al aumento de la producción o disminución del drenaje de la secreción de la próstata (Spackman y Roth 1988), están encapsulados y contienen un fluido claro (White y col. 1987). Los quistes paraprostáticos son vesículas llenas de líquido que se encuentran fuera del parénquima prostático adyacentes a la próstata en las zonas craneolateral o caudal. Pueden ser únicas o múltiples, que en ocasiones debido a su tamaño grande, pueden confundirse con la vejiga, comprimir órganos adyacentes y estructuras pélvicas e incluso llegar a provocar hernia perineal (Head y Francis 2002) (Figura 11).</w:t>
      </w:r>
    </w:p>
    <w:p>
      <w:pPr>
        <w:pStyle w:val="BodyText"/>
      </w:pPr>
    </w:p>
    <w:p>
      <w:pPr>
        <w:pStyle w:val="Heading3"/>
        <w:spacing w:before="144"/>
      </w:pPr>
      <w:r>
        <w:rPr/>
        <w:t>Prostatitis</w:t>
      </w:r>
    </w:p>
    <w:p>
      <w:pPr>
        <w:pStyle w:val="BodyText"/>
        <w:rPr>
          <w:b/>
        </w:rPr>
      </w:pPr>
    </w:p>
    <w:p>
      <w:pPr>
        <w:pStyle w:val="BodyText"/>
        <w:spacing w:before="9"/>
        <w:rPr>
          <w:b/>
          <w:sz w:val="23"/>
        </w:rPr>
      </w:pPr>
    </w:p>
    <w:p>
      <w:pPr>
        <w:pStyle w:val="BodyText"/>
        <w:spacing w:line="360" w:lineRule="auto"/>
        <w:ind w:left="144" w:right="148" w:firstLine="708"/>
        <w:jc w:val="both"/>
      </w:pPr>
      <w:r>
        <w:rPr/>
        <w:t>Es una infección bacteriana difusa con inflamación de la próstata. Se produce por una infección ascendente por bacterias que se desplazan desde el pene y prepucio a través de la uretra hasta la próstata (Krawieck y Heflin 1992). Las bacterias aisladas comúnmente son la </w:t>
      </w:r>
      <w:r>
        <w:rPr>
          <w:i/>
        </w:rPr>
        <w:t>Escherichia coli, Micoplasma, Estafilococo spp, Estreptococos spp, </w:t>
      </w:r>
      <w:r>
        <w:rPr>
          <w:i/>
        </w:rPr>
        <w:t>Klebsiell</w:t>
      </w:r>
      <w:r>
        <w:rPr>
          <w:i/>
          <w:spacing w:val="-1"/>
        </w:rPr>
        <w:t>a</w:t>
      </w:r>
      <w:r>
        <w:rPr>
          <w:i/>
        </w:rPr>
        <w:t>, </w:t>
      </w:r>
      <w:r>
        <w:rPr>
          <w:i/>
          <w:spacing w:val="-15"/>
        </w:rPr>
        <w:t> </w:t>
      </w:r>
      <w:r>
        <w:rPr>
          <w:i/>
        </w:rPr>
        <w:t>Proteus </w:t>
      </w:r>
      <w:r>
        <w:rPr>
          <w:i/>
          <w:spacing w:val="-15"/>
        </w:rPr>
        <w:t> </w:t>
      </w:r>
      <w:r>
        <w:rPr>
          <w:i/>
        </w:rPr>
        <w:t>mirabilis, </w:t>
      </w:r>
      <w:r>
        <w:rPr>
          <w:i/>
          <w:spacing w:val="-15"/>
        </w:rPr>
        <w:t> </w:t>
      </w:r>
      <w:r>
        <w:rPr>
          <w:i/>
        </w:rPr>
        <w:t>Pseudomonas </w:t>
      </w:r>
      <w:r>
        <w:rPr>
          <w:i/>
          <w:spacing w:val="-15"/>
        </w:rPr>
        <w:t> </w:t>
      </w:r>
      <w:r>
        <w:rPr>
          <w:i/>
        </w:rPr>
        <w:t>y </w:t>
      </w:r>
      <w:r>
        <w:rPr>
          <w:i/>
          <w:spacing w:val="-15"/>
        </w:rPr>
        <w:t> </w:t>
      </w:r>
      <w:r>
        <w:rPr>
          <w:i/>
        </w:rPr>
        <w:t>Brucella </w:t>
      </w:r>
      <w:r>
        <w:rPr>
          <w:i/>
          <w:spacing w:val="-15"/>
        </w:rPr>
        <w:t> </w:t>
      </w:r>
      <w:r>
        <w:rPr>
          <w:i/>
        </w:rPr>
        <w:t>canis </w:t>
      </w:r>
      <w:r>
        <w:rPr>
          <w:i/>
          <w:spacing w:val="-15"/>
        </w:rPr>
        <w:t> </w:t>
      </w:r>
      <w:r>
        <w:rPr/>
        <w:t>(Krawiec </w:t>
      </w:r>
      <w:r>
        <w:rPr>
          <w:spacing w:val="-15"/>
        </w:rPr>
        <w:t> </w:t>
      </w:r>
      <w:r>
        <w:rPr/>
        <w:t>y </w:t>
      </w:r>
      <w:r>
        <w:rPr>
          <w:spacing w:val="-15"/>
        </w:rPr>
        <w:t> </w:t>
      </w:r>
      <w:r>
        <w:rPr/>
        <w:t>Heflin </w:t>
      </w:r>
      <w:r>
        <w:rPr>
          <w:spacing w:val="-15"/>
        </w:rPr>
        <w:t> </w:t>
      </w:r>
      <w:r>
        <w:rPr/>
        <w:t>199</w:t>
      </w:r>
      <w:r>
        <w:rPr>
          <w:spacing w:val="-1"/>
        </w:rPr>
        <w:t>2</w:t>
      </w:r>
      <w:r>
        <w:rPr>
          <w:w w:val="41"/>
        </w:rPr>
        <w:t>X </w:t>
      </w:r>
      <w:r>
        <w:rPr/>
        <w:t>Dorfan y col. 1995). Las bacterias que infectan a la próstata crecen dentro el lumen de las glándulas y llegan a provocar una respuesta inflamatoria. La infección tendrá una fase glandular aguda y posteriormente una fase intersticial crónica (Barsanti y Finco 1984).</w:t>
      </w:r>
    </w:p>
    <w:p>
      <w:pPr>
        <w:pStyle w:val="BodyText"/>
      </w:pPr>
    </w:p>
    <w:p>
      <w:pPr>
        <w:pStyle w:val="Heading3"/>
      </w:pPr>
      <w:r>
        <w:rPr/>
        <w:t>Abscesos prostáticos</w:t>
      </w:r>
    </w:p>
    <w:p>
      <w:pPr>
        <w:pStyle w:val="BodyText"/>
        <w:rPr>
          <w:b/>
        </w:rPr>
      </w:pPr>
    </w:p>
    <w:p>
      <w:pPr>
        <w:pStyle w:val="BodyText"/>
        <w:spacing w:before="2"/>
        <w:rPr>
          <w:b/>
        </w:rPr>
      </w:pPr>
    </w:p>
    <w:p>
      <w:pPr>
        <w:pStyle w:val="BodyText"/>
        <w:spacing w:line="360" w:lineRule="auto"/>
        <w:ind w:left="144" w:right="148" w:firstLine="708"/>
        <w:jc w:val="both"/>
      </w:pPr>
      <w:r>
        <w:rPr/>
        <w:t>Los abscesos prostáticos son secuela de prostatitis crónica, son cavidades de líquido purulento, variables en tamaño y número que se encuentran dentro del parénquima de la próstata (Krawieck y Heflin 1992).</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La infección del tracto urinario recurrente aumenta el índice de sospecha de abscesos prostáticos causados por el mismo organismo (Black y col. 1998</w:t>
      </w:r>
      <w:r>
        <w:rPr>
          <w:w w:val="41"/>
        </w:rPr>
        <w:t>X</w:t>
      </w:r>
      <w:r>
        <w:rPr/>
        <w:t> Barsanti y Finco 1984).</w:t>
      </w:r>
    </w:p>
    <w:p>
      <w:pPr>
        <w:pStyle w:val="BodyText"/>
      </w:pPr>
    </w:p>
    <w:p>
      <w:pPr>
        <w:pStyle w:val="Heading3"/>
      </w:pPr>
      <w:r>
        <w:rPr/>
        <w:t>Neoplasia prostática</w:t>
      </w:r>
    </w:p>
    <w:p>
      <w:pPr>
        <w:pStyle w:val="BodyText"/>
        <w:rPr>
          <w:b/>
        </w:rPr>
      </w:pPr>
    </w:p>
    <w:p>
      <w:pPr>
        <w:pStyle w:val="BodyText"/>
        <w:spacing w:before="2"/>
        <w:rPr>
          <w:b/>
        </w:rPr>
      </w:pPr>
    </w:p>
    <w:p>
      <w:pPr>
        <w:pStyle w:val="BodyText"/>
        <w:spacing w:line="360" w:lineRule="auto"/>
        <w:ind w:left="144" w:right="148" w:firstLine="708"/>
        <w:jc w:val="both"/>
      </w:pPr>
      <w:r>
        <w:rPr/>
        <w:t>La neoplasia prostática es rara en los perros, se han reportado tumores malignos como el adenocarcinoma prostático como tumor primario y como tumores secundarios  el carcinoma no diferenciado, el carcinoma de células transicionales de la uretra prostática, carcinoma de células escamosas, hemangiosarcoma, linfosarcoma y leiomiosarc</w:t>
      </w:r>
      <w:r>
        <w:rPr>
          <w:spacing w:val="-1"/>
        </w:rPr>
        <w:t>o</w:t>
      </w:r>
      <w:r>
        <w:rPr/>
        <w:t>ma  </w:t>
      </w:r>
      <w:r>
        <w:rPr>
          <w:spacing w:val="-14"/>
        </w:rPr>
        <w:t> </w:t>
      </w:r>
      <w:r>
        <w:rPr/>
        <w:t>con  </w:t>
      </w:r>
      <w:r>
        <w:rPr>
          <w:spacing w:val="-14"/>
        </w:rPr>
        <w:t> </w:t>
      </w:r>
      <w:r>
        <w:rPr/>
        <w:t>menos  </w:t>
      </w:r>
      <w:r>
        <w:rPr>
          <w:spacing w:val="-14"/>
        </w:rPr>
        <w:t> </w:t>
      </w:r>
      <w:r>
        <w:rPr/>
        <w:t>frecuencia  </w:t>
      </w:r>
      <w:r>
        <w:rPr>
          <w:spacing w:val="-14"/>
        </w:rPr>
        <w:t> </w:t>
      </w:r>
      <w:r>
        <w:rPr/>
        <w:t>(Cornel  </w:t>
      </w:r>
      <w:r>
        <w:rPr>
          <w:spacing w:val="-14"/>
        </w:rPr>
        <w:t> </w:t>
      </w:r>
      <w:r>
        <w:rPr/>
        <w:t>200</w:t>
      </w:r>
      <w:r>
        <w:rPr>
          <w:spacing w:val="-1"/>
        </w:rPr>
        <w:t>0</w:t>
      </w:r>
      <w:r>
        <w:rPr>
          <w:w w:val="41"/>
        </w:rPr>
        <w:t>X</w:t>
      </w:r>
      <w:r>
        <w:rPr/>
        <w:t>  </w:t>
      </w:r>
      <w:r>
        <w:rPr>
          <w:spacing w:val="-14"/>
        </w:rPr>
        <w:t> </w:t>
      </w:r>
      <w:r>
        <w:rPr/>
        <w:t>Winter  </w:t>
      </w:r>
      <w:r>
        <w:rPr>
          <w:spacing w:val="-14"/>
        </w:rPr>
        <w:t> </w:t>
      </w:r>
      <w:r>
        <w:rPr/>
        <w:t>y  </w:t>
      </w:r>
      <w:r>
        <w:rPr>
          <w:spacing w:val="-14"/>
        </w:rPr>
        <w:t> </w:t>
      </w:r>
      <w:r>
        <w:rPr/>
        <w:t>col.  </w:t>
      </w:r>
      <w:r>
        <w:rPr>
          <w:spacing w:val="-14"/>
        </w:rPr>
        <w:t> </w:t>
      </w:r>
      <w:r>
        <w:rPr/>
        <w:t>2006).  </w:t>
      </w:r>
      <w:r>
        <w:rPr>
          <w:spacing w:val="-14"/>
        </w:rPr>
        <w:t> </w:t>
      </w:r>
      <w:r>
        <w:rPr/>
        <w:t>Los adenocarcinomas se encuentran en perros con edades de 8 a 10 años de edad y ocurre entre el 5 y 7% de los perros, la castración no parece tener un efecto protector sobre la próstata con respecto a presentar neoplasias, se ha reportado que el desarrollo de neoplasia prostática es 2 a 4 veces más alto en los perros castrados que en los enteros (Bell y co</w:t>
      </w:r>
      <w:r>
        <w:rPr>
          <w:spacing w:val="-1"/>
        </w:rPr>
        <w:t>l</w:t>
      </w:r>
      <w:r>
        <w:rPr/>
        <w:t>. 199</w:t>
      </w:r>
      <w:r>
        <w:rPr>
          <w:spacing w:val="-1"/>
        </w:rPr>
        <w:t>1</w:t>
      </w:r>
      <w:r>
        <w:rPr>
          <w:w w:val="41"/>
        </w:rPr>
        <w:t>X</w:t>
      </w:r>
      <w:r>
        <w:rPr/>
        <w:t> Teske y col. 2002).</w:t>
      </w:r>
    </w:p>
    <w:p>
      <w:pPr>
        <w:pStyle w:val="BodyText"/>
      </w:pPr>
    </w:p>
    <w:p>
      <w:pPr>
        <w:pStyle w:val="BodyText"/>
        <w:spacing w:line="360" w:lineRule="auto" w:before="144"/>
        <w:ind w:left="144" w:right="148" w:firstLine="708"/>
        <w:jc w:val="both"/>
      </w:pPr>
      <w:r>
        <w:rPr/>
        <w:t>Los sitios de metástasis más comunes son el hígado, los pulmones, vertebras, bazo, colon o recto, la uretra, la vejiga, y riñones, puede estar presente linfadenomegalia de los ganglios linfáticos iliacos mediales y regionales (Bell y col. 1991).</w:t>
      </w:r>
    </w:p>
    <w:p>
      <w:pPr>
        <w:pStyle w:val="BodyText"/>
      </w:pPr>
    </w:p>
    <w:p>
      <w:pPr>
        <w:pStyle w:val="Heading3"/>
        <w:spacing w:before="144"/>
      </w:pPr>
      <w:r>
        <w:rPr/>
        <w:t>Diagnóstico</w:t>
      </w:r>
    </w:p>
    <w:p>
      <w:pPr>
        <w:pStyle w:val="BodyText"/>
        <w:rPr>
          <w:b/>
        </w:rPr>
      </w:pPr>
    </w:p>
    <w:p>
      <w:pPr>
        <w:pStyle w:val="BodyText"/>
        <w:spacing w:before="9"/>
        <w:rPr>
          <w:b/>
          <w:sz w:val="23"/>
        </w:rPr>
      </w:pPr>
    </w:p>
    <w:p>
      <w:pPr>
        <w:pStyle w:val="BodyText"/>
        <w:spacing w:line="360" w:lineRule="auto"/>
        <w:ind w:left="144" w:right="148" w:firstLine="708"/>
        <w:jc w:val="both"/>
      </w:pPr>
      <w:r>
        <w:rPr/>
        <w:t>La mayoría de los pacientes con enfermedad prostática presentan signos de enfermedad de vías urinarias (hematuria, disuria, estranguria, secreción uretral, incontinencia urinaria, tenesmo fecal, hemospermia y raramente un movimiento rígido secundario a dolor prostático (Ruel y col. 1998</w:t>
      </w:r>
      <w:r>
        <w:rPr>
          <w:w w:val="41"/>
        </w:rPr>
        <w:t>X</w:t>
      </w:r>
      <w:r>
        <w:rPr/>
        <w:t> Barsanti y Finco 1986</w:t>
      </w:r>
      <w:r>
        <w:rPr>
          <w:w w:val="41"/>
        </w:rPr>
        <w:t>X</w:t>
      </w:r>
      <w:r>
        <w:rPr/>
        <w:t> Krawiec y Heflin 1992). Sin embargo en la hiperplasia prostática algunos no presentan signos.</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En perros con grandes abscesos prostáticos y en el caso de prostatitis si la infección es crónica severa produce dolor abdominal que va acompañada con una enfermedad sistémica, y llega a presentar signos como edema y hemorragia prostática, fiebre, anorexia y letargia. (Dorfman y Barsanti 1995). En neoplasias los signos asociados pueden variar con el grado de agresividad del tumor y en su caso con la metástasis. Los más frecuentes son anorexia, pérdida de peso, hematuria, estranguria, tenesmo, dolor abdominal y muchas veces debilidad en las extremidades traseras (Barsanti y Finco 1986</w:t>
      </w:r>
      <w:r>
        <w:rPr>
          <w:w w:val="41"/>
        </w:rPr>
        <w:t>X</w:t>
      </w:r>
      <w:r>
        <w:rPr/>
        <w:t> Gobello y Corrada 2002).</w:t>
      </w:r>
    </w:p>
    <w:p>
      <w:pPr>
        <w:pStyle w:val="BodyText"/>
      </w:pPr>
    </w:p>
    <w:p>
      <w:pPr>
        <w:pStyle w:val="BodyText"/>
        <w:spacing w:line="360" w:lineRule="auto" w:before="144"/>
        <w:ind w:left="144" w:right="148" w:firstLine="708"/>
        <w:jc w:val="both"/>
      </w:pPr>
      <w:r>
        <w:rPr/>
        <w:t>Como método diagnóstico es necesario el urianálisis, la ecografía y radiografía abdominal y para un diagnóstico definitivo el estudio citológico del tejido o líquido prostático y la biopsia.</w:t>
      </w:r>
    </w:p>
    <w:p>
      <w:pPr>
        <w:pStyle w:val="BodyText"/>
      </w:pPr>
    </w:p>
    <w:p>
      <w:pPr>
        <w:pStyle w:val="Heading3"/>
        <w:spacing w:before="144"/>
      </w:pPr>
      <w:r>
        <w:rPr>
          <w:u w:val="thick"/>
        </w:rPr>
        <w:t>Traumatismos de las vías urinarias caudales</w:t>
      </w:r>
    </w:p>
    <w:p>
      <w:pPr>
        <w:pStyle w:val="BodyText"/>
        <w:rPr>
          <w:b/>
          <w:sz w:val="20"/>
        </w:rPr>
      </w:pPr>
    </w:p>
    <w:p>
      <w:pPr>
        <w:pStyle w:val="BodyText"/>
        <w:rPr>
          <w:b/>
          <w:sz w:val="20"/>
        </w:rPr>
      </w:pPr>
    </w:p>
    <w:p>
      <w:pPr>
        <w:pStyle w:val="BodyText"/>
        <w:spacing w:line="360" w:lineRule="auto" w:before="185"/>
        <w:ind w:left="144" w:right="148" w:firstLine="708"/>
        <w:jc w:val="both"/>
      </w:pPr>
      <w:r>
        <w:rPr/>
        <w:t>El traumatismo del tracto urinario inferior se reconoce con frecuencia en las pequeñas especies, y es la causa más frecuente de uroperitoneo en gatos, perros y humanos</w:t>
      </w:r>
      <w:r>
        <w:rPr>
          <w:spacing w:val="11"/>
        </w:rPr>
        <w:t> </w:t>
      </w:r>
      <w:r>
        <w:rPr/>
        <w:t>(Aumann</w:t>
      </w:r>
      <w:r>
        <w:rPr>
          <w:spacing w:val="11"/>
        </w:rPr>
        <w:t> </w:t>
      </w:r>
      <w:r>
        <w:rPr/>
        <w:t>y</w:t>
      </w:r>
      <w:r>
        <w:rPr>
          <w:spacing w:val="11"/>
        </w:rPr>
        <w:t> </w:t>
      </w:r>
      <w:r>
        <w:rPr/>
        <w:t>co</w:t>
      </w:r>
      <w:r>
        <w:rPr>
          <w:spacing w:val="-1"/>
        </w:rPr>
        <w:t>l</w:t>
      </w:r>
      <w:r>
        <w:rPr/>
        <w:t>.</w:t>
      </w:r>
      <w:r>
        <w:rPr>
          <w:spacing w:val="11"/>
        </w:rPr>
        <w:t> </w:t>
      </w:r>
      <w:r>
        <w:rPr>
          <w:spacing w:val="-1"/>
          <w:w w:val="86"/>
        </w:rPr>
        <w:t>1998</w:t>
      </w:r>
      <w:r>
        <w:rPr>
          <w:w w:val="86"/>
        </w:rPr>
        <w:t>X</w:t>
      </w:r>
      <w:r>
        <w:rPr>
          <w:spacing w:val="11"/>
        </w:rPr>
        <w:t> </w:t>
      </w:r>
      <w:r>
        <w:rPr/>
        <w:t>Gannon</w:t>
      </w:r>
      <w:r>
        <w:rPr>
          <w:spacing w:val="11"/>
        </w:rPr>
        <w:t> </w:t>
      </w:r>
      <w:r>
        <w:rPr/>
        <w:t>y</w:t>
      </w:r>
      <w:r>
        <w:rPr>
          <w:spacing w:val="11"/>
        </w:rPr>
        <w:t> </w:t>
      </w:r>
      <w:r>
        <w:rPr/>
        <w:t>Moses</w:t>
      </w:r>
      <w:r>
        <w:rPr>
          <w:spacing w:val="11"/>
        </w:rPr>
        <w:t> </w:t>
      </w:r>
      <w:r>
        <w:rPr/>
        <w:t>2002</w:t>
      </w:r>
      <w:r>
        <w:rPr>
          <w:w w:val="41"/>
        </w:rPr>
        <w:t>X</w:t>
      </w:r>
      <w:r>
        <w:rPr>
          <w:spacing w:val="11"/>
        </w:rPr>
        <w:t> </w:t>
      </w:r>
      <w:r>
        <w:rPr/>
        <w:t>Rieser</w:t>
      </w:r>
      <w:r>
        <w:rPr>
          <w:spacing w:val="11"/>
        </w:rPr>
        <w:t> </w:t>
      </w:r>
      <w:r>
        <w:rPr/>
        <w:t>2005).</w:t>
      </w:r>
      <w:r>
        <w:rPr>
          <w:spacing w:val="11"/>
        </w:rPr>
        <w:t> </w:t>
      </w:r>
      <w:r>
        <w:rPr/>
        <w:t>En</w:t>
      </w:r>
      <w:r>
        <w:rPr>
          <w:spacing w:val="11"/>
        </w:rPr>
        <w:t> </w:t>
      </w:r>
      <w:r>
        <w:rPr/>
        <w:t>un</w:t>
      </w:r>
      <w:r>
        <w:rPr>
          <w:spacing w:val="11"/>
        </w:rPr>
        <w:t> </w:t>
      </w:r>
      <w:r>
        <w:rPr/>
        <w:t>estudio</w:t>
      </w:r>
      <w:r>
        <w:rPr>
          <w:spacing w:val="11"/>
        </w:rPr>
        <w:t> </w:t>
      </w:r>
      <w:r>
        <w:rPr/>
        <w:t>de accidentes de tránsito de 600 perros lesionados el 2.5% presentó traumatismo del  tracto urinario (Kolata y Johnston 1975). Por otro lado, un estudio en 100 perros con fractura de pelvis detectó lesiones urinarias en el 39% de</w:t>
      </w:r>
      <w:r>
        <w:rPr>
          <w:spacing w:val="-2"/>
        </w:rPr>
        <w:t> </w:t>
      </w:r>
      <w:r>
        <w:rPr/>
        <w:t>ellos.</w:t>
      </w:r>
    </w:p>
    <w:p>
      <w:pPr>
        <w:pStyle w:val="BodyText"/>
        <w:spacing w:line="360" w:lineRule="auto" w:before="2"/>
        <w:ind w:left="144" w:right="148" w:firstLine="708"/>
        <w:jc w:val="both"/>
      </w:pPr>
      <w:r>
        <w:rPr/>
        <w:t>Existen también otros tipos de traumas que son ocasionados por iatrogenia como por cateterización uretral, cistocentésis, expresión vesical y cistoscopia (Hay y Rosin 1997</w:t>
      </w:r>
      <w:r>
        <w:rPr>
          <w:w w:val="41"/>
        </w:rPr>
        <w:t>X</w:t>
      </w:r>
      <w:r>
        <w:rPr/>
        <w:t> McLoughling y Chew 2000</w:t>
      </w:r>
      <w:r>
        <w:rPr>
          <w:w w:val="41"/>
        </w:rPr>
        <w:t>X</w:t>
      </w:r>
      <w:r>
        <w:rPr/>
        <w:t> Gannon y Moses 2002).</w:t>
      </w:r>
    </w:p>
    <w:p>
      <w:pPr>
        <w:pStyle w:val="BodyText"/>
      </w:pPr>
    </w:p>
    <w:p>
      <w:pPr>
        <w:pStyle w:val="BodyText"/>
        <w:spacing w:line="360" w:lineRule="auto" w:before="139"/>
        <w:ind w:left="144" w:right="148" w:firstLine="708"/>
        <w:jc w:val="both"/>
      </w:pPr>
      <w:r>
        <w:rPr/>
        <w:t>Cuando existe ruptura o lesión de los órganos de las vías urinarias se puede acumular orina en el peritoneo, el retroperitoneo y los tejidos subcutáneos (McLoughling y Chew 2000), la acumulación retroperitoneal se debe a lesiones en los riñones, uréteres proximales y la uretra distal, mientras que la acumulación peritoneal indica trauma ureteral, vesical o de la uretra proximal (Gannon y Moses</w:t>
      </w:r>
      <w:r>
        <w:rPr>
          <w:spacing w:val="-1"/>
        </w:rPr>
        <w:t> </w:t>
      </w:r>
      <w:r>
        <w:rPr/>
        <w:t>2002).</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2" w:lineRule="auto" w:before="70"/>
        <w:ind w:left="144" w:right="148" w:firstLine="708"/>
        <w:jc w:val="both"/>
      </w:pPr>
      <w:r>
        <w:rPr/>
        <w:t>Los traumatismos más comunes son la ruptura vesical y el desgarro uretral los cuales se describirán a continuación.</w:t>
      </w:r>
    </w:p>
    <w:p>
      <w:pPr>
        <w:pStyle w:val="BodyText"/>
      </w:pPr>
    </w:p>
    <w:p>
      <w:pPr>
        <w:pStyle w:val="BodyText"/>
      </w:pPr>
    </w:p>
    <w:p>
      <w:pPr>
        <w:pStyle w:val="BodyText"/>
        <w:spacing w:before="9"/>
        <w:rPr>
          <w:sz w:val="23"/>
        </w:rPr>
      </w:pPr>
    </w:p>
    <w:p>
      <w:pPr>
        <w:pStyle w:val="Heading3"/>
        <w:spacing w:before="0"/>
      </w:pPr>
      <w:r>
        <w:rPr/>
        <w:t>Ruptura de la vejiga</w:t>
      </w:r>
    </w:p>
    <w:p>
      <w:pPr>
        <w:pStyle w:val="BodyText"/>
        <w:rPr>
          <w:b/>
        </w:rPr>
      </w:pPr>
    </w:p>
    <w:p>
      <w:pPr>
        <w:pStyle w:val="BodyText"/>
        <w:spacing w:before="2"/>
        <w:rPr>
          <w:b/>
        </w:rPr>
      </w:pPr>
    </w:p>
    <w:p>
      <w:pPr>
        <w:pStyle w:val="BodyText"/>
        <w:spacing w:line="360" w:lineRule="auto"/>
        <w:ind w:left="144" w:right="148" w:firstLine="708"/>
        <w:jc w:val="both"/>
      </w:pPr>
      <w:r>
        <w:rPr/>
        <w:t>La ruptura de vejiga es la lesión traumática más común en perros y gatos. Los mecanismos de ruptura incluyen penetración directa por fragmentos fracturados o aumento súbito de la presión intravesical (Selcer 1982). Es más frecuente en machos debido a que la menor distensibilidad de la uretra determina que ella se dilate menos en respuesta al aumento de la presión intravesical (Thornhill y Cechner 1981).</w:t>
      </w:r>
    </w:p>
    <w:p>
      <w:pPr>
        <w:pStyle w:val="BodyText"/>
      </w:pPr>
    </w:p>
    <w:p>
      <w:pPr>
        <w:pStyle w:val="BodyText"/>
        <w:spacing w:line="360" w:lineRule="auto" w:before="139"/>
        <w:ind w:left="144" w:right="148" w:firstLine="708"/>
        <w:jc w:val="both"/>
      </w:pPr>
      <w:r>
        <w:rPr/>
        <w:t>Los primeros signos son dolor abdominal, hematuria, disuria, vómitos, uremias progresivas y los signos asociados a uroperitoneo incluyen dolor a la palpación abdominal, deshidratación, choque de onda positivo, depresión e hipotermia (Pechman 1982X Gannon y Moses 2002). Se confirma con radiografías contrastadas y cistografías contrastadas con guía ecográfica. (Cote y col. 2002). Puede existir falta de visualización de la vejiga o desplazamiento de esta (Pechman 1982).</w:t>
      </w:r>
    </w:p>
    <w:p>
      <w:pPr>
        <w:pStyle w:val="BodyText"/>
      </w:pPr>
    </w:p>
    <w:p>
      <w:pPr>
        <w:pStyle w:val="BodyText"/>
        <w:spacing w:before="3"/>
        <w:rPr>
          <w:sz w:val="21"/>
        </w:rPr>
      </w:pPr>
    </w:p>
    <w:p>
      <w:pPr>
        <w:pStyle w:val="Heading3"/>
        <w:spacing w:before="0"/>
      </w:pPr>
      <w:r>
        <w:rPr/>
        <w:t>Ruptura de la uretra</w:t>
      </w:r>
    </w:p>
    <w:p>
      <w:pPr>
        <w:pStyle w:val="BodyText"/>
        <w:rPr>
          <w:b/>
        </w:rPr>
      </w:pPr>
    </w:p>
    <w:p>
      <w:pPr>
        <w:pStyle w:val="BodyText"/>
        <w:spacing w:before="9"/>
        <w:rPr>
          <w:b/>
          <w:sz w:val="23"/>
        </w:rPr>
      </w:pPr>
    </w:p>
    <w:p>
      <w:pPr>
        <w:pStyle w:val="BodyText"/>
        <w:spacing w:line="360" w:lineRule="auto"/>
        <w:ind w:left="144" w:right="148" w:firstLine="708"/>
        <w:jc w:val="both"/>
      </w:pPr>
      <w:r>
        <w:rPr/>
        <w:t>La ruptura de la uretra se puede deber a un trauma romo, mordeduras, heridas  de bala y fractura del hueso peneano (Thornhill y Cechner 1981). Las causas más comunes son los accidentes automovilísticos (Anderson y col. 2006). También se ha informado entrampamiento secundario a la reparación de una fractura pélvica (Messmer y col. 2001), compresión por una triple osteotomía pélvica bilateral (Dudley y Wilkens 2004), prostatectomía y transección uretral inadvertidas durante la criptorquidectomía o la cirugía de hernia perianal (Bellah y co</w:t>
      </w:r>
      <w:r>
        <w:rPr>
          <w:spacing w:val="-1"/>
        </w:rPr>
        <w:t>l</w:t>
      </w:r>
      <w:r>
        <w:rPr/>
        <w:t>. 198</w:t>
      </w:r>
      <w:r>
        <w:rPr>
          <w:spacing w:val="-1"/>
        </w:rPr>
        <w:t>9</w:t>
      </w:r>
      <w:r>
        <w:rPr>
          <w:w w:val="41"/>
        </w:rPr>
        <w:t>X</w:t>
      </w:r>
      <w:r>
        <w:rPr/>
        <w:t> Shulz </w:t>
      </w:r>
      <w:r>
        <w:rPr>
          <w:spacing w:val="-1"/>
        </w:rPr>
        <w:t> </w:t>
      </w:r>
      <w:r>
        <w:rPr/>
        <w:t>y col. 199</w:t>
      </w:r>
      <w:r>
        <w:rPr>
          <w:spacing w:val="-1"/>
        </w:rPr>
        <w:t>6</w:t>
      </w:r>
      <w:r>
        <w:rPr>
          <w:w w:val="41"/>
        </w:rPr>
        <w:t>X</w:t>
      </w:r>
      <w:r>
        <w:rPr/>
        <w:t> Sereda</w:t>
      </w:r>
      <w:r>
        <w:rPr>
          <w:spacing w:val="-1"/>
        </w:rPr>
        <w:t> </w:t>
      </w:r>
      <w:r>
        <w:rPr/>
        <w:t>y col. 2002).</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La uretrocistografía puede revelar desgarros uretrales y ruptura vesical (McLoughling y Chew 2000). La cistourografía contrastada es el método de elección para evaluar la uretra, este método puede mostrar clínicamente transecciones, estrechamientos y laceraciones de la uretra (Ticer y col 1980).</w:t>
      </w:r>
    </w:p>
    <w:p>
      <w:pPr>
        <w:pStyle w:val="BodyText"/>
      </w:pPr>
    </w:p>
    <w:p>
      <w:pPr>
        <w:pStyle w:val="BodyText"/>
        <w:spacing w:line="360" w:lineRule="auto" w:before="144"/>
        <w:ind w:left="144" w:right="148" w:firstLine="708"/>
        <w:jc w:val="both"/>
      </w:pPr>
      <w:r>
        <w:rPr/>
        <w:t>Los desgarros y cortes de la uretra se pueden manejar quirúrgicamente ya sea por aposición y reparación primaria o por uretrostomía. En los casos de transección uretral completa queda cierto grado de estrechamiento tanto con la reparación primaria como con el manejo conservador del catéter (Layton y col. 1987). La cicatrización de la uretra depende de la continuidad de su mucosa y la falta de extravasación significativa de orina. Solo se necesita que quede una pequeña tira de mucosa sana para que ocurra la cicatrización (Bellah  y col.</w:t>
      </w:r>
      <w:r>
        <w:rPr>
          <w:spacing w:val="-1"/>
        </w:rPr>
        <w:t> </w:t>
      </w:r>
      <w:r>
        <w:rPr/>
        <w:t>1989).</w:t>
      </w:r>
    </w:p>
    <w:p>
      <w:pPr>
        <w:pStyle w:val="BodyText"/>
      </w:pPr>
    </w:p>
    <w:p>
      <w:pPr>
        <w:pStyle w:val="BodyText"/>
        <w:spacing w:before="10"/>
        <w:rPr>
          <w:sz w:val="20"/>
        </w:rPr>
      </w:pPr>
    </w:p>
    <w:p>
      <w:pPr>
        <w:pStyle w:val="Heading3"/>
        <w:spacing w:before="0"/>
      </w:pPr>
      <w:r>
        <w:rPr>
          <w:u w:val="thick"/>
        </w:rPr>
        <w:t>Neoplasias del tracto urinario caudal</w:t>
      </w:r>
    </w:p>
    <w:p>
      <w:pPr>
        <w:pStyle w:val="BodyText"/>
        <w:rPr>
          <w:b/>
          <w:sz w:val="20"/>
        </w:rPr>
      </w:pPr>
    </w:p>
    <w:p>
      <w:pPr>
        <w:pStyle w:val="BodyText"/>
        <w:rPr>
          <w:b/>
          <w:sz w:val="20"/>
        </w:rPr>
      </w:pPr>
    </w:p>
    <w:p>
      <w:pPr>
        <w:pStyle w:val="Heading3"/>
        <w:spacing w:before="200"/>
      </w:pPr>
      <w:r>
        <w:rPr/>
        <w:t>Generalidades</w:t>
      </w:r>
    </w:p>
    <w:p>
      <w:pPr>
        <w:pStyle w:val="BodyText"/>
        <w:rPr>
          <w:b/>
        </w:rPr>
      </w:pPr>
    </w:p>
    <w:p>
      <w:pPr>
        <w:pStyle w:val="BodyText"/>
        <w:spacing w:before="2"/>
        <w:rPr>
          <w:b/>
        </w:rPr>
      </w:pPr>
    </w:p>
    <w:p>
      <w:pPr>
        <w:pStyle w:val="BodyText"/>
        <w:spacing w:line="360" w:lineRule="auto"/>
        <w:ind w:left="144" w:right="148" w:firstLine="708"/>
        <w:jc w:val="both"/>
      </w:pPr>
      <w:r>
        <w:rPr/>
        <w:t>Las neoplasias del tracto urinario caudal (uretra prostática o vejiga) son poco frecuentes en los perros y representan menos de 1% de todas las neoplasias (Norris y col. 2000). Pueden ser malignas o benignas. El tumor maligno más común diagnosticado de las vías urinarias en perros es el carcinoma de células transicionales y representa el 2% de todos los cánceres en perros (Mutsaers y col. 2003), seguido del carcinoma de células escamosas, adenocarcinoma y carcinoma diferenciado, tumores mesenquimatosos (Lehiomiosarcoma, fibrosarcoma, rabdomiosarcoma, hemangiosarcoma) y raramente linfomas como tumor secundario. Los tumores  benignos pueden ser fibromas, leiomiomas, papilomas y los pólipos fibroepiteliales (Martinez y col.</w:t>
      </w:r>
      <w:r>
        <w:rPr>
          <w:spacing w:val="-1"/>
        </w:rPr>
        <w:t> </w:t>
      </w:r>
      <w:r>
        <w:rPr/>
        <w:t>2003).</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Heading3"/>
        <w:spacing w:before="70"/>
      </w:pPr>
      <w:r>
        <w:rPr/>
        <w:t>Diagnóstico</w:t>
      </w:r>
    </w:p>
    <w:p>
      <w:pPr>
        <w:pStyle w:val="BodyText"/>
        <w:rPr>
          <w:b/>
        </w:rPr>
      </w:pPr>
    </w:p>
    <w:p>
      <w:pPr>
        <w:pStyle w:val="BodyText"/>
        <w:spacing w:before="2"/>
        <w:rPr>
          <w:b/>
        </w:rPr>
      </w:pPr>
    </w:p>
    <w:p>
      <w:pPr>
        <w:pStyle w:val="BodyText"/>
        <w:spacing w:line="360" w:lineRule="auto"/>
        <w:ind w:left="144" w:right="148" w:firstLine="708"/>
        <w:jc w:val="both"/>
      </w:pPr>
      <w:r>
        <w:rPr/>
        <w:t>Los signos clínicos a menudo son indicativos a enfermedad del tracto urinario pero no son específicos, como la hematuria, estranguria, polaquiuria.</w:t>
      </w:r>
    </w:p>
    <w:p>
      <w:pPr>
        <w:pStyle w:val="BodyText"/>
      </w:pPr>
    </w:p>
    <w:p>
      <w:pPr>
        <w:pStyle w:val="BodyText"/>
        <w:spacing w:line="360" w:lineRule="auto" w:before="144"/>
        <w:ind w:left="144" w:right="148" w:firstLine="708"/>
        <w:jc w:val="both"/>
      </w:pPr>
      <w:r>
        <w:rPr/>
        <w:t>Se deben realizar pruebas de laboratorio, hemograma, química sanguínea, urianálisis y citología. Pruebas de imagen (radiología y ultrasonido). Se prefiere la biopsia por cistoscopia o laparotomía (Moroff y col. 1991</w:t>
      </w:r>
      <w:r>
        <w:rPr>
          <w:w w:val="41"/>
        </w:rPr>
        <w:t>X</w:t>
      </w:r>
      <w:r>
        <w:rPr/>
        <w:t> Kay y col. 1989).</w:t>
      </w:r>
    </w:p>
    <w:p>
      <w:pPr>
        <w:pStyle w:val="BodyText"/>
      </w:pPr>
    </w:p>
    <w:p>
      <w:pPr>
        <w:pStyle w:val="BodyText"/>
      </w:pPr>
    </w:p>
    <w:p>
      <w:pPr>
        <w:pStyle w:val="BodyText"/>
        <w:spacing w:before="9"/>
        <w:rPr>
          <w:sz w:val="32"/>
        </w:rPr>
      </w:pPr>
    </w:p>
    <w:p>
      <w:pPr>
        <w:pStyle w:val="Heading3"/>
        <w:spacing w:before="0"/>
      </w:pPr>
      <w:r>
        <w:rPr>
          <w:u w:val="thick"/>
        </w:rPr>
        <w:t>Alteraciones anatómicas congénitas</w:t>
      </w:r>
    </w:p>
    <w:p>
      <w:pPr>
        <w:pStyle w:val="BodyText"/>
        <w:rPr>
          <w:b/>
          <w:sz w:val="20"/>
        </w:rPr>
      </w:pPr>
    </w:p>
    <w:p>
      <w:pPr>
        <w:pStyle w:val="BodyText"/>
        <w:spacing w:before="8"/>
        <w:rPr>
          <w:b/>
          <w:sz w:val="21"/>
        </w:rPr>
      </w:pPr>
    </w:p>
    <w:p>
      <w:pPr>
        <w:pStyle w:val="BodyText"/>
        <w:spacing w:line="360" w:lineRule="auto" w:before="70"/>
        <w:ind w:left="144" w:right="148" w:firstLine="708"/>
        <w:jc w:val="both"/>
      </w:pPr>
      <w:r>
        <w:rPr/>
        <w:t>Son enfermedades o anomalías congénitas poco frecuentes que se presentan en animales jóvenes, pueden deberse a procesos heredados, congénitos o adquiridos que afectan la diferenciación y crecimiento del sistema urinario en el desarrollo. La  formación de dicho sistema depende del desarrollo secuencial y coordinado de múltiples tejidos embrionarios así como de su interacción.</w:t>
      </w:r>
    </w:p>
    <w:p>
      <w:pPr>
        <w:pStyle w:val="BodyText"/>
      </w:pPr>
    </w:p>
    <w:p>
      <w:pPr>
        <w:pStyle w:val="BodyText"/>
        <w:spacing w:line="360" w:lineRule="auto" w:before="144"/>
        <w:ind w:left="144" w:right="148" w:firstLine="708"/>
        <w:jc w:val="both"/>
      </w:pPr>
      <w:r>
        <w:rPr/>
        <w:t>Las alteraciones anatómicas descritas en la literatura son: agenesia e hipoplasia de</w:t>
      </w:r>
      <w:r>
        <w:rPr>
          <w:spacing w:val="7"/>
        </w:rPr>
        <w:t> </w:t>
      </w:r>
      <w:r>
        <w:rPr/>
        <w:t>la</w:t>
      </w:r>
      <w:r>
        <w:rPr>
          <w:spacing w:val="7"/>
        </w:rPr>
        <w:t> </w:t>
      </w:r>
      <w:r>
        <w:rPr/>
        <w:t>vejiga</w:t>
      </w:r>
      <w:r>
        <w:rPr>
          <w:spacing w:val="7"/>
        </w:rPr>
        <w:t> </w:t>
      </w:r>
      <w:r>
        <w:rPr/>
        <w:t>(Holt</w:t>
      </w:r>
      <w:r>
        <w:rPr>
          <w:spacing w:val="7"/>
        </w:rPr>
        <w:t> </w:t>
      </w:r>
      <w:r>
        <w:rPr/>
        <w:t>y</w:t>
      </w:r>
      <w:r>
        <w:rPr>
          <w:spacing w:val="7"/>
        </w:rPr>
        <w:t> </w:t>
      </w:r>
      <w:r>
        <w:rPr/>
        <w:t>gibgs</w:t>
      </w:r>
      <w:r>
        <w:rPr>
          <w:spacing w:val="7"/>
        </w:rPr>
        <w:t> </w:t>
      </w:r>
      <w:r>
        <w:rPr/>
        <w:t>1992</w:t>
      </w:r>
      <w:r>
        <w:rPr>
          <w:w w:val="41"/>
        </w:rPr>
        <w:t>X</w:t>
      </w:r>
      <w:r>
        <w:rPr>
          <w:spacing w:val="7"/>
        </w:rPr>
        <w:t> </w:t>
      </w:r>
      <w:r>
        <w:rPr/>
        <w:t>Holt</w:t>
      </w:r>
      <w:r>
        <w:rPr>
          <w:spacing w:val="7"/>
        </w:rPr>
        <w:t> </w:t>
      </w:r>
      <w:r>
        <w:rPr/>
        <w:t>y</w:t>
      </w:r>
      <w:r>
        <w:rPr>
          <w:spacing w:val="7"/>
        </w:rPr>
        <w:t> </w:t>
      </w:r>
      <w:r>
        <w:rPr/>
        <w:t>Moore</w:t>
      </w:r>
      <w:r>
        <w:rPr>
          <w:spacing w:val="7"/>
        </w:rPr>
        <w:t> </w:t>
      </w:r>
      <w:r>
        <w:rPr/>
        <w:t>199</w:t>
      </w:r>
      <w:r>
        <w:rPr>
          <w:spacing w:val="-1"/>
        </w:rPr>
        <w:t>5</w:t>
      </w:r>
      <w:r>
        <w:rPr>
          <w:w w:val="41"/>
        </w:rPr>
        <w:t>X</w:t>
      </w:r>
      <w:r>
        <w:rPr>
          <w:spacing w:val="7"/>
        </w:rPr>
        <w:t> </w:t>
      </w:r>
      <w:r>
        <w:rPr/>
        <w:t>Agut</w:t>
      </w:r>
      <w:r>
        <w:rPr>
          <w:spacing w:val="7"/>
        </w:rPr>
        <w:t> </w:t>
      </w:r>
      <w:r>
        <w:rPr/>
        <w:t>y</w:t>
      </w:r>
      <w:r>
        <w:rPr>
          <w:spacing w:val="7"/>
        </w:rPr>
        <w:t> </w:t>
      </w:r>
      <w:r>
        <w:rPr/>
        <w:t>col.</w:t>
      </w:r>
      <w:r>
        <w:rPr>
          <w:spacing w:val="7"/>
        </w:rPr>
        <w:t> </w:t>
      </w:r>
      <w:r>
        <w:rPr>
          <w:spacing w:val="-1"/>
        </w:rPr>
        <w:t>2002</w:t>
      </w:r>
      <w:r>
        <w:rPr/>
        <w:t>),</w:t>
      </w:r>
      <w:r>
        <w:rPr>
          <w:spacing w:val="7"/>
        </w:rPr>
        <w:t> </w:t>
      </w:r>
      <w:r>
        <w:rPr/>
        <w:t>vejiga</w:t>
      </w:r>
      <w:r>
        <w:rPr>
          <w:spacing w:val="7"/>
        </w:rPr>
        <w:t> </w:t>
      </w:r>
      <w:r>
        <w:rPr/>
        <w:t>intrapélvica (Lane y Lappin 1995), extrofia vesical (Caione y col. 2005), hernia vesical, uraco persistente</w:t>
      </w:r>
      <w:r>
        <w:rPr>
          <w:spacing w:val="11"/>
        </w:rPr>
        <w:t> </w:t>
      </w:r>
      <w:r>
        <w:rPr/>
        <w:t>(Cornel</w:t>
      </w:r>
      <w:r>
        <w:rPr>
          <w:spacing w:val="11"/>
        </w:rPr>
        <w:t> </w:t>
      </w:r>
      <w:r>
        <w:rPr/>
        <w:t>2000</w:t>
      </w:r>
      <w:r>
        <w:rPr>
          <w:w w:val="41"/>
        </w:rPr>
        <w:t>X</w:t>
      </w:r>
      <w:r>
        <w:rPr>
          <w:spacing w:val="11"/>
        </w:rPr>
        <w:t> </w:t>
      </w:r>
      <w:r>
        <w:rPr/>
        <w:t>Laverty</w:t>
      </w:r>
      <w:r>
        <w:rPr>
          <w:spacing w:val="11"/>
        </w:rPr>
        <w:t> </w:t>
      </w:r>
      <w:r>
        <w:rPr/>
        <w:t>y</w:t>
      </w:r>
      <w:r>
        <w:rPr>
          <w:spacing w:val="11"/>
        </w:rPr>
        <w:t> </w:t>
      </w:r>
      <w:r>
        <w:rPr/>
        <w:t>Salisbury</w:t>
      </w:r>
      <w:r>
        <w:rPr>
          <w:spacing w:val="11"/>
        </w:rPr>
        <w:t> </w:t>
      </w:r>
      <w:r>
        <w:rPr/>
        <w:t>2002),</w:t>
      </w:r>
      <w:r>
        <w:rPr>
          <w:spacing w:val="11"/>
        </w:rPr>
        <w:t> </w:t>
      </w:r>
      <w:r>
        <w:rPr/>
        <w:t>duplicación</w:t>
      </w:r>
      <w:r>
        <w:rPr>
          <w:spacing w:val="11"/>
        </w:rPr>
        <w:t> </w:t>
      </w:r>
      <w:r>
        <w:rPr/>
        <w:t>de</w:t>
      </w:r>
      <w:r>
        <w:rPr>
          <w:spacing w:val="11"/>
        </w:rPr>
        <w:t> </w:t>
      </w:r>
      <w:r>
        <w:rPr/>
        <w:t>la</w:t>
      </w:r>
      <w:r>
        <w:rPr>
          <w:spacing w:val="11"/>
        </w:rPr>
        <w:t> </w:t>
      </w:r>
      <w:r>
        <w:rPr/>
        <w:t>vejiga</w:t>
      </w:r>
      <w:r>
        <w:rPr>
          <w:spacing w:val="10"/>
        </w:rPr>
        <w:t> </w:t>
      </w:r>
      <w:r>
        <w:rPr/>
        <w:t>(Hoskins</w:t>
      </w:r>
      <w:r>
        <w:rPr>
          <w:spacing w:val="11"/>
        </w:rPr>
        <w:t> </w:t>
      </w:r>
      <w:r>
        <w:rPr/>
        <w:t>y col. </w:t>
      </w:r>
      <w:r>
        <w:rPr>
          <w:spacing w:val="-22"/>
        </w:rPr>
        <w:t> </w:t>
      </w:r>
      <w:r>
        <w:rPr/>
        <w:t>1982), </w:t>
      </w:r>
      <w:r>
        <w:rPr>
          <w:spacing w:val="-22"/>
        </w:rPr>
        <w:t> </w:t>
      </w:r>
      <w:r>
        <w:rPr/>
        <w:t>fistula </w:t>
      </w:r>
      <w:r>
        <w:rPr>
          <w:spacing w:val="-22"/>
        </w:rPr>
        <w:t> </w:t>
      </w:r>
      <w:r>
        <w:rPr/>
        <w:t>colovesical, </w:t>
      </w:r>
      <w:r>
        <w:rPr>
          <w:spacing w:val="-22"/>
        </w:rPr>
        <w:t> </w:t>
      </w:r>
      <w:r>
        <w:rPr/>
        <w:t>fístula </w:t>
      </w:r>
      <w:r>
        <w:rPr>
          <w:spacing w:val="-22"/>
        </w:rPr>
        <w:t> </w:t>
      </w:r>
      <w:r>
        <w:rPr/>
        <w:t>uterovesical </w:t>
      </w:r>
      <w:r>
        <w:rPr>
          <w:spacing w:val="-22"/>
        </w:rPr>
        <w:t> </w:t>
      </w:r>
      <w:r>
        <w:rPr/>
        <w:t>(Lawler </w:t>
      </w:r>
      <w:r>
        <w:rPr>
          <w:spacing w:val="-22"/>
        </w:rPr>
        <w:t> </w:t>
      </w:r>
      <w:r>
        <w:rPr/>
        <w:t>y </w:t>
      </w:r>
      <w:r>
        <w:rPr>
          <w:spacing w:val="-22"/>
        </w:rPr>
        <w:t> </w:t>
      </w:r>
      <w:r>
        <w:rPr/>
        <w:t>Monti </w:t>
      </w:r>
      <w:r>
        <w:rPr>
          <w:spacing w:val="-22"/>
        </w:rPr>
        <w:t> </w:t>
      </w:r>
      <w:r>
        <w:rPr/>
        <w:t>198</w:t>
      </w:r>
      <w:r>
        <w:rPr>
          <w:spacing w:val="-1"/>
        </w:rPr>
        <w:t>4</w:t>
      </w:r>
      <w:r>
        <w:rPr>
          <w:w w:val="41"/>
        </w:rPr>
        <w:t>X</w:t>
      </w:r>
      <w:r>
        <w:rPr/>
        <w:t> </w:t>
      </w:r>
      <w:r>
        <w:rPr>
          <w:spacing w:val="-22"/>
        </w:rPr>
        <w:t> </w:t>
      </w:r>
      <w:r>
        <w:rPr/>
        <w:t>Lulich </w:t>
      </w:r>
      <w:r>
        <w:rPr>
          <w:spacing w:val="-22"/>
        </w:rPr>
        <w:t> </w:t>
      </w:r>
      <w:r>
        <w:rPr/>
        <w:t>y </w:t>
      </w:r>
      <w:r>
        <w:rPr>
          <w:spacing w:val="-22"/>
        </w:rPr>
        <w:t> </w:t>
      </w:r>
      <w:r>
        <w:rPr/>
        <w:t>co</w:t>
      </w:r>
      <w:r>
        <w:rPr>
          <w:spacing w:val="-1"/>
        </w:rPr>
        <w:t>l</w:t>
      </w:r>
      <w:r>
        <w:rPr/>
        <w:t>. 1987</w:t>
      </w:r>
      <w:r>
        <w:rPr>
          <w:spacing w:val="-1"/>
        </w:rPr>
        <w:t>)</w:t>
      </w:r>
      <w:r>
        <w:rPr/>
        <w:t>, </w:t>
      </w:r>
      <w:r>
        <w:rPr>
          <w:spacing w:val="-3"/>
        </w:rPr>
        <w:t> </w:t>
      </w:r>
      <w:r>
        <w:rPr/>
        <w:t>aplasia </w:t>
      </w:r>
      <w:r>
        <w:rPr>
          <w:spacing w:val="-3"/>
        </w:rPr>
        <w:t> </w:t>
      </w:r>
      <w:r>
        <w:rPr/>
        <w:t>e </w:t>
      </w:r>
      <w:r>
        <w:rPr>
          <w:spacing w:val="-3"/>
        </w:rPr>
        <w:t> </w:t>
      </w:r>
      <w:r>
        <w:rPr/>
        <w:t>hipoplasia </w:t>
      </w:r>
      <w:r>
        <w:rPr>
          <w:spacing w:val="-3"/>
        </w:rPr>
        <w:t> </w:t>
      </w:r>
      <w:r>
        <w:rPr/>
        <w:t>de </w:t>
      </w:r>
      <w:r>
        <w:rPr>
          <w:spacing w:val="-3"/>
        </w:rPr>
        <w:t> </w:t>
      </w:r>
      <w:r>
        <w:rPr/>
        <w:t>la </w:t>
      </w:r>
      <w:r>
        <w:rPr>
          <w:spacing w:val="-3"/>
        </w:rPr>
        <w:t> </w:t>
      </w:r>
      <w:r>
        <w:rPr/>
        <w:t>uretra </w:t>
      </w:r>
      <w:r>
        <w:rPr>
          <w:spacing w:val="-3"/>
        </w:rPr>
        <w:t> </w:t>
      </w:r>
      <w:r>
        <w:rPr/>
        <w:t>(Bargai </w:t>
      </w:r>
      <w:r>
        <w:rPr>
          <w:spacing w:val="-3"/>
        </w:rPr>
        <w:t> </w:t>
      </w:r>
      <w:r>
        <w:rPr/>
        <w:t>y </w:t>
      </w:r>
      <w:r>
        <w:rPr>
          <w:spacing w:val="-3"/>
        </w:rPr>
        <w:t> </w:t>
      </w:r>
      <w:r>
        <w:rPr/>
        <w:t>Bark </w:t>
      </w:r>
      <w:r>
        <w:rPr>
          <w:spacing w:val="-3"/>
        </w:rPr>
        <w:t> </w:t>
      </w:r>
      <w:r>
        <w:rPr/>
        <w:t>19</w:t>
      </w:r>
      <w:r>
        <w:rPr>
          <w:spacing w:val="-1"/>
        </w:rPr>
        <w:t>8</w:t>
      </w:r>
      <w:r>
        <w:rPr/>
        <w:t>2</w:t>
      </w:r>
      <w:r>
        <w:rPr>
          <w:w w:val="41"/>
        </w:rPr>
        <w:t>X</w:t>
      </w:r>
      <w:r>
        <w:rPr/>
        <w:t> </w:t>
      </w:r>
      <w:r>
        <w:rPr>
          <w:spacing w:val="-3"/>
        </w:rPr>
        <w:t> </w:t>
      </w:r>
      <w:r>
        <w:rPr/>
        <w:t>Holt </w:t>
      </w:r>
      <w:r>
        <w:rPr>
          <w:spacing w:val="-3"/>
        </w:rPr>
        <w:t> </w:t>
      </w:r>
      <w:r>
        <w:rPr/>
        <w:t>y </w:t>
      </w:r>
      <w:r>
        <w:rPr>
          <w:spacing w:val="-3"/>
        </w:rPr>
        <w:t> </w:t>
      </w:r>
      <w:r>
        <w:rPr/>
        <w:t>Gibbs </w:t>
      </w:r>
      <w:r>
        <w:rPr>
          <w:spacing w:val="-3"/>
        </w:rPr>
        <w:t> </w:t>
      </w:r>
      <w:r>
        <w:rPr/>
        <w:t>1992), espispadia</w:t>
      </w:r>
      <w:r>
        <w:rPr>
          <w:spacing w:val="27"/>
        </w:rPr>
        <w:t> </w:t>
      </w:r>
      <w:r>
        <w:rPr/>
        <w:t>e</w:t>
      </w:r>
      <w:r>
        <w:rPr>
          <w:spacing w:val="27"/>
        </w:rPr>
        <w:t> </w:t>
      </w:r>
      <w:r>
        <w:rPr/>
        <w:t>hipospadia</w:t>
      </w:r>
      <w:r>
        <w:rPr>
          <w:spacing w:val="27"/>
        </w:rPr>
        <w:t> </w:t>
      </w:r>
      <w:r>
        <w:rPr/>
        <w:t>(Hobson</w:t>
      </w:r>
      <w:r>
        <w:rPr>
          <w:spacing w:val="27"/>
        </w:rPr>
        <w:t> </w:t>
      </w:r>
      <w:r>
        <w:rPr/>
        <w:t>y</w:t>
      </w:r>
      <w:r>
        <w:rPr>
          <w:spacing w:val="27"/>
        </w:rPr>
        <w:t> </w:t>
      </w:r>
      <w:r>
        <w:rPr>
          <w:spacing w:val="-1"/>
        </w:rPr>
        <w:t>A</w:t>
      </w:r>
      <w:r>
        <w:rPr/>
        <w:t>rder</w:t>
      </w:r>
      <w:r>
        <w:rPr>
          <w:spacing w:val="27"/>
        </w:rPr>
        <w:t> </w:t>
      </w:r>
      <w:r>
        <w:rPr/>
        <w:t>197</w:t>
      </w:r>
      <w:r>
        <w:rPr>
          <w:spacing w:val="-1"/>
        </w:rPr>
        <w:t>9</w:t>
      </w:r>
      <w:r>
        <w:rPr>
          <w:w w:val="41"/>
        </w:rPr>
        <w:t>X</w:t>
      </w:r>
      <w:r>
        <w:rPr>
          <w:spacing w:val="27"/>
        </w:rPr>
        <w:t> </w:t>
      </w:r>
      <w:r>
        <w:rPr/>
        <w:t>Hayes</w:t>
      </w:r>
      <w:r>
        <w:rPr>
          <w:spacing w:val="27"/>
        </w:rPr>
        <w:t> </w:t>
      </w:r>
      <w:r>
        <w:rPr/>
        <w:t>199</w:t>
      </w:r>
      <w:r>
        <w:rPr>
          <w:spacing w:val="-1"/>
        </w:rPr>
        <w:t>4</w:t>
      </w:r>
      <w:r>
        <w:rPr/>
        <w:t>),</w:t>
      </w:r>
      <w:r>
        <w:rPr>
          <w:spacing w:val="27"/>
        </w:rPr>
        <w:t> </w:t>
      </w:r>
      <w:r>
        <w:rPr/>
        <w:t>uréter</w:t>
      </w:r>
      <w:r>
        <w:rPr>
          <w:spacing w:val="27"/>
        </w:rPr>
        <w:t> </w:t>
      </w:r>
      <w:r>
        <w:rPr/>
        <w:t>ectópic</w:t>
      </w:r>
      <w:r>
        <w:rPr>
          <w:spacing w:val="-1"/>
        </w:rPr>
        <w:t>o</w:t>
      </w:r>
      <w:r>
        <w:rPr/>
        <w:t>,</w:t>
      </w:r>
      <w:r>
        <w:rPr>
          <w:spacing w:val="27"/>
        </w:rPr>
        <w:t> </w:t>
      </w:r>
      <w:r>
        <w:rPr/>
        <w:t>fístulas uretrorectales, </w:t>
      </w:r>
      <w:r>
        <w:rPr>
          <w:spacing w:val="1"/>
        </w:rPr>
        <w:t> </w:t>
      </w:r>
      <w:r>
        <w:rPr/>
        <w:t>ur</w:t>
      </w:r>
      <w:r>
        <w:rPr>
          <w:spacing w:val="-1"/>
        </w:rPr>
        <w:t>e</w:t>
      </w:r>
      <w:r>
        <w:rPr/>
        <w:t>trovaginales, </w:t>
      </w:r>
      <w:r>
        <w:rPr>
          <w:spacing w:val="1"/>
        </w:rPr>
        <w:t> </w:t>
      </w:r>
      <w:r>
        <w:rPr/>
        <w:t>uretroperineales </w:t>
      </w:r>
      <w:r>
        <w:rPr>
          <w:spacing w:val="1"/>
        </w:rPr>
        <w:t> </w:t>
      </w:r>
      <w:r>
        <w:rPr/>
        <w:t>(Foster </w:t>
      </w:r>
      <w:r>
        <w:rPr>
          <w:spacing w:val="1"/>
        </w:rPr>
        <w:t> </w:t>
      </w:r>
      <w:r>
        <w:rPr/>
        <w:t>y </w:t>
      </w:r>
      <w:r>
        <w:rPr>
          <w:spacing w:val="1"/>
        </w:rPr>
        <w:t> </w:t>
      </w:r>
      <w:r>
        <w:rPr/>
        <w:t>col. </w:t>
      </w:r>
      <w:r>
        <w:rPr>
          <w:spacing w:val="1"/>
        </w:rPr>
        <w:t> </w:t>
      </w:r>
      <w:r>
        <w:rPr/>
        <w:t>199</w:t>
      </w:r>
      <w:r>
        <w:rPr>
          <w:spacing w:val="-1"/>
        </w:rPr>
        <w:t>9</w:t>
      </w:r>
      <w:r>
        <w:rPr>
          <w:w w:val="41"/>
        </w:rPr>
        <w:t>X</w:t>
      </w:r>
      <w:r>
        <w:rPr/>
        <w:t> </w:t>
      </w:r>
      <w:r>
        <w:rPr>
          <w:spacing w:val="1"/>
        </w:rPr>
        <w:t> </w:t>
      </w:r>
      <w:r>
        <w:rPr/>
        <w:t>Lautze</w:t>
      </w:r>
      <w:r>
        <w:rPr>
          <w:spacing w:val="-1"/>
        </w:rPr>
        <w:t>n</w:t>
      </w:r>
      <w:r>
        <w:rPr/>
        <w:t>hiser </w:t>
      </w:r>
      <w:r>
        <w:rPr>
          <w:spacing w:val="1"/>
        </w:rPr>
        <w:t> </w:t>
      </w:r>
      <w:r>
        <w:rPr/>
        <w:t>y Bjorling 2002</w:t>
      </w:r>
      <w:r>
        <w:rPr>
          <w:w w:val="41"/>
        </w:rPr>
        <w:t>X</w:t>
      </w:r>
      <w:r>
        <w:rPr>
          <w:spacing w:val="-1"/>
        </w:rPr>
        <w:t> </w:t>
      </w:r>
      <w:r>
        <w:rPr/>
        <w:t>Agut y col. 2006</w:t>
      </w:r>
      <w:r>
        <w:rPr>
          <w:spacing w:val="-1"/>
        </w:rPr>
        <w:t>)</w:t>
      </w:r>
      <w:r>
        <w:rPr/>
        <w:t>, prolapso uretral</w:t>
      </w:r>
      <w:r>
        <w:rPr>
          <w:spacing w:val="-1"/>
        </w:rPr>
        <w:t> </w:t>
      </w:r>
      <w:r>
        <w:rPr/>
        <w:t>(Ragni 2007).</w:t>
      </w:r>
    </w:p>
    <w:p>
      <w:pPr>
        <w:pStyle w:val="BodyText"/>
      </w:pPr>
    </w:p>
    <w:p>
      <w:pPr>
        <w:pStyle w:val="BodyText"/>
        <w:spacing w:line="360" w:lineRule="auto" w:before="144"/>
        <w:ind w:left="144" w:right="148" w:firstLine="708"/>
        <w:jc w:val="both"/>
      </w:pPr>
      <w:r>
        <w:rPr/>
        <w:t>Los métodos diagnósticos de imagen son la radiografía contrastada, uretrocistografía contrastada, ecografía o cistoscopia.</w:t>
      </w:r>
    </w:p>
    <w:p>
      <w:pPr>
        <w:spacing w:after="0" w:line="360" w:lineRule="auto"/>
        <w:jc w:val="both"/>
        <w:sectPr>
          <w:pgSz w:w="12240" w:h="15840"/>
          <w:pgMar w:header="886" w:footer="882" w:top="1140" w:bottom="1080" w:left="1560" w:right="980"/>
        </w:sectPr>
      </w:pPr>
    </w:p>
    <w:p>
      <w:pPr>
        <w:pStyle w:val="BodyText"/>
        <w:rPr>
          <w:sz w:val="20"/>
        </w:rPr>
      </w:pPr>
    </w:p>
    <w:p>
      <w:pPr>
        <w:pStyle w:val="BodyText"/>
        <w:rPr>
          <w:sz w:val="23"/>
        </w:rPr>
      </w:pPr>
    </w:p>
    <w:p>
      <w:pPr>
        <w:pStyle w:val="Heading1"/>
      </w:pPr>
      <w:bookmarkStart w:name="_TOC_250005" w:id="6"/>
      <w:bookmarkEnd w:id="6"/>
      <w:r>
        <w:rPr/>
        <w:t>JUSTIFICACIÓN</w:t>
      </w:r>
    </w:p>
    <w:p>
      <w:pPr>
        <w:pStyle w:val="BodyText"/>
        <w:rPr>
          <w:b/>
          <w:sz w:val="28"/>
        </w:rPr>
      </w:pPr>
    </w:p>
    <w:p>
      <w:pPr>
        <w:pStyle w:val="BodyText"/>
        <w:rPr>
          <w:b/>
          <w:sz w:val="28"/>
        </w:rPr>
      </w:pPr>
    </w:p>
    <w:p>
      <w:pPr>
        <w:pStyle w:val="BodyText"/>
        <w:spacing w:before="10"/>
        <w:rPr>
          <w:b/>
          <w:sz w:val="29"/>
        </w:rPr>
      </w:pPr>
    </w:p>
    <w:p>
      <w:pPr>
        <w:pStyle w:val="BodyText"/>
        <w:spacing w:line="360" w:lineRule="auto"/>
        <w:ind w:left="144" w:right="148" w:firstLine="708"/>
        <w:jc w:val="both"/>
      </w:pPr>
      <w:r>
        <w:rPr/>
        <w:t>En los perros existen enfermedades que pueden afectar a cualquier parte del tracto urinario caudal, las cuales pueden aparecer en el transcurso de su vida dependiente de diversos factores como la edad, sexo, raza, teniendo en común algunos signos clínicos. Estas enfermedades son muy comunes, sin embargo no se tiene un registro o no existen estudios epidemiológicos en México que informen la frecuencia  con que estas se presentan y de las características de la población afectada, por lo que es importante realizar un estudio epidemiológico de estas patologías, lo que permitirá detectar los posibles factores de riesgo en la población</w:t>
      </w:r>
      <w:r>
        <w:rPr>
          <w:spacing w:val="-1"/>
        </w:rPr>
        <w:t> </w:t>
      </w:r>
      <w:r>
        <w:rPr/>
        <w:t>estudiada.</w:t>
      </w:r>
    </w:p>
    <w:p>
      <w:pPr>
        <w:spacing w:after="0" w:line="360" w:lineRule="auto"/>
        <w:jc w:val="both"/>
        <w:sectPr>
          <w:pgSz w:w="12240" w:h="15840"/>
          <w:pgMar w:header="886" w:footer="882" w:top="1140" w:bottom="1080" w:left="1560" w:right="980"/>
        </w:sectPr>
      </w:pPr>
    </w:p>
    <w:p>
      <w:pPr>
        <w:pStyle w:val="BodyText"/>
        <w:rPr>
          <w:sz w:val="20"/>
        </w:rPr>
      </w:pPr>
    </w:p>
    <w:p>
      <w:pPr>
        <w:pStyle w:val="BodyText"/>
        <w:rPr>
          <w:sz w:val="23"/>
        </w:rPr>
      </w:pPr>
    </w:p>
    <w:p>
      <w:pPr>
        <w:pStyle w:val="Heading1"/>
      </w:pPr>
      <w:bookmarkStart w:name="_TOC_250004" w:id="7"/>
      <w:bookmarkEnd w:id="7"/>
      <w:r>
        <w:rPr/>
        <w:t>OBJETIVOS</w:t>
      </w:r>
    </w:p>
    <w:p>
      <w:pPr>
        <w:pStyle w:val="BodyText"/>
        <w:rPr>
          <w:b/>
          <w:sz w:val="28"/>
        </w:rPr>
      </w:pPr>
    </w:p>
    <w:p>
      <w:pPr>
        <w:pStyle w:val="BodyText"/>
        <w:rPr>
          <w:b/>
          <w:sz w:val="28"/>
        </w:rPr>
      </w:pPr>
    </w:p>
    <w:p>
      <w:pPr>
        <w:pStyle w:val="BodyText"/>
        <w:spacing w:before="10"/>
        <w:rPr>
          <w:b/>
          <w:sz w:val="29"/>
        </w:rPr>
      </w:pPr>
    </w:p>
    <w:p>
      <w:pPr>
        <w:pStyle w:val="Heading3"/>
        <w:spacing w:before="0"/>
      </w:pPr>
      <w:r>
        <w:rPr/>
        <w:t>Objetivo general</w:t>
      </w:r>
    </w:p>
    <w:p>
      <w:pPr>
        <w:pStyle w:val="BodyText"/>
        <w:rPr>
          <w:b/>
        </w:rPr>
      </w:pPr>
    </w:p>
    <w:p>
      <w:pPr>
        <w:pStyle w:val="BodyText"/>
        <w:rPr>
          <w:b/>
        </w:rPr>
      </w:pPr>
    </w:p>
    <w:p>
      <w:pPr>
        <w:pStyle w:val="ListParagraph"/>
        <w:numPr>
          <w:ilvl w:val="2"/>
          <w:numId w:val="2"/>
        </w:numPr>
        <w:tabs>
          <w:tab w:pos="864" w:val="left" w:leader="none"/>
          <w:tab w:pos="865" w:val="left" w:leader="none"/>
        </w:tabs>
        <w:spacing w:line="355" w:lineRule="auto" w:before="0" w:after="0"/>
        <w:ind w:left="864" w:right="148" w:hanging="360"/>
        <w:jc w:val="left"/>
        <w:rPr>
          <w:rFonts w:ascii="Arial" w:hAnsi="Arial"/>
          <w:sz w:val="24"/>
        </w:rPr>
      </w:pPr>
      <w:r>
        <w:rPr>
          <w:rFonts w:ascii="Arial" w:hAnsi="Arial"/>
          <w:sz w:val="24"/>
        </w:rPr>
        <w:t>Determinar la frecuencia de las diferentes patologías que afectan al tracto  urinario caudal de los perros.</w:t>
      </w:r>
    </w:p>
    <w:p>
      <w:pPr>
        <w:pStyle w:val="BodyText"/>
      </w:pPr>
    </w:p>
    <w:p>
      <w:pPr>
        <w:pStyle w:val="BodyText"/>
      </w:pPr>
    </w:p>
    <w:p>
      <w:pPr>
        <w:pStyle w:val="BodyText"/>
        <w:spacing w:before="5"/>
      </w:pPr>
    </w:p>
    <w:p>
      <w:pPr>
        <w:pStyle w:val="Heading3"/>
        <w:spacing w:before="0"/>
      </w:pPr>
      <w:r>
        <w:rPr/>
        <w:t>Objetivos específicos</w:t>
      </w:r>
    </w:p>
    <w:p>
      <w:pPr>
        <w:pStyle w:val="BodyText"/>
        <w:rPr>
          <w:b/>
        </w:rPr>
      </w:pPr>
    </w:p>
    <w:p>
      <w:pPr>
        <w:pStyle w:val="BodyText"/>
        <w:rPr>
          <w:b/>
        </w:rPr>
      </w:pPr>
    </w:p>
    <w:p>
      <w:pPr>
        <w:pStyle w:val="ListParagraph"/>
        <w:numPr>
          <w:ilvl w:val="2"/>
          <w:numId w:val="2"/>
        </w:numPr>
        <w:tabs>
          <w:tab w:pos="864" w:val="left" w:leader="none"/>
          <w:tab w:pos="865" w:val="left" w:leader="none"/>
        </w:tabs>
        <w:spacing w:line="350" w:lineRule="auto" w:before="0" w:after="0"/>
        <w:ind w:left="864" w:right="148" w:hanging="360"/>
        <w:jc w:val="left"/>
        <w:rPr>
          <w:rFonts w:ascii="Arial" w:hAnsi="Arial"/>
          <w:sz w:val="24"/>
        </w:rPr>
      </w:pPr>
      <w:r>
        <w:rPr>
          <w:rFonts w:ascii="Arial" w:hAnsi="Arial"/>
          <w:sz w:val="24"/>
        </w:rPr>
        <w:t>Describir las características epidemiológicas de interés de los perros que presentan enfermedad del tracto urinario caudal.</w:t>
      </w:r>
    </w:p>
    <w:p>
      <w:pPr>
        <w:pStyle w:val="BodyText"/>
      </w:pPr>
    </w:p>
    <w:p>
      <w:pPr>
        <w:pStyle w:val="ListParagraph"/>
        <w:numPr>
          <w:ilvl w:val="2"/>
          <w:numId w:val="2"/>
        </w:numPr>
        <w:tabs>
          <w:tab w:pos="864" w:val="left" w:leader="none"/>
          <w:tab w:pos="865" w:val="left" w:leader="none"/>
        </w:tabs>
        <w:spacing w:line="350" w:lineRule="auto" w:before="153" w:after="0"/>
        <w:ind w:left="864" w:right="148" w:hanging="360"/>
        <w:jc w:val="left"/>
        <w:rPr>
          <w:rFonts w:ascii="Arial"/>
          <w:sz w:val="24"/>
        </w:rPr>
      </w:pPr>
      <w:r>
        <w:rPr>
          <w:rFonts w:ascii="Arial"/>
          <w:sz w:val="24"/>
        </w:rPr>
        <w:t>Determinar los factores de riesgo para las enfermedades del tracto urinario caudal en los perros.</w:t>
      </w:r>
    </w:p>
    <w:p>
      <w:pPr>
        <w:spacing w:after="0" w:line="350" w:lineRule="auto"/>
        <w:jc w:val="left"/>
        <w:rPr>
          <w:rFonts w:ascii="Arial"/>
          <w:sz w:val="24"/>
        </w:rPr>
        <w:sectPr>
          <w:pgSz w:w="12240" w:h="15840"/>
          <w:pgMar w:header="886" w:footer="882" w:top="1140" w:bottom="1080" w:left="1560" w:right="980"/>
        </w:sectPr>
      </w:pPr>
    </w:p>
    <w:p>
      <w:pPr>
        <w:pStyle w:val="BodyText"/>
        <w:rPr>
          <w:sz w:val="20"/>
        </w:rPr>
      </w:pPr>
    </w:p>
    <w:p>
      <w:pPr>
        <w:pStyle w:val="BodyText"/>
        <w:rPr>
          <w:sz w:val="23"/>
        </w:rPr>
      </w:pPr>
    </w:p>
    <w:p>
      <w:pPr>
        <w:pStyle w:val="Heading1"/>
      </w:pPr>
      <w:bookmarkStart w:name="_TOC_250003" w:id="8"/>
      <w:bookmarkEnd w:id="8"/>
      <w:r>
        <w:rPr/>
        <w:t>MATERIAL Y MÉTODOS</w:t>
      </w:r>
    </w:p>
    <w:p>
      <w:pPr>
        <w:pStyle w:val="BodyText"/>
        <w:rPr>
          <w:b/>
          <w:sz w:val="28"/>
        </w:rPr>
      </w:pPr>
    </w:p>
    <w:p>
      <w:pPr>
        <w:pStyle w:val="BodyText"/>
        <w:rPr>
          <w:b/>
          <w:sz w:val="28"/>
        </w:rPr>
      </w:pPr>
    </w:p>
    <w:p>
      <w:pPr>
        <w:pStyle w:val="BodyText"/>
        <w:spacing w:before="10"/>
        <w:rPr>
          <w:b/>
          <w:sz w:val="29"/>
        </w:rPr>
      </w:pPr>
    </w:p>
    <w:p>
      <w:pPr>
        <w:pStyle w:val="Heading3"/>
        <w:spacing w:before="0"/>
      </w:pPr>
      <w:r>
        <w:rPr>
          <w:u w:val="thick"/>
        </w:rPr>
        <w:t>Población evaluada</w:t>
      </w:r>
    </w:p>
    <w:p>
      <w:pPr>
        <w:pStyle w:val="BodyText"/>
        <w:rPr>
          <w:b/>
          <w:sz w:val="20"/>
        </w:rPr>
      </w:pPr>
    </w:p>
    <w:p>
      <w:pPr>
        <w:pStyle w:val="BodyText"/>
        <w:spacing w:before="2"/>
        <w:rPr>
          <w:b/>
          <w:sz w:val="22"/>
        </w:rPr>
      </w:pPr>
    </w:p>
    <w:p>
      <w:pPr>
        <w:pStyle w:val="BodyText"/>
        <w:spacing w:line="352" w:lineRule="auto" w:before="69"/>
        <w:ind w:left="144" w:right="148" w:firstLine="708"/>
        <w:jc w:val="both"/>
      </w:pPr>
      <w:r>
        <w:rPr/>
        <w:t>Durante el periodo de Agosto 2012 a Enero 2014, se evaluaron casos clínicos de perros con signos clínicos sugerentes de Enfermedad del Tracto Urinario Caudal  (ETUC) los cuales se presentaron por primera ocasión a consulta al Hospital Veterinario para Pequeñas Especies de la FMVZ[UAEMex, ubicado en la ciudad de Toluca, México (Latitud</w:t>
      </w:r>
      <w:r>
        <w:rPr>
          <w:spacing w:val="17"/>
        </w:rPr>
        <w:t> </w:t>
      </w:r>
      <w:r>
        <w:rPr/>
        <w:t>19</w:t>
      </w:r>
      <w:r>
        <w:rPr>
          <w:position w:val="11"/>
          <w:sz w:val="16"/>
        </w:rPr>
        <w:t>º</w:t>
      </w:r>
      <w:r>
        <w:rPr/>
        <w:t>37′32′′N</w:t>
      </w:r>
      <w:r>
        <w:rPr>
          <w:spacing w:val="17"/>
        </w:rPr>
        <w:t> </w:t>
      </w:r>
      <w:r>
        <w:rPr/>
        <w:t>y</w:t>
      </w:r>
      <w:r>
        <w:rPr>
          <w:spacing w:val="17"/>
        </w:rPr>
        <w:t> </w:t>
      </w:r>
      <w:r>
        <w:rPr/>
        <w:t>longitud</w:t>
      </w:r>
      <w:r>
        <w:rPr>
          <w:spacing w:val="17"/>
        </w:rPr>
        <w:t> </w:t>
      </w:r>
      <w:r>
        <w:rPr/>
        <w:t>de</w:t>
      </w:r>
      <w:r>
        <w:rPr>
          <w:spacing w:val="17"/>
        </w:rPr>
        <w:t> </w:t>
      </w:r>
      <w:r>
        <w:rPr/>
        <w:t>99</w:t>
      </w:r>
      <w:r>
        <w:rPr>
          <w:position w:val="11"/>
          <w:sz w:val="16"/>
        </w:rPr>
        <w:t>º</w:t>
      </w:r>
      <w:r>
        <w:rPr/>
        <w:t>39′14′′W,</w:t>
      </w:r>
      <w:r>
        <w:rPr>
          <w:spacing w:val="17"/>
        </w:rPr>
        <w:t> </w:t>
      </w:r>
      <w:r>
        <w:rPr/>
        <w:t>con</w:t>
      </w:r>
      <w:r>
        <w:rPr>
          <w:spacing w:val="17"/>
        </w:rPr>
        <w:t> </w:t>
      </w:r>
      <w:r>
        <w:rPr/>
        <w:t>una</w:t>
      </w:r>
      <w:r>
        <w:rPr>
          <w:spacing w:val="17"/>
        </w:rPr>
        <w:t> </w:t>
      </w:r>
      <w:r>
        <w:rPr/>
        <w:t>altitud</w:t>
      </w:r>
      <w:r>
        <w:rPr>
          <w:spacing w:val="17"/>
        </w:rPr>
        <w:t> </w:t>
      </w:r>
      <w:r>
        <w:rPr/>
        <w:t>de</w:t>
      </w:r>
      <w:r>
        <w:rPr>
          <w:spacing w:val="17"/>
        </w:rPr>
        <w:t> </w:t>
      </w:r>
      <w:r>
        <w:rPr/>
        <w:t>2,640</w:t>
      </w:r>
      <w:r>
        <w:rPr>
          <w:spacing w:val="17"/>
        </w:rPr>
        <w:t> </w:t>
      </w:r>
      <w:r>
        <w:rPr/>
        <w:t>metros</w:t>
      </w:r>
      <w:r>
        <w:rPr>
          <w:spacing w:val="17"/>
        </w:rPr>
        <w:t> </w:t>
      </w:r>
      <w:r>
        <w:rPr/>
        <w:t>sobre</w:t>
      </w:r>
      <w:r>
        <w:rPr>
          <w:spacing w:val="17"/>
        </w:rPr>
        <w:t> </w:t>
      </w:r>
      <w:r>
        <w:rPr/>
        <w:t>el</w:t>
      </w:r>
    </w:p>
    <w:p>
      <w:pPr>
        <w:pStyle w:val="BodyText"/>
        <w:spacing w:line="269" w:lineRule="exact"/>
        <w:ind w:left="144" w:right="144"/>
      </w:pPr>
      <w:r>
        <w:rPr/>
        <w:t>nivel del mar).</w:t>
      </w:r>
    </w:p>
    <w:p>
      <w:pPr>
        <w:pStyle w:val="BodyText"/>
      </w:pPr>
    </w:p>
    <w:p>
      <w:pPr>
        <w:pStyle w:val="BodyText"/>
      </w:pPr>
    </w:p>
    <w:p>
      <w:pPr>
        <w:pStyle w:val="BodyText"/>
      </w:pPr>
    </w:p>
    <w:p>
      <w:pPr>
        <w:pStyle w:val="Heading3"/>
      </w:pPr>
      <w:r>
        <w:rPr>
          <w:u w:val="thick"/>
        </w:rPr>
        <w:t>Diseño experimental</w:t>
      </w:r>
    </w:p>
    <w:p>
      <w:pPr>
        <w:pStyle w:val="BodyText"/>
        <w:rPr>
          <w:b/>
          <w:sz w:val="20"/>
        </w:rPr>
      </w:pPr>
    </w:p>
    <w:p>
      <w:pPr>
        <w:pStyle w:val="BodyText"/>
        <w:spacing w:before="8"/>
        <w:rPr>
          <w:b/>
          <w:sz w:val="21"/>
        </w:rPr>
      </w:pPr>
    </w:p>
    <w:p>
      <w:pPr>
        <w:pStyle w:val="BodyText"/>
        <w:spacing w:before="70"/>
        <w:ind w:left="852" w:right="144"/>
      </w:pPr>
      <w:r>
        <w:rPr/>
        <w:t>Para ser parte del estudio los animales debieron cubrir los siguientes criterios.</w:t>
      </w:r>
    </w:p>
    <w:p>
      <w:pPr>
        <w:pStyle w:val="BodyText"/>
      </w:pPr>
    </w:p>
    <w:p>
      <w:pPr>
        <w:pStyle w:val="BodyText"/>
      </w:pPr>
    </w:p>
    <w:p>
      <w:pPr>
        <w:pStyle w:val="BodyText"/>
      </w:pPr>
    </w:p>
    <w:p>
      <w:pPr>
        <w:spacing w:before="139"/>
        <w:ind w:left="144" w:right="144" w:firstLine="0"/>
        <w:jc w:val="left"/>
        <w:rPr>
          <w:i/>
          <w:sz w:val="24"/>
        </w:rPr>
      </w:pPr>
      <w:r>
        <w:rPr>
          <w:i/>
          <w:sz w:val="24"/>
        </w:rPr>
        <w:t>Criterios de inclusión:</w:t>
      </w:r>
    </w:p>
    <w:p>
      <w:pPr>
        <w:pStyle w:val="BodyText"/>
        <w:rPr>
          <w:i/>
        </w:rPr>
      </w:pPr>
    </w:p>
    <w:p>
      <w:pPr>
        <w:pStyle w:val="BodyText"/>
        <w:spacing w:before="2"/>
        <w:rPr>
          <w:i/>
        </w:rPr>
      </w:pPr>
    </w:p>
    <w:p>
      <w:pPr>
        <w:pStyle w:val="BodyText"/>
        <w:spacing w:line="360" w:lineRule="auto"/>
        <w:ind w:left="144" w:right="148" w:firstLine="708"/>
        <w:jc w:val="both"/>
      </w:pPr>
      <w:r>
        <w:rPr/>
        <w:t>Pacientes que presentaron al menos algún signo de enfermedad del tracto urinario caudal (hematuria, estranguria, disuria, polaquiuria, incontinencia urinaria, o quemaduras de piel por orina), y que se confirmara un diagnóstico definitivo de ETUC una vez realizado diferentes pruebas diagnósticas como estudios de laboratorio y de imagen.</w:t>
      </w:r>
    </w:p>
    <w:p>
      <w:pPr>
        <w:spacing w:after="0" w:line="360" w:lineRule="auto"/>
        <w:jc w:val="both"/>
        <w:sectPr>
          <w:footerReference w:type="default" r:id="rId16"/>
          <w:pgSz w:w="12240" w:h="15840"/>
          <w:pgMar w:footer="882" w:header="886" w:top="1140" w:bottom="1080" w:left="1560" w:right="980"/>
        </w:sectPr>
      </w:pPr>
    </w:p>
    <w:p>
      <w:pPr>
        <w:pStyle w:val="BodyText"/>
        <w:rPr>
          <w:sz w:val="20"/>
        </w:rPr>
      </w:pPr>
    </w:p>
    <w:p>
      <w:pPr>
        <w:pStyle w:val="BodyText"/>
        <w:spacing w:before="4"/>
        <w:rPr>
          <w:sz w:val="22"/>
        </w:rPr>
      </w:pPr>
    </w:p>
    <w:p>
      <w:pPr>
        <w:spacing w:before="70"/>
        <w:ind w:left="144" w:right="144" w:firstLine="0"/>
        <w:jc w:val="left"/>
        <w:rPr>
          <w:i/>
          <w:sz w:val="24"/>
        </w:rPr>
      </w:pPr>
      <w:r>
        <w:rPr>
          <w:i/>
          <w:sz w:val="24"/>
        </w:rPr>
        <w:t>Criterios de exclusión:</w:t>
      </w:r>
    </w:p>
    <w:p>
      <w:pPr>
        <w:pStyle w:val="BodyText"/>
        <w:rPr>
          <w:i/>
        </w:rPr>
      </w:pPr>
    </w:p>
    <w:p>
      <w:pPr>
        <w:pStyle w:val="BodyText"/>
        <w:spacing w:before="2"/>
        <w:rPr>
          <w:i/>
        </w:rPr>
      </w:pPr>
    </w:p>
    <w:p>
      <w:pPr>
        <w:pStyle w:val="BodyText"/>
        <w:spacing w:line="360" w:lineRule="auto"/>
        <w:ind w:left="144" w:right="148" w:firstLine="708"/>
        <w:jc w:val="both"/>
      </w:pPr>
      <w:r>
        <w:rPr/>
        <w:t>Todos aquellos pacientes a los que no se realizaron pruebas diagnósticas, pacientes con diagnósticos diferentes a ETUC y pacientes que fueran referidos por médicos externos con la finalidad de descartar posible casos iatrogénicos, casos crónicos debido a un diagnóstico tardío o erróneo.</w:t>
      </w:r>
    </w:p>
    <w:p>
      <w:pPr>
        <w:pStyle w:val="BodyText"/>
      </w:pPr>
    </w:p>
    <w:p>
      <w:pPr>
        <w:pStyle w:val="BodyText"/>
        <w:spacing w:before="139"/>
        <w:ind w:left="852" w:right="144"/>
      </w:pPr>
      <w:r>
        <w:rPr/>
        <w:t>Todos los casos clínicos excluidos fueron considerados como grupo control.</w:t>
      </w:r>
    </w:p>
    <w:p>
      <w:pPr>
        <w:pStyle w:val="BodyText"/>
      </w:pPr>
    </w:p>
    <w:p>
      <w:pPr>
        <w:pStyle w:val="BodyText"/>
        <w:spacing w:before="2"/>
      </w:pPr>
    </w:p>
    <w:p>
      <w:pPr>
        <w:spacing w:before="0"/>
        <w:ind w:left="144" w:right="144" w:firstLine="0"/>
        <w:jc w:val="left"/>
        <w:rPr>
          <w:i/>
          <w:sz w:val="24"/>
        </w:rPr>
      </w:pPr>
      <w:r>
        <w:rPr>
          <w:i/>
          <w:sz w:val="24"/>
        </w:rPr>
        <w:t>Métodos diagnósticos:</w:t>
      </w:r>
    </w:p>
    <w:p>
      <w:pPr>
        <w:pStyle w:val="BodyText"/>
        <w:rPr>
          <w:i/>
        </w:rPr>
      </w:pPr>
    </w:p>
    <w:p>
      <w:pPr>
        <w:pStyle w:val="BodyText"/>
        <w:spacing w:before="9"/>
        <w:rPr>
          <w:i/>
          <w:sz w:val="23"/>
        </w:rPr>
      </w:pPr>
    </w:p>
    <w:p>
      <w:pPr>
        <w:pStyle w:val="BodyText"/>
        <w:spacing w:line="360" w:lineRule="auto"/>
        <w:ind w:left="144" w:right="148" w:firstLine="708"/>
        <w:jc w:val="both"/>
      </w:pPr>
      <w:r>
        <w:rPr/>
        <w:t>Se realizaron diferentes estudios de laboratorio como hemograma, perfil bioquímico, urianálisis y estudios de imagen como radiología y ultrasonografía del tracto urinario caudal.</w:t>
      </w:r>
    </w:p>
    <w:p>
      <w:pPr>
        <w:pStyle w:val="BodyText"/>
      </w:pPr>
    </w:p>
    <w:p>
      <w:pPr>
        <w:pStyle w:val="BodyText"/>
        <w:spacing w:line="360" w:lineRule="auto" w:before="139"/>
        <w:ind w:left="144" w:right="148" w:firstLine="708"/>
        <w:jc w:val="both"/>
      </w:pPr>
      <w:r>
        <w:rPr/>
        <w:t>Las muestras de orina fueron obtenidas por cistocentésis, a excepción de los animales que presentaron ruptura de las vías urinaria. Los casos de infección  bacteriana del tracto urinario (IBTU) fueron diagnosticados en conjunto a los signos clínicos, la presencia de otras patologías urinarias o sistémicas y los hallazgos del urianálisis completo (Weese y col. 2011), cuando en el examen microscópico del sedimento urinario se demostraron más de 5 eritrocitos y leucocitos (piuria) por campo 400x, bacterias evidentes y células epiteliales considerando inflamación activa de origen</w:t>
      </w:r>
      <w:r>
        <w:rPr>
          <w:spacing w:val="4"/>
        </w:rPr>
        <w:t> </w:t>
      </w:r>
      <w:r>
        <w:rPr/>
        <w:t>séptico</w:t>
      </w:r>
      <w:r>
        <w:rPr>
          <w:spacing w:val="4"/>
        </w:rPr>
        <w:t> </w:t>
      </w:r>
      <w:r>
        <w:rPr/>
        <w:t>(Bartges</w:t>
      </w:r>
      <w:r>
        <w:rPr>
          <w:spacing w:val="4"/>
        </w:rPr>
        <w:t> </w:t>
      </w:r>
      <w:r>
        <w:rPr/>
        <w:t>y</w:t>
      </w:r>
      <w:r>
        <w:rPr>
          <w:spacing w:val="4"/>
        </w:rPr>
        <w:t> </w:t>
      </w:r>
      <w:r>
        <w:rPr/>
        <w:t>Blanco</w:t>
      </w:r>
      <w:r>
        <w:rPr>
          <w:spacing w:val="4"/>
        </w:rPr>
        <w:t> </w:t>
      </w:r>
      <w:r>
        <w:rPr>
          <w:w w:val="86"/>
        </w:rPr>
        <w:t>2001X</w:t>
      </w:r>
      <w:r>
        <w:rPr>
          <w:spacing w:val="4"/>
        </w:rPr>
        <w:t> </w:t>
      </w:r>
      <w:r>
        <w:rPr/>
        <w:t>Pressler</w:t>
      </w:r>
      <w:r>
        <w:rPr>
          <w:spacing w:val="4"/>
        </w:rPr>
        <w:t> </w:t>
      </w:r>
      <w:r>
        <w:rPr/>
        <w:t>y</w:t>
      </w:r>
      <w:r>
        <w:rPr>
          <w:spacing w:val="4"/>
        </w:rPr>
        <w:t> </w:t>
      </w:r>
      <w:r>
        <w:rPr/>
        <w:t>co</w:t>
      </w:r>
      <w:r>
        <w:rPr>
          <w:spacing w:val="-1"/>
        </w:rPr>
        <w:t>l</w:t>
      </w:r>
      <w:r>
        <w:rPr/>
        <w:t>.</w:t>
      </w:r>
      <w:r>
        <w:rPr>
          <w:spacing w:val="4"/>
        </w:rPr>
        <w:t> </w:t>
      </w:r>
      <w:r>
        <w:rPr/>
        <w:t>20</w:t>
      </w:r>
      <w:r>
        <w:rPr>
          <w:spacing w:val="-1"/>
        </w:rPr>
        <w:t>0</w:t>
      </w:r>
      <w:r>
        <w:rPr/>
        <w:t>3</w:t>
      </w:r>
      <w:r>
        <w:rPr>
          <w:w w:val="41"/>
        </w:rPr>
        <w:t>X</w:t>
      </w:r>
      <w:r>
        <w:rPr>
          <w:spacing w:val="4"/>
        </w:rPr>
        <w:t> </w:t>
      </w:r>
      <w:r>
        <w:rPr/>
        <w:t>Buffintong</w:t>
      </w:r>
      <w:r>
        <w:rPr>
          <w:spacing w:val="4"/>
        </w:rPr>
        <w:t> </w:t>
      </w:r>
      <w:r>
        <w:rPr/>
        <w:t>y</w:t>
      </w:r>
      <w:r>
        <w:rPr>
          <w:spacing w:val="4"/>
        </w:rPr>
        <w:t> </w:t>
      </w:r>
      <w:r>
        <w:rPr/>
        <w:t>co</w:t>
      </w:r>
      <w:r>
        <w:rPr>
          <w:spacing w:val="-1"/>
        </w:rPr>
        <w:t>l</w:t>
      </w:r>
      <w:r>
        <w:rPr/>
        <w:t>.</w:t>
      </w:r>
      <w:r>
        <w:rPr>
          <w:spacing w:val="4"/>
        </w:rPr>
        <w:t> </w:t>
      </w:r>
      <w:r>
        <w:rPr/>
        <w:t>1997).</w:t>
      </w:r>
      <w:r>
        <w:rPr>
          <w:spacing w:val="4"/>
        </w:rPr>
        <w:t> </w:t>
      </w:r>
      <w:r>
        <w:rPr/>
        <w:t>Los casos de IBTU en relación con otras comorbilidades fueron consideradas como complicadas y en las que no se encontró relación con otras patologías como simples y agudas. El realizar un urocultivo solo fue considerado en casos de IBTU que no respondieran al tratamiento médico inicial considerando una IBTU reincidente (recaída, reinfección o superinfección).</w:t>
      </w:r>
    </w:p>
    <w:p>
      <w:pPr>
        <w:spacing w:after="0" w:line="360" w:lineRule="auto"/>
        <w:jc w:val="both"/>
        <w:sectPr>
          <w:footerReference w:type="default" r:id="rId17"/>
          <w:pgSz w:w="12240" w:h="15840"/>
          <w:pgMar w:footer="882" w:header="886" w:top="1140" w:bottom="1080" w:left="1560" w:right="980"/>
          <w:pgNumType w:start="41"/>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En el caso del diagnóstico de urolitiasis, una vez extraído los urolitos quirúrgicamente o por sondeo, estos fueron analizados por un método fisicoquímico cuantitativo con el uso de microscopia estereoscópica y un equipo de espectroscopia infrarroja acoplado a un ATR de diamante para determinar la composición mineral (Del[ Ángel y col. 2010).</w:t>
      </w:r>
    </w:p>
    <w:p>
      <w:pPr>
        <w:pStyle w:val="BodyText"/>
      </w:pPr>
    </w:p>
    <w:p>
      <w:pPr>
        <w:pStyle w:val="BodyText"/>
        <w:spacing w:line="360" w:lineRule="auto" w:before="144"/>
        <w:ind w:left="144" w:right="148" w:firstLine="708"/>
        <w:jc w:val="both"/>
      </w:pPr>
      <w:r>
        <w:rPr/>
        <w:t>Los casos de alteraciones de la micción: la incontinencia urinaria fue diagnosticada en base a los signos como: pérdida de orina en periodos de intermicción, quemadura de piel por orina. Para los casos de retención urinaria se realizó la medición de orina residual postmicción mayor a 0.4 ml/kg (Fischer y Lane 2007) y en ambos casos un examen neurológico detallado.</w:t>
      </w:r>
    </w:p>
    <w:p>
      <w:pPr>
        <w:pStyle w:val="BodyText"/>
      </w:pPr>
    </w:p>
    <w:p>
      <w:pPr>
        <w:pStyle w:val="BodyText"/>
        <w:spacing w:line="362" w:lineRule="auto" w:before="139"/>
        <w:ind w:left="144" w:right="148" w:firstLine="708"/>
        <w:jc w:val="both"/>
      </w:pPr>
      <w:r>
        <w:rPr/>
        <w:t>Para las enfermedades de la próstata se realizó palpación rectal, en conjunto con pruebas de radiología, ultrasonido y citología de aspiración.</w:t>
      </w:r>
    </w:p>
    <w:p>
      <w:pPr>
        <w:pStyle w:val="BodyText"/>
        <w:spacing w:before="10"/>
        <w:rPr>
          <w:sz w:val="35"/>
        </w:rPr>
      </w:pPr>
    </w:p>
    <w:p>
      <w:pPr>
        <w:pStyle w:val="BodyText"/>
        <w:spacing w:line="360" w:lineRule="auto"/>
        <w:ind w:left="144" w:right="148" w:firstLine="708"/>
        <w:jc w:val="both"/>
      </w:pPr>
      <w:r>
        <w:rPr/>
        <w:t>Se estudiaron las variables de edad, sexo, raza, talla y diagnóstico, incluyendo el estado gonadal en los perros con enfermedad prostática e incontinencia urinaria.</w:t>
      </w:r>
    </w:p>
    <w:p>
      <w:pPr>
        <w:pStyle w:val="BodyText"/>
      </w:pPr>
    </w:p>
    <w:p>
      <w:pPr>
        <w:pStyle w:val="Heading3"/>
        <w:spacing w:before="144"/>
      </w:pPr>
      <w:r>
        <w:rPr>
          <w:u w:val="thick"/>
        </w:rPr>
        <w:t>Análisis estadístico:</w:t>
      </w:r>
    </w:p>
    <w:p>
      <w:pPr>
        <w:pStyle w:val="BodyText"/>
        <w:rPr>
          <w:b/>
          <w:sz w:val="20"/>
        </w:rPr>
      </w:pPr>
    </w:p>
    <w:p>
      <w:pPr>
        <w:pStyle w:val="BodyText"/>
        <w:spacing w:before="10"/>
        <w:rPr>
          <w:b/>
          <w:sz w:val="17"/>
        </w:rPr>
      </w:pPr>
    </w:p>
    <w:p>
      <w:pPr>
        <w:pStyle w:val="BodyText"/>
        <w:spacing w:line="360" w:lineRule="auto" w:before="79"/>
        <w:ind w:left="144" w:right="148" w:firstLine="708"/>
        <w:jc w:val="both"/>
      </w:pPr>
      <w:r>
        <w:rPr/>
        <w:t>Para analizar los resultados se utilizó estadística descriptiva, Xi</w:t>
      </w:r>
      <w:r>
        <w:rPr>
          <w:position w:val="11"/>
          <w:sz w:val="16"/>
        </w:rPr>
        <w:t>2</w:t>
      </w:r>
      <w:r>
        <w:rPr/>
        <w:t>, determinación de OR y su intervalo de confianza de 95%. Los análisis estadísticos se consideraron significativos cuando P&lt;0.05. Para realizar los análisis estadísticos y gráficas se utilizó el programa estadístico GraphPad Prism 6.0 y la hoja de cálculo de</w:t>
      </w:r>
      <w:r>
        <w:rPr>
          <w:spacing w:val="-1"/>
        </w:rPr>
        <w:t> </w:t>
      </w:r>
      <w:r>
        <w:rPr/>
        <w:t>Excel.</w:t>
      </w:r>
    </w:p>
    <w:p>
      <w:pPr>
        <w:spacing w:after="0" w:line="360" w:lineRule="auto"/>
        <w:jc w:val="both"/>
        <w:sectPr>
          <w:pgSz w:w="12240" w:h="15840"/>
          <w:pgMar w:header="886" w:footer="882" w:top="1140" w:bottom="1080" w:left="1560" w:right="980"/>
        </w:sectPr>
      </w:pPr>
    </w:p>
    <w:p>
      <w:pPr>
        <w:pStyle w:val="BodyText"/>
        <w:rPr>
          <w:sz w:val="20"/>
        </w:rPr>
      </w:pPr>
    </w:p>
    <w:p>
      <w:pPr>
        <w:pStyle w:val="BodyText"/>
        <w:rPr>
          <w:sz w:val="23"/>
        </w:rPr>
      </w:pPr>
    </w:p>
    <w:p>
      <w:pPr>
        <w:pStyle w:val="Heading1"/>
        <w:ind w:left="244" w:right="0"/>
      </w:pPr>
      <w:bookmarkStart w:name="_TOC_250002" w:id="9"/>
      <w:bookmarkEnd w:id="9"/>
      <w:r>
        <w:rPr/>
        <w:t>RESULTADOS</w:t>
      </w:r>
    </w:p>
    <w:p>
      <w:pPr>
        <w:pStyle w:val="BodyText"/>
        <w:rPr>
          <w:b/>
          <w:sz w:val="28"/>
        </w:rPr>
      </w:pPr>
    </w:p>
    <w:p>
      <w:pPr>
        <w:pStyle w:val="BodyText"/>
        <w:rPr>
          <w:b/>
          <w:sz w:val="28"/>
        </w:rPr>
      </w:pPr>
    </w:p>
    <w:p>
      <w:pPr>
        <w:pStyle w:val="BodyText"/>
        <w:spacing w:before="10"/>
        <w:rPr>
          <w:b/>
          <w:sz w:val="29"/>
        </w:rPr>
      </w:pPr>
    </w:p>
    <w:p>
      <w:pPr>
        <w:pStyle w:val="BodyText"/>
        <w:spacing w:line="360" w:lineRule="auto"/>
        <w:ind w:left="244" w:right="148" w:firstLine="708"/>
        <w:jc w:val="both"/>
      </w:pPr>
      <w:r>
        <w:rPr/>
        <w:t>Durante el periodo de estudio se analizaron 435 casos clínicos de perros de los cuales 246 fueron machos y 189 hembras, siendo las razas más frecuentes el poodle, labrador, schnauzer, chihuahueño, pastor alemán y cocker spaniel. Del total 338 pacientes fueron considerados como grupo control y 97 casos clínicos de perros tuvieron un diagnóstico definitivo de alguna ETUC. Los pacientes presentaron un rango de edad de 3 meses a 18 años con una mediana de 8 años.</w:t>
      </w:r>
    </w:p>
    <w:p>
      <w:pPr>
        <w:pStyle w:val="BodyText"/>
      </w:pPr>
    </w:p>
    <w:p>
      <w:pPr>
        <w:pStyle w:val="BodyText"/>
        <w:spacing w:line="357" w:lineRule="auto" w:before="139"/>
        <w:ind w:left="244" w:right="148" w:firstLine="708"/>
        <w:jc w:val="both"/>
      </w:pPr>
      <w:r>
        <w:rPr/>
        <w:t>De los perros diagnosticados con alguna ETUC (n=97), el 74,22% (n=72) fueron machos y el 25.79% (n=25) hembras, con una proporción macho:hembra de 2.8:1. Observándose una asociación positiva estadísticamente significativa de los machos sugiriendo una mayor predisposición a presentar algún tipo de ETUC (OR 2.17X IC</w:t>
      </w:r>
      <w:r>
        <w:rPr>
          <w:position w:val="-2"/>
          <w:sz w:val="16"/>
        </w:rPr>
        <w:t>0.95 </w:t>
      </w:r>
      <w:r>
        <w:rPr>
          <w:w w:val="95"/>
        </w:rPr>
        <w:t>1.64[4.78X </w:t>
      </w:r>
      <w:r>
        <w:rPr>
          <w:i/>
          <w:w w:val="95"/>
        </w:rPr>
        <w:t>p</w:t>
      </w:r>
      <w:r>
        <w:rPr>
          <w:w w:val="95"/>
        </w:rPr>
        <w:t>&lt;0.05).</w:t>
      </w:r>
    </w:p>
    <w:p>
      <w:pPr>
        <w:pStyle w:val="BodyText"/>
      </w:pPr>
    </w:p>
    <w:p>
      <w:pPr>
        <w:pStyle w:val="BodyText"/>
        <w:spacing w:line="360" w:lineRule="auto" w:before="147"/>
        <w:ind w:left="244" w:right="148" w:firstLine="708"/>
        <w:jc w:val="both"/>
      </w:pPr>
      <w:r>
        <w:rPr/>
        <w:t>El 82.47% (n=80) de los animales afectados fueron perros de raza pura y el resto mestizos. Las razas más frecuentes en fueron el poodle, el labrador, el pastor alemán,  el schnauzer, cocker spaniel y el chihuahueño. Sin embargo, estadísticamente ninguna raza mostró predisposición para presentar alguna de estas patologías (</w:t>
      </w:r>
      <w:r>
        <w:rPr>
          <w:i/>
        </w:rPr>
        <w:t>p</w:t>
      </w:r>
      <w:r>
        <w:rPr/>
        <w:t>&gt;0.05) (Cuadro 1).</w:t>
      </w:r>
    </w:p>
    <w:p>
      <w:pPr>
        <w:pStyle w:val="BodyText"/>
        <w:spacing w:before="11"/>
        <w:rPr>
          <w:sz w:val="33"/>
        </w:rPr>
      </w:pPr>
    </w:p>
    <w:p>
      <w:pPr>
        <w:spacing w:before="0"/>
        <w:ind w:left="244" w:right="0" w:firstLine="0"/>
        <w:jc w:val="left"/>
        <w:rPr>
          <w:sz w:val="21"/>
        </w:rPr>
      </w:pPr>
      <w:r>
        <w:rPr>
          <w:b/>
          <w:w w:val="105"/>
          <w:sz w:val="21"/>
        </w:rPr>
        <w:t>Cuadro 1. </w:t>
      </w:r>
      <w:r>
        <w:rPr>
          <w:w w:val="105"/>
          <w:sz w:val="21"/>
        </w:rPr>
        <w:t>Riesgo por razas de presentar alguna ETUC</w:t>
      </w:r>
    </w:p>
    <w:p>
      <w:pPr>
        <w:pStyle w:val="BodyText"/>
        <w:rPr>
          <w:sz w:val="19"/>
        </w:rPr>
      </w:pPr>
      <w:r>
        <w:rPr/>
        <w:pict>
          <v:group style="position:absolute;margin-left:79.442947pt;margin-top:12.884906pt;width:449.55pt;height:.5pt;mso-position-horizontal-relative:page;mso-position-vertical-relative:paragraph;z-index:1312;mso-wrap-distance-left:0;mso-wrap-distance-right:0" coordorigin="1589,258" coordsize="8991,10">
            <v:line style="position:absolute" from="1594,263" to="3547,263" stroked="true" strokeweight=".48pt" strokecolor="#000000"/>
            <v:line style="position:absolute" from="3547,263" to="3557,263" stroked="true" strokeweight=".48pt" strokecolor="#000000"/>
            <v:line style="position:absolute" from="3557,263" to="5184,263" stroked="true" strokeweight=".48pt" strokecolor="#000000"/>
            <v:line style="position:absolute" from="5184,263" to="5194,263" stroked="true" strokeweight=".48pt" strokecolor="#000000"/>
            <v:line style="position:absolute" from="5194,263" to="6984,263" stroked="true" strokeweight=".48pt" strokecolor="#000000"/>
            <v:line style="position:absolute" from="6984,263" to="6994,263" stroked="true" strokeweight=".48pt" strokecolor="#000000"/>
            <v:line style="position:absolute" from="6994,263" to="8779,263" stroked="true" strokeweight=".48pt" strokecolor="#000000"/>
            <v:line style="position:absolute" from="8779,263" to="8789,263" stroked="true" strokeweight=".48pt" strokecolor="#000000"/>
            <v:line style="position:absolute" from="8789,263" to="10575,263" stroked="true" strokeweight=".48pt" strokecolor="#000000"/>
            <w10:wrap type="topAndBottom"/>
          </v:group>
        </w:pict>
      </w:r>
    </w:p>
    <w:p>
      <w:pPr>
        <w:tabs>
          <w:tab w:pos="2811" w:val="left" w:leader="none"/>
          <w:tab w:pos="4459" w:val="left" w:leader="none"/>
          <w:tab w:pos="6173" w:val="left" w:leader="none"/>
          <w:tab w:pos="8146" w:val="left" w:leader="none"/>
        </w:tabs>
        <w:spacing w:before="0"/>
        <w:ind w:left="854" w:right="0" w:firstLine="0"/>
        <w:jc w:val="left"/>
        <w:rPr>
          <w:b/>
          <w:i/>
          <w:sz w:val="21"/>
        </w:rPr>
      </w:pPr>
      <w:r>
        <w:rPr>
          <w:b/>
          <w:sz w:val="21"/>
          <w:u w:val="single"/>
        </w:rPr>
        <w:t>Raza</w:t>
      </w:r>
      <w:r>
        <w:rPr>
          <w:b/>
          <w:sz w:val="21"/>
        </w:rPr>
        <w:tab/>
      </w:r>
      <w:r>
        <w:rPr>
          <w:b/>
          <w:sz w:val="21"/>
          <w:u w:val="single"/>
        </w:rPr>
        <w:t>%</w:t>
      </w:r>
      <w:r>
        <w:rPr>
          <w:b/>
          <w:sz w:val="21"/>
        </w:rPr>
        <w:tab/>
      </w:r>
      <w:r>
        <w:rPr>
          <w:b/>
          <w:sz w:val="21"/>
          <w:u w:val="single"/>
        </w:rPr>
        <w:t>OR</w:t>
      </w:r>
      <w:r>
        <w:rPr>
          <w:b/>
          <w:sz w:val="21"/>
        </w:rPr>
        <w:tab/>
      </w:r>
      <w:r>
        <w:rPr>
          <w:b/>
          <w:sz w:val="21"/>
          <w:u w:val="thick"/>
        </w:rPr>
        <w:t>IC</w:t>
      </w:r>
      <w:r>
        <w:rPr>
          <w:b/>
          <w:position w:val="-2"/>
          <w:sz w:val="14"/>
          <w:u w:val="thick"/>
        </w:rPr>
        <w:t>0.95</w:t>
      </w:r>
      <w:r>
        <w:rPr>
          <w:b/>
          <w:position w:val="-2"/>
          <w:sz w:val="14"/>
        </w:rPr>
        <w:tab/>
      </w:r>
      <w:r>
        <w:rPr>
          <w:b/>
          <w:i/>
          <w:sz w:val="21"/>
          <w:u w:val="single"/>
        </w:rPr>
        <w:t>P</w:t>
      </w:r>
    </w:p>
    <w:p>
      <w:pPr>
        <w:pStyle w:val="BodyText"/>
        <w:spacing w:before="9"/>
        <w:rPr>
          <w:b/>
          <w:i/>
          <w:sz w:val="16"/>
        </w:rPr>
      </w:pPr>
    </w:p>
    <w:tbl>
      <w:tblPr>
        <w:tblW w:w="0" w:type="auto"/>
        <w:jc w:val="left"/>
        <w:tblInd w:w="11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047"/>
        <w:gridCol w:w="1631"/>
        <w:gridCol w:w="1599"/>
        <w:gridCol w:w="2016"/>
        <w:gridCol w:w="1702"/>
      </w:tblGrid>
      <w:tr>
        <w:trPr>
          <w:trHeight w:val="335" w:hRule="exact"/>
        </w:trPr>
        <w:tc>
          <w:tcPr>
            <w:tcW w:w="2047" w:type="dxa"/>
          </w:tcPr>
          <w:p>
            <w:pPr>
              <w:pStyle w:val="TableParagraph"/>
              <w:spacing w:before="78"/>
              <w:ind w:left="124"/>
              <w:rPr>
                <w:rFonts w:ascii="Arial"/>
                <w:sz w:val="21"/>
              </w:rPr>
            </w:pPr>
            <w:r>
              <w:rPr>
                <w:rFonts w:ascii="Arial"/>
                <w:w w:val="105"/>
                <w:sz w:val="21"/>
              </w:rPr>
              <w:t>Poodle</w:t>
            </w:r>
          </w:p>
        </w:tc>
        <w:tc>
          <w:tcPr>
            <w:tcW w:w="1631" w:type="dxa"/>
          </w:tcPr>
          <w:p>
            <w:pPr>
              <w:pStyle w:val="TableParagraph"/>
              <w:spacing w:before="78"/>
              <w:ind w:left="467"/>
              <w:rPr>
                <w:rFonts w:ascii="Arial"/>
                <w:sz w:val="21"/>
              </w:rPr>
            </w:pPr>
            <w:r>
              <w:rPr>
                <w:rFonts w:ascii="Arial"/>
                <w:w w:val="105"/>
                <w:sz w:val="21"/>
              </w:rPr>
              <w:t>13.75</w:t>
            </w:r>
          </w:p>
        </w:tc>
        <w:tc>
          <w:tcPr>
            <w:tcW w:w="1599" w:type="dxa"/>
          </w:tcPr>
          <w:p>
            <w:pPr>
              <w:pStyle w:val="TableParagraph"/>
              <w:spacing w:before="78"/>
              <w:ind w:left="592" w:right="538"/>
              <w:jc w:val="center"/>
              <w:rPr>
                <w:rFonts w:ascii="Arial"/>
                <w:sz w:val="21"/>
              </w:rPr>
            </w:pPr>
            <w:r>
              <w:rPr>
                <w:rFonts w:ascii="Arial"/>
                <w:w w:val="105"/>
                <w:sz w:val="21"/>
              </w:rPr>
              <w:t>0.98</w:t>
            </w:r>
          </w:p>
        </w:tc>
        <w:tc>
          <w:tcPr>
            <w:tcW w:w="2016" w:type="dxa"/>
          </w:tcPr>
          <w:p>
            <w:pPr>
              <w:pStyle w:val="TableParagraph"/>
              <w:spacing w:before="78"/>
              <w:ind w:left="542" w:right="513"/>
              <w:jc w:val="center"/>
              <w:rPr>
                <w:rFonts w:ascii="Arial"/>
                <w:sz w:val="21"/>
              </w:rPr>
            </w:pPr>
            <w:r>
              <w:rPr>
                <w:rFonts w:ascii="Arial"/>
                <w:w w:val="105"/>
                <w:sz w:val="21"/>
              </w:rPr>
              <w:t>0.48[1.98</w:t>
            </w:r>
          </w:p>
        </w:tc>
        <w:tc>
          <w:tcPr>
            <w:tcW w:w="1702" w:type="dxa"/>
          </w:tcPr>
          <w:p>
            <w:pPr>
              <w:pStyle w:val="TableParagraph"/>
              <w:spacing w:before="78"/>
              <w:ind w:left="528"/>
              <w:rPr>
                <w:rFonts w:ascii="Arial"/>
                <w:sz w:val="21"/>
              </w:rPr>
            </w:pPr>
            <w:r>
              <w:rPr>
                <w:rFonts w:ascii="Arial"/>
                <w:w w:val="105"/>
                <w:sz w:val="21"/>
              </w:rPr>
              <w:t>&gt;0.05</w:t>
            </w:r>
          </w:p>
        </w:tc>
      </w:tr>
      <w:tr>
        <w:trPr>
          <w:trHeight w:val="254" w:hRule="exact"/>
        </w:trPr>
        <w:tc>
          <w:tcPr>
            <w:tcW w:w="2047" w:type="dxa"/>
          </w:tcPr>
          <w:p>
            <w:pPr>
              <w:pStyle w:val="TableParagraph"/>
              <w:spacing w:line="239" w:lineRule="exact"/>
              <w:ind w:left="124"/>
              <w:rPr>
                <w:rFonts w:ascii="Arial"/>
                <w:sz w:val="21"/>
              </w:rPr>
            </w:pPr>
            <w:r>
              <w:rPr>
                <w:rFonts w:ascii="Arial"/>
                <w:w w:val="105"/>
                <w:sz w:val="21"/>
              </w:rPr>
              <w:t>Labrador</w:t>
            </w:r>
          </w:p>
        </w:tc>
        <w:tc>
          <w:tcPr>
            <w:tcW w:w="1631" w:type="dxa"/>
          </w:tcPr>
          <w:p>
            <w:pPr>
              <w:pStyle w:val="TableParagraph"/>
              <w:spacing w:line="239" w:lineRule="exact"/>
              <w:ind w:left="528"/>
              <w:rPr>
                <w:rFonts w:ascii="Arial"/>
                <w:sz w:val="21"/>
              </w:rPr>
            </w:pPr>
            <w:r>
              <w:rPr>
                <w:rFonts w:ascii="Arial"/>
                <w:w w:val="105"/>
                <w:sz w:val="21"/>
              </w:rPr>
              <w:t>9.27</w:t>
            </w:r>
          </w:p>
        </w:tc>
        <w:tc>
          <w:tcPr>
            <w:tcW w:w="1599" w:type="dxa"/>
          </w:tcPr>
          <w:p>
            <w:pPr>
              <w:pStyle w:val="TableParagraph"/>
              <w:spacing w:line="239" w:lineRule="exact"/>
              <w:ind w:left="592" w:right="538"/>
              <w:jc w:val="center"/>
              <w:rPr>
                <w:rFonts w:ascii="Arial"/>
                <w:sz w:val="21"/>
              </w:rPr>
            </w:pPr>
            <w:r>
              <w:rPr>
                <w:rFonts w:ascii="Arial"/>
                <w:w w:val="105"/>
                <w:sz w:val="21"/>
              </w:rPr>
              <w:t>1.68</w:t>
            </w:r>
          </w:p>
        </w:tc>
        <w:tc>
          <w:tcPr>
            <w:tcW w:w="2016" w:type="dxa"/>
          </w:tcPr>
          <w:p>
            <w:pPr>
              <w:pStyle w:val="TableParagraph"/>
              <w:spacing w:line="239" w:lineRule="exact"/>
              <w:ind w:left="542" w:right="513"/>
              <w:jc w:val="center"/>
              <w:rPr>
                <w:rFonts w:ascii="Arial"/>
                <w:sz w:val="21"/>
              </w:rPr>
            </w:pPr>
            <w:r>
              <w:rPr>
                <w:rFonts w:ascii="Arial"/>
                <w:w w:val="105"/>
                <w:sz w:val="21"/>
              </w:rPr>
              <w:t>0.82[3.44</w:t>
            </w:r>
          </w:p>
        </w:tc>
        <w:tc>
          <w:tcPr>
            <w:tcW w:w="1702" w:type="dxa"/>
          </w:tcPr>
          <w:p>
            <w:pPr>
              <w:pStyle w:val="TableParagraph"/>
              <w:spacing w:line="239" w:lineRule="exact"/>
              <w:ind w:left="528"/>
              <w:rPr>
                <w:rFonts w:ascii="Arial"/>
                <w:sz w:val="21"/>
              </w:rPr>
            </w:pPr>
            <w:r>
              <w:rPr>
                <w:rFonts w:ascii="Arial"/>
                <w:w w:val="105"/>
                <w:sz w:val="21"/>
              </w:rPr>
              <w:t>&gt;0.05</w:t>
            </w:r>
          </w:p>
        </w:tc>
      </w:tr>
      <w:tr>
        <w:trPr>
          <w:trHeight w:val="252" w:hRule="exact"/>
        </w:trPr>
        <w:tc>
          <w:tcPr>
            <w:tcW w:w="2047" w:type="dxa"/>
          </w:tcPr>
          <w:p>
            <w:pPr>
              <w:pStyle w:val="TableParagraph"/>
              <w:spacing w:line="239" w:lineRule="exact"/>
              <w:ind w:left="124"/>
              <w:rPr>
                <w:rFonts w:ascii="Arial" w:hAnsi="Arial"/>
                <w:sz w:val="21"/>
              </w:rPr>
            </w:pPr>
            <w:r>
              <w:rPr>
                <w:rFonts w:ascii="Arial" w:hAnsi="Arial"/>
                <w:w w:val="105"/>
                <w:sz w:val="21"/>
              </w:rPr>
              <w:t>Pastor alemán</w:t>
            </w:r>
          </w:p>
        </w:tc>
        <w:tc>
          <w:tcPr>
            <w:tcW w:w="1631" w:type="dxa"/>
          </w:tcPr>
          <w:p>
            <w:pPr>
              <w:pStyle w:val="TableParagraph"/>
              <w:spacing w:line="239" w:lineRule="exact"/>
              <w:ind w:left="528"/>
              <w:rPr>
                <w:rFonts w:ascii="Arial"/>
                <w:sz w:val="21"/>
              </w:rPr>
            </w:pPr>
            <w:r>
              <w:rPr>
                <w:rFonts w:ascii="Arial"/>
                <w:w w:val="105"/>
                <w:sz w:val="21"/>
              </w:rPr>
              <w:t>8.24</w:t>
            </w:r>
          </w:p>
        </w:tc>
        <w:tc>
          <w:tcPr>
            <w:tcW w:w="1599" w:type="dxa"/>
          </w:tcPr>
          <w:p>
            <w:pPr>
              <w:pStyle w:val="TableParagraph"/>
              <w:spacing w:line="239" w:lineRule="exact"/>
              <w:ind w:left="592" w:right="538"/>
              <w:jc w:val="center"/>
              <w:rPr>
                <w:rFonts w:ascii="Arial"/>
                <w:sz w:val="21"/>
              </w:rPr>
            </w:pPr>
            <w:r>
              <w:rPr>
                <w:rFonts w:ascii="Arial"/>
                <w:w w:val="105"/>
                <w:sz w:val="21"/>
              </w:rPr>
              <w:t>1.88</w:t>
            </w:r>
          </w:p>
        </w:tc>
        <w:tc>
          <w:tcPr>
            <w:tcW w:w="2016" w:type="dxa"/>
          </w:tcPr>
          <w:p>
            <w:pPr>
              <w:pStyle w:val="TableParagraph"/>
              <w:spacing w:line="239" w:lineRule="exact"/>
              <w:ind w:left="542" w:right="513"/>
              <w:jc w:val="center"/>
              <w:rPr>
                <w:rFonts w:ascii="Arial"/>
                <w:sz w:val="21"/>
              </w:rPr>
            </w:pPr>
            <w:r>
              <w:rPr>
                <w:rFonts w:ascii="Arial"/>
                <w:w w:val="105"/>
                <w:sz w:val="21"/>
              </w:rPr>
              <w:t>0.78[4.53</w:t>
            </w:r>
          </w:p>
        </w:tc>
        <w:tc>
          <w:tcPr>
            <w:tcW w:w="1702" w:type="dxa"/>
          </w:tcPr>
          <w:p>
            <w:pPr>
              <w:pStyle w:val="TableParagraph"/>
              <w:spacing w:line="239" w:lineRule="exact"/>
              <w:ind w:left="528"/>
              <w:rPr>
                <w:rFonts w:ascii="Arial"/>
                <w:sz w:val="21"/>
              </w:rPr>
            </w:pPr>
            <w:r>
              <w:rPr>
                <w:rFonts w:ascii="Arial"/>
                <w:w w:val="105"/>
                <w:sz w:val="21"/>
              </w:rPr>
              <w:t>&gt;0.05</w:t>
            </w:r>
          </w:p>
        </w:tc>
      </w:tr>
      <w:tr>
        <w:trPr>
          <w:trHeight w:val="252" w:hRule="exact"/>
        </w:trPr>
        <w:tc>
          <w:tcPr>
            <w:tcW w:w="2047" w:type="dxa"/>
          </w:tcPr>
          <w:p>
            <w:pPr>
              <w:pStyle w:val="TableParagraph"/>
              <w:spacing w:line="236" w:lineRule="exact"/>
              <w:ind w:left="124"/>
              <w:rPr>
                <w:rFonts w:ascii="Arial"/>
                <w:sz w:val="21"/>
              </w:rPr>
            </w:pPr>
            <w:r>
              <w:rPr>
                <w:rFonts w:ascii="Arial"/>
                <w:w w:val="105"/>
                <w:sz w:val="21"/>
              </w:rPr>
              <w:t>Schnauzer</w:t>
            </w:r>
          </w:p>
        </w:tc>
        <w:tc>
          <w:tcPr>
            <w:tcW w:w="1631" w:type="dxa"/>
          </w:tcPr>
          <w:p>
            <w:pPr>
              <w:pStyle w:val="TableParagraph"/>
              <w:spacing w:line="236" w:lineRule="exact"/>
              <w:ind w:left="528"/>
              <w:rPr>
                <w:rFonts w:ascii="Arial"/>
                <w:sz w:val="21"/>
              </w:rPr>
            </w:pPr>
            <w:r>
              <w:rPr>
                <w:rFonts w:ascii="Arial"/>
                <w:w w:val="105"/>
                <w:sz w:val="21"/>
              </w:rPr>
              <w:t>6.18</w:t>
            </w:r>
          </w:p>
        </w:tc>
        <w:tc>
          <w:tcPr>
            <w:tcW w:w="1599" w:type="dxa"/>
          </w:tcPr>
          <w:p>
            <w:pPr>
              <w:pStyle w:val="TableParagraph"/>
              <w:spacing w:line="236" w:lineRule="exact"/>
              <w:ind w:left="592" w:right="538"/>
              <w:jc w:val="center"/>
              <w:rPr>
                <w:rFonts w:ascii="Arial"/>
                <w:sz w:val="21"/>
              </w:rPr>
            </w:pPr>
            <w:r>
              <w:rPr>
                <w:rFonts w:ascii="Arial"/>
                <w:w w:val="105"/>
                <w:sz w:val="21"/>
              </w:rPr>
              <w:t>0.95</w:t>
            </w:r>
          </w:p>
        </w:tc>
        <w:tc>
          <w:tcPr>
            <w:tcW w:w="2016" w:type="dxa"/>
          </w:tcPr>
          <w:p>
            <w:pPr>
              <w:pStyle w:val="TableParagraph"/>
              <w:spacing w:line="236" w:lineRule="exact"/>
              <w:ind w:left="542" w:right="513"/>
              <w:jc w:val="center"/>
              <w:rPr>
                <w:rFonts w:ascii="Arial"/>
                <w:sz w:val="21"/>
              </w:rPr>
            </w:pPr>
            <w:r>
              <w:rPr>
                <w:rFonts w:ascii="Arial"/>
                <w:w w:val="105"/>
                <w:sz w:val="21"/>
              </w:rPr>
              <w:t>0.42[2.15</w:t>
            </w:r>
          </w:p>
        </w:tc>
        <w:tc>
          <w:tcPr>
            <w:tcW w:w="1702" w:type="dxa"/>
          </w:tcPr>
          <w:p>
            <w:pPr>
              <w:pStyle w:val="TableParagraph"/>
              <w:spacing w:line="236" w:lineRule="exact"/>
              <w:ind w:left="528"/>
              <w:rPr>
                <w:rFonts w:ascii="Arial"/>
                <w:sz w:val="21"/>
              </w:rPr>
            </w:pPr>
            <w:r>
              <w:rPr>
                <w:rFonts w:ascii="Arial"/>
                <w:w w:val="105"/>
                <w:sz w:val="21"/>
              </w:rPr>
              <w:t>&gt;0.05</w:t>
            </w:r>
          </w:p>
        </w:tc>
      </w:tr>
      <w:tr>
        <w:trPr>
          <w:trHeight w:val="254" w:hRule="exact"/>
        </w:trPr>
        <w:tc>
          <w:tcPr>
            <w:tcW w:w="2047" w:type="dxa"/>
          </w:tcPr>
          <w:p>
            <w:pPr>
              <w:pStyle w:val="TableParagraph"/>
              <w:spacing w:line="239" w:lineRule="exact"/>
              <w:ind w:left="124"/>
              <w:rPr>
                <w:rFonts w:ascii="Arial"/>
                <w:sz w:val="21"/>
              </w:rPr>
            </w:pPr>
            <w:r>
              <w:rPr>
                <w:rFonts w:ascii="Arial"/>
                <w:w w:val="105"/>
                <w:sz w:val="21"/>
              </w:rPr>
              <w:t>Cocker spaniel</w:t>
            </w:r>
          </w:p>
        </w:tc>
        <w:tc>
          <w:tcPr>
            <w:tcW w:w="1631" w:type="dxa"/>
          </w:tcPr>
          <w:p>
            <w:pPr>
              <w:pStyle w:val="TableParagraph"/>
              <w:spacing w:line="239" w:lineRule="exact"/>
              <w:ind w:left="528"/>
              <w:rPr>
                <w:rFonts w:ascii="Arial"/>
                <w:sz w:val="21"/>
              </w:rPr>
            </w:pPr>
            <w:r>
              <w:rPr>
                <w:rFonts w:ascii="Arial"/>
                <w:w w:val="105"/>
                <w:sz w:val="21"/>
              </w:rPr>
              <w:t>5.15</w:t>
            </w:r>
          </w:p>
        </w:tc>
        <w:tc>
          <w:tcPr>
            <w:tcW w:w="1599" w:type="dxa"/>
          </w:tcPr>
          <w:p>
            <w:pPr>
              <w:pStyle w:val="TableParagraph"/>
              <w:spacing w:line="239" w:lineRule="exact"/>
              <w:ind w:left="592" w:right="538"/>
              <w:jc w:val="center"/>
              <w:rPr>
                <w:rFonts w:ascii="Arial"/>
                <w:sz w:val="21"/>
              </w:rPr>
            </w:pPr>
            <w:r>
              <w:rPr>
                <w:rFonts w:ascii="Arial"/>
                <w:w w:val="105"/>
                <w:sz w:val="21"/>
              </w:rPr>
              <w:t>1.03</w:t>
            </w:r>
          </w:p>
        </w:tc>
        <w:tc>
          <w:tcPr>
            <w:tcW w:w="2016" w:type="dxa"/>
          </w:tcPr>
          <w:p>
            <w:pPr>
              <w:pStyle w:val="TableParagraph"/>
              <w:spacing w:line="239" w:lineRule="exact"/>
              <w:ind w:left="542" w:right="513"/>
              <w:jc w:val="center"/>
              <w:rPr>
                <w:rFonts w:ascii="Arial"/>
                <w:sz w:val="21"/>
              </w:rPr>
            </w:pPr>
            <w:r>
              <w:rPr>
                <w:rFonts w:ascii="Arial"/>
                <w:w w:val="105"/>
                <w:sz w:val="21"/>
              </w:rPr>
              <w:t>0.43[2.47</w:t>
            </w:r>
          </w:p>
        </w:tc>
        <w:tc>
          <w:tcPr>
            <w:tcW w:w="1702" w:type="dxa"/>
          </w:tcPr>
          <w:p>
            <w:pPr>
              <w:pStyle w:val="TableParagraph"/>
              <w:spacing w:line="239" w:lineRule="exact"/>
              <w:ind w:left="528"/>
              <w:rPr>
                <w:rFonts w:ascii="Arial"/>
                <w:sz w:val="21"/>
              </w:rPr>
            </w:pPr>
            <w:r>
              <w:rPr>
                <w:rFonts w:ascii="Arial"/>
                <w:w w:val="105"/>
                <w:sz w:val="21"/>
              </w:rPr>
              <w:t>&gt;0.05</w:t>
            </w:r>
          </w:p>
        </w:tc>
      </w:tr>
      <w:tr>
        <w:trPr>
          <w:trHeight w:val="247" w:hRule="exact"/>
        </w:trPr>
        <w:tc>
          <w:tcPr>
            <w:tcW w:w="2047" w:type="dxa"/>
            <w:tcBorders>
              <w:bottom w:val="single" w:sz="4" w:space="0" w:color="000000"/>
            </w:tcBorders>
          </w:tcPr>
          <w:p>
            <w:pPr>
              <w:pStyle w:val="TableParagraph"/>
              <w:spacing w:line="239" w:lineRule="exact"/>
              <w:ind w:left="124"/>
              <w:rPr>
                <w:rFonts w:ascii="Arial" w:hAnsi="Arial"/>
                <w:sz w:val="21"/>
              </w:rPr>
            </w:pPr>
            <w:r>
              <w:rPr>
                <w:rFonts w:ascii="Arial" w:hAnsi="Arial"/>
                <w:w w:val="105"/>
                <w:sz w:val="21"/>
              </w:rPr>
              <w:t>Chihuahueño</w:t>
            </w:r>
          </w:p>
        </w:tc>
        <w:tc>
          <w:tcPr>
            <w:tcW w:w="1631" w:type="dxa"/>
            <w:tcBorders>
              <w:bottom w:val="single" w:sz="4" w:space="0" w:color="000000"/>
            </w:tcBorders>
          </w:tcPr>
          <w:p>
            <w:pPr>
              <w:pStyle w:val="TableParagraph"/>
              <w:spacing w:line="239" w:lineRule="exact"/>
              <w:ind w:left="528"/>
              <w:rPr>
                <w:rFonts w:ascii="Arial"/>
                <w:sz w:val="21"/>
              </w:rPr>
            </w:pPr>
            <w:r>
              <w:rPr>
                <w:rFonts w:ascii="Arial"/>
                <w:w w:val="105"/>
                <w:sz w:val="21"/>
              </w:rPr>
              <w:t>5.15</w:t>
            </w:r>
          </w:p>
        </w:tc>
        <w:tc>
          <w:tcPr>
            <w:tcW w:w="1599" w:type="dxa"/>
            <w:tcBorders>
              <w:bottom w:val="single" w:sz="4" w:space="0" w:color="000000"/>
            </w:tcBorders>
          </w:tcPr>
          <w:p>
            <w:pPr>
              <w:pStyle w:val="TableParagraph"/>
              <w:spacing w:line="239" w:lineRule="exact"/>
              <w:ind w:left="592" w:right="538"/>
              <w:jc w:val="center"/>
              <w:rPr>
                <w:rFonts w:ascii="Arial"/>
                <w:sz w:val="21"/>
              </w:rPr>
            </w:pPr>
            <w:r>
              <w:rPr>
                <w:rFonts w:ascii="Arial"/>
                <w:w w:val="105"/>
                <w:sz w:val="21"/>
              </w:rPr>
              <w:t>1.03</w:t>
            </w:r>
          </w:p>
        </w:tc>
        <w:tc>
          <w:tcPr>
            <w:tcW w:w="2016" w:type="dxa"/>
            <w:tcBorders>
              <w:bottom w:val="single" w:sz="4" w:space="0" w:color="000000"/>
            </w:tcBorders>
          </w:tcPr>
          <w:p>
            <w:pPr>
              <w:pStyle w:val="TableParagraph"/>
              <w:spacing w:line="239" w:lineRule="exact"/>
              <w:ind w:left="542" w:right="513"/>
              <w:jc w:val="center"/>
              <w:rPr>
                <w:rFonts w:ascii="Arial"/>
                <w:sz w:val="21"/>
              </w:rPr>
            </w:pPr>
            <w:r>
              <w:rPr>
                <w:rFonts w:ascii="Arial"/>
                <w:w w:val="105"/>
                <w:sz w:val="21"/>
              </w:rPr>
              <w:t>0.43[2.47</w:t>
            </w:r>
          </w:p>
        </w:tc>
        <w:tc>
          <w:tcPr>
            <w:tcW w:w="1702" w:type="dxa"/>
            <w:tcBorders>
              <w:bottom w:val="single" w:sz="4" w:space="0" w:color="000000"/>
            </w:tcBorders>
          </w:tcPr>
          <w:p>
            <w:pPr>
              <w:pStyle w:val="TableParagraph"/>
              <w:spacing w:line="239" w:lineRule="exact"/>
              <w:ind w:left="528"/>
              <w:rPr>
                <w:rFonts w:ascii="Arial"/>
                <w:sz w:val="21"/>
              </w:rPr>
            </w:pPr>
            <w:r>
              <w:rPr>
                <w:rFonts w:ascii="Arial"/>
                <w:w w:val="105"/>
                <w:sz w:val="21"/>
              </w:rPr>
              <w:t>&gt;0.05</w:t>
            </w:r>
          </w:p>
        </w:tc>
      </w:tr>
    </w:tbl>
    <w:p>
      <w:pPr>
        <w:pStyle w:val="BodyText"/>
        <w:spacing w:before="10"/>
        <w:rPr>
          <w:b/>
          <w:i/>
          <w:sz w:val="12"/>
        </w:rPr>
      </w:pPr>
    </w:p>
    <w:p>
      <w:pPr>
        <w:spacing w:before="81"/>
        <w:ind w:left="244" w:right="0" w:firstLine="0"/>
        <w:jc w:val="left"/>
        <w:rPr>
          <w:sz w:val="19"/>
        </w:rPr>
      </w:pPr>
      <w:r>
        <w:rPr>
          <w:b/>
          <w:w w:val="105"/>
          <w:sz w:val="19"/>
        </w:rPr>
        <w:t>Observación: </w:t>
      </w:r>
      <w:r>
        <w:rPr>
          <w:w w:val="105"/>
          <w:sz w:val="19"/>
        </w:rPr>
        <w:t>Ninguna raza presenta predisposición para presentar alguna ETUC.</w:t>
      </w:r>
    </w:p>
    <w:p>
      <w:pPr>
        <w:spacing w:after="0"/>
        <w:jc w:val="left"/>
        <w:rPr>
          <w:sz w:val="19"/>
        </w:rPr>
        <w:sectPr>
          <w:pgSz w:w="12240" w:h="15840"/>
          <w:pgMar w:header="886" w:footer="882" w:top="1140" w:bottom="1080" w:left="1460" w:right="980"/>
        </w:sectPr>
      </w:pPr>
    </w:p>
    <w:p>
      <w:pPr>
        <w:pStyle w:val="BodyText"/>
        <w:rPr>
          <w:sz w:val="20"/>
        </w:rPr>
      </w:pPr>
    </w:p>
    <w:p>
      <w:pPr>
        <w:pStyle w:val="BodyText"/>
        <w:spacing w:before="4"/>
        <w:rPr>
          <w:sz w:val="22"/>
        </w:rPr>
      </w:pPr>
    </w:p>
    <w:p>
      <w:pPr>
        <w:pStyle w:val="BodyText"/>
        <w:spacing w:line="360" w:lineRule="auto" w:before="70"/>
        <w:ind w:left="224" w:right="208" w:firstLine="708"/>
        <w:jc w:val="both"/>
      </w:pPr>
      <w:r>
        <w:rPr/>
        <w:t>Los signos clínicos observados con mayor frecuencia fueron la hematuria y retención urinaria en el 19.58% cada uno, seguidos de estranguria con el 5.15%, la polaquiuria 4.11%, la incontinencia urinaria 2.06%, la depresión 2.06%, el tenesmo fecal 2.06%, y la debilidad en miembros pélvicos, dolor abdominal y fístula urinaria con el 1.03% cada uno. Se observó que 42 pacientes que no presentaron signos de enfermedad de vías urinarias fueron diagnosticados incidentalmente con pruebas rutinarias o justificadas por problemas extra[urinarios considerando a estos como asintomáticos o subclínicos.</w:t>
      </w:r>
    </w:p>
    <w:p>
      <w:pPr>
        <w:pStyle w:val="BodyText"/>
      </w:pPr>
    </w:p>
    <w:p>
      <w:pPr>
        <w:pStyle w:val="BodyText"/>
        <w:spacing w:line="360" w:lineRule="auto" w:before="144"/>
        <w:ind w:left="224" w:right="208" w:firstLine="708"/>
        <w:jc w:val="both"/>
      </w:pPr>
      <w:r>
        <w:rPr/>
        <w:t>Las patologías se presentaron en el siguiente orden de frecuencia: Infección bacteriana del tracto urinario, alteraciones de la micción [de origen neurológico, alteración anatómica e incompetencia del esfínter uretral[, urolitiasis, enfermedades de la próstata [hiperplasia prostática y quistes prostáticos[ y problemas derivados de traumatismos [cistitis traumática, ruptura de la vejiga y/o uretra[ (Cuadro 2). Cabe mencionar que los perros podían presentar una o más patologías simultáneamente.</w:t>
      </w:r>
    </w:p>
    <w:p>
      <w:pPr>
        <w:pStyle w:val="BodyText"/>
      </w:pPr>
    </w:p>
    <w:p>
      <w:pPr>
        <w:pStyle w:val="BodyText"/>
      </w:pPr>
    </w:p>
    <w:p>
      <w:pPr>
        <w:pStyle w:val="BodyText"/>
        <w:spacing w:before="11"/>
        <w:rPr>
          <w:sz w:val="18"/>
        </w:rPr>
      </w:pPr>
    </w:p>
    <w:p>
      <w:pPr>
        <w:spacing w:line="252" w:lineRule="auto" w:before="0"/>
        <w:ind w:left="224" w:right="39" w:firstLine="0"/>
        <w:jc w:val="left"/>
        <w:rPr>
          <w:sz w:val="21"/>
        </w:rPr>
      </w:pPr>
      <w:r>
        <w:rPr>
          <w:b/>
          <w:w w:val="105"/>
          <w:sz w:val="21"/>
        </w:rPr>
        <w:t>Cuadro 2. </w:t>
      </w:r>
      <w:r>
        <w:rPr>
          <w:w w:val="105"/>
          <w:sz w:val="21"/>
        </w:rPr>
        <w:t>Frecuencia de las enfermedades que afectan al tracto urinario caudal de los perros y su distribución por género (n=97).</w:t>
      </w:r>
    </w:p>
    <w:p>
      <w:pPr>
        <w:pStyle w:val="BodyText"/>
        <w:spacing w:before="9"/>
        <w:rPr>
          <w:sz w:val="21"/>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89"/>
        <w:gridCol w:w="958"/>
        <w:gridCol w:w="1044"/>
        <w:gridCol w:w="1586"/>
        <w:gridCol w:w="1733"/>
      </w:tblGrid>
      <w:tr>
        <w:trPr>
          <w:trHeight w:val="521" w:hRule="exact"/>
        </w:trPr>
        <w:tc>
          <w:tcPr>
            <w:tcW w:w="4289" w:type="dxa"/>
            <w:tcBorders>
              <w:left w:val="nil"/>
              <w:bottom w:val="nil"/>
              <w:right w:val="nil"/>
            </w:tcBorders>
          </w:tcPr>
          <w:p>
            <w:pPr>
              <w:pStyle w:val="TableParagraph"/>
              <w:spacing w:before="4"/>
              <w:ind w:left="1604" w:right="1529"/>
              <w:jc w:val="center"/>
              <w:rPr>
                <w:rFonts w:ascii="Arial" w:hAnsi="Arial"/>
                <w:b/>
                <w:sz w:val="21"/>
              </w:rPr>
            </w:pPr>
            <w:r>
              <w:rPr>
                <w:rFonts w:ascii="Arial" w:hAnsi="Arial"/>
                <w:b/>
                <w:w w:val="105"/>
                <w:sz w:val="21"/>
                <w:u w:val="single"/>
              </w:rPr>
              <w:t>Patologías</w:t>
            </w:r>
          </w:p>
          <w:p>
            <w:pPr>
              <w:pStyle w:val="TableParagraph"/>
              <w:spacing w:before="13"/>
              <w:ind w:left="110"/>
              <w:rPr>
                <w:rFonts w:ascii="Arial" w:hAnsi="Arial"/>
                <w:sz w:val="21"/>
              </w:rPr>
            </w:pPr>
            <w:r>
              <w:rPr>
                <w:rFonts w:ascii="Arial" w:hAnsi="Arial"/>
                <w:w w:val="105"/>
                <w:sz w:val="21"/>
              </w:rPr>
              <w:t>Infección bacteriana del tracto urinario</w:t>
            </w:r>
          </w:p>
        </w:tc>
        <w:tc>
          <w:tcPr>
            <w:tcW w:w="958" w:type="dxa"/>
            <w:tcBorders>
              <w:left w:val="nil"/>
              <w:bottom w:val="nil"/>
              <w:right w:val="nil"/>
            </w:tcBorders>
          </w:tcPr>
          <w:p>
            <w:pPr>
              <w:pStyle w:val="TableParagraph"/>
              <w:spacing w:before="4"/>
              <w:ind w:left="493"/>
              <w:rPr>
                <w:rFonts w:ascii="Arial"/>
                <w:b/>
                <w:sz w:val="21"/>
              </w:rPr>
            </w:pPr>
            <w:r>
              <w:rPr>
                <w:rFonts w:ascii="Arial"/>
                <w:b/>
                <w:w w:val="102"/>
                <w:sz w:val="21"/>
                <w:u w:val="single"/>
              </w:rPr>
              <w:t>N</w:t>
            </w:r>
          </w:p>
          <w:p>
            <w:pPr>
              <w:pStyle w:val="TableParagraph"/>
              <w:spacing w:before="13"/>
              <w:ind w:left="450"/>
              <w:rPr>
                <w:rFonts w:ascii="Arial"/>
                <w:sz w:val="21"/>
              </w:rPr>
            </w:pPr>
            <w:r>
              <w:rPr>
                <w:rFonts w:ascii="Arial"/>
                <w:w w:val="105"/>
                <w:sz w:val="21"/>
              </w:rPr>
              <w:t>33</w:t>
            </w:r>
          </w:p>
        </w:tc>
        <w:tc>
          <w:tcPr>
            <w:tcW w:w="1044" w:type="dxa"/>
            <w:tcBorders>
              <w:left w:val="nil"/>
              <w:bottom w:val="nil"/>
              <w:right w:val="nil"/>
            </w:tcBorders>
          </w:tcPr>
          <w:p>
            <w:pPr>
              <w:pStyle w:val="TableParagraph"/>
              <w:spacing w:before="4"/>
              <w:ind w:left="28"/>
              <w:jc w:val="center"/>
              <w:rPr>
                <w:rFonts w:ascii="Arial"/>
                <w:b/>
                <w:sz w:val="21"/>
              </w:rPr>
            </w:pPr>
            <w:r>
              <w:rPr>
                <w:rFonts w:ascii="Arial"/>
                <w:b/>
                <w:w w:val="102"/>
                <w:sz w:val="21"/>
                <w:u w:val="single"/>
              </w:rPr>
              <w:t>%</w:t>
            </w:r>
          </w:p>
          <w:p>
            <w:pPr>
              <w:pStyle w:val="TableParagraph"/>
              <w:spacing w:before="13"/>
              <w:ind w:left="241" w:right="210"/>
              <w:jc w:val="center"/>
              <w:rPr>
                <w:rFonts w:ascii="Arial"/>
                <w:sz w:val="21"/>
              </w:rPr>
            </w:pPr>
            <w:r>
              <w:rPr>
                <w:rFonts w:ascii="Arial"/>
                <w:w w:val="105"/>
                <w:sz w:val="21"/>
              </w:rPr>
              <w:t>34.02</w:t>
            </w:r>
          </w:p>
        </w:tc>
        <w:tc>
          <w:tcPr>
            <w:tcW w:w="1586" w:type="dxa"/>
            <w:tcBorders>
              <w:left w:val="nil"/>
              <w:bottom w:val="nil"/>
              <w:right w:val="nil"/>
            </w:tcBorders>
          </w:tcPr>
          <w:p>
            <w:pPr>
              <w:pStyle w:val="TableParagraph"/>
              <w:spacing w:before="4"/>
              <w:ind w:left="208" w:right="258"/>
              <w:jc w:val="center"/>
              <w:rPr>
                <w:rFonts w:ascii="Arial"/>
                <w:b/>
                <w:sz w:val="21"/>
              </w:rPr>
            </w:pPr>
            <w:r>
              <w:rPr>
                <w:rFonts w:ascii="Arial"/>
                <w:b/>
                <w:w w:val="105"/>
                <w:sz w:val="21"/>
                <w:u w:val="single"/>
              </w:rPr>
              <w:t>Machos %</w:t>
            </w:r>
          </w:p>
          <w:p>
            <w:pPr>
              <w:pStyle w:val="TableParagraph"/>
              <w:spacing w:before="13"/>
              <w:ind w:left="208" w:right="254"/>
              <w:jc w:val="center"/>
              <w:rPr>
                <w:rFonts w:ascii="Arial"/>
                <w:sz w:val="21"/>
              </w:rPr>
            </w:pPr>
            <w:r>
              <w:rPr>
                <w:rFonts w:ascii="Arial"/>
                <w:w w:val="105"/>
                <w:sz w:val="21"/>
              </w:rPr>
              <w:t>64</w:t>
            </w:r>
          </w:p>
        </w:tc>
        <w:tc>
          <w:tcPr>
            <w:tcW w:w="1733" w:type="dxa"/>
            <w:tcBorders>
              <w:left w:val="nil"/>
              <w:bottom w:val="nil"/>
              <w:right w:val="nil"/>
            </w:tcBorders>
          </w:tcPr>
          <w:p>
            <w:pPr>
              <w:pStyle w:val="TableParagraph"/>
              <w:spacing w:before="4"/>
              <w:ind w:left="259" w:right="232"/>
              <w:jc w:val="center"/>
              <w:rPr>
                <w:rFonts w:ascii="Arial"/>
                <w:b/>
                <w:sz w:val="21"/>
              </w:rPr>
            </w:pPr>
            <w:r>
              <w:rPr>
                <w:rFonts w:ascii="Arial"/>
                <w:b/>
                <w:w w:val="105"/>
                <w:sz w:val="21"/>
                <w:u w:val="single"/>
              </w:rPr>
              <w:t>Hembras %</w:t>
            </w:r>
          </w:p>
          <w:p>
            <w:pPr>
              <w:pStyle w:val="TableParagraph"/>
              <w:spacing w:before="13"/>
              <w:ind w:left="259" w:right="229"/>
              <w:jc w:val="center"/>
              <w:rPr>
                <w:rFonts w:ascii="Arial"/>
                <w:sz w:val="21"/>
              </w:rPr>
            </w:pPr>
            <w:r>
              <w:rPr>
                <w:rFonts w:ascii="Arial"/>
                <w:w w:val="105"/>
                <w:sz w:val="21"/>
              </w:rPr>
              <w:t>36</w:t>
            </w:r>
          </w:p>
        </w:tc>
      </w:tr>
      <w:tr>
        <w:trPr>
          <w:trHeight w:val="252" w:hRule="exact"/>
        </w:trPr>
        <w:tc>
          <w:tcPr>
            <w:tcW w:w="4289" w:type="dxa"/>
            <w:tcBorders>
              <w:top w:val="nil"/>
              <w:left w:val="nil"/>
              <w:bottom w:val="nil"/>
              <w:right w:val="nil"/>
            </w:tcBorders>
          </w:tcPr>
          <w:p>
            <w:pPr>
              <w:pStyle w:val="TableParagraph"/>
              <w:spacing w:line="239" w:lineRule="exact"/>
              <w:ind w:left="110"/>
              <w:rPr>
                <w:rFonts w:ascii="Arial" w:hAnsi="Arial"/>
                <w:sz w:val="21"/>
              </w:rPr>
            </w:pPr>
            <w:r>
              <w:rPr>
                <w:rFonts w:ascii="Arial" w:hAnsi="Arial"/>
                <w:w w:val="105"/>
                <w:sz w:val="21"/>
              </w:rPr>
              <w:t>Alteraciones de la micción</w:t>
            </w:r>
          </w:p>
        </w:tc>
        <w:tc>
          <w:tcPr>
            <w:tcW w:w="958" w:type="dxa"/>
            <w:tcBorders>
              <w:top w:val="nil"/>
              <w:left w:val="nil"/>
              <w:bottom w:val="nil"/>
              <w:right w:val="nil"/>
            </w:tcBorders>
          </w:tcPr>
          <w:p>
            <w:pPr>
              <w:pStyle w:val="TableParagraph"/>
              <w:spacing w:line="239" w:lineRule="exact"/>
              <w:ind w:left="450"/>
              <w:rPr>
                <w:rFonts w:ascii="Arial"/>
                <w:sz w:val="21"/>
              </w:rPr>
            </w:pPr>
            <w:r>
              <w:rPr>
                <w:rFonts w:ascii="Arial"/>
                <w:w w:val="105"/>
                <w:sz w:val="21"/>
              </w:rPr>
              <w:t>22</w:t>
            </w:r>
          </w:p>
        </w:tc>
        <w:tc>
          <w:tcPr>
            <w:tcW w:w="1044" w:type="dxa"/>
            <w:tcBorders>
              <w:top w:val="nil"/>
              <w:left w:val="nil"/>
              <w:bottom w:val="nil"/>
              <w:right w:val="nil"/>
            </w:tcBorders>
          </w:tcPr>
          <w:p>
            <w:pPr>
              <w:pStyle w:val="TableParagraph"/>
              <w:spacing w:line="239" w:lineRule="exact"/>
              <w:ind w:left="241" w:right="210"/>
              <w:jc w:val="center"/>
              <w:rPr>
                <w:rFonts w:ascii="Arial"/>
                <w:sz w:val="21"/>
              </w:rPr>
            </w:pPr>
            <w:r>
              <w:rPr>
                <w:rFonts w:ascii="Arial"/>
                <w:w w:val="105"/>
                <w:sz w:val="21"/>
              </w:rPr>
              <w:t>22.68</w:t>
            </w:r>
          </w:p>
        </w:tc>
        <w:tc>
          <w:tcPr>
            <w:tcW w:w="1586" w:type="dxa"/>
            <w:tcBorders>
              <w:top w:val="nil"/>
              <w:left w:val="nil"/>
              <w:bottom w:val="nil"/>
              <w:right w:val="nil"/>
            </w:tcBorders>
          </w:tcPr>
          <w:p>
            <w:pPr>
              <w:pStyle w:val="TableParagraph"/>
              <w:spacing w:line="239" w:lineRule="exact"/>
              <w:ind w:right="692"/>
              <w:jc w:val="right"/>
              <w:rPr>
                <w:rFonts w:ascii="Arial"/>
                <w:sz w:val="21"/>
              </w:rPr>
            </w:pPr>
            <w:r>
              <w:rPr>
                <w:rFonts w:ascii="Arial"/>
                <w:sz w:val="21"/>
              </w:rPr>
              <w:t>65</w:t>
            </w:r>
          </w:p>
        </w:tc>
        <w:tc>
          <w:tcPr>
            <w:tcW w:w="1733" w:type="dxa"/>
            <w:tcBorders>
              <w:top w:val="nil"/>
              <w:left w:val="nil"/>
              <w:bottom w:val="nil"/>
              <w:right w:val="nil"/>
            </w:tcBorders>
          </w:tcPr>
          <w:p>
            <w:pPr>
              <w:pStyle w:val="TableParagraph"/>
              <w:spacing w:line="239" w:lineRule="exact"/>
              <w:ind w:left="259" w:right="229"/>
              <w:jc w:val="center"/>
              <w:rPr>
                <w:rFonts w:ascii="Arial"/>
                <w:sz w:val="21"/>
              </w:rPr>
            </w:pPr>
            <w:r>
              <w:rPr>
                <w:rFonts w:ascii="Arial"/>
                <w:w w:val="105"/>
                <w:sz w:val="21"/>
              </w:rPr>
              <w:t>35</w:t>
            </w:r>
          </w:p>
        </w:tc>
      </w:tr>
      <w:tr>
        <w:trPr>
          <w:trHeight w:val="252" w:hRule="exact"/>
        </w:trPr>
        <w:tc>
          <w:tcPr>
            <w:tcW w:w="4289" w:type="dxa"/>
            <w:tcBorders>
              <w:top w:val="nil"/>
              <w:left w:val="nil"/>
              <w:bottom w:val="nil"/>
              <w:right w:val="nil"/>
            </w:tcBorders>
          </w:tcPr>
          <w:p>
            <w:pPr>
              <w:pStyle w:val="TableParagraph"/>
              <w:spacing w:line="236" w:lineRule="exact"/>
              <w:ind w:left="110"/>
              <w:rPr>
                <w:rFonts w:ascii="Arial"/>
                <w:sz w:val="21"/>
              </w:rPr>
            </w:pPr>
            <w:r>
              <w:rPr>
                <w:rFonts w:ascii="Arial"/>
                <w:w w:val="105"/>
                <w:sz w:val="21"/>
              </w:rPr>
              <w:t>Urolitiasis</w:t>
            </w:r>
          </w:p>
        </w:tc>
        <w:tc>
          <w:tcPr>
            <w:tcW w:w="958" w:type="dxa"/>
            <w:tcBorders>
              <w:top w:val="nil"/>
              <w:left w:val="nil"/>
              <w:bottom w:val="nil"/>
              <w:right w:val="nil"/>
            </w:tcBorders>
          </w:tcPr>
          <w:p>
            <w:pPr>
              <w:pStyle w:val="TableParagraph"/>
              <w:spacing w:line="236" w:lineRule="exact"/>
              <w:ind w:left="450"/>
              <w:rPr>
                <w:rFonts w:ascii="Arial"/>
                <w:sz w:val="21"/>
              </w:rPr>
            </w:pPr>
            <w:r>
              <w:rPr>
                <w:rFonts w:ascii="Arial"/>
                <w:w w:val="105"/>
                <w:sz w:val="21"/>
              </w:rPr>
              <w:t>20</w:t>
            </w:r>
          </w:p>
        </w:tc>
        <w:tc>
          <w:tcPr>
            <w:tcW w:w="1044" w:type="dxa"/>
            <w:tcBorders>
              <w:top w:val="nil"/>
              <w:left w:val="nil"/>
              <w:bottom w:val="nil"/>
              <w:right w:val="nil"/>
            </w:tcBorders>
          </w:tcPr>
          <w:p>
            <w:pPr>
              <w:pStyle w:val="TableParagraph"/>
              <w:spacing w:line="236" w:lineRule="exact"/>
              <w:ind w:left="241" w:right="210"/>
              <w:jc w:val="center"/>
              <w:rPr>
                <w:rFonts w:ascii="Arial"/>
                <w:sz w:val="21"/>
              </w:rPr>
            </w:pPr>
            <w:r>
              <w:rPr>
                <w:rFonts w:ascii="Arial"/>
                <w:w w:val="105"/>
                <w:sz w:val="21"/>
              </w:rPr>
              <w:t>20.16</w:t>
            </w:r>
          </w:p>
        </w:tc>
        <w:tc>
          <w:tcPr>
            <w:tcW w:w="1586" w:type="dxa"/>
            <w:tcBorders>
              <w:top w:val="nil"/>
              <w:left w:val="nil"/>
              <w:bottom w:val="nil"/>
              <w:right w:val="nil"/>
            </w:tcBorders>
          </w:tcPr>
          <w:p>
            <w:pPr>
              <w:pStyle w:val="TableParagraph"/>
              <w:spacing w:line="236" w:lineRule="exact"/>
              <w:ind w:right="692"/>
              <w:jc w:val="right"/>
              <w:rPr>
                <w:rFonts w:ascii="Arial"/>
                <w:sz w:val="21"/>
              </w:rPr>
            </w:pPr>
            <w:r>
              <w:rPr>
                <w:rFonts w:ascii="Arial"/>
                <w:sz w:val="21"/>
              </w:rPr>
              <w:t>80</w:t>
            </w:r>
          </w:p>
        </w:tc>
        <w:tc>
          <w:tcPr>
            <w:tcW w:w="1733" w:type="dxa"/>
            <w:tcBorders>
              <w:top w:val="nil"/>
              <w:left w:val="nil"/>
              <w:bottom w:val="nil"/>
              <w:right w:val="nil"/>
            </w:tcBorders>
          </w:tcPr>
          <w:p>
            <w:pPr>
              <w:pStyle w:val="TableParagraph"/>
              <w:spacing w:line="236" w:lineRule="exact"/>
              <w:ind w:left="259" w:right="229"/>
              <w:jc w:val="center"/>
              <w:rPr>
                <w:rFonts w:ascii="Arial"/>
                <w:sz w:val="21"/>
              </w:rPr>
            </w:pPr>
            <w:r>
              <w:rPr>
                <w:rFonts w:ascii="Arial"/>
                <w:w w:val="105"/>
                <w:sz w:val="21"/>
              </w:rPr>
              <w:t>20</w:t>
            </w:r>
          </w:p>
        </w:tc>
      </w:tr>
      <w:tr>
        <w:trPr>
          <w:trHeight w:val="254" w:hRule="exact"/>
        </w:trPr>
        <w:tc>
          <w:tcPr>
            <w:tcW w:w="4289" w:type="dxa"/>
            <w:tcBorders>
              <w:top w:val="nil"/>
              <w:left w:val="nil"/>
              <w:bottom w:val="nil"/>
              <w:right w:val="nil"/>
            </w:tcBorders>
          </w:tcPr>
          <w:p>
            <w:pPr>
              <w:pStyle w:val="TableParagraph"/>
              <w:spacing w:line="239" w:lineRule="exact"/>
              <w:ind w:left="110"/>
              <w:rPr>
                <w:rFonts w:ascii="Arial" w:hAnsi="Arial"/>
                <w:sz w:val="21"/>
              </w:rPr>
            </w:pPr>
            <w:r>
              <w:rPr>
                <w:rFonts w:ascii="Arial" w:hAnsi="Arial"/>
                <w:w w:val="105"/>
                <w:sz w:val="21"/>
              </w:rPr>
              <w:t>Enfermedades de la próstata</w:t>
            </w:r>
          </w:p>
        </w:tc>
        <w:tc>
          <w:tcPr>
            <w:tcW w:w="958" w:type="dxa"/>
            <w:tcBorders>
              <w:top w:val="nil"/>
              <w:left w:val="nil"/>
              <w:bottom w:val="nil"/>
              <w:right w:val="nil"/>
            </w:tcBorders>
          </w:tcPr>
          <w:p>
            <w:pPr>
              <w:pStyle w:val="TableParagraph"/>
              <w:spacing w:line="239" w:lineRule="exact"/>
              <w:ind w:left="450"/>
              <w:rPr>
                <w:rFonts w:ascii="Arial"/>
                <w:sz w:val="21"/>
              </w:rPr>
            </w:pPr>
            <w:r>
              <w:rPr>
                <w:rFonts w:ascii="Arial"/>
                <w:w w:val="105"/>
                <w:sz w:val="21"/>
              </w:rPr>
              <w:t>14</w:t>
            </w:r>
          </w:p>
        </w:tc>
        <w:tc>
          <w:tcPr>
            <w:tcW w:w="1044" w:type="dxa"/>
            <w:tcBorders>
              <w:top w:val="nil"/>
              <w:left w:val="nil"/>
              <w:bottom w:val="nil"/>
              <w:right w:val="nil"/>
            </w:tcBorders>
          </w:tcPr>
          <w:p>
            <w:pPr>
              <w:pStyle w:val="TableParagraph"/>
              <w:spacing w:line="239" w:lineRule="exact"/>
              <w:ind w:left="241" w:right="210"/>
              <w:jc w:val="center"/>
              <w:rPr>
                <w:rFonts w:ascii="Arial"/>
                <w:sz w:val="21"/>
              </w:rPr>
            </w:pPr>
            <w:r>
              <w:rPr>
                <w:rFonts w:ascii="Arial"/>
                <w:w w:val="105"/>
                <w:sz w:val="21"/>
              </w:rPr>
              <w:t>14.43</w:t>
            </w:r>
          </w:p>
        </w:tc>
        <w:tc>
          <w:tcPr>
            <w:tcW w:w="1586" w:type="dxa"/>
            <w:tcBorders>
              <w:top w:val="nil"/>
              <w:left w:val="nil"/>
              <w:bottom w:val="nil"/>
              <w:right w:val="nil"/>
            </w:tcBorders>
          </w:tcPr>
          <w:p>
            <w:pPr>
              <w:pStyle w:val="TableParagraph"/>
              <w:spacing w:line="239" w:lineRule="exact"/>
              <w:ind w:right="631"/>
              <w:jc w:val="right"/>
              <w:rPr>
                <w:rFonts w:ascii="Arial"/>
                <w:sz w:val="21"/>
              </w:rPr>
            </w:pPr>
            <w:r>
              <w:rPr>
                <w:rFonts w:ascii="Arial"/>
                <w:sz w:val="21"/>
              </w:rPr>
              <w:t>100</w:t>
            </w:r>
          </w:p>
        </w:tc>
        <w:tc>
          <w:tcPr>
            <w:tcW w:w="1733" w:type="dxa"/>
            <w:tcBorders>
              <w:top w:val="nil"/>
              <w:left w:val="nil"/>
              <w:bottom w:val="nil"/>
              <w:right w:val="nil"/>
            </w:tcBorders>
          </w:tcPr>
          <w:p>
            <w:pPr>
              <w:pStyle w:val="TableParagraph"/>
              <w:spacing w:line="239" w:lineRule="exact"/>
              <w:ind w:left="28"/>
              <w:jc w:val="center"/>
              <w:rPr>
                <w:rFonts w:ascii="Arial"/>
                <w:sz w:val="21"/>
              </w:rPr>
            </w:pPr>
            <w:r>
              <w:rPr>
                <w:rFonts w:ascii="Arial"/>
                <w:w w:val="102"/>
                <w:sz w:val="21"/>
              </w:rPr>
              <w:t>0</w:t>
            </w:r>
          </w:p>
        </w:tc>
      </w:tr>
      <w:tr>
        <w:trPr>
          <w:trHeight w:val="252" w:hRule="exact"/>
        </w:trPr>
        <w:tc>
          <w:tcPr>
            <w:tcW w:w="4289" w:type="dxa"/>
            <w:tcBorders>
              <w:top w:val="nil"/>
              <w:left w:val="nil"/>
              <w:right w:val="nil"/>
            </w:tcBorders>
          </w:tcPr>
          <w:p>
            <w:pPr>
              <w:pStyle w:val="TableParagraph"/>
              <w:spacing w:line="239" w:lineRule="exact"/>
              <w:ind w:left="110"/>
              <w:rPr>
                <w:rFonts w:ascii="Arial"/>
                <w:sz w:val="21"/>
              </w:rPr>
            </w:pPr>
            <w:r>
              <w:rPr>
                <w:rFonts w:ascii="Arial"/>
                <w:w w:val="105"/>
                <w:sz w:val="21"/>
              </w:rPr>
              <w:t>Traumatismos</w:t>
            </w:r>
          </w:p>
        </w:tc>
        <w:tc>
          <w:tcPr>
            <w:tcW w:w="958" w:type="dxa"/>
            <w:tcBorders>
              <w:top w:val="nil"/>
              <w:left w:val="nil"/>
              <w:right w:val="nil"/>
            </w:tcBorders>
          </w:tcPr>
          <w:p>
            <w:pPr>
              <w:pStyle w:val="TableParagraph"/>
              <w:spacing w:line="239" w:lineRule="exact"/>
              <w:ind w:left="511"/>
              <w:rPr>
                <w:rFonts w:ascii="Arial"/>
                <w:sz w:val="21"/>
              </w:rPr>
            </w:pPr>
            <w:r>
              <w:rPr>
                <w:rFonts w:ascii="Arial"/>
                <w:w w:val="102"/>
                <w:sz w:val="21"/>
              </w:rPr>
              <w:t>8</w:t>
            </w:r>
          </w:p>
        </w:tc>
        <w:tc>
          <w:tcPr>
            <w:tcW w:w="1044" w:type="dxa"/>
            <w:tcBorders>
              <w:top w:val="nil"/>
              <w:left w:val="nil"/>
              <w:right w:val="nil"/>
            </w:tcBorders>
          </w:tcPr>
          <w:p>
            <w:pPr>
              <w:pStyle w:val="TableParagraph"/>
              <w:spacing w:line="239" w:lineRule="exact"/>
              <w:ind w:left="241" w:right="210"/>
              <w:jc w:val="center"/>
              <w:rPr>
                <w:rFonts w:ascii="Arial"/>
                <w:sz w:val="21"/>
              </w:rPr>
            </w:pPr>
            <w:r>
              <w:rPr>
                <w:rFonts w:ascii="Arial"/>
                <w:w w:val="105"/>
                <w:sz w:val="21"/>
              </w:rPr>
              <w:t>8.24</w:t>
            </w:r>
          </w:p>
        </w:tc>
        <w:tc>
          <w:tcPr>
            <w:tcW w:w="1586" w:type="dxa"/>
            <w:tcBorders>
              <w:top w:val="nil"/>
              <w:left w:val="nil"/>
              <w:right w:val="nil"/>
            </w:tcBorders>
          </w:tcPr>
          <w:p>
            <w:pPr>
              <w:pStyle w:val="TableParagraph"/>
              <w:spacing w:line="239" w:lineRule="exact"/>
              <w:ind w:right="631"/>
              <w:jc w:val="right"/>
              <w:rPr>
                <w:rFonts w:ascii="Arial"/>
                <w:sz w:val="21"/>
              </w:rPr>
            </w:pPr>
            <w:r>
              <w:rPr>
                <w:rFonts w:ascii="Arial"/>
                <w:sz w:val="21"/>
              </w:rPr>
              <w:t>100</w:t>
            </w:r>
          </w:p>
        </w:tc>
        <w:tc>
          <w:tcPr>
            <w:tcW w:w="1733" w:type="dxa"/>
            <w:tcBorders>
              <w:top w:val="nil"/>
              <w:left w:val="nil"/>
              <w:right w:val="nil"/>
            </w:tcBorders>
          </w:tcPr>
          <w:p>
            <w:pPr>
              <w:pStyle w:val="TableParagraph"/>
              <w:spacing w:line="239" w:lineRule="exact"/>
              <w:ind w:left="28"/>
              <w:jc w:val="center"/>
              <w:rPr>
                <w:rFonts w:ascii="Arial"/>
                <w:sz w:val="21"/>
              </w:rPr>
            </w:pPr>
            <w:r>
              <w:rPr>
                <w:rFonts w:ascii="Arial"/>
                <w:w w:val="102"/>
                <w:sz w:val="21"/>
              </w:rPr>
              <w:t>0</w:t>
            </w:r>
          </w:p>
        </w:tc>
      </w:tr>
    </w:tbl>
    <w:p>
      <w:pPr>
        <w:pStyle w:val="BodyText"/>
        <w:rPr>
          <w:sz w:val="20"/>
        </w:rPr>
      </w:pPr>
    </w:p>
    <w:p>
      <w:pPr>
        <w:pStyle w:val="BodyText"/>
        <w:rPr>
          <w:sz w:val="20"/>
        </w:rPr>
      </w:pPr>
    </w:p>
    <w:p>
      <w:pPr>
        <w:pStyle w:val="BodyText"/>
        <w:spacing w:before="1"/>
        <w:rPr>
          <w:sz w:val="19"/>
        </w:rPr>
      </w:pPr>
    </w:p>
    <w:p>
      <w:pPr>
        <w:pStyle w:val="BodyText"/>
        <w:spacing w:line="357" w:lineRule="auto" w:before="70"/>
        <w:ind w:left="224" w:right="208" w:firstLine="708"/>
        <w:jc w:val="both"/>
      </w:pPr>
      <w:r>
        <w:rPr/>
        <w:t>La Infección bacteriana del tracto urinario (IBTU) fue la patología que se observó con mayor frecuencia 34.02% (n=33) de los casos, de los cuales el 63,63% (n=21) eran machos y el 36,36% (n=12) hembras. Estadísticamente no se apreció predisposición por</w:t>
      </w:r>
      <w:r>
        <w:rPr>
          <w:spacing w:val="17"/>
        </w:rPr>
        <w:t> </w:t>
      </w:r>
      <w:r>
        <w:rPr/>
        <w:t>sexo</w:t>
      </w:r>
      <w:r>
        <w:rPr>
          <w:spacing w:val="17"/>
        </w:rPr>
        <w:t> </w:t>
      </w:r>
      <w:r>
        <w:rPr/>
        <w:t>para</w:t>
      </w:r>
      <w:r>
        <w:rPr>
          <w:spacing w:val="17"/>
        </w:rPr>
        <w:t> </w:t>
      </w:r>
      <w:r>
        <w:rPr/>
        <w:t>presentar</w:t>
      </w:r>
      <w:r>
        <w:rPr>
          <w:spacing w:val="17"/>
        </w:rPr>
        <w:t> </w:t>
      </w:r>
      <w:r>
        <w:rPr/>
        <w:t>IBTU</w:t>
      </w:r>
      <w:r>
        <w:rPr>
          <w:spacing w:val="17"/>
        </w:rPr>
        <w:t> </w:t>
      </w:r>
      <w:r>
        <w:rPr>
          <w:spacing w:val="-1"/>
        </w:rPr>
        <w:t>(</w:t>
      </w:r>
      <w:r>
        <w:rPr/>
        <w:t>Machos:</w:t>
      </w:r>
      <w:r>
        <w:rPr>
          <w:spacing w:val="17"/>
        </w:rPr>
        <w:t> </w:t>
      </w:r>
      <w:r>
        <w:rPr/>
        <w:t>OR</w:t>
      </w:r>
      <w:r>
        <w:rPr>
          <w:spacing w:val="17"/>
        </w:rPr>
        <w:t> </w:t>
      </w:r>
      <w:r>
        <w:rPr/>
        <w:t>1.3</w:t>
      </w:r>
      <w:r>
        <w:rPr>
          <w:w w:val="41"/>
        </w:rPr>
        <w:t>X</w:t>
      </w:r>
      <w:r>
        <w:rPr>
          <w:spacing w:val="17"/>
        </w:rPr>
        <w:t> </w:t>
      </w:r>
      <w:r>
        <w:rPr/>
        <w:t>I</w:t>
      </w:r>
      <w:r>
        <w:rPr>
          <w:spacing w:val="-1"/>
        </w:rPr>
        <w:t>C</w:t>
      </w:r>
      <w:r>
        <w:rPr>
          <w:w w:val="99"/>
          <w:position w:val="-2"/>
          <w:sz w:val="16"/>
        </w:rPr>
        <w:t>0.95</w:t>
      </w:r>
      <w:r>
        <w:rPr>
          <w:position w:val="-2"/>
          <w:sz w:val="16"/>
        </w:rPr>
        <w:t> </w:t>
      </w:r>
      <w:r>
        <w:rPr>
          <w:spacing w:val="-5"/>
          <w:position w:val="-2"/>
          <w:sz w:val="16"/>
        </w:rPr>
        <w:t> </w:t>
      </w:r>
      <w:r>
        <w:rPr/>
        <w:t>0.6</w:t>
      </w:r>
      <w:r>
        <w:rPr>
          <w:spacing w:val="-1"/>
        </w:rPr>
        <w:t>5</w:t>
      </w:r>
      <w:r>
        <w:rPr>
          <w:w w:val="119"/>
        </w:rPr>
        <w:t>[</w:t>
      </w:r>
      <w:r>
        <w:rPr>
          <w:spacing w:val="-1"/>
          <w:w w:val="85"/>
        </w:rPr>
        <w:t>2.87</w:t>
      </w:r>
      <w:r>
        <w:rPr>
          <w:w w:val="85"/>
        </w:rPr>
        <w:t>X</w:t>
      </w:r>
      <w:r>
        <w:rPr>
          <w:spacing w:val="17"/>
        </w:rPr>
        <w:t> </w:t>
      </w:r>
      <w:r>
        <w:rPr>
          <w:i/>
        </w:rPr>
        <w:t>p</w:t>
      </w:r>
      <w:r>
        <w:rPr/>
        <w:t>&gt;</w:t>
      </w:r>
      <w:r>
        <w:rPr>
          <w:spacing w:val="17"/>
        </w:rPr>
        <w:t> </w:t>
      </w:r>
      <w:r>
        <w:rPr/>
        <w:t>0.05).</w:t>
      </w:r>
      <w:r>
        <w:rPr>
          <w:spacing w:val="17"/>
        </w:rPr>
        <w:t> </w:t>
      </w:r>
      <w:r>
        <w:rPr>
          <w:spacing w:val="-1"/>
        </w:rPr>
        <w:t>L</w:t>
      </w:r>
      <w:r>
        <w:rPr/>
        <w:t>a</w:t>
      </w:r>
      <w:r>
        <w:rPr>
          <w:spacing w:val="17"/>
        </w:rPr>
        <w:t> </w:t>
      </w:r>
      <w:r>
        <w:rPr>
          <w:spacing w:val="-1"/>
        </w:rPr>
        <w:t>eda</w:t>
      </w:r>
      <w:r>
        <w:rPr/>
        <w:t>d</w:t>
      </w:r>
      <w:r>
        <w:rPr>
          <w:spacing w:val="17"/>
        </w:rPr>
        <w:t> </w:t>
      </w:r>
      <w:r>
        <w:rPr>
          <w:spacing w:val="-1"/>
        </w:rPr>
        <w:t>de </w:t>
      </w:r>
      <w:r>
        <w:rPr/>
        <w:t>presentación observada fue de 3 meses a 18 años, con una mediana de 8</w:t>
      </w:r>
      <w:r>
        <w:rPr>
          <w:spacing w:val="-1"/>
        </w:rPr>
        <w:t> </w:t>
      </w:r>
      <w:r>
        <w:rPr/>
        <w:t>años.</w:t>
      </w:r>
    </w:p>
    <w:p>
      <w:pPr>
        <w:spacing w:after="0" w:line="357" w:lineRule="auto"/>
        <w:jc w:val="both"/>
        <w:sectPr>
          <w:pgSz w:w="12240" w:h="15840"/>
          <w:pgMar w:header="886" w:footer="882" w:top="1140" w:bottom="1080" w:left="1480" w:right="92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El 84.8% (n=28) de los perros fueron de raza pura, siendo los más frecuentes los poodle 15.15% (n=5), chihuahueño 15.15% (n=5) y labrador 15.15% (n=5) sin encontrar una marcada predisposición racial. El 54.55% (n=18) casos fueron diagnosticados como IBTU agudas simples y el 45.45% (n=15) fueron consideradas complicadas con IBTU por urolitiasis, hiperplasia prostática, alteraciones de la micción, u otras posibles enfermedades o causas asociadas como neoplasia, hipotiroidismo, diabetes mellitus, piómetra y sondeo uretral previo (Cuadro 3).</w:t>
      </w:r>
    </w:p>
    <w:p>
      <w:pPr>
        <w:pStyle w:val="BodyText"/>
      </w:pPr>
    </w:p>
    <w:p>
      <w:pPr>
        <w:pStyle w:val="BodyText"/>
        <w:rPr>
          <w:sz w:val="35"/>
        </w:rPr>
      </w:pPr>
    </w:p>
    <w:p>
      <w:pPr>
        <w:spacing w:line="252" w:lineRule="auto" w:before="0"/>
        <w:ind w:left="144" w:right="144" w:firstLine="0"/>
        <w:jc w:val="left"/>
        <w:rPr>
          <w:sz w:val="21"/>
        </w:rPr>
      </w:pPr>
      <w:r>
        <w:rPr>
          <w:b/>
          <w:w w:val="105"/>
          <w:sz w:val="21"/>
        </w:rPr>
        <w:t>Cuadro 3. </w:t>
      </w:r>
      <w:r>
        <w:rPr>
          <w:w w:val="105"/>
          <w:sz w:val="21"/>
        </w:rPr>
        <w:t>IBTU complicadas, relacionadas con otras patologías urinarias, sistémicas o instrumentación de las vías urinarias.</w:t>
      </w:r>
    </w:p>
    <w:p>
      <w:pPr>
        <w:pStyle w:val="BodyText"/>
        <w:spacing w:before="11"/>
        <w:rPr>
          <w:sz w:val="17"/>
        </w:rPr>
      </w:pPr>
      <w:r>
        <w:rPr/>
        <w:pict>
          <v:group style="position:absolute;margin-left:177.602997pt;margin-top:12.298371pt;width:246.75pt;height:.5pt;mso-position-horizontal-relative:page;mso-position-vertical-relative:paragraph;z-index:1336;mso-wrap-distance-left:0;mso-wrap-distance-right:0" coordorigin="3552,246" coordsize="4935,10">
            <v:line style="position:absolute" from="3557,251" to="7349,251" stroked="true" strokeweight=".48pt" strokecolor="#000000"/>
            <v:line style="position:absolute" from="7349,251" to="7359,251" stroked="true" strokeweight=".48pt" strokecolor="#000000"/>
            <v:line style="position:absolute" from="7359,251" to="8482,251" stroked="true" strokeweight=".48pt" strokecolor="#000000"/>
            <w10:wrap type="topAndBottom"/>
          </v:group>
        </w:pict>
      </w:r>
    </w:p>
    <w:p>
      <w:pPr>
        <w:tabs>
          <w:tab w:pos="6291" w:val="left" w:leader="none"/>
        </w:tabs>
        <w:spacing w:before="0" w:after="8"/>
        <w:ind w:left="2107" w:right="144" w:firstLine="0"/>
        <w:jc w:val="left"/>
        <w:rPr>
          <w:b/>
          <w:sz w:val="21"/>
        </w:rPr>
      </w:pPr>
      <w:r>
        <w:rPr>
          <w:b/>
          <w:w w:val="105"/>
          <w:sz w:val="21"/>
        </w:rPr>
        <w:t>Patologías</w:t>
        <w:tab/>
        <w:t>n</w:t>
      </w:r>
    </w:p>
    <w:p>
      <w:pPr>
        <w:pStyle w:val="BodyText"/>
        <w:spacing w:line="20" w:lineRule="exact"/>
        <w:ind w:left="1992"/>
        <w:rPr>
          <w:sz w:val="2"/>
        </w:rPr>
      </w:pPr>
      <w:r>
        <w:rPr>
          <w:sz w:val="2"/>
        </w:rPr>
        <w:pict>
          <v:group style="width:246.75pt;height:.5pt;mso-position-horizontal-relative:char;mso-position-vertical-relative:line" coordorigin="0,0" coordsize="4935,10">
            <v:line style="position:absolute" from="5,5" to="3797,5" stroked="true" strokeweight=".48pt" strokecolor="#000000"/>
            <v:line style="position:absolute" from="3797,5" to="3807,5" stroked="true" strokeweight=".48pt" strokecolor="#000000"/>
            <v:line style="position:absolute" from="3807,5" to="4930,5" stroked="true" strokeweight=".48pt" strokecolor="#000000"/>
          </v:group>
        </w:pict>
      </w:r>
      <w:r>
        <w:rPr>
          <w:sz w:val="2"/>
        </w:rPr>
      </w:r>
    </w:p>
    <w:p>
      <w:pPr>
        <w:pStyle w:val="BodyText"/>
        <w:spacing w:before="9"/>
        <w:rPr>
          <w:b/>
          <w:sz w:val="14"/>
        </w:rPr>
      </w:pPr>
    </w:p>
    <w:p>
      <w:pPr>
        <w:tabs>
          <w:tab w:pos="6417" w:val="right" w:leader="none"/>
        </w:tabs>
        <w:spacing w:before="79"/>
        <w:ind w:left="2107" w:right="0" w:firstLine="0"/>
        <w:jc w:val="left"/>
        <w:rPr>
          <w:sz w:val="21"/>
        </w:rPr>
      </w:pPr>
      <w:r>
        <w:rPr>
          <w:w w:val="105"/>
          <w:sz w:val="21"/>
        </w:rPr>
        <w:t>Urolitiasis</w:t>
      </w:r>
      <w:r>
        <w:rPr>
          <w:rFonts w:ascii="Times New Roman"/>
          <w:w w:val="105"/>
          <w:sz w:val="21"/>
        </w:rPr>
        <w:tab/>
      </w:r>
      <w:r>
        <w:rPr>
          <w:w w:val="105"/>
          <w:sz w:val="21"/>
        </w:rPr>
        <w:t>3</w:t>
      </w:r>
    </w:p>
    <w:p>
      <w:pPr>
        <w:tabs>
          <w:tab w:pos="6417" w:val="right" w:leader="none"/>
        </w:tabs>
        <w:spacing w:before="8"/>
        <w:ind w:left="2107" w:right="0" w:firstLine="0"/>
        <w:jc w:val="left"/>
        <w:rPr>
          <w:sz w:val="21"/>
        </w:rPr>
      </w:pPr>
      <w:r>
        <w:rPr>
          <w:w w:val="105"/>
          <w:sz w:val="21"/>
        </w:rPr>
        <w:t>Hiperplasia prostática</w:t>
      </w:r>
      <w:r>
        <w:rPr>
          <w:rFonts w:ascii="Times New Roman" w:hAnsi="Times New Roman"/>
          <w:w w:val="105"/>
          <w:sz w:val="21"/>
        </w:rPr>
        <w:tab/>
      </w:r>
      <w:r>
        <w:rPr>
          <w:w w:val="105"/>
          <w:sz w:val="21"/>
        </w:rPr>
        <w:t>3</w:t>
      </w:r>
    </w:p>
    <w:p>
      <w:pPr>
        <w:tabs>
          <w:tab w:pos="6417" w:val="right" w:leader="none"/>
        </w:tabs>
        <w:spacing w:before="13"/>
        <w:ind w:left="2107" w:right="0" w:firstLine="0"/>
        <w:jc w:val="left"/>
        <w:rPr>
          <w:sz w:val="21"/>
        </w:rPr>
      </w:pPr>
      <w:r>
        <w:rPr>
          <w:w w:val="105"/>
          <w:sz w:val="21"/>
        </w:rPr>
        <w:t>Alteraciones de</w:t>
      </w:r>
      <w:r>
        <w:rPr>
          <w:spacing w:val="1"/>
          <w:w w:val="105"/>
          <w:sz w:val="21"/>
        </w:rPr>
        <w:t> </w:t>
      </w:r>
      <w:r>
        <w:rPr>
          <w:w w:val="105"/>
          <w:sz w:val="21"/>
        </w:rPr>
        <w:t>la</w:t>
      </w:r>
      <w:r>
        <w:rPr>
          <w:spacing w:val="1"/>
          <w:w w:val="105"/>
          <w:sz w:val="21"/>
        </w:rPr>
        <w:t> </w:t>
      </w:r>
      <w:r>
        <w:rPr>
          <w:w w:val="105"/>
          <w:sz w:val="21"/>
        </w:rPr>
        <w:t>micción</w:t>
      </w:r>
      <w:r>
        <w:rPr>
          <w:rFonts w:ascii="Times New Roman" w:hAnsi="Times New Roman"/>
          <w:w w:val="105"/>
          <w:sz w:val="21"/>
        </w:rPr>
        <w:tab/>
      </w:r>
      <w:r>
        <w:rPr>
          <w:w w:val="105"/>
          <w:sz w:val="21"/>
        </w:rPr>
        <w:t>2</w:t>
      </w:r>
    </w:p>
    <w:p>
      <w:pPr>
        <w:tabs>
          <w:tab w:pos="6417" w:val="right" w:leader="none"/>
        </w:tabs>
        <w:spacing w:before="13"/>
        <w:ind w:left="2107" w:right="0" w:firstLine="0"/>
        <w:jc w:val="left"/>
        <w:rPr>
          <w:sz w:val="21"/>
        </w:rPr>
      </w:pPr>
      <w:r>
        <w:rPr>
          <w:w w:val="105"/>
          <w:sz w:val="21"/>
        </w:rPr>
        <w:t>Neoplasia</w:t>
      </w:r>
      <w:r>
        <w:rPr>
          <w:rFonts w:ascii="Times New Roman"/>
          <w:w w:val="105"/>
          <w:sz w:val="21"/>
        </w:rPr>
        <w:tab/>
      </w:r>
      <w:r>
        <w:rPr>
          <w:w w:val="105"/>
          <w:sz w:val="21"/>
        </w:rPr>
        <w:t>2</w:t>
      </w:r>
    </w:p>
    <w:p>
      <w:pPr>
        <w:tabs>
          <w:tab w:pos="6417" w:val="right" w:leader="none"/>
        </w:tabs>
        <w:spacing w:before="13"/>
        <w:ind w:left="2107" w:right="0" w:firstLine="0"/>
        <w:jc w:val="left"/>
        <w:rPr>
          <w:sz w:val="21"/>
        </w:rPr>
      </w:pPr>
      <w:r>
        <w:rPr>
          <w:w w:val="105"/>
          <w:sz w:val="21"/>
        </w:rPr>
        <w:t>Hipotiroidismo</w:t>
      </w:r>
      <w:r>
        <w:rPr>
          <w:rFonts w:ascii="Times New Roman"/>
          <w:w w:val="105"/>
          <w:sz w:val="21"/>
        </w:rPr>
        <w:tab/>
      </w:r>
      <w:r>
        <w:rPr>
          <w:w w:val="105"/>
          <w:sz w:val="21"/>
        </w:rPr>
        <w:t>1</w:t>
      </w:r>
    </w:p>
    <w:p>
      <w:pPr>
        <w:tabs>
          <w:tab w:pos="6417" w:val="right" w:leader="none"/>
        </w:tabs>
        <w:spacing w:before="8"/>
        <w:ind w:left="2107" w:right="0" w:firstLine="0"/>
        <w:jc w:val="left"/>
        <w:rPr>
          <w:sz w:val="21"/>
        </w:rPr>
      </w:pPr>
      <w:r>
        <w:rPr>
          <w:w w:val="105"/>
          <w:sz w:val="21"/>
        </w:rPr>
        <w:t>Diabetes mellitus</w:t>
      </w:r>
      <w:r>
        <w:rPr>
          <w:rFonts w:ascii="Times New Roman"/>
          <w:w w:val="105"/>
          <w:sz w:val="21"/>
        </w:rPr>
        <w:tab/>
      </w:r>
      <w:r>
        <w:rPr>
          <w:w w:val="105"/>
          <w:sz w:val="21"/>
        </w:rPr>
        <w:t>1</w:t>
      </w:r>
    </w:p>
    <w:p>
      <w:pPr>
        <w:tabs>
          <w:tab w:pos="6417" w:val="right" w:leader="none"/>
        </w:tabs>
        <w:spacing w:before="13"/>
        <w:ind w:left="2107" w:right="0" w:firstLine="0"/>
        <w:jc w:val="left"/>
        <w:rPr>
          <w:sz w:val="21"/>
        </w:rPr>
      </w:pPr>
      <w:r>
        <w:rPr>
          <w:w w:val="105"/>
          <w:sz w:val="21"/>
        </w:rPr>
        <w:t>Piómetra</w:t>
      </w:r>
      <w:r>
        <w:rPr>
          <w:rFonts w:ascii="Times New Roman" w:hAnsi="Times New Roman"/>
          <w:w w:val="105"/>
          <w:sz w:val="21"/>
        </w:rPr>
        <w:tab/>
      </w:r>
      <w:r>
        <w:rPr>
          <w:w w:val="105"/>
          <w:sz w:val="21"/>
        </w:rPr>
        <w:t>1</w:t>
      </w:r>
    </w:p>
    <w:p>
      <w:pPr>
        <w:tabs>
          <w:tab w:pos="6417" w:val="right" w:leader="none"/>
        </w:tabs>
        <w:spacing w:before="13"/>
        <w:ind w:left="2107" w:right="0" w:firstLine="0"/>
        <w:jc w:val="left"/>
        <w:rPr>
          <w:sz w:val="21"/>
        </w:rPr>
      </w:pPr>
      <w:r>
        <w:rPr>
          <w:w w:val="105"/>
          <w:sz w:val="21"/>
        </w:rPr>
        <w:t>Sondeo</w:t>
      </w:r>
      <w:r>
        <w:rPr>
          <w:spacing w:val="1"/>
          <w:w w:val="105"/>
          <w:sz w:val="21"/>
        </w:rPr>
        <w:t> </w:t>
      </w:r>
      <w:r>
        <w:rPr>
          <w:w w:val="105"/>
          <w:sz w:val="21"/>
        </w:rPr>
        <w:t>uretral</w:t>
      </w:r>
      <w:r>
        <w:rPr>
          <w:rFonts w:ascii="Times New Roman"/>
          <w:w w:val="105"/>
          <w:sz w:val="21"/>
        </w:rPr>
        <w:tab/>
      </w:r>
      <w:r>
        <w:rPr>
          <w:w w:val="105"/>
          <w:sz w:val="21"/>
        </w:rPr>
        <w:t>2</w:t>
      </w:r>
    </w:p>
    <w:p>
      <w:pPr>
        <w:pStyle w:val="BodyText"/>
        <w:rPr>
          <w:sz w:val="19"/>
        </w:rPr>
      </w:pPr>
      <w:r>
        <w:rPr/>
        <w:pict>
          <v:group style="position:absolute;margin-left:176.882996pt;margin-top:12.884891pt;width:247.5pt;height:.5pt;mso-position-horizontal-relative:page;mso-position-vertical-relative:paragraph;z-index:1384;mso-wrap-distance-left:0;mso-wrap-distance-right:0" coordorigin="3538,258" coordsize="4950,10">
            <v:line style="position:absolute" from="3543,263" to="7349,263" stroked="true" strokeweight=".48pt" strokecolor="#000000"/>
            <v:line style="position:absolute" from="7335,263" to="7344,263" stroked="true" strokeweight=".48pt" strokecolor="#000000"/>
            <v:line style="position:absolute" from="7344,263" to="8482,263" stroked="true" strokeweight=".48pt" strokecolor="#000000"/>
            <w10:wrap type="topAndBottom"/>
          </v:group>
        </w:pict>
      </w:r>
    </w:p>
    <w:p>
      <w:pPr>
        <w:pStyle w:val="BodyText"/>
      </w:pPr>
    </w:p>
    <w:p>
      <w:pPr>
        <w:pStyle w:val="BodyText"/>
      </w:pPr>
    </w:p>
    <w:p>
      <w:pPr>
        <w:pStyle w:val="BodyText"/>
        <w:spacing w:before="3"/>
        <w:rPr>
          <w:sz w:val="21"/>
        </w:rPr>
      </w:pPr>
    </w:p>
    <w:p>
      <w:pPr>
        <w:pStyle w:val="BodyText"/>
        <w:spacing w:line="357" w:lineRule="auto"/>
        <w:ind w:left="144" w:right="148" w:firstLine="708"/>
        <w:jc w:val="both"/>
      </w:pPr>
      <w:r>
        <w:rPr/>
        <w:t>Las alteraciones de la micción (AM) fueron el segundo grupo de patologías más frecuentesX siendo el 22.68% (n=22). Las AM por causas neurológicas se presentaron en 20 casos, de los cuales el 65% (n=13) fueron machos y el resto hembras, con una relación macho:hembra de 1,8:1. Sin embargo, estadísticamente no se evidenció predisposición por sexo para presentar AM por causas neurológicas (Machos OR 1.4</w:t>
      </w:r>
      <w:r>
        <w:rPr>
          <w:w w:val="41"/>
        </w:rPr>
        <w:t>X </w:t>
      </w:r>
      <w:r>
        <w:rPr/>
        <w:t>IC</w:t>
      </w:r>
      <w:r>
        <w:rPr>
          <w:w w:val="98"/>
          <w:position w:val="-2"/>
          <w:sz w:val="16"/>
        </w:rPr>
        <w:t>0.95</w:t>
      </w:r>
      <w:r>
        <w:rPr>
          <w:w w:val="41"/>
          <w:position w:val="-2"/>
          <w:sz w:val="16"/>
        </w:rPr>
        <w:t>X</w:t>
      </w:r>
      <w:r>
        <w:rPr>
          <w:position w:val="-2"/>
          <w:sz w:val="16"/>
        </w:rPr>
        <w:t>  </w:t>
      </w:r>
      <w:r>
        <w:rPr/>
        <w:t>0.56</w:t>
      </w:r>
      <w:r>
        <w:rPr>
          <w:w w:val="119"/>
        </w:rPr>
        <w:t>[</w:t>
      </w:r>
      <w:r>
        <w:rPr/>
        <w:t>3.71</w:t>
      </w:r>
      <w:r>
        <w:rPr>
          <w:w w:val="41"/>
        </w:rPr>
        <w:t>X</w:t>
      </w:r>
      <w:r>
        <w:rPr/>
        <w:t> </w:t>
      </w:r>
      <w:r>
        <w:rPr>
          <w:i/>
        </w:rPr>
        <w:t>p</w:t>
      </w:r>
      <w:r>
        <w:rPr/>
        <w:t>&gt;0.05). Estas se presentaron en un rango de edad de 1 a 13 años, con una mediana de 7 años. El 70% de los casos se presentaron en animales de raza pura, siendo los más frecuentes los poodle 28.5% (n=4) y dachshund 21.42% (n=3), cabe mencionar que los perros mestizos representaron el 30% de los casos.</w:t>
      </w:r>
    </w:p>
    <w:p>
      <w:pPr>
        <w:spacing w:after="0" w:line="357"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8"/>
        <w:jc w:val="both"/>
      </w:pPr>
      <w:r>
        <w:rPr/>
        <w:t>El signo clínico asociado a estas AM de origen neurológico fue la retención urinaria relacionada con diferentes lesiones que afectaban a la neurona motora alta. En cuanto a AM por causas no neurológicas se encontraron en el 9.09% (n=2) siendo hembras con incontinencia urinaria atribuidos a incompetencia del esfínter uretral, en una </w:t>
      </w:r>
      <w:r>
        <w:rPr>
          <w:spacing w:val="-31"/>
        </w:rPr>
        <w:t> </w:t>
      </w:r>
      <w:r>
        <w:rPr/>
        <w:t>mestiza </w:t>
      </w:r>
      <w:r>
        <w:rPr>
          <w:spacing w:val="-31"/>
        </w:rPr>
        <w:t> </w:t>
      </w:r>
      <w:r>
        <w:rPr/>
        <w:t>de </w:t>
      </w:r>
      <w:r>
        <w:rPr>
          <w:spacing w:val="-31"/>
        </w:rPr>
        <w:t> </w:t>
      </w:r>
      <w:r>
        <w:rPr/>
        <w:t>10 </w:t>
      </w:r>
      <w:r>
        <w:rPr>
          <w:spacing w:val="-31"/>
        </w:rPr>
        <w:t> </w:t>
      </w:r>
      <w:r>
        <w:rPr/>
        <w:t>años </w:t>
      </w:r>
      <w:r>
        <w:rPr>
          <w:spacing w:val="-31"/>
        </w:rPr>
        <w:t> </w:t>
      </w:r>
      <w:r>
        <w:rPr/>
        <w:t>de </w:t>
      </w:r>
      <w:r>
        <w:rPr>
          <w:spacing w:val="-31"/>
        </w:rPr>
        <w:t> </w:t>
      </w:r>
      <w:r>
        <w:rPr/>
        <w:t>edad, </w:t>
      </w:r>
      <w:r>
        <w:rPr>
          <w:spacing w:val="-31"/>
        </w:rPr>
        <w:t> </w:t>
      </w:r>
      <w:r>
        <w:rPr/>
        <w:t>no </w:t>
      </w:r>
      <w:r>
        <w:rPr>
          <w:spacing w:val="-31"/>
        </w:rPr>
        <w:t> </w:t>
      </w:r>
      <w:r>
        <w:rPr/>
        <w:t>castrada</w:t>
      </w:r>
      <w:r>
        <w:rPr>
          <w:w w:val="41"/>
        </w:rPr>
        <w:t>X</w:t>
      </w:r>
      <w:r>
        <w:rPr/>
        <w:t> </w:t>
      </w:r>
      <w:r>
        <w:rPr>
          <w:spacing w:val="-31"/>
        </w:rPr>
        <w:t> </w:t>
      </w:r>
      <w:r>
        <w:rPr/>
        <w:t>y </w:t>
      </w:r>
      <w:r>
        <w:rPr>
          <w:spacing w:val="-31"/>
        </w:rPr>
        <w:t> </w:t>
      </w:r>
      <w:r>
        <w:rPr/>
        <w:t>un </w:t>
      </w:r>
      <w:r>
        <w:rPr>
          <w:spacing w:val="-31"/>
        </w:rPr>
        <w:t> </w:t>
      </w:r>
      <w:r>
        <w:rPr/>
        <w:t>caso </w:t>
      </w:r>
      <w:r>
        <w:rPr>
          <w:spacing w:val="-31"/>
        </w:rPr>
        <w:t> </w:t>
      </w:r>
      <w:r>
        <w:rPr/>
        <w:t>de </w:t>
      </w:r>
      <w:r>
        <w:rPr>
          <w:spacing w:val="-31"/>
        </w:rPr>
        <w:t> </w:t>
      </w:r>
      <w:r>
        <w:rPr/>
        <w:t>u</w:t>
      </w:r>
      <w:r>
        <w:rPr>
          <w:spacing w:val="-1"/>
        </w:rPr>
        <w:t>r</w:t>
      </w:r>
      <w:r>
        <w:rPr/>
        <w:t>éter </w:t>
      </w:r>
      <w:r>
        <w:rPr>
          <w:spacing w:val="-31"/>
        </w:rPr>
        <w:t> </w:t>
      </w:r>
      <w:r>
        <w:rPr/>
        <w:t>ectópico </w:t>
      </w:r>
      <w:r>
        <w:rPr>
          <w:spacing w:val="-31"/>
        </w:rPr>
        <w:t> </w:t>
      </w:r>
      <w:r>
        <w:rPr/>
        <w:t>en </w:t>
      </w:r>
      <w:r>
        <w:rPr>
          <w:spacing w:val="-31"/>
        </w:rPr>
        <w:t> </w:t>
      </w:r>
      <w:r>
        <w:rPr/>
        <w:t>una poodle de 3 meses de edad.</w:t>
      </w:r>
    </w:p>
    <w:p>
      <w:pPr>
        <w:pStyle w:val="BodyText"/>
      </w:pPr>
    </w:p>
    <w:p>
      <w:pPr>
        <w:pStyle w:val="BodyText"/>
        <w:spacing w:line="357" w:lineRule="auto" w:before="139"/>
        <w:ind w:left="144" w:right="148" w:firstLine="708"/>
        <w:jc w:val="both"/>
      </w:pPr>
      <w:r>
        <w:rPr/>
        <w:t>La urolitiasis representó el 20.16% (n=20) de los casos, 16 casos fueron machos y</w:t>
      </w:r>
      <w:r>
        <w:rPr>
          <w:spacing w:val="5"/>
        </w:rPr>
        <w:t> </w:t>
      </w:r>
      <w:r>
        <w:rPr/>
        <w:t>4</w:t>
      </w:r>
      <w:r>
        <w:rPr>
          <w:spacing w:val="5"/>
        </w:rPr>
        <w:t> </w:t>
      </w:r>
      <w:r>
        <w:rPr/>
        <w:t>hembras,</w:t>
      </w:r>
      <w:r>
        <w:rPr>
          <w:spacing w:val="5"/>
        </w:rPr>
        <w:t> </w:t>
      </w:r>
      <w:r>
        <w:rPr/>
        <w:t>no</w:t>
      </w:r>
      <w:r>
        <w:rPr>
          <w:spacing w:val="5"/>
        </w:rPr>
        <w:t> </w:t>
      </w:r>
      <w:r>
        <w:rPr/>
        <w:t>existiendo</w:t>
      </w:r>
      <w:r>
        <w:rPr>
          <w:spacing w:val="5"/>
        </w:rPr>
        <w:t> </w:t>
      </w:r>
      <w:r>
        <w:rPr/>
        <w:t>predisposición</w:t>
      </w:r>
      <w:r>
        <w:rPr>
          <w:spacing w:val="5"/>
        </w:rPr>
        <w:t> </w:t>
      </w:r>
      <w:r>
        <w:rPr/>
        <w:t>por</w:t>
      </w:r>
      <w:r>
        <w:rPr>
          <w:spacing w:val="4"/>
        </w:rPr>
        <w:t> </w:t>
      </w:r>
      <w:r>
        <w:rPr/>
        <w:t>género</w:t>
      </w:r>
      <w:r>
        <w:rPr>
          <w:spacing w:val="5"/>
        </w:rPr>
        <w:t> </w:t>
      </w:r>
      <w:r>
        <w:rPr/>
        <w:t>(Machos</w:t>
      </w:r>
      <w:r>
        <w:rPr>
          <w:spacing w:val="5"/>
        </w:rPr>
        <w:t> </w:t>
      </w:r>
      <w:r>
        <w:rPr/>
        <w:t>OR</w:t>
      </w:r>
      <w:r>
        <w:rPr>
          <w:spacing w:val="5"/>
        </w:rPr>
        <w:t> </w:t>
      </w:r>
      <w:r>
        <w:rPr>
          <w:spacing w:val="-1"/>
        </w:rPr>
        <w:t>1.</w:t>
      </w:r>
      <w:r>
        <w:rPr/>
        <w:t>5</w:t>
      </w:r>
      <w:r>
        <w:rPr>
          <w:w w:val="41"/>
        </w:rPr>
        <w:t>X</w:t>
      </w:r>
      <w:r>
        <w:rPr>
          <w:spacing w:val="5"/>
        </w:rPr>
        <w:t> </w:t>
      </w:r>
      <w:r>
        <w:rPr/>
        <w:t>IC</w:t>
      </w:r>
      <w:r>
        <w:rPr>
          <w:w w:val="99"/>
          <w:position w:val="-2"/>
          <w:sz w:val="16"/>
        </w:rPr>
        <w:t>0.95</w:t>
      </w:r>
      <w:r>
        <w:rPr>
          <w:position w:val="-2"/>
          <w:sz w:val="16"/>
        </w:rPr>
        <w:t> </w:t>
      </w:r>
      <w:r>
        <w:rPr>
          <w:spacing w:val="-17"/>
          <w:position w:val="-2"/>
          <w:sz w:val="16"/>
        </w:rPr>
        <w:t> </w:t>
      </w:r>
      <w:r>
        <w:rPr/>
        <w:t>0.4</w:t>
      </w:r>
      <w:r>
        <w:rPr>
          <w:spacing w:val="-1"/>
        </w:rPr>
        <w:t>4</w:t>
      </w:r>
      <w:r>
        <w:rPr>
          <w:w w:val="119"/>
        </w:rPr>
        <w:t>[</w:t>
      </w:r>
      <w:r>
        <w:rPr/>
        <w:t>5.0</w:t>
      </w:r>
      <w:r>
        <w:rPr>
          <w:spacing w:val="-1"/>
        </w:rPr>
        <w:t>0</w:t>
      </w:r>
      <w:r>
        <w:rPr>
          <w:w w:val="41"/>
        </w:rPr>
        <w:t>X </w:t>
      </w:r>
      <w:r>
        <w:rPr>
          <w:i/>
        </w:rPr>
        <w:t>p</w:t>
      </w:r>
      <w:r>
        <w:rPr/>
        <w:t>&gt;0.5) para presentar esta enfermedad, el rango de edad se observó de 3 a 15 años con una mediana de 9 años. Diecinueve de los perros de raza pura presentaron esta patología, siendo la raza más frecuente el pastor alemán con el 20%. Los urolitos   fueron localizados anatómicamente en vejiga 75%, vejiga y uretra 20% y riñón y  </w:t>
      </w:r>
      <w:r>
        <w:rPr>
          <w:spacing w:val="60"/>
        </w:rPr>
        <w:t> </w:t>
      </w:r>
      <w:r>
        <w:rPr/>
        <w:t>vejiga</w:t>
      </w:r>
    </w:p>
    <w:p>
      <w:pPr>
        <w:pStyle w:val="BodyText"/>
        <w:spacing w:line="360" w:lineRule="auto" w:before="10"/>
        <w:ind w:left="144" w:right="148"/>
        <w:jc w:val="both"/>
      </w:pPr>
      <w:r>
        <w:rPr/>
        <w:t>5 %. Presentándose el 20% de animales obstruidos. De acuerdo a la composición química de los urolitos los casos resaltan que más de la mitad de los urolitos eran de silicato (Gráfica 1).</w:t>
      </w:r>
    </w:p>
    <w:p>
      <w:pPr>
        <w:pStyle w:val="BodyText"/>
        <w:rPr>
          <w:sz w:val="20"/>
        </w:rPr>
      </w:pPr>
    </w:p>
    <w:p>
      <w:pPr>
        <w:pStyle w:val="BodyText"/>
        <w:spacing w:before="4"/>
        <w:rPr>
          <w:sz w:val="14"/>
        </w:rPr>
      </w:pPr>
      <w:r>
        <w:rPr/>
        <w:pict>
          <v:group style="position:absolute;margin-left:170.652893pt;margin-top:10.214894pt;width:277.2pt;height:185.8pt;mso-position-horizontal-relative:page;mso-position-vertical-relative:paragraph;z-index:1504;mso-wrap-distance-left:0;mso-wrap-distance-right:0" coordorigin="3413,204" coordsize="5544,3716">
            <v:shape style="position:absolute;left:3413;top:204;width:5544;height:3715" type="#_x0000_t75" stroked="false">
              <v:imagedata r:id="rId18" o:title=""/>
            </v:shape>
            <v:rect style="position:absolute;left:4474;top:3670;width:110;height:110" filled="true" fillcolor="#3c8da3" stroked="false">
              <v:fill type="solid"/>
            </v:rect>
            <v:rect style="position:absolute;left:5400;top:3670;width:110;height:110" filled="true" fillcolor="#99cc00" stroked="false">
              <v:fill type="solid"/>
            </v:rect>
            <v:rect style="position:absolute;left:6461;top:3670;width:110;height:110" filled="true" fillcolor="#4f81bd" stroked="false">
              <v:fill type="solid"/>
            </v:rect>
            <v:shape style="position:absolute;left:5321;top:573;width:345;height:202" type="#_x0000_t202" filled="false" stroked="false">
              <v:textbox inset="0,0,0,0">
                <w:txbxContent>
                  <w:p>
                    <w:pPr>
                      <w:spacing w:line="202" w:lineRule="exact" w:before="0"/>
                      <w:ind w:left="0" w:right="-15" w:firstLine="0"/>
                      <w:jc w:val="left"/>
                      <w:rPr>
                        <w:rFonts w:ascii="Calibri"/>
                        <w:sz w:val="20"/>
                      </w:rPr>
                    </w:pPr>
                    <w:r>
                      <w:rPr>
                        <w:rFonts w:ascii="Calibri"/>
                        <w:spacing w:val="-2"/>
                        <w:sz w:val="20"/>
                      </w:rPr>
                      <w:t>15%</w:t>
                    </w:r>
                  </w:p>
                </w:txbxContent>
              </v:textbox>
              <w10:wrap type="none"/>
            </v:shape>
            <v:shape style="position:absolute;left:4521;top:2353;width:345;height:202" type="#_x0000_t202" filled="false" stroked="false">
              <v:textbox inset="0,0,0,0">
                <w:txbxContent>
                  <w:p>
                    <w:pPr>
                      <w:spacing w:line="202" w:lineRule="exact" w:before="0"/>
                      <w:ind w:left="0" w:right="-15" w:firstLine="0"/>
                      <w:jc w:val="left"/>
                      <w:rPr>
                        <w:rFonts w:ascii="Calibri"/>
                        <w:sz w:val="20"/>
                      </w:rPr>
                    </w:pPr>
                    <w:r>
                      <w:rPr>
                        <w:rFonts w:ascii="Calibri"/>
                        <w:spacing w:val="-2"/>
                        <w:sz w:val="20"/>
                      </w:rPr>
                      <w:t>30%</w:t>
                    </w:r>
                  </w:p>
                </w:txbxContent>
              </v:textbox>
              <w10:wrap type="none"/>
            </v:shape>
            <v:shape style="position:absolute;left:7521;top:2213;width:345;height:202" type="#_x0000_t202" filled="false" stroked="false">
              <v:textbox inset="0,0,0,0">
                <w:txbxContent>
                  <w:p>
                    <w:pPr>
                      <w:spacing w:line="202" w:lineRule="exact" w:before="0"/>
                      <w:ind w:left="0" w:right="-15" w:firstLine="0"/>
                      <w:jc w:val="left"/>
                      <w:rPr>
                        <w:rFonts w:ascii="Calibri"/>
                        <w:sz w:val="20"/>
                      </w:rPr>
                    </w:pPr>
                    <w:r>
                      <w:rPr>
                        <w:rFonts w:ascii="Calibri"/>
                        <w:spacing w:val="-2"/>
                        <w:sz w:val="20"/>
                      </w:rPr>
                      <w:t>55%</w:t>
                    </w:r>
                  </w:p>
                </w:txbxContent>
              </v:textbox>
              <w10:wrap type="none"/>
            </v:shape>
            <v:shape style="position:absolute;left:4631;top:3638;width:3383;height:202" type="#_x0000_t202" filled="false" stroked="false">
              <v:textbox inset="0,0,0,0">
                <w:txbxContent>
                  <w:p>
                    <w:pPr>
                      <w:tabs>
                        <w:tab w:pos="925" w:val="left" w:leader="none"/>
                        <w:tab w:pos="1985" w:val="left" w:leader="none"/>
                      </w:tabs>
                      <w:spacing w:line="202" w:lineRule="exact" w:before="0"/>
                      <w:ind w:left="0" w:right="0" w:firstLine="0"/>
                      <w:jc w:val="left"/>
                      <w:rPr>
                        <w:rFonts w:ascii="Calibri"/>
                        <w:sz w:val="20"/>
                      </w:rPr>
                    </w:pPr>
                    <w:r>
                      <w:rPr>
                        <w:rFonts w:ascii="Calibri"/>
                        <w:sz w:val="20"/>
                      </w:rPr>
                      <w:t>Silicato</w:t>
                      <w:tab/>
                      <w:t>Estruvita</w:t>
                      <w:tab/>
                      <w:t>Oxalato de</w:t>
                    </w:r>
                    <w:r>
                      <w:rPr>
                        <w:rFonts w:ascii="Calibri"/>
                        <w:spacing w:val="4"/>
                        <w:sz w:val="20"/>
                      </w:rPr>
                      <w:t> </w:t>
                    </w:r>
                    <w:r>
                      <w:rPr>
                        <w:rFonts w:ascii="Calibri"/>
                        <w:sz w:val="20"/>
                      </w:rPr>
                      <w:t>calcio</w:t>
                    </w:r>
                  </w:p>
                </w:txbxContent>
              </v:textbox>
              <w10:wrap type="none"/>
            </v:shape>
            <w10:wrap type="topAndBottom"/>
          </v:group>
        </w:pict>
      </w:r>
    </w:p>
    <w:p>
      <w:pPr>
        <w:pStyle w:val="BodyText"/>
      </w:pPr>
    </w:p>
    <w:p>
      <w:pPr>
        <w:pStyle w:val="BodyText"/>
      </w:pPr>
    </w:p>
    <w:p>
      <w:pPr>
        <w:spacing w:line="376" w:lineRule="auto" w:before="153"/>
        <w:ind w:left="144" w:right="146" w:firstLine="708"/>
        <w:jc w:val="both"/>
        <w:rPr>
          <w:sz w:val="21"/>
        </w:rPr>
      </w:pPr>
      <w:r>
        <w:rPr>
          <w:b/>
          <w:w w:val="105"/>
          <w:sz w:val="21"/>
        </w:rPr>
        <w:t>Gráfica 1. </w:t>
      </w:r>
      <w:r>
        <w:rPr>
          <w:w w:val="105"/>
          <w:sz w:val="21"/>
        </w:rPr>
        <w:t>Frecuencia de presentación de los diferentes tipos de urolitos en 20 casos estudiados.</w:t>
      </w:r>
    </w:p>
    <w:p>
      <w:pPr>
        <w:spacing w:after="0" w:line="376" w:lineRule="auto"/>
        <w:jc w:val="both"/>
        <w:rPr>
          <w:sz w:val="21"/>
        </w:rPr>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244" w:right="208" w:firstLine="708"/>
        <w:jc w:val="both"/>
      </w:pPr>
      <w:r>
        <w:rPr/>
        <w:t>Las enfermedades de la próstata se presentaron en un 14,4% (n=14) encontrándose dos patologías: la hiperplasia prostática y quistes prostáticos (Cuadro 4). La hiperplasia prostática se presentó en todos estos casos, de los cuales el 57% presento signos clínicos relacionados con la enfermedad prostática, el rango de edad  de los perros estuvo entre 4 y 16 años con una mediana de edad de 9 años, el 64,28% (n=9) fueron perros de raza pura y el 35,71% (n=5) perros mestizos. Los quistes prostáticos se presentaron solo en dos casos, simultáneamente con la hiperplasia en un rottweiler de 11 años de edad y un mestizo de 12 años. Cabe mencionar que el 100%  de los pacientes fueron enteros (no</w:t>
      </w:r>
      <w:r>
        <w:rPr>
          <w:spacing w:val="-3"/>
        </w:rPr>
        <w:t> </w:t>
      </w:r>
      <w:r>
        <w:rPr/>
        <w:t>castrados).</w:t>
      </w:r>
    </w:p>
    <w:p>
      <w:pPr>
        <w:pStyle w:val="BodyText"/>
      </w:pPr>
    </w:p>
    <w:p>
      <w:pPr>
        <w:pStyle w:val="BodyText"/>
        <w:spacing w:before="3"/>
        <w:rPr>
          <w:sz w:val="21"/>
        </w:rPr>
      </w:pPr>
    </w:p>
    <w:p>
      <w:pPr>
        <w:spacing w:line="252" w:lineRule="auto" w:before="0"/>
        <w:ind w:left="244" w:right="75" w:firstLine="0"/>
        <w:jc w:val="left"/>
        <w:rPr>
          <w:sz w:val="21"/>
        </w:rPr>
      </w:pPr>
      <w:r>
        <w:rPr>
          <w:b/>
          <w:w w:val="105"/>
          <w:sz w:val="21"/>
        </w:rPr>
        <w:t>Cuadro 4. </w:t>
      </w:r>
      <w:r>
        <w:rPr>
          <w:w w:val="105"/>
          <w:sz w:val="21"/>
        </w:rPr>
        <w:t>Frecuencia de las enfermedades de la próstata relacionadas con el estado gonadal y la presentación de signos clínicos</w:t>
      </w:r>
    </w:p>
    <w:p>
      <w:pPr>
        <w:pStyle w:val="BodyText"/>
        <w:spacing w:before="9"/>
        <w:rPr>
          <w:sz w:val="21"/>
        </w:rPr>
      </w:pPr>
    </w:p>
    <w:tbl>
      <w:tblPr>
        <w:tblW w:w="0" w:type="auto"/>
        <w:jc w:val="left"/>
        <w:tblInd w:w="1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25"/>
        <w:gridCol w:w="842"/>
        <w:gridCol w:w="1115"/>
        <w:gridCol w:w="2252"/>
        <w:gridCol w:w="2876"/>
      </w:tblGrid>
      <w:tr>
        <w:trPr>
          <w:trHeight w:val="646" w:hRule="exact"/>
        </w:trPr>
        <w:tc>
          <w:tcPr>
            <w:tcW w:w="2525" w:type="dxa"/>
            <w:tcBorders>
              <w:left w:val="nil"/>
              <w:bottom w:val="nil"/>
              <w:right w:val="nil"/>
            </w:tcBorders>
          </w:tcPr>
          <w:p>
            <w:pPr>
              <w:pStyle w:val="TableParagraph"/>
              <w:spacing w:before="4"/>
              <w:ind w:left="625"/>
              <w:rPr>
                <w:rFonts w:ascii="Arial"/>
                <w:b/>
                <w:sz w:val="21"/>
              </w:rPr>
            </w:pPr>
            <w:r>
              <w:rPr>
                <w:rFonts w:ascii="Arial"/>
                <w:b/>
                <w:w w:val="105"/>
                <w:sz w:val="21"/>
                <w:u w:val="single"/>
              </w:rPr>
              <w:t>Enfermedad</w:t>
            </w:r>
          </w:p>
        </w:tc>
        <w:tc>
          <w:tcPr>
            <w:tcW w:w="842" w:type="dxa"/>
            <w:tcBorders>
              <w:left w:val="nil"/>
              <w:bottom w:val="nil"/>
              <w:right w:val="nil"/>
            </w:tcBorders>
          </w:tcPr>
          <w:p>
            <w:pPr>
              <w:pStyle w:val="TableParagraph"/>
              <w:spacing w:before="4"/>
              <w:ind w:left="1"/>
              <w:jc w:val="center"/>
              <w:rPr>
                <w:rFonts w:ascii="Arial"/>
                <w:b/>
                <w:sz w:val="21"/>
              </w:rPr>
            </w:pPr>
            <w:r>
              <w:rPr>
                <w:rFonts w:ascii="Arial"/>
                <w:b/>
                <w:w w:val="102"/>
                <w:sz w:val="21"/>
                <w:u w:val="single"/>
              </w:rPr>
              <w:t>n</w:t>
            </w:r>
          </w:p>
        </w:tc>
        <w:tc>
          <w:tcPr>
            <w:tcW w:w="1115" w:type="dxa"/>
            <w:tcBorders>
              <w:left w:val="nil"/>
              <w:bottom w:val="nil"/>
              <w:right w:val="nil"/>
            </w:tcBorders>
          </w:tcPr>
          <w:p>
            <w:pPr>
              <w:pStyle w:val="TableParagraph"/>
              <w:spacing w:before="4"/>
              <w:ind w:left="25"/>
              <w:jc w:val="center"/>
              <w:rPr>
                <w:rFonts w:ascii="Arial"/>
                <w:b/>
                <w:sz w:val="21"/>
              </w:rPr>
            </w:pPr>
            <w:r>
              <w:rPr>
                <w:rFonts w:ascii="Arial"/>
                <w:b/>
                <w:w w:val="102"/>
                <w:sz w:val="21"/>
                <w:u w:val="single"/>
              </w:rPr>
              <w:t>%</w:t>
            </w:r>
          </w:p>
        </w:tc>
        <w:tc>
          <w:tcPr>
            <w:tcW w:w="2252" w:type="dxa"/>
            <w:tcBorders>
              <w:left w:val="nil"/>
              <w:bottom w:val="nil"/>
              <w:right w:val="nil"/>
            </w:tcBorders>
          </w:tcPr>
          <w:p>
            <w:pPr>
              <w:pStyle w:val="TableParagraph"/>
              <w:spacing w:before="4"/>
              <w:ind w:left="246" w:right="324"/>
              <w:jc w:val="center"/>
              <w:rPr>
                <w:rFonts w:ascii="Arial"/>
                <w:b/>
                <w:sz w:val="21"/>
              </w:rPr>
            </w:pPr>
            <w:r>
              <w:rPr>
                <w:rFonts w:ascii="Arial"/>
                <w:b/>
                <w:w w:val="105"/>
                <w:sz w:val="21"/>
                <w:u w:val="single"/>
              </w:rPr>
              <w:t>Estado gonadal</w:t>
            </w:r>
          </w:p>
        </w:tc>
        <w:tc>
          <w:tcPr>
            <w:tcW w:w="2876" w:type="dxa"/>
            <w:tcBorders>
              <w:left w:val="nil"/>
              <w:bottom w:val="nil"/>
              <w:right w:val="nil"/>
            </w:tcBorders>
          </w:tcPr>
          <w:p>
            <w:pPr>
              <w:pStyle w:val="TableParagraph"/>
              <w:spacing w:line="252" w:lineRule="auto" w:before="4"/>
              <w:ind w:left="1319" w:right="331" w:hanging="972"/>
              <w:rPr>
                <w:rFonts w:ascii="Arial" w:hAnsi="Arial"/>
                <w:b/>
                <w:sz w:val="21"/>
              </w:rPr>
            </w:pPr>
            <w:r>
              <w:rPr>
                <w:rFonts w:ascii="Arial" w:hAnsi="Arial"/>
                <w:b/>
                <w:w w:val="105"/>
                <w:sz w:val="21"/>
                <w:u w:val="single"/>
              </w:rPr>
              <w:t>Con signos clínicos n</w:t>
            </w:r>
          </w:p>
        </w:tc>
      </w:tr>
      <w:tr>
        <w:trPr>
          <w:trHeight w:val="379" w:hRule="exact"/>
        </w:trPr>
        <w:tc>
          <w:tcPr>
            <w:tcW w:w="2525" w:type="dxa"/>
            <w:tcBorders>
              <w:top w:val="nil"/>
              <w:left w:val="nil"/>
              <w:bottom w:val="nil"/>
              <w:right w:val="nil"/>
            </w:tcBorders>
          </w:tcPr>
          <w:p>
            <w:pPr>
              <w:pStyle w:val="TableParagraph"/>
              <w:spacing w:before="122"/>
              <w:ind w:left="110"/>
              <w:rPr>
                <w:rFonts w:ascii="Arial" w:hAnsi="Arial"/>
                <w:sz w:val="21"/>
              </w:rPr>
            </w:pPr>
            <w:r>
              <w:rPr>
                <w:rFonts w:ascii="Arial" w:hAnsi="Arial"/>
                <w:w w:val="105"/>
                <w:sz w:val="21"/>
              </w:rPr>
              <w:t>Hiperplasia prostática</w:t>
            </w:r>
          </w:p>
        </w:tc>
        <w:tc>
          <w:tcPr>
            <w:tcW w:w="842" w:type="dxa"/>
            <w:tcBorders>
              <w:top w:val="nil"/>
              <w:left w:val="nil"/>
              <w:bottom w:val="nil"/>
              <w:right w:val="nil"/>
            </w:tcBorders>
          </w:tcPr>
          <w:p>
            <w:pPr>
              <w:pStyle w:val="TableParagraph"/>
              <w:spacing w:before="122"/>
              <w:ind w:left="280" w:right="276"/>
              <w:jc w:val="center"/>
              <w:rPr>
                <w:rFonts w:ascii="Arial"/>
                <w:sz w:val="21"/>
              </w:rPr>
            </w:pPr>
            <w:r>
              <w:rPr>
                <w:rFonts w:ascii="Arial"/>
                <w:w w:val="105"/>
                <w:sz w:val="21"/>
              </w:rPr>
              <w:t>14</w:t>
            </w:r>
          </w:p>
        </w:tc>
        <w:tc>
          <w:tcPr>
            <w:tcW w:w="1115" w:type="dxa"/>
            <w:tcBorders>
              <w:top w:val="nil"/>
              <w:left w:val="nil"/>
              <w:bottom w:val="nil"/>
              <w:right w:val="nil"/>
            </w:tcBorders>
          </w:tcPr>
          <w:p>
            <w:pPr>
              <w:pStyle w:val="TableParagraph"/>
              <w:spacing w:before="122"/>
              <w:ind w:left="275" w:right="246"/>
              <w:jc w:val="center"/>
              <w:rPr>
                <w:rFonts w:ascii="Arial"/>
                <w:sz w:val="21"/>
              </w:rPr>
            </w:pPr>
            <w:r>
              <w:rPr>
                <w:rFonts w:ascii="Arial"/>
                <w:w w:val="105"/>
                <w:sz w:val="21"/>
              </w:rPr>
              <w:t>100</w:t>
            </w:r>
          </w:p>
        </w:tc>
        <w:tc>
          <w:tcPr>
            <w:tcW w:w="2252" w:type="dxa"/>
            <w:tcBorders>
              <w:top w:val="nil"/>
              <w:left w:val="nil"/>
              <w:bottom w:val="nil"/>
              <w:right w:val="nil"/>
            </w:tcBorders>
          </w:tcPr>
          <w:p>
            <w:pPr>
              <w:pStyle w:val="TableParagraph"/>
              <w:spacing w:before="122"/>
              <w:ind w:left="245" w:right="324"/>
              <w:jc w:val="center"/>
              <w:rPr>
                <w:rFonts w:ascii="Arial"/>
                <w:sz w:val="21"/>
              </w:rPr>
            </w:pPr>
            <w:r>
              <w:rPr>
                <w:rFonts w:ascii="Arial"/>
                <w:w w:val="105"/>
                <w:sz w:val="21"/>
              </w:rPr>
              <w:t>Enteros</w:t>
            </w:r>
          </w:p>
        </w:tc>
        <w:tc>
          <w:tcPr>
            <w:tcW w:w="2876" w:type="dxa"/>
            <w:tcBorders>
              <w:top w:val="nil"/>
              <w:left w:val="nil"/>
              <w:bottom w:val="nil"/>
              <w:right w:val="nil"/>
            </w:tcBorders>
          </w:tcPr>
          <w:p>
            <w:pPr>
              <w:pStyle w:val="TableParagraph"/>
              <w:spacing w:before="122"/>
              <w:ind w:left="1325"/>
              <w:rPr>
                <w:rFonts w:ascii="Arial"/>
                <w:sz w:val="21"/>
              </w:rPr>
            </w:pPr>
            <w:r>
              <w:rPr>
                <w:rFonts w:ascii="Arial"/>
                <w:w w:val="102"/>
                <w:sz w:val="21"/>
              </w:rPr>
              <w:t>8</w:t>
            </w:r>
          </w:p>
        </w:tc>
      </w:tr>
      <w:tr>
        <w:trPr>
          <w:trHeight w:val="335" w:hRule="exact"/>
        </w:trPr>
        <w:tc>
          <w:tcPr>
            <w:tcW w:w="2525" w:type="dxa"/>
            <w:tcBorders>
              <w:top w:val="nil"/>
              <w:left w:val="nil"/>
              <w:bottom w:val="nil"/>
              <w:right w:val="nil"/>
            </w:tcBorders>
          </w:tcPr>
          <w:p>
            <w:pPr>
              <w:pStyle w:val="TableParagraph"/>
              <w:spacing w:line="239" w:lineRule="exact"/>
              <w:ind w:left="110"/>
              <w:rPr>
                <w:rFonts w:ascii="Arial" w:hAnsi="Arial"/>
                <w:sz w:val="21"/>
              </w:rPr>
            </w:pPr>
            <w:r>
              <w:rPr>
                <w:rFonts w:ascii="Arial" w:hAnsi="Arial"/>
                <w:w w:val="105"/>
                <w:sz w:val="21"/>
              </w:rPr>
              <w:t>Quistes prostáticos</w:t>
            </w:r>
          </w:p>
        </w:tc>
        <w:tc>
          <w:tcPr>
            <w:tcW w:w="842" w:type="dxa"/>
            <w:tcBorders>
              <w:top w:val="nil"/>
              <w:left w:val="nil"/>
              <w:bottom w:val="nil"/>
              <w:right w:val="nil"/>
            </w:tcBorders>
          </w:tcPr>
          <w:p>
            <w:pPr>
              <w:pStyle w:val="TableParagraph"/>
              <w:spacing w:line="239" w:lineRule="exact"/>
              <w:ind w:left="1"/>
              <w:jc w:val="center"/>
              <w:rPr>
                <w:rFonts w:ascii="Arial"/>
                <w:sz w:val="21"/>
              </w:rPr>
            </w:pPr>
            <w:r>
              <w:rPr>
                <w:rFonts w:ascii="Arial"/>
                <w:w w:val="102"/>
                <w:sz w:val="21"/>
              </w:rPr>
              <w:t>2</w:t>
            </w:r>
          </w:p>
        </w:tc>
        <w:tc>
          <w:tcPr>
            <w:tcW w:w="1115" w:type="dxa"/>
            <w:tcBorders>
              <w:top w:val="nil"/>
              <w:left w:val="nil"/>
              <w:bottom w:val="nil"/>
              <w:right w:val="nil"/>
            </w:tcBorders>
          </w:tcPr>
          <w:p>
            <w:pPr>
              <w:pStyle w:val="TableParagraph"/>
              <w:spacing w:line="239" w:lineRule="exact"/>
              <w:ind w:left="275" w:right="246"/>
              <w:jc w:val="center"/>
              <w:rPr>
                <w:rFonts w:ascii="Arial"/>
                <w:sz w:val="21"/>
              </w:rPr>
            </w:pPr>
            <w:r>
              <w:rPr>
                <w:rFonts w:ascii="Arial"/>
                <w:w w:val="105"/>
                <w:sz w:val="21"/>
              </w:rPr>
              <w:t>14.28</w:t>
            </w:r>
          </w:p>
        </w:tc>
        <w:tc>
          <w:tcPr>
            <w:tcW w:w="2252" w:type="dxa"/>
            <w:tcBorders>
              <w:top w:val="nil"/>
              <w:left w:val="nil"/>
              <w:bottom w:val="nil"/>
              <w:right w:val="nil"/>
            </w:tcBorders>
          </w:tcPr>
          <w:p>
            <w:pPr>
              <w:pStyle w:val="TableParagraph"/>
              <w:spacing w:line="239" w:lineRule="exact"/>
              <w:ind w:left="245" w:right="324"/>
              <w:jc w:val="center"/>
              <w:rPr>
                <w:rFonts w:ascii="Arial"/>
                <w:sz w:val="21"/>
              </w:rPr>
            </w:pPr>
            <w:r>
              <w:rPr>
                <w:rFonts w:ascii="Arial"/>
                <w:w w:val="105"/>
                <w:sz w:val="21"/>
              </w:rPr>
              <w:t>Enteros</w:t>
            </w:r>
          </w:p>
        </w:tc>
        <w:tc>
          <w:tcPr>
            <w:tcW w:w="2876" w:type="dxa"/>
            <w:tcBorders>
              <w:top w:val="nil"/>
              <w:left w:val="nil"/>
              <w:bottom w:val="nil"/>
              <w:right w:val="nil"/>
            </w:tcBorders>
          </w:tcPr>
          <w:p>
            <w:pPr>
              <w:pStyle w:val="TableParagraph"/>
              <w:spacing w:line="239" w:lineRule="exact"/>
              <w:ind w:left="1325"/>
              <w:rPr>
                <w:rFonts w:ascii="Arial"/>
                <w:sz w:val="21"/>
              </w:rPr>
            </w:pPr>
            <w:r>
              <w:rPr>
                <w:rFonts w:ascii="Arial"/>
                <w:w w:val="102"/>
                <w:sz w:val="21"/>
              </w:rPr>
              <w:t>2</w:t>
            </w:r>
          </w:p>
        </w:tc>
      </w:tr>
    </w:tbl>
    <w:p>
      <w:pPr>
        <w:pStyle w:val="BodyText"/>
        <w:spacing w:before="7"/>
        <w:rPr>
          <w:sz w:val="10"/>
        </w:rPr>
      </w:pPr>
      <w:r>
        <w:rPr/>
        <w:pict>
          <v:group style="position:absolute;margin-left:78.722977pt;margin-top:8.061399pt;width:481.7pt;height:.5pt;mso-position-horizontal-relative:page;mso-position-vertical-relative:paragraph;z-index:1528;mso-wrap-distance-left:0;mso-wrap-distance-right:0" coordorigin="1574,161" coordsize="9634,10">
            <v:line style="position:absolute" from="1579,166" to="4114,166" stroked="true" strokeweight=".48pt" strokecolor="#000000"/>
            <v:line style="position:absolute" from="4099,166" to="4109,166" stroked="true" strokeweight=".48pt" strokecolor="#000000"/>
            <v:line style="position:absolute" from="4109,166" to="4963,166" stroked="true" strokeweight=".48pt" strokecolor="#000000"/>
            <v:line style="position:absolute" from="4949,166" to="4959,166" stroked="true" strokeweight=".48pt" strokecolor="#000000"/>
            <v:line style="position:absolute" from="4959,166" to="6101,166" stroked="true" strokeweight=".48pt" strokecolor="#000000"/>
            <v:line style="position:absolute" from="6087,166" to="6096,166" stroked="true" strokeweight=".48pt" strokecolor="#000000"/>
            <v:line style="position:absolute" from="6096,166" to="8227,166" stroked="true" strokeweight=".48pt" strokecolor="#000000"/>
            <v:line style="position:absolute" from="8213,166" to="8223,166" stroked="true" strokeweight=".48pt" strokecolor="#000000"/>
            <v:line style="position:absolute" from="8223,166" to="11203,166" stroked="true" strokeweight=".48pt" strokecolor="#000000"/>
            <w10:wrap type="topAndBottom"/>
          </v:group>
        </w:pic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pStyle w:val="BodyText"/>
        <w:spacing w:line="360" w:lineRule="auto"/>
        <w:ind w:left="244" w:right="208" w:firstLine="708"/>
        <w:jc w:val="both"/>
      </w:pPr>
      <w:r>
        <w:rPr/>
        <w:t>Los problemas por traumatismos se presentaron en un 8,24% (n=8), todos machosX y las patologías observadas fueron: ruptura de uretra, ruptura vesical y cistitis hemorrágica. La ruptura de uretra se presentó en tres perros de las razas mastín de tres meses, rottweiler de 5 años y un poodle de 16 años con ruptura vesical simultáneamente. La cistitis hemorrágica se presentó en cinco casos, en un rango de edad de 3 meses a 10 años, con una mediana de 5 años.</w:t>
      </w:r>
    </w:p>
    <w:p>
      <w:pPr>
        <w:spacing w:after="0" w:line="360" w:lineRule="auto"/>
        <w:jc w:val="both"/>
        <w:sectPr>
          <w:pgSz w:w="12240" w:h="15840"/>
          <w:pgMar w:header="886" w:footer="882" w:top="1140" w:bottom="1080" w:left="1460" w:right="920"/>
        </w:sectPr>
      </w:pPr>
    </w:p>
    <w:p>
      <w:pPr>
        <w:pStyle w:val="BodyText"/>
        <w:rPr>
          <w:sz w:val="20"/>
        </w:rPr>
      </w:pPr>
    </w:p>
    <w:p>
      <w:pPr>
        <w:pStyle w:val="BodyText"/>
        <w:rPr>
          <w:sz w:val="23"/>
        </w:rPr>
      </w:pPr>
    </w:p>
    <w:p>
      <w:pPr>
        <w:pStyle w:val="Heading1"/>
      </w:pPr>
      <w:bookmarkStart w:name="_TOC_250001" w:id="10"/>
      <w:bookmarkEnd w:id="10"/>
      <w:r>
        <w:rPr/>
        <w:t>DISCUSIÓN</w:t>
      </w:r>
    </w:p>
    <w:p>
      <w:pPr>
        <w:pStyle w:val="BodyText"/>
        <w:spacing w:before="7"/>
        <w:rPr>
          <w:b/>
          <w:sz w:val="31"/>
        </w:rPr>
      </w:pPr>
    </w:p>
    <w:p>
      <w:pPr>
        <w:pStyle w:val="BodyText"/>
        <w:spacing w:line="360" w:lineRule="auto"/>
        <w:ind w:left="144" w:right="148" w:firstLine="708"/>
        <w:jc w:val="both"/>
      </w:pPr>
      <w:r>
        <w:rPr/>
        <w:t>Las enfermedades del tracto urinario caudal son un conjunto de enfermedades que afectan a la vejiga, la uretra y próstata en los machos siendo los signos clínicos  más comunes relacionados con estas enfermedades: la estranguria, polaquiuria,  disuria, hematuria, pero ninguno de estos es indicativo de una enfermedad específica. Existen escasos estudios epidemiológicos de la frecuencia de las diferentes ETUC en perros y gatos.</w:t>
      </w:r>
    </w:p>
    <w:p>
      <w:pPr>
        <w:pStyle w:val="BodyText"/>
        <w:spacing w:line="360" w:lineRule="auto" w:before="209"/>
        <w:ind w:left="144" w:right="148" w:firstLine="709"/>
        <w:jc w:val="both"/>
      </w:pPr>
      <w:r>
        <w:rPr/>
        <w:t>En este estudio se observó que los machos viejos presentaron una mayor predisposición</w:t>
      </w:r>
      <w:r>
        <w:rPr>
          <w:spacing w:val="5"/>
        </w:rPr>
        <w:t> </w:t>
      </w:r>
      <w:r>
        <w:rPr/>
        <w:t>a</w:t>
      </w:r>
      <w:r>
        <w:rPr>
          <w:spacing w:val="5"/>
        </w:rPr>
        <w:t> </w:t>
      </w:r>
      <w:r>
        <w:rPr/>
        <w:t>presentar</w:t>
      </w:r>
      <w:r>
        <w:rPr>
          <w:spacing w:val="5"/>
        </w:rPr>
        <w:t> </w:t>
      </w:r>
      <w:r>
        <w:rPr/>
        <w:t>alguna</w:t>
      </w:r>
      <w:r>
        <w:rPr>
          <w:spacing w:val="5"/>
        </w:rPr>
        <w:t> </w:t>
      </w:r>
      <w:r>
        <w:rPr/>
        <w:t>de</w:t>
      </w:r>
      <w:r>
        <w:rPr>
          <w:spacing w:val="5"/>
        </w:rPr>
        <w:t> </w:t>
      </w:r>
      <w:r>
        <w:rPr/>
        <w:t>las</w:t>
      </w:r>
      <w:r>
        <w:rPr>
          <w:spacing w:val="5"/>
        </w:rPr>
        <w:t> </w:t>
      </w:r>
      <w:r>
        <w:rPr/>
        <w:t>ETUC,</w:t>
      </w:r>
      <w:r>
        <w:rPr>
          <w:spacing w:val="5"/>
        </w:rPr>
        <w:t> </w:t>
      </w:r>
      <w:r>
        <w:rPr/>
        <w:t>sin</w:t>
      </w:r>
      <w:r>
        <w:rPr>
          <w:spacing w:val="5"/>
        </w:rPr>
        <w:t> </w:t>
      </w:r>
      <w:r>
        <w:rPr/>
        <w:t>tener</w:t>
      </w:r>
      <w:r>
        <w:rPr>
          <w:spacing w:val="5"/>
        </w:rPr>
        <w:t> </w:t>
      </w:r>
      <w:r>
        <w:rPr/>
        <w:t>predisposición</w:t>
      </w:r>
      <w:r>
        <w:rPr>
          <w:spacing w:val="5"/>
        </w:rPr>
        <w:t> </w:t>
      </w:r>
      <w:r>
        <w:rPr/>
        <w:t>por</w:t>
      </w:r>
      <w:r>
        <w:rPr>
          <w:spacing w:val="5"/>
        </w:rPr>
        <w:t> </w:t>
      </w:r>
      <w:r>
        <w:rPr/>
        <w:t>raza</w:t>
      </w:r>
      <w:r>
        <w:rPr>
          <w:w w:val="41"/>
        </w:rPr>
        <w:t>X</w:t>
      </w:r>
      <w:r>
        <w:rPr>
          <w:spacing w:val="5"/>
        </w:rPr>
        <w:t> </w:t>
      </w:r>
      <w:r>
        <w:rPr/>
        <w:t>estos hallazgos están asociados a la anatomía del tracto urinario caudal ya que presentan  una uretra más estrecha y larga, y la presencia de la próstata a diferencia de hembras, los animales afectados presentaron una media de 8 años, relacionado a que en los perros viejos existen diferentes factores o patologías subyacentes que alteran los mecanismos de defensas del tracto urinario.</w:t>
      </w:r>
    </w:p>
    <w:p>
      <w:pPr>
        <w:pStyle w:val="BodyText"/>
        <w:spacing w:line="355" w:lineRule="auto" w:before="209"/>
        <w:ind w:left="144" w:right="148" w:firstLine="709"/>
        <w:jc w:val="both"/>
      </w:pPr>
      <w:r>
        <w:rPr/>
        <w:t>Los casos clínicos estudiados manifestaron a la hematuria y la retención urinaria como los signos de enfermedad más comunes.</w:t>
      </w:r>
    </w:p>
    <w:p>
      <w:pPr>
        <w:pStyle w:val="BodyText"/>
        <w:spacing w:line="360" w:lineRule="auto" w:before="214"/>
        <w:ind w:left="144" w:right="148" w:firstLine="708"/>
        <w:jc w:val="both"/>
      </w:pPr>
      <w:r>
        <w:rPr/>
        <w:t>Observamos que la ETUC más frecuente en la población estudiada fue la infección bacteriana del tracto urinario con el 34.02% cifra superior a lo encontrado en otros estudios como la del 14 % descrita por Ling 1984. Muchos informes han mostrado que las IBTU son más frecuentes en las hembras atribuidas a las características anatómicas de una uretra más corta y laxa que desemboca en el piso de la vagina donde normalmente existe flora residente, considerando estas características anatómicas como un importante factor de riesgo (Cohn y col. 2003). A pesar de que en este estudio se encontró una mayor frecuencia de IBTU en los machos, estadísticamente no se evidenció una predisposición por sexo para presentar IBTU.</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74"/>
        <w:jc w:val="both"/>
      </w:pPr>
      <w:r>
        <w:rPr/>
        <w:t>La edad promedio de los perros fue de 8.5 años, lo que coincide con lo reportado</w:t>
      </w:r>
      <w:r>
        <w:rPr>
          <w:spacing w:val="2"/>
        </w:rPr>
        <w:t> </w:t>
      </w:r>
      <w:r>
        <w:rPr/>
        <w:t>previamente</w:t>
      </w:r>
      <w:r>
        <w:rPr>
          <w:spacing w:val="2"/>
        </w:rPr>
        <w:t> </w:t>
      </w:r>
      <w:r>
        <w:rPr/>
        <w:t>por</w:t>
      </w:r>
      <w:r>
        <w:rPr>
          <w:spacing w:val="2"/>
        </w:rPr>
        <w:t> </w:t>
      </w:r>
      <w:r>
        <w:rPr/>
        <w:t>otros</w:t>
      </w:r>
      <w:r>
        <w:rPr>
          <w:spacing w:val="2"/>
        </w:rPr>
        <w:t> </w:t>
      </w:r>
      <w:r>
        <w:rPr/>
        <w:t>autores</w:t>
      </w:r>
      <w:r>
        <w:rPr>
          <w:spacing w:val="2"/>
        </w:rPr>
        <w:t> </w:t>
      </w:r>
      <w:r>
        <w:rPr/>
        <w:t>(Ling</w:t>
      </w:r>
      <w:r>
        <w:rPr>
          <w:spacing w:val="2"/>
        </w:rPr>
        <w:t> </w:t>
      </w:r>
      <w:r>
        <w:rPr/>
        <w:t>y</w:t>
      </w:r>
      <w:r>
        <w:rPr>
          <w:spacing w:val="2"/>
        </w:rPr>
        <w:t> </w:t>
      </w:r>
      <w:r>
        <w:rPr/>
        <w:t>col.</w:t>
      </w:r>
      <w:r>
        <w:rPr>
          <w:spacing w:val="2"/>
        </w:rPr>
        <w:t> </w:t>
      </w:r>
      <w:r>
        <w:rPr/>
        <w:t>200</w:t>
      </w:r>
      <w:r>
        <w:rPr>
          <w:spacing w:val="-1"/>
        </w:rPr>
        <w:t>1</w:t>
      </w:r>
      <w:r>
        <w:rPr>
          <w:w w:val="41"/>
        </w:rPr>
        <w:t>X</w:t>
      </w:r>
      <w:r>
        <w:rPr>
          <w:spacing w:val="2"/>
        </w:rPr>
        <w:t> </w:t>
      </w:r>
      <w:r>
        <w:rPr/>
        <w:t>Cohn</w:t>
      </w:r>
      <w:r>
        <w:rPr>
          <w:spacing w:val="2"/>
        </w:rPr>
        <w:t> </w:t>
      </w:r>
      <w:r>
        <w:rPr/>
        <w:t>y</w:t>
      </w:r>
      <w:r>
        <w:rPr>
          <w:spacing w:val="2"/>
        </w:rPr>
        <w:t> </w:t>
      </w:r>
      <w:r>
        <w:rPr/>
        <w:t>col.</w:t>
      </w:r>
      <w:r>
        <w:rPr>
          <w:spacing w:val="2"/>
        </w:rPr>
        <w:t> </w:t>
      </w:r>
      <w:r>
        <w:rPr/>
        <w:t>2003)</w:t>
      </w:r>
      <w:r>
        <w:rPr>
          <w:spacing w:val="2"/>
        </w:rPr>
        <w:t> </w:t>
      </w:r>
      <w:r>
        <w:rPr/>
        <w:t>asociado</w:t>
      </w:r>
      <w:r>
        <w:rPr>
          <w:spacing w:val="2"/>
        </w:rPr>
        <w:t> </w:t>
      </w:r>
      <w:r>
        <w:rPr/>
        <w:t>a que los animales de esta edad comúnmente presentan otras enfermedades concurrentes que alteran algunos de los mecanismos de defensa del tracto</w:t>
      </w:r>
      <w:r>
        <w:rPr>
          <w:spacing w:val="-1"/>
        </w:rPr>
        <w:t> </w:t>
      </w:r>
      <w:r>
        <w:rPr/>
        <w:t>urinario.</w:t>
      </w:r>
    </w:p>
    <w:p>
      <w:pPr>
        <w:pStyle w:val="BodyText"/>
        <w:spacing w:line="360" w:lineRule="auto" w:before="209"/>
        <w:ind w:left="144" w:right="148" w:firstLine="708"/>
        <w:jc w:val="both"/>
      </w:pPr>
      <w:r>
        <w:rPr/>
        <w:t>La presencia de enfermedades relevantes como: diabetes mellitus, hiperadrenocortisismo, hipotiroidismo, enfermedad renal crónica, enfermedades de la próstata (Bailiff y col. 2008X Litster y col. 2009), alteraciones anatómicas del tracto urinario o reproductivo o la presentación de 3 o más episodios de infección por año hacen referencia a una IBTU complicada o reincidente (Weese y col. 2011). Siendo en este caso el 45.45% los que presentaron una IBTU complicada asociada con comorbilidades urinarias como enfermedades prostáticas, AM, urolitiasis u otras posibles enfermedades o causas asociadas como neoplasia, hipotiroidismo, diabetes mellitus, piómetra y sondeo uretral previo.</w:t>
      </w:r>
    </w:p>
    <w:p>
      <w:pPr>
        <w:pStyle w:val="BodyText"/>
      </w:pPr>
    </w:p>
    <w:p>
      <w:pPr>
        <w:pStyle w:val="BodyText"/>
        <w:spacing w:line="360" w:lineRule="auto" w:before="139"/>
        <w:ind w:left="144" w:right="148" w:firstLine="708"/>
        <w:jc w:val="both"/>
      </w:pPr>
      <w:r>
        <w:rPr/>
        <w:t>Las IBTU simples o no complicadas son cuadros de infección bacteriana urinaria sin evidencia de signos clínicos en un individuo considerado sano con una fisiología y anatomía del tracto urinario normal (Weese y col. 2011) o patologías que predispongan a IBTU. En este estudio el 54.55% de los casos de IBTU fueron simples o no complicadas debido a que no estaban asociadas con otras patologías.</w:t>
      </w:r>
    </w:p>
    <w:p>
      <w:pPr>
        <w:pStyle w:val="BodyText"/>
      </w:pPr>
    </w:p>
    <w:p>
      <w:pPr>
        <w:pStyle w:val="BodyText"/>
        <w:spacing w:line="360" w:lineRule="auto" w:before="144"/>
        <w:ind w:left="144" w:right="148"/>
        <w:jc w:val="both"/>
      </w:pPr>
      <w:r>
        <w:rPr/>
        <w:t>Las AM afectan al proceso de micción normal pudiendo generar retención urinaria o incontinencia urinaria. Se presentaron en un 22.68% de la población estudiada, clasificándose en causas neurológicas y no neurológicas (Labato 2005</w:t>
      </w:r>
      <w:r>
        <w:rPr>
          <w:w w:val="41"/>
        </w:rPr>
        <w:t>X</w:t>
      </w:r>
      <w:r>
        <w:rPr/>
        <w:t> Fischer y Lane 2007). Las causas neurológicas de AM se presentaron con mayor frecuencia en el 90% de los casos y en la mayoría se observó retención urinaria asociada a lesiones de la médula espinal.</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66"/>
        <w:jc w:val="both"/>
      </w:pPr>
      <w:r>
        <w:rPr/>
        <w:t>Las alteraciones de la micción por causas neurológicas se atribuyen a una disfunción de neurona motora alta y neurona motora bajar provocadas por lesiones de la médula espinal o los nervios periféricos, compresiones y prolapso de disco, que como efecto secundario pueden provocar hipotonía uretral, hipertonía uretral o disinergia detrusor[ uretral (Hosgood y Hedlund 1993).</w:t>
      </w:r>
    </w:p>
    <w:p>
      <w:pPr>
        <w:pStyle w:val="BodyText"/>
      </w:pPr>
    </w:p>
    <w:p>
      <w:pPr>
        <w:pStyle w:val="BodyText"/>
        <w:spacing w:before="3"/>
        <w:rPr>
          <w:sz w:val="21"/>
        </w:rPr>
      </w:pPr>
    </w:p>
    <w:p>
      <w:pPr>
        <w:pStyle w:val="BodyText"/>
        <w:spacing w:line="360" w:lineRule="auto"/>
        <w:ind w:left="144" w:right="148" w:firstLine="708"/>
        <w:jc w:val="both"/>
      </w:pPr>
      <w:r>
        <w:rPr/>
        <w:t>En el estudio se presentaron con más frecuencia los machos, perros mestizos y pacientes adultos mayores coincidiendo con un estudio realizado en Estados unidos (Bubenik y Hosgood 2008), donde mencionan al mismo grupo afectado, relacionado  con patologías degenerativas de la columna vertebral asociada a la mezcla de razas predispuestas.</w:t>
      </w:r>
    </w:p>
    <w:p>
      <w:pPr>
        <w:pStyle w:val="BodyText"/>
      </w:pPr>
    </w:p>
    <w:p>
      <w:pPr>
        <w:pStyle w:val="BodyText"/>
        <w:spacing w:line="360" w:lineRule="auto" w:before="144"/>
        <w:ind w:left="144" w:right="148" w:firstLine="709"/>
        <w:jc w:val="both"/>
      </w:pPr>
      <w:r>
        <w:rPr/>
        <w:t>Las causas no neurológicas de AM se presentaron solo en dos casos (9.09%) uno por incompetencia del esfínter uretral y otro por la presencia de un uréter ectópico, siendo estas patologías las causas más frecuentes relacionadas con incontinencia urinaria (Hoelzler y Lidbetter 2004). La incompetencia del esfínter uretral es una debilidad funcional del mecanismo de cierre uretral que se presenta especialmente en hembras asociado a una deficiencia de estrógenos, y se ha reportado que los animales de mayor edad a menudo sufren esta patología y se estima que más del 20% de la población de perras esterilizadas se ven afectados, sin embargo existen reportes que  en menos de 1% son perras intactas (Holt y Thrusfield 1993), cabe mencionar que este caso clínico se trataba de una hembra de 10 años de edad no castrada la cual se asoció a una menor capacidad de respuesta por parte de los receptores alfa adrenérgicos disminuyendo la resistencia del esfínter uretral (Fischer y Lane 2007). El uréter ectópico es una condición congénita y comúnmente se ven afectados los animales jóvenes. En donde uno o los dos uréteres terminan en un sitio que no es normal, en lugar de desembocar en el trígono vesical lo hacen más distalmente en la uretra o vagina, lo que ocasiona la incontinencia</w:t>
      </w:r>
      <w:r>
        <w:rPr>
          <w:spacing w:val="-1"/>
        </w:rPr>
        <w:t> </w:t>
      </w:r>
      <w:r>
        <w:rPr/>
        <w:t>urinaria.</w:t>
      </w:r>
    </w:p>
    <w:p>
      <w:pPr>
        <w:spacing w:after="0" w:line="360" w:lineRule="auto"/>
        <w:jc w:val="both"/>
        <w:sectPr>
          <w:footerReference w:type="default" r:id="rId19"/>
          <w:pgSz w:w="12240" w:h="15840"/>
          <w:pgMar w:footer="882" w:header="886"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75"/>
        <w:jc w:val="both"/>
      </w:pPr>
      <w:r>
        <w:rPr/>
        <w:t>La incidencia se ha estimado en 0.016% considerando que los poodle presentan alto </w:t>
      </w:r>
      <w:r>
        <w:rPr>
          <w:spacing w:val="-5"/>
        </w:rPr>
        <w:t> </w:t>
      </w:r>
      <w:r>
        <w:rPr/>
        <w:t>riesgo </w:t>
      </w:r>
      <w:r>
        <w:rPr>
          <w:spacing w:val="-5"/>
        </w:rPr>
        <w:t> </w:t>
      </w:r>
      <w:r>
        <w:rPr/>
        <w:t>genético </w:t>
      </w:r>
      <w:r>
        <w:rPr>
          <w:spacing w:val="-5"/>
        </w:rPr>
        <w:t> </w:t>
      </w:r>
      <w:r>
        <w:rPr/>
        <w:t>de </w:t>
      </w:r>
      <w:r>
        <w:rPr>
          <w:spacing w:val="-5"/>
        </w:rPr>
        <w:t> </w:t>
      </w:r>
      <w:r>
        <w:rPr/>
        <w:t>presentar </w:t>
      </w:r>
      <w:r>
        <w:rPr>
          <w:spacing w:val="-5"/>
        </w:rPr>
        <w:t> </w:t>
      </w:r>
      <w:r>
        <w:rPr/>
        <w:t>esta </w:t>
      </w:r>
      <w:r>
        <w:rPr>
          <w:spacing w:val="-5"/>
        </w:rPr>
        <w:t> </w:t>
      </w:r>
      <w:r>
        <w:rPr/>
        <w:t>patología </w:t>
      </w:r>
      <w:r>
        <w:rPr>
          <w:spacing w:val="-5"/>
        </w:rPr>
        <w:t> </w:t>
      </w:r>
      <w:r>
        <w:rPr/>
        <w:t>(Hayes </w:t>
      </w:r>
      <w:r>
        <w:rPr>
          <w:spacing w:val="-5"/>
        </w:rPr>
        <w:t> </w:t>
      </w:r>
      <w:r>
        <w:rPr/>
        <w:t>199</w:t>
      </w:r>
      <w:r>
        <w:rPr>
          <w:spacing w:val="-1"/>
        </w:rPr>
        <w:t>4</w:t>
      </w:r>
      <w:r>
        <w:rPr>
          <w:w w:val="41"/>
        </w:rPr>
        <w:t>X</w:t>
      </w:r>
      <w:r>
        <w:rPr/>
        <w:t> </w:t>
      </w:r>
      <w:r>
        <w:rPr>
          <w:spacing w:val="-5"/>
        </w:rPr>
        <w:t> </w:t>
      </w:r>
      <w:r>
        <w:rPr/>
        <w:t>McLoughlin </w:t>
      </w:r>
      <w:r>
        <w:rPr>
          <w:spacing w:val="-5"/>
        </w:rPr>
        <w:t> </w:t>
      </w:r>
      <w:r>
        <w:rPr/>
        <w:t>y </w:t>
      </w:r>
      <w:r>
        <w:rPr>
          <w:spacing w:val="-5"/>
        </w:rPr>
        <w:t> </w:t>
      </w:r>
      <w:r>
        <w:rPr/>
        <w:t>Chew 2000) lo que puede explicar porque en este estudio fue observado en una poodle, hembra de tres meses de edad donde los uréteres desembocaron en la</w:t>
      </w:r>
      <w:r>
        <w:rPr>
          <w:spacing w:val="-1"/>
        </w:rPr>
        <w:t> </w:t>
      </w:r>
      <w:r>
        <w:rPr/>
        <w:t>vagina.</w:t>
      </w:r>
    </w:p>
    <w:p>
      <w:pPr>
        <w:pStyle w:val="BodyText"/>
      </w:pPr>
    </w:p>
    <w:p>
      <w:pPr>
        <w:pStyle w:val="BodyText"/>
      </w:pPr>
    </w:p>
    <w:p>
      <w:pPr>
        <w:pStyle w:val="BodyText"/>
        <w:spacing w:before="7"/>
        <w:rPr>
          <w:sz w:val="23"/>
        </w:rPr>
      </w:pPr>
    </w:p>
    <w:p>
      <w:pPr>
        <w:pStyle w:val="BodyText"/>
        <w:spacing w:line="360" w:lineRule="auto"/>
        <w:ind w:left="144" w:right="148" w:firstLine="709"/>
        <w:jc w:val="both"/>
      </w:pPr>
      <w:r>
        <w:rPr/>
        <w:t>La urolitiasis se presentó como la tercera patología más frecuente en este  estudio con el 20.16%. Se observó que los machos presentan con mayor frecuencia la urolitiasis concordando con lo reportado previamente por Lulich y col. 1993, siendo atribuido a las características anatómicas de la uretra del sexo que favorece la permanencia de los urolitos pequeños a diferencia de las hembras que pueden expulsar en la micción algunos urolitos pequeños. En este estudio se observó que el 55% de los urolitos fueron de silicato seguido de la estruvita y el oxalato de calcio. Encontrándose diferencias en la frecuencia comparado con un estudio realizado en México por Del Ángel y col. 2010 que reportan a la estruvita como los urolitos más frecuentes seguido del oxalato de calcio y el silicato, o con lo reportado en otras áreas geográficas en países como España y Estados Unidos donde los urolitos de oxalato de calcio se reportan </w:t>
      </w:r>
      <w:r>
        <w:rPr>
          <w:spacing w:val="14"/>
        </w:rPr>
        <w:t> </w:t>
      </w:r>
      <w:r>
        <w:rPr/>
        <w:t>como </w:t>
      </w:r>
      <w:r>
        <w:rPr>
          <w:spacing w:val="14"/>
        </w:rPr>
        <w:t> </w:t>
      </w:r>
      <w:r>
        <w:rPr/>
        <w:t>los </w:t>
      </w:r>
      <w:r>
        <w:rPr>
          <w:spacing w:val="14"/>
        </w:rPr>
        <w:t> </w:t>
      </w:r>
      <w:r>
        <w:rPr/>
        <w:t>más </w:t>
      </w:r>
      <w:r>
        <w:rPr>
          <w:spacing w:val="14"/>
        </w:rPr>
        <w:t> </w:t>
      </w:r>
      <w:r>
        <w:rPr/>
        <w:t>comunes </w:t>
      </w:r>
      <w:r>
        <w:rPr>
          <w:spacing w:val="14"/>
        </w:rPr>
        <w:t> </w:t>
      </w:r>
      <w:r>
        <w:rPr/>
        <w:t>seg</w:t>
      </w:r>
      <w:r>
        <w:rPr>
          <w:spacing w:val="-1"/>
        </w:rPr>
        <w:t>u</w:t>
      </w:r>
      <w:r>
        <w:rPr/>
        <w:t>idos </w:t>
      </w:r>
      <w:r>
        <w:rPr>
          <w:spacing w:val="14"/>
        </w:rPr>
        <w:t> </w:t>
      </w:r>
      <w:r>
        <w:rPr/>
        <w:t>de </w:t>
      </w:r>
      <w:r>
        <w:rPr>
          <w:spacing w:val="14"/>
        </w:rPr>
        <w:t> </w:t>
      </w:r>
      <w:r>
        <w:rPr/>
        <w:t>la </w:t>
      </w:r>
      <w:r>
        <w:rPr>
          <w:spacing w:val="14"/>
        </w:rPr>
        <w:t> </w:t>
      </w:r>
      <w:r>
        <w:rPr/>
        <w:t>estruvita </w:t>
      </w:r>
      <w:r>
        <w:rPr>
          <w:spacing w:val="14"/>
        </w:rPr>
        <w:t> </w:t>
      </w:r>
      <w:r>
        <w:rPr/>
        <w:t>(Osborne </w:t>
      </w:r>
      <w:r>
        <w:rPr>
          <w:spacing w:val="14"/>
        </w:rPr>
        <w:t> </w:t>
      </w:r>
      <w:r>
        <w:rPr/>
        <w:t>y </w:t>
      </w:r>
      <w:r>
        <w:rPr>
          <w:spacing w:val="14"/>
        </w:rPr>
        <w:t> </w:t>
      </w:r>
      <w:r>
        <w:rPr/>
        <w:t>col. </w:t>
      </w:r>
      <w:r>
        <w:rPr>
          <w:spacing w:val="14"/>
        </w:rPr>
        <w:t> </w:t>
      </w:r>
      <w:r>
        <w:rPr/>
        <w:t>200</w:t>
      </w:r>
      <w:r>
        <w:rPr>
          <w:spacing w:val="-1"/>
        </w:rPr>
        <w:t>9</w:t>
      </w:r>
      <w:r>
        <w:rPr>
          <w:w w:val="41"/>
        </w:rPr>
        <w:t>X </w:t>
      </w:r>
      <w:r>
        <w:rPr/>
        <w:t>Vraveloba y col.</w:t>
      </w:r>
      <w:r>
        <w:rPr>
          <w:spacing w:val="-1"/>
        </w:rPr>
        <w:t> </w:t>
      </w:r>
      <w:r>
        <w:rPr/>
        <w:t>2011).</w:t>
      </w:r>
    </w:p>
    <w:p>
      <w:pPr>
        <w:pStyle w:val="BodyText"/>
        <w:spacing w:line="360" w:lineRule="auto" w:before="209"/>
        <w:ind w:left="144" w:right="148" w:firstLine="709"/>
        <w:jc w:val="both"/>
      </w:pPr>
      <w:r>
        <w:rPr/>
        <w:t>La frecuencia de la urolitos de silicato es mayor en este estudio comparado con otros realizados en Norte América y Europa donde se han descrito proporciones menores</w:t>
      </w:r>
      <w:r>
        <w:rPr>
          <w:spacing w:val="12"/>
        </w:rPr>
        <w:t> </w:t>
      </w:r>
      <w:r>
        <w:rPr/>
        <w:t>al</w:t>
      </w:r>
      <w:r>
        <w:rPr>
          <w:spacing w:val="12"/>
        </w:rPr>
        <w:t> </w:t>
      </w:r>
      <w:r>
        <w:rPr/>
        <w:t>1%</w:t>
      </w:r>
      <w:r>
        <w:rPr>
          <w:spacing w:val="12"/>
        </w:rPr>
        <w:t> </w:t>
      </w:r>
      <w:r>
        <w:rPr/>
        <w:t>(Oyasufo</w:t>
      </w:r>
      <w:r>
        <w:rPr>
          <w:spacing w:val="12"/>
        </w:rPr>
        <w:t> </w:t>
      </w:r>
      <w:r>
        <w:rPr/>
        <w:t>y</w:t>
      </w:r>
      <w:r>
        <w:rPr>
          <w:spacing w:val="12"/>
        </w:rPr>
        <w:t> </w:t>
      </w:r>
      <w:r>
        <w:rPr/>
        <w:t>col.</w:t>
      </w:r>
      <w:r>
        <w:rPr>
          <w:spacing w:val="12"/>
        </w:rPr>
        <w:t> </w:t>
      </w:r>
      <w:r>
        <w:rPr/>
        <w:t>200</w:t>
      </w:r>
      <w:r>
        <w:rPr>
          <w:spacing w:val="-1"/>
        </w:rPr>
        <w:t>7</w:t>
      </w:r>
      <w:r>
        <w:rPr>
          <w:w w:val="41"/>
        </w:rPr>
        <w:t>X</w:t>
      </w:r>
      <w:r>
        <w:rPr>
          <w:spacing w:val="12"/>
        </w:rPr>
        <w:t> </w:t>
      </w:r>
      <w:r>
        <w:rPr/>
        <w:t>Rogers</w:t>
      </w:r>
      <w:r>
        <w:rPr>
          <w:spacing w:val="12"/>
        </w:rPr>
        <w:t> </w:t>
      </w:r>
      <w:r>
        <w:rPr/>
        <w:t>y</w:t>
      </w:r>
      <w:r>
        <w:rPr>
          <w:spacing w:val="12"/>
        </w:rPr>
        <w:t> </w:t>
      </w:r>
      <w:r>
        <w:rPr/>
        <w:t>col.</w:t>
      </w:r>
      <w:r>
        <w:rPr>
          <w:spacing w:val="12"/>
        </w:rPr>
        <w:t> </w:t>
      </w:r>
      <w:r>
        <w:rPr/>
        <w:t>20</w:t>
      </w:r>
      <w:r>
        <w:rPr>
          <w:spacing w:val="-1"/>
        </w:rPr>
        <w:t>1</w:t>
      </w:r>
      <w:r>
        <w:rPr/>
        <w:t>1</w:t>
      </w:r>
      <w:r>
        <w:rPr>
          <w:w w:val="41"/>
        </w:rPr>
        <w:t>X</w:t>
      </w:r>
      <w:r>
        <w:rPr>
          <w:spacing w:val="12"/>
        </w:rPr>
        <w:t> </w:t>
      </w:r>
      <w:r>
        <w:rPr/>
        <w:t>Low</w:t>
      </w:r>
      <w:r>
        <w:rPr>
          <w:spacing w:val="12"/>
        </w:rPr>
        <w:t> </w:t>
      </w:r>
      <w:r>
        <w:rPr/>
        <w:t>y</w:t>
      </w:r>
      <w:r>
        <w:rPr>
          <w:spacing w:val="12"/>
        </w:rPr>
        <w:t> </w:t>
      </w:r>
      <w:r>
        <w:rPr/>
        <w:t>col.</w:t>
      </w:r>
      <w:r>
        <w:rPr>
          <w:spacing w:val="12"/>
        </w:rPr>
        <w:t> </w:t>
      </w:r>
      <w:r>
        <w:rPr/>
        <w:t>201</w:t>
      </w:r>
      <w:r>
        <w:rPr>
          <w:spacing w:val="-1"/>
        </w:rPr>
        <w:t>0</w:t>
      </w:r>
      <w:r>
        <w:rPr>
          <w:w w:val="41"/>
        </w:rPr>
        <w:t>X</w:t>
      </w:r>
      <w:r>
        <w:rPr>
          <w:spacing w:val="12"/>
        </w:rPr>
        <w:t> </w:t>
      </w:r>
      <w:r>
        <w:rPr/>
        <w:t>Vrabelova</w:t>
      </w:r>
      <w:r>
        <w:rPr>
          <w:spacing w:val="12"/>
        </w:rPr>
        <w:t> </w:t>
      </w:r>
      <w:r>
        <w:rPr/>
        <w:t>y col. 2011). En nuestro país, estudios previos (Del Ángel y col. 2010) sugieren que la  alta frecuencia de la urolitiasis de silicato en los perros de México se asocia con el área geografía, ya que este tipo de urolitiasis se relaciona con el consumo de silicato en la dieta.</w:t>
      </w:r>
    </w:p>
    <w:p>
      <w:pPr>
        <w:spacing w:after="0" w:line="360" w:lineRule="auto"/>
        <w:jc w:val="both"/>
        <w:sectPr>
          <w:footerReference w:type="default" r:id="rId20"/>
          <w:pgSz w:w="12240" w:h="15840"/>
          <w:pgMar w:footer="882" w:header="886" w:top="1140" w:bottom="1080" w:left="1560" w:right="980"/>
          <w:pgNumType w:start="51"/>
        </w:sectPr>
      </w:pPr>
    </w:p>
    <w:p>
      <w:pPr>
        <w:pStyle w:val="BodyText"/>
        <w:rPr>
          <w:sz w:val="20"/>
        </w:rPr>
      </w:pPr>
    </w:p>
    <w:p>
      <w:pPr>
        <w:pStyle w:val="BodyText"/>
        <w:spacing w:before="4"/>
        <w:rPr>
          <w:sz w:val="22"/>
        </w:rPr>
      </w:pPr>
    </w:p>
    <w:p>
      <w:pPr>
        <w:pStyle w:val="BodyText"/>
        <w:spacing w:line="360" w:lineRule="auto" w:before="70"/>
        <w:ind w:left="144" w:right="148" w:firstLine="709"/>
        <w:jc w:val="both"/>
      </w:pPr>
      <w:r>
        <w:rPr/>
        <w:t>Se ha encontrado que los perros que presentan urolitiasis de silicato habitan en poblaciones que se encuentran en el eje neovolcánico transmexicano, el cual se extiende transversalmente en el centro del país, entre el océano pacífico y el golfo de México</w:t>
      </w:r>
      <w:r>
        <w:rPr>
          <w:w w:val="41"/>
        </w:rPr>
        <w:t>X</w:t>
      </w:r>
      <w:r>
        <w:rPr>
          <w:spacing w:val="13"/>
        </w:rPr>
        <w:t> </w:t>
      </w:r>
      <w:r>
        <w:rPr/>
        <w:t>considerando</w:t>
      </w:r>
      <w:r>
        <w:rPr>
          <w:spacing w:val="13"/>
        </w:rPr>
        <w:t> </w:t>
      </w:r>
      <w:r>
        <w:rPr/>
        <w:t>que</w:t>
      </w:r>
      <w:r>
        <w:rPr>
          <w:spacing w:val="13"/>
        </w:rPr>
        <w:t> </w:t>
      </w:r>
      <w:r>
        <w:rPr/>
        <w:t>el</w:t>
      </w:r>
      <w:r>
        <w:rPr>
          <w:spacing w:val="13"/>
        </w:rPr>
        <w:t> </w:t>
      </w:r>
      <w:r>
        <w:rPr/>
        <w:t>agua</w:t>
      </w:r>
      <w:r>
        <w:rPr>
          <w:spacing w:val="13"/>
        </w:rPr>
        <w:t> </w:t>
      </w:r>
      <w:r>
        <w:rPr/>
        <w:t>de</w:t>
      </w:r>
      <w:r>
        <w:rPr>
          <w:spacing w:val="13"/>
        </w:rPr>
        <w:t> </w:t>
      </w:r>
      <w:r>
        <w:rPr/>
        <w:t>los</w:t>
      </w:r>
      <w:r>
        <w:rPr>
          <w:spacing w:val="13"/>
        </w:rPr>
        <w:t> </w:t>
      </w:r>
      <w:r>
        <w:rPr/>
        <w:t>ma</w:t>
      </w:r>
      <w:r>
        <w:rPr>
          <w:spacing w:val="-1"/>
        </w:rPr>
        <w:t>n</w:t>
      </w:r>
      <w:r>
        <w:rPr/>
        <w:t>tos</w:t>
      </w:r>
      <w:r>
        <w:rPr>
          <w:spacing w:val="13"/>
        </w:rPr>
        <w:t> </w:t>
      </w:r>
      <w:r>
        <w:rPr/>
        <w:t>acuíferos</w:t>
      </w:r>
      <w:r>
        <w:rPr>
          <w:spacing w:val="13"/>
        </w:rPr>
        <w:t> </w:t>
      </w:r>
      <w:r>
        <w:rPr/>
        <w:t>de</w:t>
      </w:r>
      <w:r>
        <w:rPr>
          <w:spacing w:val="13"/>
        </w:rPr>
        <w:t> </w:t>
      </w:r>
      <w:r>
        <w:rPr/>
        <w:t>esta</w:t>
      </w:r>
      <w:r>
        <w:rPr>
          <w:spacing w:val="13"/>
        </w:rPr>
        <w:t> </w:t>
      </w:r>
      <w:r>
        <w:rPr/>
        <w:t>región</w:t>
      </w:r>
      <w:r>
        <w:rPr>
          <w:spacing w:val="13"/>
        </w:rPr>
        <w:t> </w:t>
      </w:r>
      <w:r>
        <w:rPr/>
        <w:t>tengan</w:t>
      </w:r>
      <w:r>
        <w:rPr>
          <w:spacing w:val="13"/>
        </w:rPr>
        <w:t> </w:t>
      </w:r>
      <w:r>
        <w:rPr/>
        <w:t>alt</w:t>
      </w:r>
      <w:r>
        <w:rPr>
          <w:spacing w:val="-1"/>
        </w:rPr>
        <w:t>a</w:t>
      </w:r>
      <w:r>
        <w:rPr/>
        <w:t>s cantidades de silicatos y muchas de estas poblaciones se abastecen de agua a partir  de mantos acuíferos profundos (Del Ángel y col.</w:t>
      </w:r>
      <w:r>
        <w:rPr>
          <w:spacing w:val="-2"/>
        </w:rPr>
        <w:t> </w:t>
      </w:r>
      <w:r>
        <w:rPr/>
        <w:t>2010).</w:t>
      </w:r>
    </w:p>
    <w:p>
      <w:pPr>
        <w:pStyle w:val="BodyText"/>
        <w:spacing w:line="360" w:lineRule="auto" w:before="204"/>
        <w:ind w:left="144" w:right="148" w:firstLine="709"/>
        <w:jc w:val="both"/>
      </w:pPr>
      <w:r>
        <w:rPr/>
        <w:t>Este fenómeno ha sido considerado como factor de riesgo para la urolitiasis de silicato en los perros en Japón (Tasaki y col. 2013). En humanos, la urolitiasis de silicato se ha relacionado al consumo de antiácidos que contienen trisilicato de magnesio por largos periodos (Cruz y col. 2000), por lo que se considera una patología medicamentosa.</w:t>
      </w:r>
    </w:p>
    <w:p>
      <w:pPr>
        <w:pStyle w:val="BodyText"/>
        <w:spacing w:line="360" w:lineRule="auto" w:before="209"/>
        <w:ind w:left="144" w:right="148" w:firstLine="709"/>
        <w:jc w:val="both"/>
      </w:pPr>
      <w:r>
        <w:rPr/>
        <w:t>Sin embargo, se han identificado urolitos de este mineral en individuos que no ha consumido antiácidos, tal como se menciona en el reporte de un caso clínico de urolitiasis por silicato en un bebe de 8 meses asociado a la ingesta de agua con alto contenido de silicato (Toshiyuki y col. 2004).</w:t>
      </w:r>
    </w:p>
    <w:p>
      <w:pPr>
        <w:pStyle w:val="BodyText"/>
      </w:pPr>
    </w:p>
    <w:p>
      <w:pPr>
        <w:pStyle w:val="BodyText"/>
      </w:pPr>
    </w:p>
    <w:p>
      <w:pPr>
        <w:pStyle w:val="BodyText"/>
        <w:spacing w:before="7"/>
        <w:rPr>
          <w:sz w:val="23"/>
        </w:rPr>
      </w:pPr>
    </w:p>
    <w:p>
      <w:pPr>
        <w:pStyle w:val="BodyText"/>
        <w:spacing w:line="360" w:lineRule="auto"/>
        <w:ind w:left="144" w:right="148" w:firstLine="709"/>
        <w:jc w:val="both"/>
      </w:pPr>
      <w:r>
        <w:rPr/>
        <w:t>El </w:t>
      </w:r>
      <w:r>
        <w:rPr>
          <w:spacing w:val="-30"/>
        </w:rPr>
        <w:t> </w:t>
      </w:r>
      <w:r>
        <w:rPr/>
        <w:t>segundo </w:t>
      </w:r>
      <w:r>
        <w:rPr>
          <w:spacing w:val="-30"/>
        </w:rPr>
        <w:t> </w:t>
      </w:r>
      <w:r>
        <w:rPr/>
        <w:t>tipo </w:t>
      </w:r>
      <w:r>
        <w:rPr>
          <w:spacing w:val="-30"/>
        </w:rPr>
        <w:t> </w:t>
      </w:r>
      <w:r>
        <w:rPr/>
        <w:t>de </w:t>
      </w:r>
      <w:r>
        <w:rPr>
          <w:spacing w:val="-30"/>
        </w:rPr>
        <w:t> </w:t>
      </w:r>
      <w:r>
        <w:rPr/>
        <w:t>urolitos </w:t>
      </w:r>
      <w:r>
        <w:rPr>
          <w:spacing w:val="-30"/>
        </w:rPr>
        <w:t> </w:t>
      </w:r>
      <w:r>
        <w:rPr/>
        <w:t>más </w:t>
      </w:r>
      <w:r>
        <w:rPr>
          <w:spacing w:val="-30"/>
        </w:rPr>
        <w:t> </w:t>
      </w:r>
      <w:r>
        <w:rPr/>
        <w:t>f</w:t>
      </w:r>
      <w:r>
        <w:rPr>
          <w:spacing w:val="-1"/>
        </w:rPr>
        <w:t>r</w:t>
      </w:r>
      <w:r>
        <w:rPr/>
        <w:t>ecuente </w:t>
      </w:r>
      <w:r>
        <w:rPr>
          <w:spacing w:val="-30"/>
        </w:rPr>
        <w:t> </w:t>
      </w:r>
      <w:r>
        <w:rPr/>
        <w:t>fueron </w:t>
      </w:r>
      <w:r>
        <w:rPr>
          <w:spacing w:val="-30"/>
        </w:rPr>
        <w:t> </w:t>
      </w:r>
      <w:r>
        <w:rPr/>
        <w:t>los </w:t>
      </w:r>
      <w:r>
        <w:rPr>
          <w:spacing w:val="-30"/>
        </w:rPr>
        <w:t> </w:t>
      </w:r>
      <w:r>
        <w:rPr/>
        <w:t>de </w:t>
      </w:r>
      <w:r>
        <w:rPr>
          <w:spacing w:val="-30"/>
        </w:rPr>
        <w:t> </w:t>
      </w:r>
      <w:r>
        <w:rPr/>
        <w:t>estruvita</w:t>
      </w:r>
      <w:r>
        <w:rPr>
          <w:w w:val="41"/>
        </w:rPr>
        <w:t>X</w:t>
      </w:r>
      <w:r>
        <w:rPr/>
        <w:t> </w:t>
      </w:r>
      <w:r>
        <w:rPr>
          <w:spacing w:val="-30"/>
        </w:rPr>
        <w:t> </w:t>
      </w:r>
      <w:r>
        <w:rPr>
          <w:spacing w:val="-1"/>
        </w:rPr>
        <w:t>e</w:t>
      </w:r>
      <w:r>
        <w:rPr/>
        <w:t>ste </w:t>
      </w:r>
      <w:r>
        <w:rPr>
          <w:spacing w:val="-30"/>
        </w:rPr>
        <w:t> </w:t>
      </w:r>
      <w:r>
        <w:rPr/>
        <w:t>tipo </w:t>
      </w:r>
      <w:r>
        <w:rPr>
          <w:spacing w:val="-30"/>
        </w:rPr>
        <w:t> </w:t>
      </w:r>
      <w:r>
        <w:rPr/>
        <w:t>de urolitos se forman en presencia de orina sobresaturada de fosfato, amonio y magnesio. Se asocia a infecciones del tracto urinario por bacterias productoras de ureasa, las más comunes son </w:t>
      </w:r>
      <w:r>
        <w:rPr>
          <w:i/>
        </w:rPr>
        <w:t>Staphylococos, Streptococos y Proteus spp</w:t>
      </w:r>
      <w:r>
        <w:rPr/>
        <w:t>. (Ling y col. 1998). La ureasa es una enzima que en presencia de agua hidroliza la urea aumentando la concentración de amoniaco y dióxido de carbono produciendo así una orina alcalina y contribuyendo a la precipitación de cristales de estruvita. Se presenta más en hembras que en machos debido a que las hembras presentan más predisposición a infecciones del tracto  urinario por posible condición anatómica de la uretra (Osborne y col.</w:t>
      </w:r>
      <w:r>
        <w:rPr>
          <w:spacing w:val="-2"/>
        </w:rPr>
        <w:t> </w:t>
      </w:r>
      <w:r>
        <w:rPr/>
        <w:t>1999).</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9"/>
        <w:jc w:val="both"/>
      </w:pPr>
      <w:r>
        <w:rPr/>
        <w:t>El oxalato de calcio fue el tercer tipo de mineral que se presentó en este estudio coincidiendo con los datos reportados en un estudio en Brasil (Oyasufo y col. 2007). A diferencia de otros estudios realizados donde indican aumento de la prevalencia de oxalato de calcio en relación con la estruvita (Houston y col. 2004</w:t>
      </w:r>
      <w:r>
        <w:rPr>
          <w:w w:val="41"/>
        </w:rPr>
        <w:t>X</w:t>
      </w:r>
      <w:r>
        <w:rPr/>
        <w:t> Sosnar y col. </w:t>
      </w:r>
      <w:r>
        <w:rPr>
          <w:w w:val="86"/>
        </w:rPr>
        <w:t>2005X </w:t>
      </w:r>
      <w:r>
        <w:rPr/>
        <w:t>Vraveloba y col. 2011).</w:t>
      </w:r>
    </w:p>
    <w:p>
      <w:pPr>
        <w:pStyle w:val="BodyText"/>
        <w:spacing w:line="360" w:lineRule="auto" w:before="209"/>
        <w:ind w:left="144" w:right="148" w:firstLine="709"/>
        <w:jc w:val="both"/>
      </w:pPr>
      <w:r>
        <w:rPr/>
        <w:t>Esto posiblemente por factores demográficos, cambios nutricionales,  preferencias raciales, dietas acidificantes con el fin de la disolución de urolitos de estruvita y restricción de niveles de magnesio y fosforo que pueden ser factores de riesgo para la formación de urolitos de oxalato de calcio (Lulich y col.</w:t>
      </w:r>
      <w:r>
        <w:rPr>
          <w:spacing w:val="-1"/>
        </w:rPr>
        <w:t> </w:t>
      </w:r>
      <w:r>
        <w:rPr/>
        <w:t>1999).</w:t>
      </w:r>
    </w:p>
    <w:p>
      <w:pPr>
        <w:pStyle w:val="BodyText"/>
        <w:spacing w:line="360" w:lineRule="auto" w:before="209"/>
        <w:ind w:left="144" w:right="148" w:firstLine="775"/>
        <w:jc w:val="both"/>
      </w:pPr>
      <w:r>
        <w:rPr/>
        <w:t>La formación de urolitos de oxalato de calcio en perros aún no está bien descrita pero las condiciones de hiperoxaluria e hipercalciuria pueden aumentar el riesgo de la formación de urolitos de oxalato de calcio, también los problemas metabólicos como el hiperadrenocorticismo y la acidosis metabólica crónica pueden estar asociados con la formación de este tipo de urolito (Osborne y col. 2009).</w:t>
      </w:r>
    </w:p>
    <w:p>
      <w:pPr>
        <w:pStyle w:val="BodyText"/>
        <w:spacing w:line="360" w:lineRule="auto" w:before="209"/>
        <w:ind w:left="144" w:right="148" w:firstLine="709"/>
        <w:jc w:val="both"/>
      </w:pPr>
      <w:r>
        <w:rPr/>
        <w:t>La flora microbiana degradante de oxalato a nivel gastrointestinal influencia en la absorción de oxalato</w:t>
      </w:r>
      <w:r>
        <w:rPr>
          <w:w w:val="41"/>
        </w:rPr>
        <w:t>X</w:t>
      </w:r>
      <w:r>
        <w:rPr/>
        <w:t> en los mamíferos se ha identificado el </w:t>
      </w:r>
      <w:r>
        <w:rPr>
          <w:i/>
        </w:rPr>
        <w:t>Oxalobacter forgimenes </w:t>
      </w:r>
      <w:r>
        <w:rPr/>
        <w:t>en el tracto gastrointestinal, la cual es una bacteria que degrada el oxalato para su energía y se ha reportado que en perros la presencia de esta bacteria juega un rol importante para la prevención de la formación de la urolitiasis de Oxalato de calcio (Gnanandarajah y col. 2012).</w:t>
      </w:r>
    </w:p>
    <w:p>
      <w:pPr>
        <w:pStyle w:val="BodyText"/>
      </w:pPr>
    </w:p>
    <w:p>
      <w:pPr>
        <w:pStyle w:val="BodyText"/>
      </w:pPr>
    </w:p>
    <w:p>
      <w:pPr>
        <w:pStyle w:val="BodyText"/>
        <w:spacing w:before="7"/>
        <w:rPr>
          <w:sz w:val="23"/>
        </w:rPr>
      </w:pPr>
    </w:p>
    <w:p>
      <w:pPr>
        <w:pStyle w:val="BodyText"/>
        <w:spacing w:line="360" w:lineRule="auto"/>
        <w:ind w:left="144" w:right="148" w:firstLine="709"/>
        <w:jc w:val="both"/>
      </w:pPr>
      <w:r>
        <w:rPr/>
        <w:t>Las enfermedades de la próstata se presentaron en un 14.43% de los casos, siendo la hiperplasia prostática y los quistes protáticos las patologías detectadas en la población afectada. De forma fisiológica todos los perros presentan un agrandamiento progresivo de la próstata después de la pubertad, relacionado con la exposición del incremento en la concentración de testosterona.</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09"/>
        <w:jc w:val="both"/>
      </w:pPr>
      <w:r>
        <w:rPr/>
        <w:t>Esta es una alteración en la relación andrógenos[estrógenos, los estrógenos aumentan la posibilidad de padecer hiperplasia ya que incrementa el número de receptores para andrógenos, además de una sobreproducción del metabolito dihidrotestosterona siendo considerado el principal estímulo para el crecimiento prostático.</w:t>
      </w:r>
    </w:p>
    <w:p>
      <w:pPr>
        <w:pStyle w:val="BodyText"/>
        <w:spacing w:line="360" w:lineRule="auto" w:before="209"/>
        <w:ind w:left="144" w:right="148" w:firstLine="775"/>
        <w:jc w:val="both"/>
      </w:pPr>
      <w:r>
        <w:rPr/>
        <w:t>La hiperplasia prostática es una condición clínica atribuida tanto por el aumento en el número de células, así como el incremento en el tamaño de las mismas que es normal ocasionada por cambios progresivos con la edad, pero que puede ser patológico una vez que empieza a presentar signos clínicos y a comprometer la salud del animal (Smith 2008).</w:t>
      </w:r>
    </w:p>
    <w:p>
      <w:pPr>
        <w:pStyle w:val="BodyText"/>
        <w:spacing w:line="360" w:lineRule="auto" w:before="209"/>
        <w:ind w:left="144" w:right="148" w:firstLine="775"/>
        <w:jc w:val="both"/>
      </w:pPr>
      <w:r>
        <w:rPr/>
        <w:t>Los quistes prostáticos son encontrados simultáneamente con la hiperplasia prostática, se forman cuando los canalículos de la glándula se obstruyen, lo que genera una acúmulo de líquido prostático (Barsanti y Finco. 1986).</w:t>
      </w:r>
    </w:p>
    <w:p>
      <w:pPr>
        <w:pStyle w:val="BodyText"/>
        <w:spacing w:line="360" w:lineRule="auto" w:before="209"/>
        <w:ind w:left="144" w:right="148" w:firstLine="709"/>
        <w:jc w:val="both"/>
      </w:pPr>
      <w:r>
        <w:rPr/>
        <w:t>La mediana de edad fue de 9 años coincidiendo con lo reportado por Gobello y Corrada 2002 que menciona un 95% de los casos de 9 años de edad en adelante.  Cabe señalar que los perros afectados no estaban castrados lo cual se considera un factor para el desarrollo de la hiperplasia prostática por la exposición hormonal a lo  largo de su</w:t>
      </w:r>
      <w:r>
        <w:rPr>
          <w:spacing w:val="-1"/>
        </w:rPr>
        <w:t> </w:t>
      </w:r>
      <w:r>
        <w:rPr/>
        <w:t>vida.</w:t>
      </w:r>
    </w:p>
    <w:p>
      <w:pPr>
        <w:pStyle w:val="BodyText"/>
      </w:pPr>
    </w:p>
    <w:p>
      <w:pPr>
        <w:pStyle w:val="BodyText"/>
      </w:pPr>
    </w:p>
    <w:p>
      <w:pPr>
        <w:pStyle w:val="BodyText"/>
        <w:spacing w:before="2"/>
        <w:rPr>
          <w:sz w:val="23"/>
        </w:rPr>
      </w:pPr>
    </w:p>
    <w:p>
      <w:pPr>
        <w:pStyle w:val="BodyText"/>
        <w:spacing w:line="360" w:lineRule="auto"/>
        <w:ind w:left="144" w:right="148" w:firstLine="709"/>
        <w:jc w:val="both"/>
      </w:pPr>
      <w:r>
        <w:rPr/>
        <w:t>Las patologías del tracto urinario caudal atribuidas a traumatismos representaron el 8.24%, donde la cistitis hemorrágica, ruptura uretral y vesical fueron los problemas encontrados. Estas alteraciones en lo particular fueron relacionadas con traumatismos en el sistema musculo esquelético por automóviles. Nuestros resultados coinciden con lo reportado previamente por Anderson y col. 2006, que describe como la causa más común de traumatismos al atropellamiento por un</w:t>
      </w:r>
      <w:r>
        <w:rPr>
          <w:spacing w:val="-3"/>
        </w:rPr>
        <w:t> </w:t>
      </w:r>
      <w:r>
        <w:rPr/>
        <w:t>automóvil.</w:t>
      </w:r>
    </w:p>
    <w:p>
      <w:pPr>
        <w:spacing w:after="0" w:line="360"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360" w:lineRule="auto" w:before="70"/>
        <w:ind w:left="144" w:right="148" w:firstLine="775"/>
        <w:jc w:val="both"/>
      </w:pPr>
      <w:r>
        <w:rPr/>
        <w:t>El traumatismo uretral ocurre más comúnmente en machos a diferencia de las hembras, ya que la uretra es más larga y más accesible a lesiones como obstrucción, laceración y transección (Selcer 1982). Otras causas de traumatismo en la uretra pueden estar asociadas con el cateterismo uretral, heridas por mordedura, fracturas de pelvis, herida de bala, fracturas del pene, trauma abdominal y la presentación de urolitiasis (Gannon y Moses 2002</w:t>
      </w:r>
      <w:r>
        <w:rPr>
          <w:w w:val="41"/>
        </w:rPr>
        <w:t>X</w:t>
      </w:r>
      <w:r>
        <w:rPr/>
        <w:t> Anderson y col. 2006).</w:t>
      </w:r>
    </w:p>
    <w:p>
      <w:pPr>
        <w:pStyle w:val="BodyText"/>
        <w:spacing w:line="360" w:lineRule="auto" w:before="204"/>
        <w:ind w:left="144" w:right="148" w:firstLine="775"/>
        <w:jc w:val="both"/>
      </w:pPr>
      <w:r>
        <w:rPr/>
        <w:t>Se ha informado entrampamiento de la uretra secundario a la reparación de una fractura pélvica (Messmer y col. 2001) lo cual fue observado en este estudio donde existió entrampamiento y necrosis de la uretra en un cachorro con fractura de pubis.</w:t>
      </w:r>
    </w:p>
    <w:p>
      <w:pPr>
        <w:pStyle w:val="BodyText"/>
        <w:spacing w:line="360" w:lineRule="auto" w:before="209"/>
        <w:ind w:left="144" w:right="148" w:firstLine="775"/>
        <w:jc w:val="both"/>
      </w:pPr>
      <w:r>
        <w:rPr/>
        <w:t>Los mecanismos de ruptura de vejiga incluyen penetración directa  de fragmentos fracturados, cistocentésis, expresión vesical, cistoscopia así como el aumento súbito de presión intravesical que es más frecuente en machos debido a que  la menor distensibilidad de la uretra favorece al aumento súbito de presión intravesical (Thornhill</w:t>
      </w:r>
      <w:r>
        <w:rPr>
          <w:spacing w:val="20"/>
        </w:rPr>
        <w:t> </w:t>
      </w:r>
      <w:r>
        <w:rPr/>
        <w:t>y</w:t>
      </w:r>
      <w:r>
        <w:rPr>
          <w:spacing w:val="20"/>
        </w:rPr>
        <w:t> </w:t>
      </w:r>
      <w:r>
        <w:rPr/>
        <w:t>Cechener</w:t>
      </w:r>
      <w:r>
        <w:rPr>
          <w:spacing w:val="20"/>
        </w:rPr>
        <w:t> </w:t>
      </w:r>
      <w:r>
        <w:rPr/>
        <w:t>198</w:t>
      </w:r>
      <w:r>
        <w:rPr>
          <w:spacing w:val="-1"/>
        </w:rPr>
        <w:t>1</w:t>
      </w:r>
      <w:r>
        <w:rPr>
          <w:w w:val="41"/>
        </w:rPr>
        <w:t>X</w:t>
      </w:r>
      <w:r>
        <w:rPr>
          <w:spacing w:val="20"/>
        </w:rPr>
        <w:t> </w:t>
      </w:r>
      <w:r>
        <w:rPr/>
        <w:t>Selcer</w:t>
      </w:r>
      <w:r>
        <w:rPr>
          <w:spacing w:val="20"/>
        </w:rPr>
        <w:t> </w:t>
      </w:r>
      <w:r>
        <w:rPr/>
        <w:t>198</w:t>
      </w:r>
      <w:r>
        <w:rPr>
          <w:spacing w:val="-1"/>
        </w:rPr>
        <w:t>2</w:t>
      </w:r>
      <w:r>
        <w:rPr/>
        <w:t>).</w:t>
      </w:r>
      <w:r>
        <w:rPr>
          <w:spacing w:val="20"/>
        </w:rPr>
        <w:t> </w:t>
      </w:r>
      <w:r>
        <w:rPr/>
        <w:t>Complicaciones</w:t>
      </w:r>
      <w:r>
        <w:rPr>
          <w:spacing w:val="20"/>
        </w:rPr>
        <w:t> </w:t>
      </w:r>
      <w:r>
        <w:rPr/>
        <w:t>atribuidas</w:t>
      </w:r>
      <w:r>
        <w:rPr>
          <w:spacing w:val="20"/>
        </w:rPr>
        <w:t> </w:t>
      </w:r>
      <w:r>
        <w:rPr/>
        <w:t>a</w:t>
      </w:r>
      <w:r>
        <w:rPr>
          <w:spacing w:val="20"/>
        </w:rPr>
        <w:t> </w:t>
      </w:r>
      <w:r>
        <w:rPr/>
        <w:t>procedimientos quirúrgicos iatrogenicos por prostatectomía, criptorquideptomia o en corrección de hernia perianal ha sido descritos por diferentes autores (McLoughlin y Chew 2000, Bellah </w:t>
      </w:r>
      <w:r>
        <w:rPr>
          <w:spacing w:val="-19"/>
        </w:rPr>
        <w:t> </w:t>
      </w:r>
      <w:r>
        <w:rPr/>
        <w:t>y </w:t>
      </w:r>
      <w:r>
        <w:rPr>
          <w:spacing w:val="-19"/>
        </w:rPr>
        <w:t> </w:t>
      </w:r>
      <w:r>
        <w:rPr/>
        <w:t>col. </w:t>
      </w:r>
      <w:r>
        <w:rPr>
          <w:spacing w:val="-19"/>
        </w:rPr>
        <w:t> </w:t>
      </w:r>
      <w:r>
        <w:rPr/>
        <w:t>198</w:t>
      </w:r>
      <w:r>
        <w:rPr>
          <w:spacing w:val="-1"/>
        </w:rPr>
        <w:t>9</w:t>
      </w:r>
      <w:r>
        <w:rPr>
          <w:w w:val="41"/>
        </w:rPr>
        <w:t>X</w:t>
      </w:r>
      <w:r>
        <w:rPr/>
        <w:t> </w:t>
      </w:r>
      <w:r>
        <w:rPr>
          <w:spacing w:val="-19"/>
        </w:rPr>
        <w:t> </w:t>
      </w:r>
      <w:r>
        <w:rPr/>
        <w:t>Shulz </w:t>
      </w:r>
      <w:r>
        <w:rPr>
          <w:spacing w:val="-19"/>
        </w:rPr>
        <w:t> </w:t>
      </w:r>
      <w:r>
        <w:rPr/>
        <w:t>y </w:t>
      </w:r>
      <w:r>
        <w:rPr>
          <w:spacing w:val="-19"/>
        </w:rPr>
        <w:t> </w:t>
      </w:r>
      <w:r>
        <w:rPr/>
        <w:t>col. </w:t>
      </w:r>
      <w:r>
        <w:rPr>
          <w:spacing w:val="-19"/>
        </w:rPr>
        <w:t> </w:t>
      </w:r>
      <w:r>
        <w:rPr/>
        <w:t>19</w:t>
      </w:r>
      <w:r>
        <w:rPr>
          <w:spacing w:val="-1"/>
        </w:rPr>
        <w:t>9</w:t>
      </w:r>
      <w:r>
        <w:rPr>
          <w:w w:val="68"/>
        </w:rPr>
        <w:t>6X</w:t>
      </w:r>
      <w:r>
        <w:rPr/>
        <w:t> </w:t>
      </w:r>
      <w:r>
        <w:rPr>
          <w:spacing w:val="-19"/>
        </w:rPr>
        <w:t> </w:t>
      </w:r>
      <w:r>
        <w:rPr/>
        <w:t>Sereda </w:t>
      </w:r>
      <w:r>
        <w:rPr>
          <w:spacing w:val="-19"/>
        </w:rPr>
        <w:t> </w:t>
      </w:r>
      <w:r>
        <w:rPr/>
        <w:t>y </w:t>
      </w:r>
      <w:r>
        <w:rPr>
          <w:spacing w:val="-19"/>
        </w:rPr>
        <w:t> </w:t>
      </w:r>
      <w:r>
        <w:rPr/>
        <w:t>col. </w:t>
      </w:r>
      <w:r>
        <w:rPr>
          <w:spacing w:val="-19"/>
        </w:rPr>
        <w:t> </w:t>
      </w:r>
      <w:r>
        <w:rPr/>
        <w:t>2002</w:t>
      </w:r>
      <w:r>
        <w:rPr>
          <w:spacing w:val="-1"/>
        </w:rPr>
        <w:t>)</w:t>
      </w:r>
      <w:r>
        <w:rPr/>
        <w:t>, </w:t>
      </w:r>
      <w:r>
        <w:rPr>
          <w:spacing w:val="-19"/>
        </w:rPr>
        <w:t> </w:t>
      </w:r>
      <w:r>
        <w:rPr/>
        <w:t>en </w:t>
      </w:r>
      <w:r>
        <w:rPr>
          <w:spacing w:val="-19"/>
        </w:rPr>
        <w:t> </w:t>
      </w:r>
      <w:r>
        <w:rPr/>
        <w:t>nuestro </w:t>
      </w:r>
      <w:r>
        <w:rPr>
          <w:spacing w:val="-19"/>
        </w:rPr>
        <w:t> </w:t>
      </w:r>
      <w:r>
        <w:rPr/>
        <w:t>estudio </w:t>
      </w:r>
      <w:r>
        <w:rPr>
          <w:spacing w:val="-19"/>
        </w:rPr>
        <w:t> </w:t>
      </w:r>
      <w:r>
        <w:rPr/>
        <w:t>solo encontramos un caso de obstrucción uretral que ocurrió por corrección de hernia perianal.</w:t>
      </w:r>
    </w:p>
    <w:p>
      <w:pPr>
        <w:spacing w:after="0" w:line="360" w:lineRule="auto"/>
        <w:jc w:val="both"/>
        <w:sectPr>
          <w:pgSz w:w="12240" w:h="15840"/>
          <w:pgMar w:header="886" w:footer="882" w:top="1140" w:bottom="1080" w:left="1560" w:right="980"/>
        </w:sectPr>
      </w:pPr>
    </w:p>
    <w:p>
      <w:pPr>
        <w:pStyle w:val="BodyText"/>
        <w:rPr>
          <w:sz w:val="20"/>
        </w:rPr>
      </w:pPr>
    </w:p>
    <w:p>
      <w:pPr>
        <w:pStyle w:val="BodyText"/>
        <w:rPr>
          <w:sz w:val="23"/>
        </w:rPr>
      </w:pPr>
    </w:p>
    <w:p>
      <w:pPr>
        <w:pStyle w:val="Heading1"/>
      </w:pPr>
      <w:bookmarkStart w:name="_TOC_250000" w:id="11"/>
      <w:bookmarkEnd w:id="11"/>
      <w:r>
        <w:rPr/>
        <w:t>CONCLUSIONES</w:t>
      </w:r>
    </w:p>
    <w:p>
      <w:pPr>
        <w:pStyle w:val="BodyText"/>
        <w:rPr>
          <w:b/>
          <w:sz w:val="28"/>
        </w:rPr>
      </w:pPr>
    </w:p>
    <w:p>
      <w:pPr>
        <w:pStyle w:val="BodyText"/>
        <w:rPr>
          <w:b/>
          <w:sz w:val="28"/>
        </w:rPr>
      </w:pPr>
    </w:p>
    <w:p>
      <w:pPr>
        <w:pStyle w:val="BodyText"/>
        <w:spacing w:before="9"/>
        <w:rPr>
          <w:b/>
          <w:sz w:val="41"/>
        </w:rPr>
      </w:pPr>
    </w:p>
    <w:p>
      <w:pPr>
        <w:pStyle w:val="ListParagraph"/>
        <w:numPr>
          <w:ilvl w:val="0"/>
          <w:numId w:val="3"/>
        </w:numPr>
        <w:tabs>
          <w:tab w:pos="865" w:val="left" w:leader="none"/>
        </w:tabs>
        <w:spacing w:line="357" w:lineRule="auto" w:before="0" w:after="0"/>
        <w:ind w:left="864" w:right="148" w:hanging="360"/>
        <w:jc w:val="both"/>
        <w:rPr>
          <w:rFonts w:ascii="Arial" w:hAnsi="Arial"/>
          <w:sz w:val="24"/>
        </w:rPr>
      </w:pPr>
      <w:r>
        <w:rPr>
          <w:rFonts w:ascii="Arial" w:hAnsi="Arial"/>
          <w:sz w:val="24"/>
        </w:rPr>
        <w:t>De la población estudiada los perros machos tuvieron una mayor predisposición  a presentar alguna enfermedad del tracto urinario caudal, con una proporción macho hembra de</w:t>
      </w:r>
      <w:r>
        <w:rPr>
          <w:rFonts w:ascii="Arial" w:hAnsi="Arial"/>
          <w:spacing w:val="-1"/>
          <w:sz w:val="24"/>
        </w:rPr>
        <w:t> </w:t>
      </w:r>
      <w:r>
        <w:rPr>
          <w:rFonts w:ascii="Arial" w:hAnsi="Arial"/>
          <w:sz w:val="24"/>
        </w:rPr>
        <w:t>2.8:1.</w:t>
      </w:r>
    </w:p>
    <w:p>
      <w:pPr>
        <w:pStyle w:val="BodyText"/>
      </w:pPr>
    </w:p>
    <w:p>
      <w:pPr>
        <w:pStyle w:val="BodyText"/>
      </w:pPr>
    </w:p>
    <w:p>
      <w:pPr>
        <w:pStyle w:val="BodyText"/>
        <w:spacing w:before="6"/>
      </w:pPr>
    </w:p>
    <w:p>
      <w:pPr>
        <w:pStyle w:val="ListParagraph"/>
        <w:numPr>
          <w:ilvl w:val="0"/>
          <w:numId w:val="3"/>
        </w:numPr>
        <w:tabs>
          <w:tab w:pos="865" w:val="left" w:leader="none"/>
        </w:tabs>
        <w:spacing w:line="350" w:lineRule="auto" w:before="0" w:after="0"/>
        <w:ind w:left="864" w:right="148" w:hanging="360"/>
        <w:jc w:val="both"/>
        <w:rPr>
          <w:rFonts w:ascii="Arial" w:hAnsi="Arial"/>
          <w:sz w:val="24"/>
        </w:rPr>
      </w:pPr>
      <w:r>
        <w:rPr>
          <w:rFonts w:ascii="Arial" w:hAnsi="Arial"/>
          <w:sz w:val="24"/>
        </w:rPr>
        <w:t>El 82 % de los casos se encontraron en animales de raza pura, no evidenciándose predisposición</w:t>
      </w:r>
      <w:r>
        <w:rPr>
          <w:rFonts w:ascii="Arial" w:hAnsi="Arial"/>
          <w:spacing w:val="-1"/>
          <w:sz w:val="24"/>
        </w:rPr>
        <w:t> </w:t>
      </w:r>
      <w:r>
        <w:rPr>
          <w:rFonts w:ascii="Arial" w:hAnsi="Arial"/>
          <w:sz w:val="24"/>
        </w:rPr>
        <w:t>racial.</w:t>
      </w:r>
    </w:p>
    <w:p>
      <w:pPr>
        <w:pStyle w:val="BodyText"/>
      </w:pPr>
    </w:p>
    <w:p>
      <w:pPr>
        <w:pStyle w:val="BodyText"/>
      </w:pPr>
    </w:p>
    <w:p>
      <w:pPr>
        <w:pStyle w:val="BodyText"/>
        <w:spacing w:before="2"/>
        <w:rPr>
          <w:sz w:val="25"/>
        </w:rPr>
      </w:pPr>
    </w:p>
    <w:p>
      <w:pPr>
        <w:pStyle w:val="ListParagraph"/>
        <w:numPr>
          <w:ilvl w:val="0"/>
          <w:numId w:val="3"/>
        </w:numPr>
        <w:tabs>
          <w:tab w:pos="864" w:val="left" w:leader="none"/>
          <w:tab w:pos="865" w:val="left" w:leader="none"/>
        </w:tabs>
        <w:spacing w:line="240" w:lineRule="auto" w:before="0" w:after="0"/>
        <w:ind w:left="864" w:right="0" w:hanging="360"/>
        <w:jc w:val="left"/>
        <w:rPr>
          <w:rFonts w:ascii="Arial" w:hAnsi="Arial"/>
          <w:sz w:val="24"/>
        </w:rPr>
      </w:pPr>
      <w:r>
        <w:rPr>
          <w:rFonts w:ascii="Arial" w:hAnsi="Arial"/>
          <w:sz w:val="24"/>
        </w:rPr>
        <w:t>Los signos clínicos más frecuentes fueron hematuria y retención urinaria.</w:t>
      </w:r>
    </w:p>
    <w:p>
      <w:pPr>
        <w:pStyle w:val="BodyText"/>
        <w:rPr>
          <w:sz w:val="26"/>
        </w:rPr>
      </w:pPr>
    </w:p>
    <w:p>
      <w:pPr>
        <w:pStyle w:val="BodyText"/>
        <w:rPr>
          <w:sz w:val="26"/>
        </w:rPr>
      </w:pPr>
    </w:p>
    <w:p>
      <w:pPr>
        <w:pStyle w:val="BodyText"/>
        <w:spacing w:before="9"/>
        <w:rPr>
          <w:sz w:val="31"/>
        </w:rPr>
      </w:pPr>
    </w:p>
    <w:p>
      <w:pPr>
        <w:pStyle w:val="ListParagraph"/>
        <w:numPr>
          <w:ilvl w:val="0"/>
          <w:numId w:val="3"/>
        </w:numPr>
        <w:tabs>
          <w:tab w:pos="864" w:val="left" w:leader="none"/>
          <w:tab w:pos="865" w:val="left" w:leader="none"/>
        </w:tabs>
        <w:spacing w:line="240" w:lineRule="auto" w:before="0" w:after="0"/>
        <w:ind w:left="864" w:right="0" w:hanging="360"/>
        <w:jc w:val="left"/>
        <w:rPr>
          <w:rFonts w:ascii="Arial" w:hAnsi="Arial"/>
          <w:sz w:val="24"/>
        </w:rPr>
      </w:pPr>
      <w:r>
        <w:rPr>
          <w:rFonts w:ascii="Arial" w:hAnsi="Arial"/>
          <w:sz w:val="24"/>
        </w:rPr>
        <w:t>La edad promedio de los animales afectados fue de 8</w:t>
      </w:r>
      <w:r>
        <w:rPr>
          <w:rFonts w:ascii="Arial" w:hAnsi="Arial"/>
          <w:spacing w:val="-3"/>
          <w:sz w:val="24"/>
        </w:rPr>
        <w:t> </w:t>
      </w:r>
      <w:r>
        <w:rPr>
          <w:rFonts w:ascii="Arial" w:hAnsi="Arial"/>
          <w:sz w:val="24"/>
        </w:rPr>
        <w:t>años.</w:t>
      </w:r>
    </w:p>
    <w:p>
      <w:pPr>
        <w:pStyle w:val="BodyText"/>
        <w:rPr>
          <w:sz w:val="26"/>
        </w:rPr>
      </w:pPr>
    </w:p>
    <w:p>
      <w:pPr>
        <w:pStyle w:val="BodyText"/>
        <w:rPr>
          <w:sz w:val="26"/>
        </w:rPr>
      </w:pPr>
    </w:p>
    <w:p>
      <w:pPr>
        <w:pStyle w:val="BodyText"/>
        <w:spacing w:before="9"/>
        <w:rPr>
          <w:sz w:val="31"/>
        </w:rPr>
      </w:pPr>
    </w:p>
    <w:p>
      <w:pPr>
        <w:pStyle w:val="ListParagraph"/>
        <w:numPr>
          <w:ilvl w:val="0"/>
          <w:numId w:val="3"/>
        </w:numPr>
        <w:tabs>
          <w:tab w:pos="865" w:val="left" w:leader="none"/>
        </w:tabs>
        <w:spacing w:line="357" w:lineRule="auto" w:before="0" w:after="0"/>
        <w:ind w:left="864" w:right="148" w:hanging="360"/>
        <w:jc w:val="both"/>
        <w:rPr>
          <w:rFonts w:ascii="Arial" w:hAnsi="Arial"/>
          <w:sz w:val="24"/>
        </w:rPr>
      </w:pPr>
      <w:r>
        <w:rPr>
          <w:rFonts w:ascii="Arial" w:hAnsi="Arial"/>
          <w:sz w:val="24"/>
        </w:rPr>
        <w:t>La frecuencia de las diferentes enfermedades del tracto urinario caudal en la población estudiada fue: Infección bacteriana del tracto urinario 34.02%, alteraciones de la micción de diversos orígenes 22.68%, urolitiasis 20.16%, enfermedades de la próstata 14.43% y problemas derivados de traumatismos 8.24%.</w:t>
      </w:r>
    </w:p>
    <w:p>
      <w:pPr>
        <w:pStyle w:val="BodyText"/>
      </w:pPr>
    </w:p>
    <w:p>
      <w:pPr>
        <w:pStyle w:val="BodyText"/>
      </w:pPr>
    </w:p>
    <w:p>
      <w:pPr>
        <w:pStyle w:val="BodyText"/>
        <w:spacing w:before="1"/>
      </w:pPr>
    </w:p>
    <w:p>
      <w:pPr>
        <w:pStyle w:val="ListParagraph"/>
        <w:numPr>
          <w:ilvl w:val="0"/>
          <w:numId w:val="3"/>
        </w:numPr>
        <w:tabs>
          <w:tab w:pos="865" w:val="left" w:leader="none"/>
        </w:tabs>
        <w:spacing w:line="355" w:lineRule="auto" w:before="0" w:after="0"/>
        <w:ind w:left="864" w:right="148" w:hanging="360"/>
        <w:jc w:val="both"/>
        <w:rPr>
          <w:rFonts w:ascii="Arial" w:hAnsi="Arial"/>
          <w:sz w:val="24"/>
        </w:rPr>
      </w:pPr>
      <w:r>
        <w:rPr>
          <w:rFonts w:ascii="Arial" w:hAnsi="Arial"/>
          <w:sz w:val="24"/>
        </w:rPr>
        <w:t>Se encontraron cuadros de infección bacteriana del tracto urinario simples y complicadas casi en la misma proporción.</w:t>
      </w:r>
    </w:p>
    <w:p>
      <w:pPr>
        <w:spacing w:after="0" w:line="355" w:lineRule="auto"/>
        <w:jc w:val="both"/>
        <w:rPr>
          <w:rFonts w:ascii="Arial" w:hAnsi="Arial"/>
          <w:sz w:val="24"/>
        </w:rPr>
        <w:sectPr>
          <w:pgSz w:w="12240" w:h="15840"/>
          <w:pgMar w:header="886" w:footer="882" w:top="1140" w:bottom="1080" w:left="1560" w:right="980"/>
        </w:sectPr>
      </w:pPr>
    </w:p>
    <w:p>
      <w:pPr>
        <w:pStyle w:val="BodyText"/>
        <w:rPr>
          <w:sz w:val="20"/>
        </w:rPr>
      </w:pPr>
    </w:p>
    <w:p>
      <w:pPr>
        <w:pStyle w:val="BodyText"/>
        <w:spacing w:before="7"/>
        <w:rPr>
          <w:sz w:val="23"/>
        </w:rPr>
      </w:pPr>
    </w:p>
    <w:p>
      <w:pPr>
        <w:pStyle w:val="ListParagraph"/>
        <w:numPr>
          <w:ilvl w:val="0"/>
          <w:numId w:val="3"/>
        </w:numPr>
        <w:tabs>
          <w:tab w:pos="864" w:val="left" w:leader="none"/>
          <w:tab w:pos="865" w:val="left" w:leader="none"/>
        </w:tabs>
        <w:spacing w:line="240" w:lineRule="auto" w:before="54" w:after="0"/>
        <w:ind w:left="864" w:right="0" w:hanging="360"/>
        <w:jc w:val="left"/>
        <w:rPr>
          <w:rFonts w:ascii="Arial" w:hAnsi="Arial"/>
          <w:sz w:val="24"/>
        </w:rPr>
      </w:pPr>
      <w:r>
        <w:rPr>
          <w:rFonts w:ascii="Arial" w:hAnsi="Arial"/>
          <w:sz w:val="24"/>
        </w:rPr>
        <w:t>La causa principal de alteraciones en la micción fueron lesiones</w:t>
      </w:r>
      <w:r>
        <w:rPr>
          <w:rFonts w:ascii="Arial" w:hAnsi="Arial"/>
          <w:spacing w:val="-1"/>
          <w:sz w:val="24"/>
        </w:rPr>
        <w:t> </w:t>
      </w:r>
      <w:r>
        <w:rPr>
          <w:rFonts w:ascii="Arial" w:hAnsi="Arial"/>
          <w:sz w:val="24"/>
        </w:rPr>
        <w:t>neurológicas.</w:t>
      </w:r>
    </w:p>
    <w:p>
      <w:pPr>
        <w:pStyle w:val="BodyText"/>
        <w:rPr>
          <w:sz w:val="26"/>
        </w:rPr>
      </w:pPr>
    </w:p>
    <w:p>
      <w:pPr>
        <w:pStyle w:val="BodyText"/>
        <w:rPr>
          <w:sz w:val="26"/>
        </w:rPr>
      </w:pPr>
    </w:p>
    <w:p>
      <w:pPr>
        <w:pStyle w:val="BodyText"/>
        <w:spacing w:before="9"/>
        <w:rPr>
          <w:sz w:val="31"/>
        </w:rPr>
      </w:pPr>
    </w:p>
    <w:p>
      <w:pPr>
        <w:pStyle w:val="ListParagraph"/>
        <w:numPr>
          <w:ilvl w:val="0"/>
          <w:numId w:val="3"/>
        </w:numPr>
        <w:tabs>
          <w:tab w:pos="864" w:val="left" w:leader="none"/>
          <w:tab w:pos="865" w:val="left" w:leader="none"/>
        </w:tabs>
        <w:spacing w:line="355" w:lineRule="auto" w:before="0" w:after="0"/>
        <w:ind w:left="864" w:right="148" w:hanging="360"/>
        <w:jc w:val="left"/>
        <w:rPr>
          <w:rFonts w:ascii="Arial" w:hAnsi="Arial"/>
          <w:sz w:val="24"/>
        </w:rPr>
      </w:pPr>
      <w:r>
        <w:rPr>
          <w:rFonts w:ascii="Arial" w:hAnsi="Arial"/>
          <w:sz w:val="24"/>
        </w:rPr>
        <w:t>Los casos de urolitiasis en más del 50% de los casos fueron atribuidos a urolitos de silicato.</w:t>
      </w:r>
    </w:p>
    <w:p>
      <w:pPr>
        <w:pStyle w:val="BodyText"/>
      </w:pPr>
    </w:p>
    <w:p>
      <w:pPr>
        <w:pStyle w:val="BodyText"/>
      </w:pPr>
    </w:p>
    <w:p>
      <w:pPr>
        <w:pStyle w:val="BodyText"/>
        <w:spacing w:before="8"/>
      </w:pPr>
    </w:p>
    <w:p>
      <w:pPr>
        <w:pStyle w:val="ListParagraph"/>
        <w:numPr>
          <w:ilvl w:val="0"/>
          <w:numId w:val="3"/>
        </w:numPr>
        <w:tabs>
          <w:tab w:pos="864" w:val="left" w:leader="none"/>
          <w:tab w:pos="865" w:val="left" w:leader="none"/>
        </w:tabs>
        <w:spacing w:line="240" w:lineRule="auto" w:before="1" w:after="0"/>
        <w:ind w:left="864" w:right="0" w:hanging="360"/>
        <w:jc w:val="left"/>
        <w:rPr>
          <w:rFonts w:ascii="Arial" w:hAnsi="Arial"/>
          <w:sz w:val="24"/>
        </w:rPr>
      </w:pPr>
      <w:r>
        <w:rPr>
          <w:rFonts w:ascii="Arial" w:hAnsi="Arial"/>
          <w:sz w:val="24"/>
        </w:rPr>
        <w:t>La hiperplasia prostática se relacionó en un 57% con signos</w:t>
      </w:r>
      <w:r>
        <w:rPr>
          <w:rFonts w:ascii="Arial" w:hAnsi="Arial"/>
          <w:spacing w:val="-4"/>
          <w:sz w:val="24"/>
        </w:rPr>
        <w:t> </w:t>
      </w:r>
      <w:r>
        <w:rPr>
          <w:rFonts w:ascii="Arial" w:hAnsi="Arial"/>
          <w:sz w:val="24"/>
        </w:rPr>
        <w:t>clínicos.</w:t>
      </w:r>
    </w:p>
    <w:p>
      <w:pPr>
        <w:pStyle w:val="BodyText"/>
        <w:rPr>
          <w:sz w:val="26"/>
        </w:rPr>
      </w:pPr>
    </w:p>
    <w:p>
      <w:pPr>
        <w:pStyle w:val="BodyText"/>
        <w:rPr>
          <w:sz w:val="26"/>
        </w:rPr>
      </w:pPr>
    </w:p>
    <w:p>
      <w:pPr>
        <w:pStyle w:val="BodyText"/>
        <w:spacing w:before="9"/>
        <w:rPr>
          <w:sz w:val="31"/>
        </w:rPr>
      </w:pPr>
    </w:p>
    <w:p>
      <w:pPr>
        <w:pStyle w:val="ListParagraph"/>
        <w:numPr>
          <w:ilvl w:val="0"/>
          <w:numId w:val="3"/>
        </w:numPr>
        <w:tabs>
          <w:tab w:pos="864" w:val="left" w:leader="none"/>
          <w:tab w:pos="865" w:val="left" w:leader="none"/>
        </w:tabs>
        <w:spacing w:line="240" w:lineRule="auto" w:before="0" w:after="0"/>
        <w:ind w:left="864" w:right="0" w:hanging="360"/>
        <w:jc w:val="left"/>
        <w:rPr>
          <w:rFonts w:ascii="Arial" w:hAnsi="Arial"/>
          <w:sz w:val="24"/>
        </w:rPr>
      </w:pPr>
      <w:r>
        <w:rPr>
          <w:rFonts w:ascii="Arial" w:hAnsi="Arial"/>
          <w:sz w:val="24"/>
        </w:rPr>
        <w:t>Las patologías de origen traumático se encontraron solo en los</w:t>
      </w:r>
      <w:r>
        <w:rPr>
          <w:rFonts w:ascii="Arial" w:hAnsi="Arial"/>
          <w:spacing w:val="-1"/>
          <w:sz w:val="24"/>
        </w:rPr>
        <w:t> </w:t>
      </w:r>
      <w:r>
        <w:rPr>
          <w:rFonts w:ascii="Arial" w:hAnsi="Arial"/>
          <w:sz w:val="24"/>
        </w:rPr>
        <w:t>machos.</w:t>
      </w:r>
    </w:p>
    <w:p>
      <w:pPr>
        <w:pStyle w:val="BodyText"/>
        <w:rPr>
          <w:sz w:val="26"/>
        </w:rPr>
      </w:pPr>
    </w:p>
    <w:p>
      <w:pPr>
        <w:pStyle w:val="BodyText"/>
        <w:rPr>
          <w:sz w:val="26"/>
        </w:rPr>
      </w:pPr>
    </w:p>
    <w:p>
      <w:pPr>
        <w:pStyle w:val="BodyText"/>
        <w:spacing w:before="9"/>
        <w:rPr>
          <w:sz w:val="31"/>
        </w:rPr>
      </w:pPr>
    </w:p>
    <w:p>
      <w:pPr>
        <w:pStyle w:val="ListParagraph"/>
        <w:numPr>
          <w:ilvl w:val="0"/>
          <w:numId w:val="3"/>
        </w:numPr>
        <w:tabs>
          <w:tab w:pos="865" w:val="left" w:leader="none"/>
        </w:tabs>
        <w:spacing w:line="357" w:lineRule="auto" w:before="0" w:after="0"/>
        <w:ind w:left="864" w:right="148" w:hanging="360"/>
        <w:jc w:val="both"/>
        <w:rPr>
          <w:rFonts w:ascii="Arial" w:hAnsi="Arial"/>
          <w:sz w:val="24"/>
        </w:rPr>
      </w:pPr>
      <w:r>
        <w:rPr>
          <w:rFonts w:ascii="Arial" w:hAnsi="Arial"/>
          <w:sz w:val="24"/>
        </w:rPr>
        <w:t>El 67% de la población estudiada presentaron una enfermedad específica como una infección bacteriana del tracto urinario complicada o no complicada, retención urinaria de origen neurológico originada por alguna lesión del cordón espinal, y urolitiasis de silicato.</w:t>
      </w:r>
    </w:p>
    <w:p>
      <w:pPr>
        <w:spacing w:after="0" w:line="357" w:lineRule="auto"/>
        <w:jc w:val="both"/>
        <w:rPr>
          <w:rFonts w:ascii="Arial" w:hAnsi="Arial"/>
          <w:sz w:val="24"/>
        </w:rPr>
        <w:sectPr>
          <w:pgSz w:w="12240" w:h="15840"/>
          <w:pgMar w:header="886" w:footer="882" w:top="1140" w:bottom="1080" w:left="1560" w:right="980"/>
        </w:sectPr>
      </w:pPr>
    </w:p>
    <w:p>
      <w:pPr>
        <w:pStyle w:val="BodyText"/>
        <w:rPr>
          <w:sz w:val="20"/>
        </w:rPr>
      </w:pPr>
    </w:p>
    <w:p>
      <w:pPr>
        <w:pStyle w:val="BodyText"/>
        <w:rPr>
          <w:sz w:val="23"/>
        </w:rPr>
      </w:pPr>
    </w:p>
    <w:p>
      <w:pPr>
        <w:pStyle w:val="Heading1"/>
      </w:pPr>
      <w:r>
        <w:rPr/>
        <w:t>REFERENCIAS</w:t>
      </w:r>
    </w:p>
    <w:p>
      <w:pPr>
        <w:pStyle w:val="BodyText"/>
        <w:rPr>
          <w:b/>
          <w:sz w:val="28"/>
        </w:rPr>
      </w:pPr>
    </w:p>
    <w:p>
      <w:pPr>
        <w:pStyle w:val="BodyText"/>
        <w:spacing w:before="2"/>
        <w:rPr>
          <w:b/>
          <w:sz w:val="39"/>
        </w:rPr>
      </w:pPr>
    </w:p>
    <w:p>
      <w:pPr>
        <w:pStyle w:val="BodyText"/>
        <w:spacing w:line="274" w:lineRule="exact"/>
        <w:ind w:left="144" w:right="144"/>
      </w:pPr>
      <w:r>
        <w:rPr/>
        <w:t>Acierno MJ, Labato MA. Canine incontinence. </w:t>
      </w:r>
      <w:r>
        <w:rPr>
          <w:u w:val="single"/>
        </w:rPr>
        <w:t>Compend Contin Educ Prac Vet </w:t>
      </w:r>
      <w:r>
        <w:rPr/>
        <w:t>2006X 28(8):591–602.</w:t>
      </w:r>
    </w:p>
    <w:p>
      <w:pPr>
        <w:pStyle w:val="BodyText"/>
      </w:pPr>
    </w:p>
    <w:p>
      <w:pPr>
        <w:pStyle w:val="BodyText"/>
        <w:spacing w:before="6"/>
        <w:rPr>
          <w:sz w:val="20"/>
        </w:rPr>
      </w:pPr>
    </w:p>
    <w:p>
      <w:pPr>
        <w:pStyle w:val="BodyText"/>
        <w:tabs>
          <w:tab w:pos="3646" w:val="left" w:leader="none"/>
        </w:tabs>
        <w:spacing w:line="242" w:lineRule="auto"/>
        <w:ind w:left="144" w:right="148"/>
      </w:pPr>
      <w:r>
        <w:rPr/>
        <w:t>Albert  I,  Huertas  I,</w:t>
      </w:r>
      <w:r>
        <w:rPr>
          <w:spacing w:val="-14"/>
        </w:rPr>
        <w:t> </w:t>
      </w:r>
      <w:r>
        <w:rPr/>
        <w:t>Pereiro</w:t>
      </w:r>
      <w:r>
        <w:rPr>
          <w:spacing w:val="46"/>
        </w:rPr>
        <w:t> </w:t>
      </w:r>
      <w:r>
        <w:rPr/>
        <w:t>II,</w:t>
        <w:tab/>
        <w:t>et al. Antibiotics for preventing recurrent    </w:t>
      </w:r>
      <w:r>
        <w:rPr>
          <w:spacing w:val="12"/>
        </w:rPr>
        <w:t> </w:t>
      </w:r>
      <w:r>
        <w:rPr/>
        <w:t>urinary</w:t>
      </w:r>
      <w:r>
        <w:rPr>
          <w:spacing w:val="46"/>
        </w:rPr>
        <w:t> </w:t>
      </w:r>
      <w:r>
        <w:rPr/>
        <w:t>tract infection in no</w:t>
      </w:r>
      <w:r>
        <w:rPr>
          <w:spacing w:val="-1"/>
        </w:rPr>
        <w:t>n</w:t>
      </w:r>
      <w:r>
        <w:rPr>
          <w:w w:val="119"/>
        </w:rPr>
        <w:t>[</w:t>
      </w:r>
      <w:r>
        <w:rPr/>
        <w:t>pregnant women.</w:t>
      </w:r>
      <w:r>
        <w:rPr>
          <w:spacing w:val="-1"/>
        </w:rPr>
        <w:t> </w:t>
      </w:r>
      <w:r>
        <w:rPr>
          <w:u w:val="single"/>
        </w:rPr>
        <w:t>Cochrane Database</w:t>
      </w:r>
      <w:r>
        <w:rPr>
          <w:spacing w:val="-1"/>
          <w:u w:val="single"/>
        </w:rPr>
        <w:t> </w:t>
      </w:r>
      <w:r>
        <w:rPr>
          <w:u w:val="single"/>
        </w:rPr>
        <w:t>Syst Rev</w:t>
      </w:r>
      <w:r>
        <w:rPr/>
        <w:t> 200</w:t>
      </w:r>
      <w:r>
        <w:rPr>
          <w:spacing w:val="-1"/>
        </w:rPr>
        <w:t>4</w:t>
      </w:r>
      <w:r>
        <w:rPr>
          <w:w w:val="41"/>
        </w:rPr>
        <w:t>X</w:t>
      </w:r>
      <w:r>
        <w:rPr/>
        <w:t>3:CD00120.</w:t>
      </w:r>
    </w:p>
    <w:p>
      <w:pPr>
        <w:pStyle w:val="BodyText"/>
        <w:rPr>
          <w:sz w:val="20"/>
        </w:rPr>
      </w:pPr>
    </w:p>
    <w:p>
      <w:pPr>
        <w:pStyle w:val="BodyText"/>
        <w:spacing w:before="7"/>
        <w:rPr>
          <w:sz w:val="18"/>
        </w:rPr>
      </w:pPr>
    </w:p>
    <w:p>
      <w:pPr>
        <w:pStyle w:val="BodyText"/>
        <w:spacing w:before="69"/>
        <w:ind w:left="144" w:right="148"/>
        <w:jc w:val="both"/>
      </w:pPr>
      <w:r>
        <w:rPr/>
        <w:t>Agut A, Fernández del palacio MJ, Laredo FG, et al. Unilateral renal agenesis associated with additional congenital abnormalities of the urinary tract in a Pekingese </w:t>
      </w:r>
      <w:r>
        <w:rPr>
          <w:spacing w:val="-1"/>
        </w:rPr>
        <w:t>bith</w:t>
      </w:r>
      <w:r>
        <w:rPr/>
        <w:t>. </w:t>
      </w:r>
      <w:r>
        <w:rPr>
          <w:u w:val="single"/>
        </w:rPr>
        <w:t>J Small Anim  Pract</w:t>
      </w:r>
      <w:r>
        <w:rPr>
          <w:spacing w:val="-1"/>
        </w:rPr>
        <w:t> </w:t>
      </w:r>
      <w:r>
        <w:rPr/>
        <w:t>2002</w:t>
      </w:r>
      <w:r>
        <w:rPr>
          <w:w w:val="41"/>
        </w:rPr>
        <w:t>X</w:t>
      </w:r>
      <w:r>
        <w:rPr/>
        <w:t>43(1):3</w:t>
      </w:r>
      <w:r>
        <w:rPr>
          <w:spacing w:val="-1"/>
        </w:rPr>
        <w:t>2</w:t>
      </w:r>
      <w:r>
        <w:rPr>
          <w:w w:val="119"/>
        </w:rPr>
        <w:t>[</w:t>
      </w:r>
      <w:r>
        <w:rPr/>
        <w:t>5.</w:t>
      </w:r>
    </w:p>
    <w:p>
      <w:pPr>
        <w:pStyle w:val="BodyText"/>
        <w:rPr>
          <w:sz w:val="20"/>
        </w:rPr>
      </w:pPr>
    </w:p>
    <w:p>
      <w:pPr>
        <w:pStyle w:val="BodyText"/>
        <w:spacing w:before="9"/>
        <w:rPr>
          <w:sz w:val="18"/>
        </w:rPr>
      </w:pPr>
    </w:p>
    <w:p>
      <w:pPr>
        <w:pStyle w:val="BodyText"/>
        <w:spacing w:line="274" w:lineRule="exact" w:before="76"/>
        <w:ind w:left="144" w:right="144"/>
      </w:pPr>
      <w:r>
        <w:rPr/>
        <w:t>Agut A, Lucas X, Castro A, et al. A Urethrorectal fistula due to prostatic abcess associated with urolithiasis in a dog. </w:t>
      </w:r>
      <w:r>
        <w:rPr>
          <w:u w:val="single"/>
        </w:rPr>
        <w:t>Reprod Domestic Anim</w:t>
      </w:r>
      <w:r>
        <w:rPr/>
        <w:t> 2006</w:t>
      </w:r>
      <w:r>
        <w:rPr>
          <w:w w:val="41"/>
        </w:rPr>
        <w:t>X</w:t>
      </w:r>
      <w:r>
        <w:rPr/>
        <w:t>41(3):247</w:t>
      </w:r>
      <w:r>
        <w:rPr>
          <w:w w:val="119"/>
        </w:rPr>
        <w:t>[</w:t>
      </w:r>
      <w:r>
        <w:rPr/>
        <w:t>50.</w:t>
      </w:r>
    </w:p>
    <w:p>
      <w:pPr>
        <w:pStyle w:val="BodyText"/>
        <w:rPr>
          <w:sz w:val="20"/>
        </w:rPr>
      </w:pPr>
    </w:p>
    <w:p>
      <w:pPr>
        <w:pStyle w:val="BodyText"/>
        <w:spacing w:before="5"/>
        <w:rPr>
          <w:sz w:val="18"/>
        </w:rPr>
      </w:pPr>
    </w:p>
    <w:p>
      <w:pPr>
        <w:pStyle w:val="BodyText"/>
        <w:spacing w:line="242" w:lineRule="auto" w:before="70"/>
        <w:ind w:left="144" w:right="144"/>
      </w:pPr>
      <w:r>
        <w:rPr/>
        <w:t>Anderson RB, Aronson LR, Drobatz KJ, et al. Prognosis factors for successful outcome following urethral ruptura in dogs and cats. </w:t>
      </w:r>
      <w:r>
        <w:rPr>
          <w:u w:val="single"/>
        </w:rPr>
        <w:t>J Am Anim Hosp Assoc</w:t>
      </w:r>
      <w:r>
        <w:rPr/>
        <w:t>  2006</w:t>
      </w:r>
      <w:r>
        <w:rPr>
          <w:w w:val="41"/>
        </w:rPr>
        <w:t>X</w:t>
      </w:r>
      <w:r>
        <w:rPr/>
        <w:t>42(2):136</w:t>
      </w:r>
      <w:r>
        <w:rPr>
          <w:w w:val="119"/>
        </w:rPr>
        <w:t>[</w:t>
      </w:r>
      <w:r>
        <w:rPr/>
        <w:t>46.</w:t>
      </w:r>
    </w:p>
    <w:p>
      <w:pPr>
        <w:pStyle w:val="BodyText"/>
        <w:rPr>
          <w:sz w:val="20"/>
        </w:rPr>
      </w:pPr>
    </w:p>
    <w:p>
      <w:pPr>
        <w:pStyle w:val="BodyText"/>
        <w:spacing w:before="7"/>
        <w:rPr>
          <w:sz w:val="18"/>
        </w:rPr>
      </w:pPr>
    </w:p>
    <w:p>
      <w:pPr>
        <w:pStyle w:val="BodyText"/>
        <w:spacing w:before="69"/>
        <w:ind w:left="144" w:right="148"/>
        <w:jc w:val="both"/>
      </w:pPr>
      <w:r>
        <w:rPr/>
        <w:t>Arnold S, Hubler M, Lott[Stolz G</w:t>
      </w:r>
      <w:r>
        <w:rPr>
          <w:sz w:val="17"/>
        </w:rPr>
        <w:t>, </w:t>
      </w:r>
      <w:r>
        <w:rPr/>
        <w:t>et al. Treatement of urinary incontinence in bitches by endoscopic injection of glutaraldehide cross[linked collagen. </w:t>
      </w:r>
      <w:r>
        <w:rPr>
          <w:u w:val="single"/>
        </w:rPr>
        <w:t>J Small Anim Pract </w:t>
      </w:r>
      <w:r>
        <w:rPr/>
        <w:t>1999X37(4):163[8.</w:t>
      </w:r>
    </w:p>
    <w:p>
      <w:pPr>
        <w:pStyle w:val="BodyText"/>
      </w:pPr>
    </w:p>
    <w:p>
      <w:pPr>
        <w:pStyle w:val="BodyText"/>
        <w:spacing w:before="4"/>
        <w:rPr>
          <w:sz w:val="21"/>
        </w:rPr>
      </w:pPr>
    </w:p>
    <w:p>
      <w:pPr>
        <w:pStyle w:val="BodyText"/>
        <w:spacing w:line="274" w:lineRule="exact"/>
        <w:ind w:left="144" w:right="148"/>
        <w:jc w:val="both"/>
      </w:pPr>
      <w:r>
        <w:rPr/>
        <w:t>Auman M, Worht lT, Drobatz KJ. Uroperitoneum in cats: 26 cases (1986[1995). </w:t>
      </w:r>
      <w:r>
        <w:rPr>
          <w:u w:val="single"/>
        </w:rPr>
        <w:t>J Am Anim Hosp Assoc </w:t>
      </w:r>
      <w:r>
        <w:rPr/>
        <w:t>1998X34(4):315[24.</w:t>
      </w:r>
    </w:p>
    <w:p>
      <w:pPr>
        <w:pStyle w:val="BodyText"/>
        <w:rPr>
          <w:sz w:val="20"/>
        </w:rPr>
      </w:pPr>
    </w:p>
    <w:p>
      <w:pPr>
        <w:pStyle w:val="BodyText"/>
        <w:spacing w:before="5"/>
        <w:rPr>
          <w:sz w:val="18"/>
        </w:rPr>
      </w:pPr>
    </w:p>
    <w:p>
      <w:pPr>
        <w:pStyle w:val="BodyText"/>
        <w:spacing w:before="70"/>
        <w:ind w:left="144" w:right="148"/>
        <w:jc w:val="both"/>
      </w:pPr>
      <w:r>
        <w:rPr/>
        <w:t>Bailiff NL, Westropp JL, Nelson RW, et al. Evaluation of urine specific gravity and urine sediment as risk factors for urinary tract infections in cats. </w:t>
      </w:r>
      <w:r>
        <w:rPr>
          <w:u w:val="single"/>
        </w:rPr>
        <w:t>Vet Clin Pathol </w:t>
      </w:r>
      <w:r>
        <w:rPr/>
        <w:t>2008X37(7):317–22.</w:t>
      </w:r>
    </w:p>
    <w:p>
      <w:pPr>
        <w:pStyle w:val="BodyText"/>
      </w:pPr>
    </w:p>
    <w:p>
      <w:pPr>
        <w:pStyle w:val="BodyText"/>
        <w:spacing w:before="4"/>
        <w:rPr>
          <w:sz w:val="21"/>
        </w:rPr>
      </w:pPr>
    </w:p>
    <w:p>
      <w:pPr>
        <w:pStyle w:val="BodyText"/>
        <w:spacing w:line="274" w:lineRule="exact"/>
        <w:ind w:left="144" w:right="148"/>
        <w:jc w:val="both"/>
      </w:pPr>
      <w:r>
        <w:rPr/>
        <w:t>Bannasch D, Safra N, Young A, et al. Mutations in the SLC2A9 gene cause hyperuricosuria and hyperuricemia in the dog. </w:t>
      </w:r>
      <w:r>
        <w:rPr>
          <w:i/>
          <w:u w:val="single"/>
        </w:rPr>
        <w:t>PLoS Genet</w:t>
      </w:r>
      <w:r>
        <w:rPr>
          <w:i/>
        </w:rPr>
        <w:t> </w:t>
      </w:r>
      <w:r>
        <w:rPr/>
        <w:t>2008</w:t>
      </w:r>
      <w:r>
        <w:rPr>
          <w:w w:val="41"/>
        </w:rPr>
        <w:t>X</w:t>
      </w:r>
      <w:r>
        <w:rPr/>
        <w:t>4(11):e1000246.</w:t>
      </w:r>
    </w:p>
    <w:p>
      <w:pPr>
        <w:pStyle w:val="BodyText"/>
        <w:rPr>
          <w:sz w:val="20"/>
        </w:rPr>
      </w:pPr>
    </w:p>
    <w:p>
      <w:pPr>
        <w:pStyle w:val="BodyText"/>
        <w:spacing w:before="5"/>
        <w:rPr>
          <w:sz w:val="18"/>
        </w:rPr>
      </w:pPr>
    </w:p>
    <w:p>
      <w:pPr>
        <w:pStyle w:val="BodyText"/>
        <w:spacing w:line="242" w:lineRule="auto" w:before="70"/>
        <w:ind w:left="144" w:right="145"/>
      </w:pPr>
      <w:r>
        <w:rPr/>
        <w:t>Bargai U, Bark H. Multiple congenital urinary tract abnormalities in a bitch: a case history report. </w:t>
      </w:r>
      <w:r>
        <w:rPr>
          <w:u w:val="single"/>
        </w:rPr>
        <w:t>Vet Radiol Ultrasound</w:t>
      </w:r>
      <w:r>
        <w:rPr/>
        <w:t> 1982</w:t>
      </w:r>
      <w:r>
        <w:rPr>
          <w:w w:val="41"/>
        </w:rPr>
        <w:t>X</w:t>
      </w:r>
      <w:r>
        <w:rPr/>
        <w:t>23(1):10</w:t>
      </w:r>
      <w:r>
        <w:rPr>
          <w:w w:val="119"/>
        </w:rPr>
        <w:t>[</w:t>
      </w:r>
      <w:r>
        <w:rPr/>
        <w:t>2.</w:t>
      </w:r>
    </w:p>
    <w:p>
      <w:pPr>
        <w:spacing w:after="0" w:line="242" w:lineRule="auto"/>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242" w:lineRule="auto" w:before="70"/>
        <w:ind w:left="144" w:right="144"/>
      </w:pPr>
      <w:r>
        <w:rPr/>
        <w:t>Barsanti JA, Finco DR. Evaluation of techniques for diagnosis of canine prostatic diseases. </w:t>
      </w:r>
      <w:r>
        <w:rPr>
          <w:u w:val="single"/>
        </w:rPr>
        <w:t>J Am Vet Med Assoc </w:t>
      </w:r>
      <w:r>
        <w:rPr/>
        <w:t>1984X185(2):198–200.</w:t>
      </w:r>
    </w:p>
    <w:p>
      <w:pPr>
        <w:pStyle w:val="BodyText"/>
        <w:rPr>
          <w:sz w:val="20"/>
        </w:rPr>
      </w:pPr>
    </w:p>
    <w:p>
      <w:pPr>
        <w:pStyle w:val="BodyText"/>
        <w:spacing w:before="7"/>
        <w:rPr>
          <w:sz w:val="18"/>
        </w:rPr>
      </w:pPr>
    </w:p>
    <w:p>
      <w:pPr>
        <w:pStyle w:val="BodyText"/>
        <w:spacing w:line="274" w:lineRule="exact" w:before="75"/>
        <w:ind w:left="144" w:right="148"/>
        <w:jc w:val="both"/>
      </w:pPr>
      <w:r>
        <w:rPr/>
        <w:t>Barsanti JA, Finco DR. Canine prostatic disease. </w:t>
      </w:r>
      <w:r>
        <w:rPr>
          <w:u w:val="single"/>
        </w:rPr>
        <w:t>Vet Clin North Am Small Anim Prac </w:t>
      </w:r>
      <w:r>
        <w:rPr/>
        <w:t>1986X16(3):587–99.</w:t>
      </w:r>
    </w:p>
    <w:p>
      <w:pPr>
        <w:pStyle w:val="BodyText"/>
      </w:pPr>
    </w:p>
    <w:p>
      <w:pPr>
        <w:pStyle w:val="BodyText"/>
        <w:spacing w:before="6"/>
        <w:rPr>
          <w:sz w:val="20"/>
        </w:rPr>
      </w:pPr>
    </w:p>
    <w:p>
      <w:pPr>
        <w:pStyle w:val="BodyText"/>
        <w:ind w:left="144" w:right="148"/>
        <w:jc w:val="both"/>
      </w:pPr>
      <w:r>
        <w:rPr/>
        <w:t>Bartges JW, Osborne CA, Felice J. Canine xanthine uroliths: risk factor management. In: Kirk RW and Bonagura JD (eds.) </w:t>
      </w:r>
      <w:r>
        <w:rPr>
          <w:u w:val="single"/>
        </w:rPr>
        <w:t>Kirk´s Current Veterinary Therapy XI</w:t>
      </w:r>
      <w:r>
        <w:rPr/>
        <w:t>. Elsevier, USA 1992:900[905</w:t>
      </w:r>
    </w:p>
    <w:p>
      <w:pPr>
        <w:pStyle w:val="BodyText"/>
      </w:pPr>
    </w:p>
    <w:p>
      <w:pPr>
        <w:pStyle w:val="BodyText"/>
        <w:spacing w:before="10"/>
        <w:rPr>
          <w:sz w:val="20"/>
        </w:rPr>
      </w:pPr>
    </w:p>
    <w:p>
      <w:pPr>
        <w:pStyle w:val="BodyText"/>
        <w:spacing w:line="242" w:lineRule="auto"/>
        <w:ind w:left="144" w:right="148"/>
        <w:jc w:val="both"/>
      </w:pPr>
      <w:r>
        <w:rPr/>
        <w:t>Bartges JW, Blanco L. Bacterial urinary tract infection in cats. </w:t>
      </w:r>
      <w:r>
        <w:rPr>
          <w:u w:val="single"/>
        </w:rPr>
        <w:t>Compend Standard Care </w:t>
      </w:r>
      <w:r>
        <w:rPr/>
        <w:t>2001X3(9):1–5.</w:t>
      </w:r>
    </w:p>
    <w:p>
      <w:pPr>
        <w:pStyle w:val="BodyText"/>
      </w:pPr>
    </w:p>
    <w:p>
      <w:pPr>
        <w:pStyle w:val="BodyText"/>
        <w:spacing w:before="7"/>
        <w:rPr>
          <w:sz w:val="20"/>
        </w:rPr>
      </w:pPr>
    </w:p>
    <w:p>
      <w:pPr>
        <w:pStyle w:val="BodyText"/>
        <w:ind w:left="144"/>
        <w:jc w:val="both"/>
      </w:pPr>
      <w:r>
        <w:rPr/>
        <w:t>Bartges JW. Diagnosis of urinary infections. </w:t>
      </w:r>
      <w:r>
        <w:rPr>
          <w:u w:val="single"/>
        </w:rPr>
        <w:t>Vet Clin Small Anim </w:t>
      </w:r>
      <w:r>
        <w:rPr/>
        <w:t>2004X34(4):923–33.</w:t>
      </w:r>
    </w:p>
    <w:p>
      <w:pPr>
        <w:pStyle w:val="BodyText"/>
        <w:rPr>
          <w:sz w:val="20"/>
        </w:rPr>
      </w:pPr>
    </w:p>
    <w:p>
      <w:pPr>
        <w:pStyle w:val="BodyText"/>
        <w:spacing w:before="9"/>
        <w:rPr>
          <w:sz w:val="18"/>
        </w:rPr>
      </w:pPr>
    </w:p>
    <w:p>
      <w:pPr>
        <w:pStyle w:val="BodyText"/>
        <w:spacing w:before="70"/>
        <w:ind w:left="144" w:right="148"/>
        <w:jc w:val="both"/>
      </w:pPr>
      <w:r>
        <w:rPr/>
        <w:t>Bell FW, Klausner JS, Hayden DW, et al. Clinical and pathologic features of prostatic adenocarcinoma in sexually intact and castrated dogs: 31 cases (1970[ 1987). </w:t>
      </w:r>
      <w:r>
        <w:rPr>
          <w:u w:val="single"/>
        </w:rPr>
        <w:t>J Am Vet Med Assoc </w:t>
      </w:r>
      <w:r>
        <w:rPr/>
        <w:t>1991X199(11):1623[30</w:t>
      </w:r>
    </w:p>
    <w:p>
      <w:pPr>
        <w:pStyle w:val="BodyText"/>
        <w:rPr>
          <w:sz w:val="20"/>
        </w:rPr>
      </w:pPr>
    </w:p>
    <w:p>
      <w:pPr>
        <w:pStyle w:val="BodyText"/>
        <w:spacing w:before="9"/>
        <w:rPr>
          <w:sz w:val="18"/>
        </w:rPr>
      </w:pPr>
    </w:p>
    <w:p>
      <w:pPr>
        <w:pStyle w:val="BodyText"/>
        <w:spacing w:line="274" w:lineRule="exact" w:before="76"/>
        <w:ind w:left="144" w:right="144"/>
      </w:pPr>
      <w:r>
        <w:rPr/>
        <w:t>Bellah JR, Spencer CP, Salmeri KR. Hemiprostatic urethral avulsion during cryptorchid orchiectomy in a dog. </w:t>
      </w:r>
      <w:r>
        <w:rPr>
          <w:u w:val="single"/>
        </w:rPr>
        <w:t>J Am Anim Hosp assoc </w:t>
      </w:r>
      <w:r>
        <w:rPr/>
        <w:t>1989X25(5):553[6.</w:t>
      </w:r>
    </w:p>
    <w:p>
      <w:pPr>
        <w:pStyle w:val="BodyText"/>
        <w:rPr>
          <w:sz w:val="20"/>
        </w:rPr>
      </w:pPr>
    </w:p>
    <w:p>
      <w:pPr>
        <w:pStyle w:val="BodyText"/>
        <w:spacing w:before="5"/>
        <w:rPr>
          <w:sz w:val="18"/>
        </w:rPr>
      </w:pPr>
    </w:p>
    <w:p>
      <w:pPr>
        <w:pStyle w:val="BodyText"/>
        <w:spacing w:line="242" w:lineRule="auto" w:before="70"/>
        <w:ind w:left="144" w:right="144"/>
      </w:pPr>
      <w:r>
        <w:rPr/>
        <w:t>Black GM, Ling GV, Nyland TG, et al. T. Prevalence of prostatic cysts in adult, large[ breed dogs. </w:t>
      </w:r>
      <w:r>
        <w:rPr>
          <w:u w:val="single"/>
        </w:rPr>
        <w:t>J Am Anim Hosp Assoc </w:t>
      </w:r>
      <w:r>
        <w:rPr/>
        <w:t>1998X34(2):177–80.</w:t>
      </w:r>
    </w:p>
    <w:p>
      <w:pPr>
        <w:pStyle w:val="BodyText"/>
        <w:rPr>
          <w:sz w:val="20"/>
        </w:rPr>
      </w:pPr>
    </w:p>
    <w:p>
      <w:pPr>
        <w:pStyle w:val="BodyText"/>
        <w:spacing w:before="7"/>
        <w:rPr>
          <w:sz w:val="18"/>
        </w:rPr>
      </w:pPr>
    </w:p>
    <w:p>
      <w:pPr>
        <w:pStyle w:val="BodyText"/>
        <w:spacing w:before="69"/>
        <w:ind w:left="144" w:right="148"/>
        <w:jc w:val="both"/>
      </w:pPr>
      <w:r>
        <w:rPr/>
        <w:t>Bubenik L, Hosgood G. Urinary tract infection in dogs with thoracolumbar intervertebral disc herniation and urinary bladder dysfunction managed by manual expression, indwelling catheterization or intermittent catheterization. </w:t>
      </w:r>
      <w:r>
        <w:rPr>
          <w:u w:val="single"/>
        </w:rPr>
        <w:t>Vet Surg </w:t>
      </w:r>
      <w:r>
        <w:rPr/>
        <w:t>2008X37(8):791[800</w:t>
      </w:r>
    </w:p>
    <w:p>
      <w:pPr>
        <w:pStyle w:val="BodyText"/>
        <w:rPr>
          <w:sz w:val="20"/>
        </w:rPr>
      </w:pPr>
    </w:p>
    <w:p>
      <w:pPr>
        <w:pStyle w:val="BodyText"/>
        <w:spacing w:before="9"/>
        <w:rPr>
          <w:sz w:val="18"/>
        </w:rPr>
      </w:pPr>
    </w:p>
    <w:p>
      <w:pPr>
        <w:pStyle w:val="BodyText"/>
        <w:spacing w:line="274" w:lineRule="exact" w:before="76"/>
        <w:ind w:left="144" w:right="148"/>
      </w:pPr>
      <w:r>
        <w:rPr/>
        <w:t>Buffington CA, Chew DJ, Kendall MS, et al. Clinical evaluation of cats with nonobstructive urinary tract disease. </w:t>
      </w:r>
      <w:r>
        <w:rPr>
          <w:u w:val="single"/>
        </w:rPr>
        <w:t>J Am Vet Med Assoc </w:t>
      </w:r>
      <w:r>
        <w:rPr/>
        <w:t>1997X210(1):46–50.</w:t>
      </w:r>
    </w:p>
    <w:p>
      <w:pPr>
        <w:pStyle w:val="BodyText"/>
        <w:rPr>
          <w:sz w:val="20"/>
        </w:rPr>
      </w:pPr>
    </w:p>
    <w:p>
      <w:pPr>
        <w:pStyle w:val="BodyText"/>
        <w:spacing w:before="5"/>
        <w:rPr>
          <w:sz w:val="18"/>
        </w:rPr>
      </w:pPr>
    </w:p>
    <w:p>
      <w:pPr>
        <w:pStyle w:val="BodyText"/>
        <w:spacing w:line="242" w:lineRule="auto" w:before="70"/>
        <w:ind w:left="144" w:right="144"/>
      </w:pPr>
      <w:r>
        <w:rPr/>
        <w:t>Caione P, Capozza N, Zavaglia D, et al. Anterior perianal reconstrucción in exstrophy[ epispadias complex. </w:t>
      </w:r>
      <w:r>
        <w:rPr>
          <w:u w:val="single"/>
        </w:rPr>
        <w:t>Eur Urol </w:t>
      </w:r>
      <w:r>
        <w:rPr/>
        <w:t>2005X47(6):872[7.</w:t>
      </w:r>
    </w:p>
    <w:p>
      <w:pPr>
        <w:spacing w:after="0" w:line="242" w:lineRule="auto"/>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242" w:lineRule="auto" w:before="70"/>
        <w:ind w:left="144" w:right="144"/>
      </w:pPr>
      <w:r>
        <w:rPr/>
        <w:t>Cohn LA, Gary AT, Fales WH, et al. Trends in fluoroquinolone resistance of bacteria isolated from canine urinary tracts. </w:t>
      </w:r>
      <w:r>
        <w:rPr>
          <w:u w:val="single"/>
        </w:rPr>
        <w:t>J Vet Diagn Invest </w:t>
      </w:r>
      <w:r>
        <w:rPr/>
        <w:t>2003X15(4):338–43.</w:t>
      </w:r>
    </w:p>
    <w:p>
      <w:pPr>
        <w:pStyle w:val="BodyText"/>
        <w:rPr>
          <w:sz w:val="20"/>
        </w:rPr>
      </w:pPr>
    </w:p>
    <w:p>
      <w:pPr>
        <w:pStyle w:val="BodyText"/>
        <w:spacing w:before="7"/>
        <w:rPr>
          <w:sz w:val="18"/>
        </w:rPr>
      </w:pPr>
    </w:p>
    <w:p>
      <w:pPr>
        <w:pStyle w:val="BodyText"/>
        <w:spacing w:line="274" w:lineRule="exact" w:before="75"/>
        <w:ind w:left="144" w:right="144"/>
      </w:pPr>
      <w:r>
        <w:rPr/>
        <w:t>Cornel KK. Cystotomy, partial cystectomy, and tuve cystotomy. </w:t>
      </w:r>
      <w:r>
        <w:rPr>
          <w:u w:val="single"/>
        </w:rPr>
        <w:t>Clin Tech Small Anim </w:t>
      </w:r>
      <w:r>
        <w:rPr>
          <w:w w:val="95"/>
          <w:u w:val="single"/>
        </w:rPr>
        <w:t>Pract </w:t>
      </w:r>
      <w:r>
        <w:rPr>
          <w:w w:val="95"/>
        </w:rPr>
        <w:t>2000X15(1):11[6.</w:t>
      </w:r>
    </w:p>
    <w:p>
      <w:pPr>
        <w:pStyle w:val="BodyText"/>
        <w:rPr>
          <w:sz w:val="20"/>
        </w:rPr>
      </w:pPr>
    </w:p>
    <w:p>
      <w:pPr>
        <w:pStyle w:val="BodyText"/>
        <w:spacing w:before="5"/>
        <w:rPr>
          <w:sz w:val="18"/>
        </w:rPr>
      </w:pPr>
    </w:p>
    <w:p>
      <w:pPr>
        <w:pStyle w:val="BodyText"/>
        <w:spacing w:before="70"/>
        <w:ind w:left="144" w:right="148"/>
        <w:jc w:val="both"/>
      </w:pPr>
      <w:r>
        <w:rPr/>
        <w:t>Cote E, Carroll MC, Beck KA, et al. Diagnosis of urinary bladder ruptura using  ultrasound contrast cystography: in vitro model and two case[history reports. </w:t>
      </w:r>
      <w:r>
        <w:rPr>
          <w:u w:val="single"/>
        </w:rPr>
        <w:t>Vet Radiol </w:t>
      </w:r>
      <w:r>
        <w:rPr>
          <w:w w:val="95"/>
          <w:u w:val="single"/>
        </w:rPr>
        <w:t>Ultrasound </w:t>
      </w:r>
      <w:r>
        <w:rPr>
          <w:spacing w:val="14"/>
          <w:w w:val="95"/>
          <w:u w:val="single"/>
        </w:rPr>
        <w:t> </w:t>
      </w:r>
      <w:r>
        <w:rPr>
          <w:w w:val="95"/>
        </w:rPr>
        <w:t>2002X43(3):281[6.</w:t>
      </w:r>
    </w:p>
    <w:p>
      <w:pPr>
        <w:pStyle w:val="BodyText"/>
        <w:rPr>
          <w:sz w:val="20"/>
        </w:rPr>
      </w:pPr>
    </w:p>
    <w:p>
      <w:pPr>
        <w:pStyle w:val="BodyText"/>
        <w:spacing w:before="9"/>
        <w:rPr>
          <w:sz w:val="18"/>
        </w:rPr>
      </w:pPr>
    </w:p>
    <w:p>
      <w:pPr>
        <w:pStyle w:val="BodyText"/>
        <w:spacing w:before="70"/>
        <w:ind w:left="144" w:right="148"/>
        <w:jc w:val="both"/>
      </w:pPr>
      <w:r>
        <w:rPr/>
        <w:t>Crawford JT, Adams WM. Influence of vestibulovaginal stenosis, pelvic bladder, and recessed vulva on response to treatment for clinical signs of lower urinary tract disease in dogs: 38 cases (1990–1999). </w:t>
      </w:r>
      <w:r>
        <w:rPr>
          <w:u w:val="single"/>
        </w:rPr>
        <w:t>J Am Vet Med Assoc </w:t>
      </w:r>
      <w:r>
        <w:rPr/>
        <w:t>2002X221(7):995–9.</w:t>
      </w:r>
    </w:p>
    <w:p>
      <w:pPr>
        <w:pStyle w:val="BodyText"/>
        <w:rPr>
          <w:sz w:val="20"/>
        </w:rPr>
      </w:pPr>
    </w:p>
    <w:p>
      <w:pPr>
        <w:pStyle w:val="BodyText"/>
        <w:spacing w:before="9"/>
        <w:rPr>
          <w:sz w:val="18"/>
        </w:rPr>
      </w:pPr>
    </w:p>
    <w:p>
      <w:pPr>
        <w:pStyle w:val="BodyText"/>
        <w:spacing w:line="242" w:lineRule="auto" w:before="70"/>
        <w:ind w:left="144" w:right="144"/>
      </w:pPr>
      <w:r>
        <w:rPr/>
        <w:t>Cruz GN, Gómez GM, Lovaco CF, et al. Silica urolitiasis: Reporto of a new case. </w:t>
      </w:r>
      <w:r>
        <w:rPr>
          <w:u w:val="single"/>
        </w:rPr>
        <w:t>Actas Urol Esp</w:t>
      </w:r>
      <w:r>
        <w:rPr/>
        <w:t>. 2000X24(2):405[7</w:t>
      </w:r>
    </w:p>
    <w:p>
      <w:pPr>
        <w:pStyle w:val="BodyText"/>
        <w:rPr>
          <w:sz w:val="20"/>
        </w:rPr>
      </w:pPr>
    </w:p>
    <w:p>
      <w:pPr>
        <w:pStyle w:val="BodyText"/>
        <w:spacing w:before="7"/>
        <w:rPr>
          <w:sz w:val="18"/>
        </w:rPr>
      </w:pPr>
    </w:p>
    <w:p>
      <w:pPr>
        <w:pStyle w:val="BodyText"/>
        <w:spacing w:line="274" w:lineRule="exact" w:before="75"/>
        <w:ind w:left="144" w:right="144"/>
      </w:pPr>
      <w:r>
        <w:rPr/>
        <w:t>Del Angel CJ, Diez PI, Pérez GC, et al. Composition of lower urinary tract stones in canines in Mexico city. </w:t>
      </w:r>
      <w:r>
        <w:rPr>
          <w:u w:val="single"/>
        </w:rPr>
        <w:t>Urol. Res. </w:t>
      </w:r>
      <w:r>
        <w:rPr/>
        <w:t>2010X38(3):201–4</w:t>
      </w:r>
    </w:p>
    <w:p>
      <w:pPr>
        <w:pStyle w:val="BodyText"/>
        <w:rPr>
          <w:sz w:val="20"/>
        </w:rPr>
      </w:pPr>
    </w:p>
    <w:p>
      <w:pPr>
        <w:pStyle w:val="BodyText"/>
        <w:spacing w:before="5"/>
        <w:rPr>
          <w:sz w:val="18"/>
        </w:rPr>
      </w:pPr>
    </w:p>
    <w:p>
      <w:pPr>
        <w:pStyle w:val="BodyText"/>
        <w:spacing w:line="242" w:lineRule="auto" w:before="70"/>
        <w:ind w:left="144" w:right="144"/>
      </w:pPr>
      <w:r>
        <w:rPr/>
        <w:t>Dorfan MJ. Barsanti J, Budsberg SC. Enrofloxacina concentrations in dog with normal prostate and dogs with chronic bacterial prostatitis. </w:t>
      </w:r>
      <w:r>
        <w:rPr>
          <w:u w:val="single"/>
        </w:rPr>
        <w:t>Am J Vet Res </w:t>
      </w:r>
      <w:r>
        <w:rPr/>
        <w:t>1995X56(3):386[90.</w:t>
      </w:r>
    </w:p>
    <w:p>
      <w:pPr>
        <w:pStyle w:val="BodyText"/>
        <w:rPr>
          <w:sz w:val="20"/>
        </w:rPr>
      </w:pPr>
    </w:p>
    <w:p>
      <w:pPr>
        <w:pStyle w:val="BodyText"/>
        <w:spacing w:before="7"/>
        <w:rPr>
          <w:sz w:val="18"/>
        </w:rPr>
      </w:pPr>
    </w:p>
    <w:p>
      <w:pPr>
        <w:pStyle w:val="BodyText"/>
        <w:spacing w:line="274" w:lineRule="exact" w:before="75"/>
        <w:ind w:left="144" w:right="144"/>
      </w:pPr>
      <w:r>
        <w:rPr/>
        <w:t>Dowling MP. Antimicrobial therapi of urinary tract infections. </w:t>
      </w:r>
      <w:r>
        <w:rPr>
          <w:u w:val="single"/>
        </w:rPr>
        <w:t>Can Vet J</w:t>
      </w:r>
      <w:r>
        <w:rPr/>
        <w:t> 1996</w:t>
      </w:r>
      <w:r>
        <w:rPr>
          <w:w w:val="41"/>
        </w:rPr>
        <w:t>X</w:t>
      </w:r>
      <w:r>
        <w:rPr/>
        <w:t>37(7):438</w:t>
      </w:r>
      <w:r>
        <w:rPr>
          <w:w w:val="119"/>
        </w:rPr>
        <w:t>[ </w:t>
      </w:r>
      <w:r>
        <w:rPr/>
        <w:t>41.</w:t>
      </w:r>
    </w:p>
    <w:p>
      <w:pPr>
        <w:pStyle w:val="BodyText"/>
      </w:pPr>
    </w:p>
    <w:p>
      <w:pPr>
        <w:pStyle w:val="BodyText"/>
        <w:spacing w:before="6"/>
        <w:rPr>
          <w:sz w:val="20"/>
        </w:rPr>
      </w:pPr>
    </w:p>
    <w:p>
      <w:pPr>
        <w:pStyle w:val="BodyText"/>
        <w:tabs>
          <w:tab w:pos="5422" w:val="left" w:leader="none"/>
        </w:tabs>
        <w:spacing w:line="242" w:lineRule="auto"/>
        <w:ind w:left="144" w:right="148"/>
      </w:pPr>
      <w:r>
        <w:rPr/>
        <w:t>Drake MJ, Nixon PM, Crew   </w:t>
      </w:r>
      <w:r>
        <w:rPr>
          <w:spacing w:val="11"/>
        </w:rPr>
        <w:t> </w:t>
      </w:r>
      <w:r>
        <w:rPr/>
        <w:t>JP.</w:t>
      </w:r>
      <w:r>
        <w:rPr>
          <w:spacing w:val="42"/>
        </w:rPr>
        <w:t> </w:t>
      </w:r>
      <w:r>
        <w:rPr/>
        <w:t>Drug[induced</w:t>
        <w:tab/>
        <w:t>bladder  and  urinary</w:t>
      </w:r>
      <w:r>
        <w:rPr>
          <w:spacing w:val="-13"/>
        </w:rPr>
        <w:t> </w:t>
      </w:r>
      <w:r>
        <w:rPr/>
        <w:t>disorders.</w:t>
      </w:r>
      <w:r>
        <w:rPr>
          <w:spacing w:val="40"/>
        </w:rPr>
        <w:t> </w:t>
      </w:r>
      <w:r>
        <w:rPr/>
        <w:t>Incide, prevention</w:t>
      </w:r>
      <w:r>
        <w:rPr>
          <w:spacing w:val="-17"/>
        </w:rPr>
        <w:t> </w:t>
      </w:r>
      <w:r>
        <w:rPr/>
        <w:t>and</w:t>
      </w:r>
      <w:r>
        <w:rPr>
          <w:spacing w:val="-17"/>
        </w:rPr>
        <w:t> </w:t>
      </w:r>
      <w:r>
        <w:rPr/>
        <w:t>management.</w:t>
      </w:r>
      <w:r>
        <w:rPr>
          <w:spacing w:val="-18"/>
        </w:rPr>
        <w:t> </w:t>
      </w:r>
      <w:r>
        <w:rPr>
          <w:u w:val="single"/>
        </w:rPr>
        <w:t>Drugs</w:t>
      </w:r>
      <w:r>
        <w:rPr>
          <w:spacing w:val="-17"/>
          <w:u w:val="single"/>
        </w:rPr>
        <w:t> </w:t>
      </w:r>
      <w:r>
        <w:rPr>
          <w:u w:val="single"/>
        </w:rPr>
        <w:t>Saf</w:t>
      </w:r>
      <w:r>
        <w:rPr>
          <w:spacing w:val="-18"/>
          <w:u w:val="single"/>
        </w:rPr>
        <w:t> </w:t>
      </w:r>
      <w:r>
        <w:rPr/>
        <w:t>1998X19(1):45[55.</w:t>
      </w:r>
    </w:p>
    <w:p>
      <w:pPr>
        <w:pStyle w:val="BodyText"/>
        <w:rPr>
          <w:sz w:val="20"/>
        </w:rPr>
      </w:pPr>
    </w:p>
    <w:p>
      <w:pPr>
        <w:pStyle w:val="BodyText"/>
        <w:spacing w:before="7"/>
        <w:rPr>
          <w:sz w:val="18"/>
        </w:rPr>
      </w:pPr>
    </w:p>
    <w:p>
      <w:pPr>
        <w:pStyle w:val="BodyText"/>
        <w:spacing w:line="274" w:lineRule="exact" w:before="75"/>
        <w:ind w:left="144" w:right="144"/>
      </w:pPr>
      <w:r>
        <w:rPr/>
        <w:t>Dudley RM. Wilkens BE. Urethral obstruction as a complication of staged bilateral trilple pelvic osteotomy. </w:t>
      </w:r>
      <w:r>
        <w:rPr>
          <w:u w:val="single"/>
        </w:rPr>
        <w:t>J Am Anim Hosp Assoc</w:t>
      </w:r>
      <w:r>
        <w:rPr/>
        <w:t> 2004</w:t>
      </w:r>
      <w:r>
        <w:rPr>
          <w:w w:val="41"/>
        </w:rPr>
        <w:t>X</w:t>
      </w:r>
      <w:r>
        <w:rPr/>
        <w:t>41(5):162</w:t>
      </w:r>
      <w:r>
        <w:rPr>
          <w:w w:val="119"/>
        </w:rPr>
        <w:t>[</w:t>
      </w:r>
      <w:r>
        <w:rPr/>
        <w:t>4.</w:t>
      </w:r>
    </w:p>
    <w:p>
      <w:pPr>
        <w:pStyle w:val="BodyText"/>
        <w:rPr>
          <w:sz w:val="20"/>
        </w:rPr>
      </w:pPr>
    </w:p>
    <w:p>
      <w:pPr>
        <w:pStyle w:val="BodyText"/>
        <w:spacing w:before="5"/>
        <w:rPr>
          <w:sz w:val="18"/>
        </w:rPr>
      </w:pPr>
    </w:p>
    <w:p>
      <w:pPr>
        <w:pStyle w:val="BodyText"/>
        <w:spacing w:line="242" w:lineRule="auto" w:before="70"/>
        <w:ind w:left="144" w:right="144"/>
      </w:pPr>
      <w:r>
        <w:rPr/>
        <w:t>Fenner W. Neurologic disorders of micturition. In: Bojrad J (ed). </w:t>
      </w:r>
      <w:r>
        <w:rPr>
          <w:u w:val="single"/>
        </w:rPr>
        <w:t>Disease Mechanisms in Small Animal Surgery. </w:t>
      </w:r>
      <w:r>
        <w:rPr/>
        <w:t>Lippincott Williams and Wilkins, USA 1993:520–527.</w:t>
      </w:r>
    </w:p>
    <w:p>
      <w:pPr>
        <w:spacing w:after="0" w:line="242" w:lineRule="auto"/>
        <w:sectPr>
          <w:footerReference w:type="default" r:id="rId21"/>
          <w:pgSz w:w="12240" w:h="15840"/>
          <w:pgMar w:footer="882" w:header="886" w:top="1140" w:bottom="1080" w:left="1560" w:right="980"/>
        </w:sectPr>
      </w:pPr>
    </w:p>
    <w:p>
      <w:pPr>
        <w:pStyle w:val="BodyText"/>
        <w:rPr>
          <w:sz w:val="20"/>
        </w:rPr>
      </w:pPr>
    </w:p>
    <w:p>
      <w:pPr>
        <w:pStyle w:val="BodyText"/>
        <w:spacing w:before="4"/>
        <w:rPr>
          <w:sz w:val="22"/>
        </w:rPr>
      </w:pPr>
    </w:p>
    <w:p>
      <w:pPr>
        <w:pStyle w:val="BodyText"/>
        <w:spacing w:line="242" w:lineRule="auto" w:before="70"/>
        <w:ind w:left="144" w:right="144"/>
      </w:pPr>
      <w:r>
        <w:rPr/>
        <w:t>Fischer J, Lane I. Incontinence and urine retention. In: Brainbridge J and Elliott J (eds). </w:t>
      </w:r>
      <w:r>
        <w:rPr>
          <w:u w:val="single"/>
        </w:rPr>
        <w:t>Manual of Canine and Feline Nephrology and Urology. </w:t>
      </w:r>
      <w:r>
        <w:rPr/>
        <w:t>BSAVA, Inglaterra 2007:26–40</w:t>
      </w:r>
    </w:p>
    <w:p>
      <w:pPr>
        <w:pStyle w:val="BodyText"/>
        <w:spacing w:before="2"/>
        <w:rPr>
          <w:sz w:val="28"/>
        </w:rPr>
      </w:pPr>
    </w:p>
    <w:p>
      <w:pPr>
        <w:pStyle w:val="BodyText"/>
        <w:spacing w:line="274" w:lineRule="exact" w:before="75"/>
        <w:ind w:left="144" w:right="144"/>
      </w:pPr>
      <w:r>
        <w:rPr/>
        <w:t>Flegel TR, Freistadt R, Haider W. Xanthine urolithiasis in a Dachshund. </w:t>
      </w:r>
      <w:r>
        <w:rPr>
          <w:u w:val="single"/>
        </w:rPr>
        <w:t>Vet Rec </w:t>
      </w:r>
      <w:r>
        <w:rPr/>
        <w:t>1998X143(15):420[3.</w:t>
      </w:r>
    </w:p>
    <w:p>
      <w:pPr>
        <w:pStyle w:val="BodyText"/>
        <w:spacing w:before="1"/>
        <w:rPr>
          <w:sz w:val="34"/>
        </w:rPr>
      </w:pPr>
    </w:p>
    <w:p>
      <w:pPr>
        <w:pStyle w:val="BodyText"/>
        <w:tabs>
          <w:tab w:pos="5816" w:val="left" w:leader="none"/>
        </w:tabs>
        <w:spacing w:line="242" w:lineRule="auto"/>
        <w:ind w:left="144" w:right="148"/>
      </w:pPr>
      <w:r>
        <w:rPr/>
        <w:t>Foster SF, Hunt GB, Malik R.   </w:t>
      </w:r>
      <w:r>
        <w:rPr>
          <w:spacing w:val="19"/>
        </w:rPr>
        <w:t> </w:t>
      </w:r>
      <w:r>
        <w:rPr/>
        <w:t>Congenital</w:t>
      </w:r>
      <w:r>
        <w:rPr>
          <w:spacing w:val="36"/>
        </w:rPr>
        <w:t> </w:t>
      </w:r>
      <w:r>
        <w:rPr/>
        <w:t>urethral</w:t>
        <w:tab/>
        <w:t>anomaly in a kitten. </w:t>
      </w:r>
      <w:r>
        <w:rPr>
          <w:u w:val="single"/>
        </w:rPr>
        <w:t>J  </w:t>
      </w:r>
      <w:r>
        <w:rPr>
          <w:spacing w:val="50"/>
          <w:u w:val="single"/>
        </w:rPr>
        <w:t> </w:t>
      </w:r>
      <w:r>
        <w:rPr>
          <w:u w:val="single"/>
        </w:rPr>
        <w:t>Feline</w:t>
      </w:r>
      <w:r>
        <w:rPr>
          <w:spacing w:val="36"/>
          <w:u w:val="single"/>
        </w:rPr>
        <w:t> </w:t>
      </w:r>
      <w:r>
        <w:rPr>
          <w:u w:val="single"/>
        </w:rPr>
        <w:t>Med</w:t>
      </w:r>
      <w:r>
        <w:rPr/>
        <w:t> </w:t>
      </w:r>
      <w:r>
        <w:rPr>
          <w:w w:val="95"/>
          <w:u w:val="single"/>
        </w:rPr>
        <w:t>Surg</w:t>
      </w:r>
      <w:r>
        <w:rPr>
          <w:spacing w:val="33"/>
          <w:w w:val="95"/>
          <w:u w:val="single"/>
        </w:rPr>
        <w:t> </w:t>
      </w:r>
      <w:r>
        <w:rPr>
          <w:w w:val="95"/>
        </w:rPr>
        <w:t>1999X1(1):61[4.</w:t>
      </w:r>
    </w:p>
    <w:p>
      <w:pPr>
        <w:pStyle w:val="BodyText"/>
        <w:rPr>
          <w:sz w:val="20"/>
        </w:rPr>
      </w:pPr>
    </w:p>
    <w:p>
      <w:pPr>
        <w:pStyle w:val="BodyText"/>
        <w:spacing w:before="7"/>
        <w:rPr>
          <w:sz w:val="18"/>
        </w:rPr>
      </w:pPr>
    </w:p>
    <w:p>
      <w:pPr>
        <w:pStyle w:val="BodyText"/>
        <w:spacing w:line="274" w:lineRule="exact" w:before="75"/>
        <w:ind w:left="144" w:right="148"/>
        <w:jc w:val="both"/>
      </w:pPr>
      <w:r>
        <w:rPr/>
        <w:t>Gannon KM, Moses L. Uroabdomen in dog and cat. </w:t>
      </w:r>
      <w:r>
        <w:rPr>
          <w:u w:val="single"/>
        </w:rPr>
        <w:t>Comp Contin Educ Pract Vet </w:t>
      </w:r>
      <w:r>
        <w:rPr/>
        <w:t>2002X24(8):604[12.</w:t>
      </w:r>
    </w:p>
    <w:p>
      <w:pPr>
        <w:pStyle w:val="BodyText"/>
      </w:pPr>
    </w:p>
    <w:p>
      <w:pPr>
        <w:pStyle w:val="BodyText"/>
        <w:spacing w:before="6"/>
        <w:rPr>
          <w:sz w:val="20"/>
        </w:rPr>
      </w:pPr>
    </w:p>
    <w:p>
      <w:pPr>
        <w:pStyle w:val="BodyText"/>
        <w:ind w:left="144" w:right="148"/>
        <w:jc w:val="both"/>
      </w:pPr>
      <w:r>
        <w:rPr/>
        <w:t>Gnanandarajah JS, Abrahante JE, Lulich JP, et al. Precense of </w:t>
      </w:r>
      <w:r>
        <w:rPr>
          <w:i/>
        </w:rPr>
        <w:t>oxalobacter formigenes </w:t>
      </w:r>
      <w:r>
        <w:rPr/>
        <w:t>in the intestinal tract is associated with the absence of calcium oxalate urolith formation in dogs. </w:t>
      </w:r>
      <w:r>
        <w:rPr>
          <w:u w:val="single"/>
        </w:rPr>
        <w:t>Urol Res </w:t>
      </w:r>
      <w:r>
        <w:rPr/>
        <w:t>2012X40(5):467[73.</w:t>
      </w:r>
    </w:p>
    <w:p>
      <w:pPr>
        <w:pStyle w:val="BodyText"/>
        <w:spacing w:before="4"/>
        <w:rPr>
          <w:sz w:val="28"/>
        </w:rPr>
      </w:pPr>
    </w:p>
    <w:p>
      <w:pPr>
        <w:pStyle w:val="BodyText"/>
        <w:spacing w:line="242" w:lineRule="auto" w:before="70"/>
        <w:ind w:left="144" w:right="144"/>
      </w:pPr>
      <w:r>
        <w:rPr/>
        <w:t>Gobello C, Corrada Y. Noninfectious prostatic diseases in dogs. </w:t>
      </w:r>
      <w:r>
        <w:rPr>
          <w:u w:val="single"/>
        </w:rPr>
        <w:t>Compend Contin Educ </w:t>
      </w:r>
      <w:r>
        <w:rPr>
          <w:w w:val="95"/>
          <w:u w:val="single"/>
        </w:rPr>
        <w:t>Vet </w:t>
      </w:r>
      <w:r>
        <w:rPr>
          <w:w w:val="95"/>
        </w:rPr>
        <w:t>2002X24(2):99–107</w:t>
      </w:r>
    </w:p>
    <w:p>
      <w:pPr>
        <w:pStyle w:val="BodyText"/>
        <w:rPr>
          <w:sz w:val="20"/>
        </w:rPr>
      </w:pPr>
    </w:p>
    <w:p>
      <w:pPr>
        <w:pStyle w:val="BodyText"/>
        <w:spacing w:before="7"/>
        <w:rPr>
          <w:sz w:val="18"/>
        </w:rPr>
      </w:pPr>
    </w:p>
    <w:p>
      <w:pPr>
        <w:pStyle w:val="BodyText"/>
        <w:spacing w:line="274" w:lineRule="exact" w:before="75"/>
        <w:ind w:left="144" w:right="144"/>
      </w:pPr>
      <w:r>
        <w:rPr/>
        <w:t>Gregory SP. Developments in the understanding of the pathophysiology of urethral sphincter mechanism in competence in the bitch. </w:t>
      </w:r>
      <w:r>
        <w:rPr>
          <w:u w:val="single"/>
        </w:rPr>
        <w:t>Br Vet J </w:t>
      </w:r>
      <w:r>
        <w:rPr/>
        <w:t>1994X150(2):135–50.</w:t>
      </w:r>
    </w:p>
    <w:p>
      <w:pPr>
        <w:pStyle w:val="BodyText"/>
        <w:rPr>
          <w:sz w:val="20"/>
        </w:rPr>
      </w:pPr>
    </w:p>
    <w:p>
      <w:pPr>
        <w:pStyle w:val="BodyText"/>
        <w:spacing w:before="5"/>
        <w:rPr>
          <w:sz w:val="18"/>
        </w:rPr>
      </w:pPr>
    </w:p>
    <w:p>
      <w:pPr>
        <w:pStyle w:val="BodyText"/>
        <w:spacing w:line="242" w:lineRule="auto" w:before="70"/>
        <w:ind w:left="144" w:right="144"/>
      </w:pPr>
      <w:r>
        <w:rPr/>
        <w:t>Hay CW, Rosin E. Repair of an intrapelvic urethral tear in a bitch caused by iatrogenic trauma. </w:t>
      </w:r>
      <w:r>
        <w:rPr>
          <w:u w:val="single"/>
        </w:rPr>
        <w:t>Vet Rec </w:t>
      </w:r>
      <w:r>
        <w:rPr/>
        <w:t>1997X140(2):48[9.</w:t>
      </w:r>
    </w:p>
    <w:p>
      <w:pPr>
        <w:pStyle w:val="BodyText"/>
        <w:rPr>
          <w:sz w:val="20"/>
        </w:rPr>
      </w:pPr>
    </w:p>
    <w:p>
      <w:pPr>
        <w:pStyle w:val="BodyText"/>
        <w:spacing w:before="7"/>
        <w:rPr>
          <w:sz w:val="18"/>
        </w:rPr>
      </w:pPr>
    </w:p>
    <w:p>
      <w:pPr>
        <w:pStyle w:val="BodyText"/>
        <w:spacing w:line="274" w:lineRule="exact" w:before="75"/>
        <w:ind w:left="144" w:right="144"/>
      </w:pPr>
      <w:r>
        <w:rPr/>
        <w:t>Hayes HM. Breed associations of canine ectopic ureter: a study of 217 female cases. </w:t>
      </w:r>
      <w:r>
        <w:rPr>
          <w:u w:val="single"/>
        </w:rPr>
        <w:t>J Small Anim Pract </w:t>
      </w:r>
      <w:r>
        <w:rPr/>
        <w:t>1994X25(8):501–4.</w:t>
      </w:r>
    </w:p>
    <w:p>
      <w:pPr>
        <w:pStyle w:val="BodyText"/>
        <w:spacing w:before="7"/>
        <w:rPr>
          <w:sz w:val="17"/>
        </w:rPr>
      </w:pPr>
    </w:p>
    <w:p>
      <w:pPr>
        <w:pStyle w:val="BodyText"/>
        <w:spacing w:before="69"/>
        <w:ind w:left="144" w:right="148"/>
        <w:jc w:val="both"/>
      </w:pPr>
      <w:r>
        <w:rPr/>
        <w:t>Head LL, Francis DA. Mineralized paraprostatic cyst as a potential contributing factor in the development of perineal hernias in the dog. </w:t>
      </w:r>
      <w:r>
        <w:rPr>
          <w:u w:val="single"/>
        </w:rPr>
        <w:t>J Am Vet Med Assoc </w:t>
      </w:r>
      <w:r>
        <w:rPr/>
        <w:t>2002X221(4):533– 5.</w:t>
      </w:r>
    </w:p>
    <w:p>
      <w:pPr>
        <w:pStyle w:val="BodyText"/>
        <w:spacing w:before="5"/>
        <w:rPr>
          <w:sz w:val="34"/>
        </w:rPr>
      </w:pPr>
    </w:p>
    <w:p>
      <w:pPr>
        <w:pStyle w:val="BodyText"/>
        <w:spacing w:line="242" w:lineRule="auto"/>
        <w:ind w:left="144" w:right="148"/>
        <w:jc w:val="both"/>
      </w:pPr>
      <w:r>
        <w:rPr/>
        <w:t>Hobson HP, Arder PL. Exstrophy of the bladder in a dog. </w:t>
      </w:r>
      <w:r>
        <w:rPr>
          <w:u w:val="single"/>
        </w:rPr>
        <w:t>J Am Anim Hosp assoc </w:t>
      </w:r>
      <w:r>
        <w:rPr/>
        <w:t>1979X15(1):103[7.</w:t>
      </w:r>
    </w:p>
    <w:p>
      <w:pPr>
        <w:pStyle w:val="BodyText"/>
        <w:spacing w:line="242" w:lineRule="auto" w:before="115"/>
        <w:ind w:left="144" w:right="148"/>
        <w:jc w:val="both"/>
      </w:pPr>
      <w:r>
        <w:rPr/>
        <w:t>Hoelzler MG, Lidbetter DA. Surgical management or urinary incontinence. </w:t>
      </w:r>
      <w:r>
        <w:rPr>
          <w:u w:val="single"/>
        </w:rPr>
        <w:t>Vet Clin North Am Small Anim </w:t>
      </w:r>
      <w:r>
        <w:rPr/>
        <w:t>2004X34(4):1057[73.</w:t>
      </w:r>
    </w:p>
    <w:p>
      <w:pPr>
        <w:spacing w:after="0" w:line="242" w:lineRule="auto"/>
        <w:jc w:val="both"/>
        <w:sectPr>
          <w:footerReference w:type="default" r:id="rId22"/>
          <w:pgSz w:w="12240" w:h="15840"/>
          <w:pgMar w:footer="882" w:header="886" w:top="1140" w:bottom="1080" w:left="1560" w:right="980"/>
          <w:pgNumType w:start="61"/>
        </w:sectPr>
      </w:pPr>
    </w:p>
    <w:p>
      <w:pPr>
        <w:pStyle w:val="BodyText"/>
        <w:rPr>
          <w:sz w:val="20"/>
        </w:rPr>
      </w:pPr>
    </w:p>
    <w:p>
      <w:pPr>
        <w:pStyle w:val="BodyText"/>
        <w:spacing w:before="4"/>
        <w:rPr>
          <w:sz w:val="22"/>
        </w:rPr>
      </w:pPr>
    </w:p>
    <w:p>
      <w:pPr>
        <w:pStyle w:val="BodyText"/>
        <w:spacing w:before="70"/>
        <w:ind w:left="144" w:right="148"/>
        <w:jc w:val="both"/>
      </w:pPr>
      <w:r>
        <w:rPr/>
        <w:t>Holt PE. Urinary incontinence in the bitch due to sphincter mechanism incompetence: prevalence in referred dogs and retrospective analysis of six cases. </w:t>
      </w:r>
      <w:r>
        <w:rPr>
          <w:u w:val="single"/>
        </w:rPr>
        <w:t>J Small Anim Pract </w:t>
      </w:r>
      <w:r>
        <w:rPr/>
        <w:t>1985aX26(4):181–90.</w:t>
      </w:r>
    </w:p>
    <w:p>
      <w:pPr>
        <w:pStyle w:val="BodyText"/>
      </w:pPr>
    </w:p>
    <w:p>
      <w:pPr>
        <w:pStyle w:val="BodyText"/>
        <w:spacing w:before="10"/>
        <w:rPr>
          <w:sz w:val="20"/>
        </w:rPr>
      </w:pPr>
    </w:p>
    <w:p>
      <w:pPr>
        <w:pStyle w:val="BodyText"/>
        <w:spacing w:line="242" w:lineRule="auto"/>
        <w:ind w:left="144" w:right="148"/>
        <w:jc w:val="both"/>
      </w:pPr>
      <w:r>
        <w:rPr/>
        <w:t>Holt PE, Gibbs C. Congenital urinary incontinence in cats. A review of 19 cases. </w:t>
      </w:r>
      <w:r>
        <w:rPr>
          <w:u w:val="single"/>
        </w:rPr>
        <w:t>Vet Rec </w:t>
      </w:r>
      <w:r>
        <w:rPr/>
        <w:t>1992</w:t>
      </w:r>
      <w:r>
        <w:rPr>
          <w:w w:val="41"/>
        </w:rPr>
        <w:t>X</w:t>
      </w:r>
      <w:r>
        <w:rPr/>
        <w:t>130(20):437</w:t>
      </w:r>
      <w:r>
        <w:rPr>
          <w:w w:val="119"/>
        </w:rPr>
        <w:t>[</w:t>
      </w:r>
      <w:r>
        <w:rPr/>
        <w:t>42.</w:t>
      </w:r>
    </w:p>
    <w:p>
      <w:pPr>
        <w:pStyle w:val="BodyText"/>
      </w:pPr>
    </w:p>
    <w:p>
      <w:pPr>
        <w:pStyle w:val="BodyText"/>
        <w:spacing w:before="7"/>
        <w:rPr>
          <w:sz w:val="20"/>
        </w:rPr>
      </w:pPr>
    </w:p>
    <w:p>
      <w:pPr>
        <w:pStyle w:val="BodyText"/>
        <w:ind w:left="144" w:right="148"/>
        <w:jc w:val="both"/>
      </w:pPr>
      <w:r>
        <w:rPr/>
        <w:t>Holt PE, Thrusfield MV. Association between breed, size, neutering and docking, and acquired urinary incontinence due to incompetence or the urethral sphincter mechanism. </w:t>
      </w:r>
      <w:r>
        <w:rPr>
          <w:w w:val="95"/>
          <w:u w:val="single"/>
        </w:rPr>
        <w:t>Vet  Rec </w:t>
      </w:r>
      <w:r>
        <w:rPr>
          <w:w w:val="95"/>
        </w:rPr>
        <w:t>1993X133(8):177–80.</w:t>
      </w:r>
    </w:p>
    <w:p>
      <w:pPr>
        <w:pStyle w:val="BodyText"/>
        <w:rPr>
          <w:sz w:val="20"/>
        </w:rPr>
      </w:pPr>
    </w:p>
    <w:p>
      <w:pPr>
        <w:pStyle w:val="BodyText"/>
        <w:spacing w:before="9"/>
        <w:rPr>
          <w:sz w:val="18"/>
        </w:rPr>
      </w:pPr>
    </w:p>
    <w:p>
      <w:pPr>
        <w:pStyle w:val="BodyText"/>
        <w:spacing w:line="274" w:lineRule="exact" w:before="76"/>
        <w:ind w:left="144" w:right="205"/>
      </w:pPr>
      <w:r>
        <w:rPr/>
        <w:t>Holt PE, Moore AH. Canine ureteral ectopia: an analysis of 175 cases and comparison  of</w:t>
      </w:r>
      <w:r>
        <w:rPr>
          <w:spacing w:val="-20"/>
        </w:rPr>
        <w:t> </w:t>
      </w:r>
      <w:r>
        <w:rPr/>
        <w:t>surgical</w:t>
      </w:r>
      <w:r>
        <w:rPr>
          <w:spacing w:val="-20"/>
        </w:rPr>
        <w:t> </w:t>
      </w:r>
      <w:r>
        <w:rPr/>
        <w:t>treatments.</w:t>
      </w:r>
      <w:r>
        <w:rPr>
          <w:spacing w:val="-20"/>
        </w:rPr>
        <w:t> </w:t>
      </w:r>
      <w:r>
        <w:rPr>
          <w:u w:val="single"/>
        </w:rPr>
        <w:t>Vet</w:t>
      </w:r>
      <w:r>
        <w:rPr>
          <w:spacing w:val="-20"/>
          <w:u w:val="single"/>
        </w:rPr>
        <w:t> </w:t>
      </w:r>
      <w:r>
        <w:rPr>
          <w:u w:val="single"/>
        </w:rPr>
        <w:t>Rec</w:t>
      </w:r>
      <w:r>
        <w:rPr>
          <w:spacing w:val="-20"/>
          <w:u w:val="single"/>
        </w:rPr>
        <w:t> </w:t>
      </w:r>
      <w:r>
        <w:rPr/>
        <w:t>1995X136(14):345–9.</w:t>
      </w:r>
    </w:p>
    <w:p>
      <w:pPr>
        <w:pStyle w:val="BodyText"/>
        <w:rPr>
          <w:sz w:val="20"/>
        </w:rPr>
      </w:pPr>
    </w:p>
    <w:p>
      <w:pPr>
        <w:pStyle w:val="BodyText"/>
        <w:spacing w:before="5"/>
        <w:rPr>
          <w:sz w:val="18"/>
        </w:rPr>
      </w:pPr>
    </w:p>
    <w:p>
      <w:pPr>
        <w:pStyle w:val="BodyText"/>
        <w:spacing w:before="70"/>
        <w:ind w:left="144" w:right="148"/>
        <w:jc w:val="both"/>
      </w:pPr>
      <w:r>
        <w:rPr/>
        <w:t>Hosgood, G, Hedlund C. Urethral disease and obstructive uropathy. In: Bojrad J (ed). </w:t>
      </w:r>
      <w:r>
        <w:rPr>
          <w:u w:val="single"/>
        </w:rPr>
        <w:t>Disease Mechanisms in Small Animal Surgery</w:t>
      </w:r>
      <w:r>
        <w:rPr/>
        <w:t>. Lippincott Williams and Wilkins, USA 1993:528–37.</w:t>
      </w:r>
    </w:p>
    <w:p>
      <w:pPr>
        <w:pStyle w:val="BodyText"/>
      </w:pPr>
    </w:p>
    <w:p>
      <w:pPr>
        <w:pStyle w:val="BodyText"/>
        <w:spacing w:before="10"/>
        <w:rPr>
          <w:sz w:val="20"/>
        </w:rPr>
      </w:pPr>
    </w:p>
    <w:p>
      <w:pPr>
        <w:pStyle w:val="BodyText"/>
        <w:spacing w:line="242" w:lineRule="auto"/>
        <w:ind w:left="144" w:right="148"/>
        <w:jc w:val="both"/>
      </w:pPr>
      <w:r>
        <w:rPr/>
        <w:t>Hoskins JD, Abdelbaki YZ, Root CR. Urinary blader duplication in a dog. </w:t>
      </w:r>
      <w:r>
        <w:rPr>
          <w:u w:val="single"/>
        </w:rPr>
        <w:t>J Am Vet Med Assoc</w:t>
      </w:r>
      <w:r>
        <w:rPr/>
        <w:t> 1982</w:t>
      </w:r>
      <w:r>
        <w:rPr>
          <w:w w:val="41"/>
        </w:rPr>
        <w:t>X</w:t>
      </w:r>
      <w:r>
        <w:rPr/>
        <w:t>181(6):603</w:t>
      </w:r>
      <w:r>
        <w:rPr>
          <w:w w:val="119"/>
        </w:rPr>
        <w:t>[</w:t>
      </w:r>
      <w:r>
        <w:rPr/>
        <w:t>4.</w:t>
      </w:r>
    </w:p>
    <w:p>
      <w:pPr>
        <w:pStyle w:val="BodyText"/>
        <w:rPr>
          <w:sz w:val="20"/>
        </w:rPr>
      </w:pPr>
    </w:p>
    <w:p>
      <w:pPr>
        <w:pStyle w:val="BodyText"/>
        <w:spacing w:before="7"/>
        <w:rPr>
          <w:sz w:val="18"/>
        </w:rPr>
      </w:pPr>
    </w:p>
    <w:p>
      <w:pPr>
        <w:pStyle w:val="BodyText"/>
        <w:spacing w:before="69"/>
        <w:ind w:left="144" w:right="148"/>
        <w:jc w:val="both"/>
      </w:pPr>
      <w:r>
        <w:rPr/>
        <w:t>Houston DM, Moore AE, Favrin MG, Hoff B. Canine urolithiasis: a look at over 16,000 urolith submissions to the Canadian veterinary urolith centre from February 1998 to April 2003. </w:t>
      </w:r>
      <w:r>
        <w:rPr>
          <w:u w:val="single"/>
        </w:rPr>
        <w:t>Can Vet J </w:t>
      </w:r>
      <w:r>
        <w:rPr/>
        <w:t>2004X5(3):225–30.</w:t>
      </w:r>
    </w:p>
    <w:p>
      <w:pPr>
        <w:pStyle w:val="BodyText"/>
        <w:rPr>
          <w:sz w:val="20"/>
        </w:rPr>
      </w:pPr>
    </w:p>
    <w:p>
      <w:pPr>
        <w:pStyle w:val="BodyText"/>
        <w:spacing w:before="9"/>
        <w:rPr>
          <w:sz w:val="18"/>
        </w:rPr>
      </w:pPr>
    </w:p>
    <w:p>
      <w:pPr>
        <w:pStyle w:val="BodyText"/>
        <w:spacing w:line="274" w:lineRule="exact" w:before="76"/>
        <w:ind w:left="144" w:right="144"/>
      </w:pPr>
      <w:r>
        <w:rPr/>
        <w:t>Kay ND, Ling GV, Nyland TG, et al. Cytological diagnosis of canine prostatic disease using a urethral brush technique. </w:t>
      </w:r>
      <w:r>
        <w:rPr>
          <w:u w:val="single"/>
        </w:rPr>
        <w:t>J Am Vet Med Assoc </w:t>
      </w:r>
      <w:r>
        <w:rPr/>
        <w:t>1989X25(5):517–26.</w:t>
      </w:r>
    </w:p>
    <w:p>
      <w:pPr>
        <w:pStyle w:val="BodyText"/>
        <w:rPr>
          <w:sz w:val="20"/>
        </w:rPr>
      </w:pPr>
    </w:p>
    <w:p>
      <w:pPr>
        <w:pStyle w:val="BodyText"/>
        <w:spacing w:before="5"/>
        <w:rPr>
          <w:sz w:val="18"/>
        </w:rPr>
      </w:pPr>
    </w:p>
    <w:p>
      <w:pPr>
        <w:pStyle w:val="BodyText"/>
        <w:spacing w:line="242" w:lineRule="auto" w:before="70"/>
        <w:ind w:left="144" w:right="144"/>
      </w:pPr>
      <w:r>
        <w:rPr/>
        <w:t>King EJ, Stantial H, Dolan M. The biochemistry of silicic acid: the excretion of administered silica. </w:t>
      </w:r>
      <w:r>
        <w:rPr>
          <w:u w:val="single"/>
        </w:rPr>
        <w:t>Biochem J</w:t>
      </w:r>
      <w:r>
        <w:rPr/>
        <w:t> 1993</w:t>
      </w:r>
      <w:r>
        <w:rPr>
          <w:w w:val="41"/>
        </w:rPr>
        <w:t>X</w:t>
      </w:r>
      <w:r>
        <w:rPr/>
        <w:t>27(4):1007</w:t>
      </w:r>
      <w:r>
        <w:rPr>
          <w:w w:val="119"/>
        </w:rPr>
        <w:t>[</w:t>
      </w:r>
      <w:r>
        <w:rPr/>
        <w:t>14.</w:t>
      </w:r>
    </w:p>
    <w:p>
      <w:pPr>
        <w:pStyle w:val="BodyText"/>
        <w:rPr>
          <w:sz w:val="20"/>
        </w:rPr>
      </w:pPr>
    </w:p>
    <w:p>
      <w:pPr>
        <w:pStyle w:val="BodyText"/>
        <w:spacing w:before="7"/>
        <w:rPr>
          <w:sz w:val="18"/>
        </w:rPr>
      </w:pPr>
    </w:p>
    <w:p>
      <w:pPr>
        <w:pStyle w:val="BodyText"/>
        <w:spacing w:line="274" w:lineRule="exact" w:before="75"/>
        <w:ind w:left="144" w:right="144"/>
      </w:pPr>
      <w:r>
        <w:rPr/>
        <w:t>Kolata RJ, Johnston DE. Motor vehicle accidents in urban dogs: a study of 600 cases. </w:t>
      </w:r>
      <w:r>
        <w:rPr>
          <w:u w:val="single"/>
        </w:rPr>
        <w:t>J Am Vet Med Assoc</w:t>
      </w:r>
      <w:r>
        <w:rPr/>
        <w:t> 1975</w:t>
      </w:r>
      <w:r>
        <w:rPr>
          <w:w w:val="41"/>
        </w:rPr>
        <w:t>X</w:t>
      </w:r>
      <w:r>
        <w:rPr/>
        <w:t>167(10):938</w:t>
      </w:r>
      <w:r>
        <w:rPr>
          <w:w w:val="119"/>
        </w:rPr>
        <w:t>[</w:t>
      </w:r>
      <w:r>
        <w:rPr/>
        <w:t>41.</w:t>
      </w:r>
    </w:p>
    <w:p>
      <w:pPr>
        <w:pStyle w:val="BodyText"/>
        <w:rPr>
          <w:sz w:val="20"/>
        </w:rPr>
      </w:pPr>
    </w:p>
    <w:p>
      <w:pPr>
        <w:pStyle w:val="BodyText"/>
        <w:spacing w:before="5"/>
        <w:rPr>
          <w:sz w:val="18"/>
        </w:rPr>
      </w:pPr>
    </w:p>
    <w:p>
      <w:pPr>
        <w:pStyle w:val="BodyText"/>
        <w:spacing w:line="242" w:lineRule="auto" w:before="70"/>
        <w:ind w:left="144" w:right="144"/>
      </w:pPr>
      <w:r>
        <w:rPr/>
        <w:t>Krawiec DR. Diagnosis and treatment of acquired urinary incontinence. </w:t>
      </w:r>
      <w:r>
        <w:rPr>
          <w:u w:val="single"/>
        </w:rPr>
        <w:t>Com Anim Pract </w:t>
      </w:r>
      <w:r>
        <w:rPr/>
        <w:t>1989</w:t>
      </w:r>
      <w:r>
        <w:rPr>
          <w:w w:val="41"/>
        </w:rPr>
        <w:t>X</w:t>
      </w:r>
      <w:r>
        <w:rPr/>
        <w:t>69(8</w:t>
      </w:r>
      <w:r>
        <w:rPr>
          <w:w w:val="119"/>
        </w:rPr>
        <w:t>[</w:t>
      </w:r>
      <w:r>
        <w:rPr/>
        <w:t>9):17–24.</w:t>
      </w:r>
    </w:p>
    <w:p>
      <w:pPr>
        <w:spacing w:after="0" w:line="242" w:lineRule="auto"/>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242" w:lineRule="auto" w:before="70"/>
        <w:ind w:left="144" w:right="144"/>
      </w:pPr>
      <w:r>
        <w:rPr/>
        <w:t>Krawiec DR, Heflin D. Study of prostatic disease in dogs: 177 cases (1981–1986). </w:t>
      </w:r>
      <w:r>
        <w:rPr>
          <w:u w:val="single"/>
        </w:rPr>
        <w:t>J Am Vet Med Assoc </w:t>
      </w:r>
      <w:r>
        <w:rPr/>
        <w:t>1992X200(8):1119–22.</w:t>
      </w:r>
    </w:p>
    <w:p>
      <w:pPr>
        <w:pStyle w:val="BodyText"/>
        <w:rPr>
          <w:sz w:val="20"/>
        </w:rPr>
      </w:pPr>
    </w:p>
    <w:p>
      <w:pPr>
        <w:pStyle w:val="BodyText"/>
        <w:spacing w:before="7"/>
        <w:rPr>
          <w:sz w:val="18"/>
        </w:rPr>
      </w:pPr>
    </w:p>
    <w:p>
      <w:pPr>
        <w:pStyle w:val="BodyText"/>
        <w:spacing w:line="274" w:lineRule="exact" w:before="75"/>
        <w:ind w:left="144" w:right="144"/>
      </w:pPr>
      <w:r>
        <w:rPr/>
        <w:t>Kruger JM, Osborne CA, Goyal SM, et al. Clinical evaluation of cats with lower urinary tract disease. </w:t>
      </w:r>
      <w:r>
        <w:rPr>
          <w:u w:val="single"/>
        </w:rPr>
        <w:t>J Am Vet Med Assoc </w:t>
      </w:r>
      <w:r>
        <w:rPr/>
        <w:t>1991X199(2):211[6.</w:t>
      </w:r>
    </w:p>
    <w:p>
      <w:pPr>
        <w:pStyle w:val="BodyText"/>
        <w:rPr>
          <w:sz w:val="20"/>
        </w:rPr>
      </w:pPr>
    </w:p>
    <w:p>
      <w:pPr>
        <w:pStyle w:val="BodyText"/>
        <w:spacing w:before="5"/>
        <w:rPr>
          <w:sz w:val="18"/>
        </w:rPr>
      </w:pPr>
    </w:p>
    <w:p>
      <w:pPr>
        <w:pStyle w:val="BodyText"/>
        <w:spacing w:line="242" w:lineRule="auto" w:before="70"/>
        <w:ind w:left="144" w:right="144"/>
      </w:pPr>
      <w:r>
        <w:rPr/>
        <w:t>Kucera J, Bulkova T, Rychla R, et al. Bilateral xanthine nephrolithiasis in a dog. </w:t>
      </w:r>
      <w:r>
        <w:rPr>
          <w:u w:val="single"/>
        </w:rPr>
        <w:t>J Small Anim Pract </w:t>
      </w:r>
      <w:r>
        <w:rPr/>
        <w:t>1997X38(7):302[5.</w:t>
      </w:r>
    </w:p>
    <w:p>
      <w:pPr>
        <w:pStyle w:val="BodyText"/>
        <w:spacing w:before="2"/>
        <w:rPr>
          <w:sz w:val="28"/>
        </w:rPr>
      </w:pPr>
    </w:p>
    <w:p>
      <w:pPr>
        <w:pStyle w:val="BodyText"/>
        <w:spacing w:line="274" w:lineRule="exact" w:before="75"/>
        <w:ind w:left="144" w:right="144"/>
      </w:pPr>
      <w:r>
        <w:rPr/>
        <w:t>Labato MA. Micturition disorders. In: Ettinger S and Feldman E (eds). </w:t>
      </w:r>
      <w:r>
        <w:rPr>
          <w:u w:val="single"/>
        </w:rPr>
        <w:t>Textbook of Veterinary Internal Medicine. </w:t>
      </w:r>
      <w:r>
        <w:rPr/>
        <w:t>Elsevier, USA 2005:105–109.</w:t>
      </w:r>
    </w:p>
    <w:p>
      <w:pPr>
        <w:pStyle w:val="BodyText"/>
        <w:rPr>
          <w:sz w:val="20"/>
        </w:rPr>
      </w:pPr>
    </w:p>
    <w:p>
      <w:pPr>
        <w:pStyle w:val="BodyText"/>
        <w:spacing w:before="5"/>
        <w:rPr>
          <w:sz w:val="18"/>
        </w:rPr>
      </w:pPr>
    </w:p>
    <w:p>
      <w:pPr>
        <w:pStyle w:val="BodyText"/>
        <w:spacing w:line="242" w:lineRule="auto" w:before="70"/>
        <w:ind w:left="144" w:right="144"/>
      </w:pPr>
      <w:r>
        <w:rPr/>
        <w:t>Lane IF, Lappin JR, Seim HB. Evaluation of preoperative urodinamic measurements in nine dogs with ectopic uréteres. </w:t>
      </w:r>
      <w:r>
        <w:rPr>
          <w:u w:val="single"/>
        </w:rPr>
        <w:t>J Am Vet Med Assoc </w:t>
      </w:r>
      <w:r>
        <w:rPr/>
        <w:t>1995X206(9):1348[57.</w:t>
      </w:r>
    </w:p>
    <w:p>
      <w:pPr>
        <w:pStyle w:val="BodyText"/>
        <w:rPr>
          <w:sz w:val="20"/>
        </w:rPr>
      </w:pPr>
    </w:p>
    <w:p>
      <w:pPr>
        <w:pStyle w:val="BodyText"/>
        <w:spacing w:before="7"/>
        <w:rPr>
          <w:sz w:val="18"/>
        </w:rPr>
      </w:pPr>
    </w:p>
    <w:p>
      <w:pPr>
        <w:pStyle w:val="BodyText"/>
        <w:spacing w:line="274" w:lineRule="exact" w:before="75"/>
        <w:ind w:left="144" w:right="144"/>
      </w:pPr>
      <w:r>
        <w:rPr/>
        <w:t>Lautzenhiser SJ, Bjorling DE. Urinary incontinence in a dog with ectopic ureterocele. </w:t>
      </w:r>
      <w:r>
        <w:rPr>
          <w:u w:val="single"/>
        </w:rPr>
        <w:t>J Am Anim Hosp Assoc</w:t>
      </w:r>
      <w:r>
        <w:rPr/>
        <w:t> 2002</w:t>
      </w:r>
      <w:r>
        <w:rPr>
          <w:w w:val="41"/>
        </w:rPr>
        <w:t>X</w:t>
      </w:r>
      <w:r>
        <w:rPr/>
        <w:t>38(1):29</w:t>
      </w:r>
      <w:r>
        <w:rPr>
          <w:w w:val="119"/>
        </w:rPr>
        <w:t>[</w:t>
      </w:r>
      <w:r>
        <w:rPr/>
        <w:t>32.</w:t>
      </w:r>
    </w:p>
    <w:p>
      <w:pPr>
        <w:pStyle w:val="BodyText"/>
        <w:rPr>
          <w:sz w:val="20"/>
        </w:rPr>
      </w:pPr>
    </w:p>
    <w:p>
      <w:pPr>
        <w:pStyle w:val="BodyText"/>
        <w:spacing w:before="5"/>
        <w:rPr>
          <w:sz w:val="18"/>
        </w:rPr>
      </w:pPr>
    </w:p>
    <w:p>
      <w:pPr>
        <w:pStyle w:val="BodyText"/>
        <w:spacing w:line="242" w:lineRule="auto" w:before="70"/>
        <w:ind w:left="144" w:right="144"/>
      </w:pPr>
      <w:r>
        <w:rPr/>
        <w:t>Laverty PH, Salisbury SK. Surgical Management of true patent urachus in a cat. </w:t>
      </w:r>
      <w:r>
        <w:rPr>
          <w:u w:val="single"/>
        </w:rPr>
        <w:t>J Small Anim Pract </w:t>
      </w:r>
      <w:r>
        <w:rPr/>
        <w:t>2002X43(5):227[9.</w:t>
      </w:r>
    </w:p>
    <w:p>
      <w:pPr>
        <w:pStyle w:val="BodyText"/>
        <w:rPr>
          <w:sz w:val="20"/>
        </w:rPr>
      </w:pPr>
    </w:p>
    <w:p>
      <w:pPr>
        <w:pStyle w:val="BodyText"/>
        <w:spacing w:before="7"/>
        <w:rPr>
          <w:sz w:val="18"/>
        </w:rPr>
      </w:pPr>
    </w:p>
    <w:p>
      <w:pPr>
        <w:pStyle w:val="BodyText"/>
        <w:spacing w:line="274" w:lineRule="exact" w:before="75"/>
        <w:ind w:left="144" w:right="144"/>
      </w:pPr>
      <w:r>
        <w:rPr/>
        <w:t>Lavocat MP, Granjon D, Allard D, et al. Imaging of pyelonephritis. </w:t>
      </w:r>
      <w:r>
        <w:rPr>
          <w:u w:val="single"/>
        </w:rPr>
        <w:t>Pediatr Radiol </w:t>
      </w:r>
      <w:r>
        <w:rPr/>
        <w:t>1997X27(2):159–65.</w:t>
      </w:r>
    </w:p>
    <w:p>
      <w:pPr>
        <w:pStyle w:val="BodyText"/>
      </w:pPr>
    </w:p>
    <w:p>
      <w:pPr>
        <w:pStyle w:val="BodyText"/>
        <w:spacing w:before="6"/>
        <w:rPr>
          <w:sz w:val="20"/>
        </w:rPr>
      </w:pPr>
    </w:p>
    <w:p>
      <w:pPr>
        <w:pStyle w:val="BodyText"/>
        <w:spacing w:line="242" w:lineRule="auto"/>
        <w:ind w:left="144" w:right="144"/>
      </w:pPr>
      <w:r>
        <w:rPr/>
        <w:t>Lawler DV, Monti KL. Morbidity and martality in neonatal Kitten. </w:t>
      </w:r>
      <w:r>
        <w:rPr>
          <w:u w:val="single"/>
        </w:rPr>
        <w:t>Am J Vet Res </w:t>
      </w:r>
      <w:r>
        <w:rPr/>
        <w:t>1984X45(7):1455[9.</w:t>
      </w:r>
    </w:p>
    <w:p>
      <w:pPr>
        <w:pStyle w:val="BodyText"/>
      </w:pPr>
    </w:p>
    <w:p>
      <w:pPr>
        <w:pStyle w:val="BodyText"/>
        <w:spacing w:before="1"/>
        <w:rPr>
          <w:sz w:val="21"/>
        </w:rPr>
      </w:pPr>
    </w:p>
    <w:p>
      <w:pPr>
        <w:pStyle w:val="BodyText"/>
        <w:spacing w:line="274" w:lineRule="exact" w:before="1"/>
        <w:ind w:left="144" w:right="144"/>
      </w:pPr>
      <w:r>
        <w:rPr/>
        <w:t>Layton CE, Ferguson HR, Cook JE. Intrapelvic urethral anastomosis: a comparison of three techniques. </w:t>
      </w:r>
      <w:r>
        <w:rPr>
          <w:u w:val="single"/>
        </w:rPr>
        <w:t>Vet Surg </w:t>
      </w:r>
      <w:r>
        <w:rPr/>
        <w:t>1987X16(2):175[82.</w:t>
      </w:r>
    </w:p>
    <w:p>
      <w:pPr>
        <w:pStyle w:val="BodyText"/>
        <w:rPr>
          <w:sz w:val="20"/>
        </w:rPr>
      </w:pPr>
    </w:p>
    <w:p>
      <w:pPr>
        <w:pStyle w:val="BodyText"/>
        <w:spacing w:before="5"/>
        <w:rPr>
          <w:sz w:val="18"/>
        </w:rPr>
      </w:pPr>
    </w:p>
    <w:p>
      <w:pPr>
        <w:pStyle w:val="BodyText"/>
        <w:spacing w:line="242" w:lineRule="auto" w:before="70"/>
        <w:ind w:left="144" w:right="144"/>
      </w:pPr>
      <w:r>
        <w:rPr/>
        <w:t>Lees GE. Risks of urinary catheterization. In: Kirk RW and WB (eds). </w:t>
      </w:r>
      <w:r>
        <w:rPr>
          <w:u w:val="single"/>
        </w:rPr>
        <w:t>Current Veterinary Therapy IX</w:t>
      </w:r>
      <w:r>
        <w:rPr/>
        <w:t>. Elsevier, USA 1986:1127–1129.</w:t>
      </w:r>
    </w:p>
    <w:p>
      <w:pPr>
        <w:pStyle w:val="BodyText"/>
        <w:rPr>
          <w:sz w:val="20"/>
        </w:rPr>
      </w:pPr>
    </w:p>
    <w:p>
      <w:pPr>
        <w:pStyle w:val="BodyText"/>
        <w:spacing w:before="7"/>
        <w:rPr>
          <w:sz w:val="18"/>
        </w:rPr>
      </w:pPr>
    </w:p>
    <w:p>
      <w:pPr>
        <w:pStyle w:val="BodyText"/>
        <w:spacing w:line="274" w:lineRule="exact" w:before="75"/>
        <w:ind w:left="144" w:right="144"/>
      </w:pPr>
      <w:r>
        <w:rPr/>
        <w:t>Lieske JC, Huang E, Toback FG. Regulation of renal epithelial cell affinity for calcium oxalate monohydrate crystals. </w:t>
      </w:r>
      <w:r>
        <w:rPr>
          <w:u w:val="single"/>
        </w:rPr>
        <w:t>Am J Physiol </w:t>
      </w:r>
      <w:r>
        <w:rPr/>
        <w:t>2000X278(1):F130[7.</w:t>
      </w:r>
    </w:p>
    <w:p>
      <w:pPr>
        <w:spacing w:after="0" w:line="274" w:lineRule="exact"/>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242" w:lineRule="auto" w:before="70"/>
        <w:ind w:left="144" w:right="144"/>
      </w:pPr>
      <w:r>
        <w:rPr/>
        <w:t>Ling GV. Therapeutic strategies involving antimicrobial treatement of the canine urinary tract. </w:t>
      </w:r>
      <w:r>
        <w:rPr>
          <w:u w:val="single"/>
        </w:rPr>
        <w:t>J Am Vet Med Assoc </w:t>
      </w:r>
      <w:r>
        <w:rPr/>
        <w:t>1984X185(10):1162[4.</w:t>
      </w:r>
    </w:p>
    <w:p>
      <w:pPr>
        <w:pStyle w:val="BodyText"/>
        <w:rPr>
          <w:sz w:val="20"/>
        </w:rPr>
      </w:pPr>
    </w:p>
    <w:p>
      <w:pPr>
        <w:pStyle w:val="BodyText"/>
        <w:spacing w:before="7"/>
        <w:rPr>
          <w:sz w:val="18"/>
        </w:rPr>
      </w:pPr>
    </w:p>
    <w:p>
      <w:pPr>
        <w:pStyle w:val="BodyText"/>
        <w:spacing w:line="274" w:lineRule="exact" w:before="75"/>
        <w:ind w:left="144" w:right="144"/>
      </w:pPr>
      <w:r>
        <w:rPr/>
        <w:t>Ling GV. Disorders of urination. In Ling GV (ed). </w:t>
      </w:r>
      <w:r>
        <w:rPr>
          <w:u w:val="single"/>
        </w:rPr>
        <w:t>Lower Urinary Tract Diseases of Dogs and Cats. </w:t>
      </w:r>
      <w:r>
        <w:rPr/>
        <w:t>Mosby[Year Book, USA 1995:191[206.</w:t>
      </w:r>
    </w:p>
    <w:p>
      <w:pPr>
        <w:pStyle w:val="BodyText"/>
        <w:rPr>
          <w:sz w:val="20"/>
        </w:rPr>
      </w:pPr>
    </w:p>
    <w:p>
      <w:pPr>
        <w:pStyle w:val="BodyText"/>
        <w:spacing w:before="5"/>
        <w:rPr>
          <w:sz w:val="18"/>
        </w:rPr>
      </w:pPr>
    </w:p>
    <w:p>
      <w:pPr>
        <w:pStyle w:val="BodyText"/>
        <w:spacing w:before="70"/>
        <w:ind w:left="144" w:right="148"/>
        <w:jc w:val="both"/>
      </w:pPr>
      <w:r>
        <w:rPr/>
        <w:t>Ling GV, Franti CE, Ruby AL, et al. Urolithiasis in dog. II: Breed prevalence, and interrelation of bred, sex, age, and mineral composition. </w:t>
      </w:r>
      <w:r>
        <w:rPr>
          <w:u w:val="single"/>
        </w:rPr>
        <w:t>Am J Vet Res.</w:t>
      </w:r>
      <w:r>
        <w:rPr/>
        <w:t>1998X59(5):630[ 42.</w:t>
      </w:r>
    </w:p>
    <w:p>
      <w:pPr>
        <w:pStyle w:val="BodyText"/>
      </w:pPr>
    </w:p>
    <w:p>
      <w:pPr>
        <w:pStyle w:val="BodyText"/>
        <w:spacing w:before="10"/>
        <w:rPr>
          <w:sz w:val="20"/>
        </w:rPr>
      </w:pPr>
    </w:p>
    <w:p>
      <w:pPr>
        <w:pStyle w:val="BodyText"/>
        <w:ind w:left="144" w:right="148"/>
        <w:jc w:val="both"/>
      </w:pPr>
      <w:r>
        <w:rPr/>
        <w:t>Ling GV, Norris CR, Franti CE, et al. Interrelations of organism prevalence, specimen collection method, and host age, sex and breed among 8354 canine urinary tract infections (1969–1995). </w:t>
      </w:r>
      <w:r>
        <w:rPr>
          <w:u w:val="single"/>
        </w:rPr>
        <w:t>J Vet Inter Med </w:t>
      </w:r>
      <w:r>
        <w:rPr/>
        <w:t>2001X15(4):341–7.</w:t>
      </w:r>
    </w:p>
    <w:p>
      <w:pPr>
        <w:pStyle w:val="BodyText"/>
        <w:rPr>
          <w:sz w:val="20"/>
        </w:rPr>
      </w:pPr>
    </w:p>
    <w:p>
      <w:pPr>
        <w:pStyle w:val="BodyText"/>
        <w:spacing w:before="9"/>
        <w:rPr>
          <w:sz w:val="18"/>
        </w:rPr>
      </w:pPr>
    </w:p>
    <w:p>
      <w:pPr>
        <w:pStyle w:val="BodyText"/>
        <w:spacing w:line="242" w:lineRule="auto" w:before="70"/>
        <w:ind w:left="144" w:right="144"/>
      </w:pPr>
      <w:r>
        <w:rPr/>
        <w:t>Litster A, Moss S, Platell J, et al. Occult bacterial lower urinary tract infections in cats: Urinalysis and culture findings. </w:t>
      </w:r>
      <w:r>
        <w:rPr>
          <w:u w:val="single"/>
        </w:rPr>
        <w:t>Vet Microbiol </w:t>
      </w:r>
      <w:r>
        <w:rPr/>
        <w:t>2009X136(1[2):130–4.</w:t>
      </w:r>
    </w:p>
    <w:p>
      <w:pPr>
        <w:pStyle w:val="BodyText"/>
        <w:rPr>
          <w:sz w:val="20"/>
        </w:rPr>
      </w:pPr>
    </w:p>
    <w:p>
      <w:pPr>
        <w:pStyle w:val="BodyText"/>
        <w:spacing w:before="7"/>
        <w:rPr>
          <w:sz w:val="18"/>
        </w:rPr>
      </w:pPr>
    </w:p>
    <w:p>
      <w:pPr>
        <w:pStyle w:val="BodyText"/>
        <w:spacing w:before="69"/>
        <w:ind w:left="144" w:right="148"/>
        <w:jc w:val="both"/>
      </w:pPr>
      <w:r>
        <w:rPr/>
        <w:t>Low WW, Uhl MJ, Kass PH, et al. Evaluation of trends in urolith composition and characteristics of dogs with urolitiasis 25, 499 cases (1985[ 2006). </w:t>
      </w:r>
      <w:r>
        <w:rPr>
          <w:u w:val="single"/>
        </w:rPr>
        <w:t>J Am Vet Med Assoc </w:t>
      </w:r>
      <w:r>
        <w:rPr/>
        <w:t>2010X236(2):193[200.</w:t>
      </w:r>
    </w:p>
    <w:p>
      <w:pPr>
        <w:pStyle w:val="BodyText"/>
      </w:pPr>
    </w:p>
    <w:p>
      <w:pPr>
        <w:pStyle w:val="BodyText"/>
        <w:spacing w:before="4"/>
        <w:rPr>
          <w:sz w:val="21"/>
        </w:rPr>
      </w:pPr>
    </w:p>
    <w:p>
      <w:pPr>
        <w:pStyle w:val="BodyText"/>
        <w:spacing w:line="274" w:lineRule="exact"/>
        <w:ind w:left="144" w:right="148"/>
        <w:jc w:val="both"/>
      </w:pPr>
      <w:r>
        <w:rPr/>
        <w:t>Lulich JP, Osborne CA, Dennis F, et al. Urologic disorders of inmature cats. </w:t>
      </w:r>
      <w:r>
        <w:rPr>
          <w:u w:val="single"/>
        </w:rPr>
        <w:t>Vet Clin North Am Small Anim Pract </w:t>
      </w:r>
      <w:r>
        <w:rPr/>
        <w:t>1987X17(3):663[96.</w:t>
      </w:r>
    </w:p>
    <w:p>
      <w:pPr>
        <w:pStyle w:val="BodyText"/>
        <w:rPr>
          <w:sz w:val="28"/>
        </w:rPr>
      </w:pPr>
    </w:p>
    <w:p>
      <w:pPr>
        <w:pStyle w:val="BodyText"/>
        <w:spacing w:line="242" w:lineRule="auto" w:before="70"/>
        <w:ind w:left="144" w:right="144"/>
      </w:pPr>
      <w:r>
        <w:rPr/>
        <w:t>Lulich JP, Osborne CA, Carlson M, et al. Nonsurgical removal of urocystoliths by voiding urohydropropulsión. </w:t>
      </w:r>
      <w:r>
        <w:rPr>
          <w:u w:val="single"/>
        </w:rPr>
        <w:t>J Am Vet Med Assoc </w:t>
      </w:r>
      <w:r>
        <w:rPr/>
        <w:t>1993X203(5):660[3.</w:t>
      </w:r>
    </w:p>
    <w:p>
      <w:pPr>
        <w:pStyle w:val="BodyText"/>
        <w:rPr>
          <w:sz w:val="20"/>
        </w:rPr>
      </w:pPr>
    </w:p>
    <w:p>
      <w:pPr>
        <w:pStyle w:val="BodyText"/>
        <w:spacing w:before="7"/>
        <w:rPr>
          <w:sz w:val="18"/>
        </w:rPr>
      </w:pPr>
    </w:p>
    <w:p>
      <w:pPr>
        <w:pStyle w:val="BodyText"/>
        <w:spacing w:line="274" w:lineRule="exact" w:before="75"/>
        <w:ind w:left="144"/>
      </w:pPr>
      <w:r>
        <w:rPr/>
        <w:t>Lulich JP, Osborne CA, Thumchai R, et al. Epidemiology of canine calcium oxalate uroliths: Identifying risk factors. </w:t>
      </w:r>
      <w:r>
        <w:rPr>
          <w:u w:val="single"/>
        </w:rPr>
        <w:t>Vet Clin North Am Small Anim Pract </w:t>
      </w:r>
      <w:r>
        <w:rPr/>
        <w:t>1999X29(1):113–22.</w:t>
      </w:r>
    </w:p>
    <w:p>
      <w:pPr>
        <w:pStyle w:val="BodyText"/>
        <w:rPr>
          <w:sz w:val="28"/>
        </w:rPr>
      </w:pPr>
    </w:p>
    <w:p>
      <w:pPr>
        <w:pStyle w:val="BodyText"/>
        <w:spacing w:before="70"/>
        <w:ind w:left="144" w:right="148"/>
        <w:jc w:val="both"/>
      </w:pPr>
      <w:r>
        <w:rPr/>
        <w:t>Lulich JP, Osborne CA, Bartges JW, Lekcharoensuk C. Canine lower urinary tract disorders. In: Ettinger SJ and Feldman EC (eds). </w:t>
      </w:r>
      <w:r>
        <w:rPr>
          <w:u w:val="single"/>
        </w:rPr>
        <w:t>Textbook of veterinary internal medicine[diseases of dog and cat</w:t>
      </w:r>
      <w:r>
        <w:rPr/>
        <w:t>. Saunders, USA 2000:1747–1781.</w:t>
      </w:r>
    </w:p>
    <w:p>
      <w:pPr>
        <w:pStyle w:val="BodyText"/>
        <w:spacing w:before="4"/>
        <w:rPr>
          <w:sz w:val="28"/>
        </w:rPr>
      </w:pPr>
    </w:p>
    <w:p>
      <w:pPr>
        <w:pStyle w:val="BodyText"/>
        <w:spacing w:line="242" w:lineRule="auto" w:before="70"/>
        <w:ind w:left="144" w:right="144"/>
      </w:pPr>
      <w:r>
        <w:rPr/>
        <w:t>Maki DG, Tambyah PA. Engineering out the risks of infection with urinary catheters. </w:t>
      </w:r>
      <w:r>
        <w:rPr>
          <w:u w:val="single"/>
        </w:rPr>
        <w:t>Emerg Infect Dis </w:t>
      </w:r>
      <w:r>
        <w:rPr/>
        <w:t>2001X7(2):342–7.</w:t>
      </w:r>
    </w:p>
    <w:p>
      <w:pPr>
        <w:spacing w:after="0" w:line="242" w:lineRule="auto"/>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242" w:lineRule="auto" w:before="70"/>
        <w:ind w:left="144" w:right="144"/>
      </w:pPr>
      <w:r>
        <w:rPr/>
        <w:t>Martinez, I, Mattoon J, Eaton KA, et al. Polipoid cistitis in 17 dogs (1978[2001). </w:t>
      </w:r>
      <w:r>
        <w:rPr>
          <w:u w:val="single"/>
        </w:rPr>
        <w:t>J Vet Intern Med</w:t>
      </w:r>
      <w:r>
        <w:rPr/>
        <w:t> 2003</w:t>
      </w:r>
      <w:r>
        <w:rPr>
          <w:w w:val="41"/>
        </w:rPr>
        <w:t>X</w:t>
      </w:r>
      <w:r>
        <w:rPr/>
        <w:t>17(4):499</w:t>
      </w:r>
      <w:r>
        <w:rPr>
          <w:w w:val="119"/>
        </w:rPr>
        <w:t>[</w:t>
      </w:r>
      <w:r>
        <w:rPr/>
        <w:t>509.</w:t>
      </w:r>
    </w:p>
    <w:p>
      <w:pPr>
        <w:pStyle w:val="BodyText"/>
        <w:rPr>
          <w:sz w:val="20"/>
        </w:rPr>
      </w:pPr>
    </w:p>
    <w:p>
      <w:pPr>
        <w:pStyle w:val="BodyText"/>
        <w:spacing w:before="7"/>
        <w:rPr>
          <w:sz w:val="18"/>
        </w:rPr>
      </w:pPr>
    </w:p>
    <w:p>
      <w:pPr>
        <w:pStyle w:val="BodyText"/>
        <w:spacing w:line="274" w:lineRule="exact" w:before="75"/>
        <w:ind w:left="144" w:right="144"/>
      </w:pPr>
      <w:r>
        <w:rPr/>
        <w:t>McLoughlin MA, Chew DJ. Diagnosis and surgical management of ectopic ureters. </w:t>
      </w:r>
      <w:r>
        <w:rPr>
          <w:u w:val="single"/>
        </w:rPr>
        <w:t>Clin Tech Small Anim Pract </w:t>
      </w:r>
      <w:r>
        <w:rPr/>
        <w:t>2000</w:t>
      </w:r>
      <w:r>
        <w:rPr>
          <w:w w:val="41"/>
        </w:rPr>
        <w:t>X</w:t>
      </w:r>
      <w:r>
        <w:rPr/>
        <w:t>15(1):17–24.</w:t>
      </w:r>
    </w:p>
    <w:p>
      <w:pPr>
        <w:pStyle w:val="BodyText"/>
        <w:rPr>
          <w:sz w:val="20"/>
        </w:rPr>
      </w:pPr>
    </w:p>
    <w:p>
      <w:pPr>
        <w:pStyle w:val="BodyText"/>
        <w:spacing w:before="5"/>
        <w:rPr>
          <w:sz w:val="18"/>
        </w:rPr>
      </w:pPr>
    </w:p>
    <w:p>
      <w:pPr>
        <w:pStyle w:val="BodyText"/>
        <w:spacing w:before="70"/>
        <w:ind w:left="144" w:right="148"/>
        <w:jc w:val="both"/>
      </w:pPr>
      <w:r>
        <w:rPr/>
        <w:t>Medina EM, Medina EC, Martin SG. Frecuencia de las enfermedades del sistema urinario en niños atendidos en un Hospital General en Yucatán, México</w:t>
      </w:r>
      <w:r>
        <w:rPr>
          <w:u w:val="single"/>
        </w:rPr>
        <w:t>. Bol Med Hosp Infan Mex </w:t>
      </w:r>
      <w:r>
        <w:rPr/>
        <w:t>2004</w:t>
      </w:r>
      <w:r>
        <w:rPr>
          <w:w w:val="41"/>
        </w:rPr>
        <w:t>X</w:t>
      </w:r>
      <w:r>
        <w:rPr/>
        <w:t>61(6):482</w:t>
      </w:r>
      <w:r>
        <w:rPr>
          <w:w w:val="119"/>
        </w:rPr>
        <w:t>[</w:t>
      </w:r>
      <w:r>
        <w:rPr/>
        <w:t>8.</w:t>
      </w:r>
    </w:p>
    <w:p>
      <w:pPr>
        <w:pStyle w:val="BodyText"/>
        <w:rPr>
          <w:sz w:val="20"/>
        </w:rPr>
      </w:pPr>
    </w:p>
    <w:p>
      <w:pPr>
        <w:pStyle w:val="BodyText"/>
        <w:spacing w:before="9"/>
        <w:rPr>
          <w:sz w:val="18"/>
        </w:rPr>
      </w:pPr>
    </w:p>
    <w:p>
      <w:pPr>
        <w:pStyle w:val="BodyText"/>
        <w:spacing w:line="242" w:lineRule="auto" w:before="70"/>
        <w:ind w:left="144" w:right="144"/>
      </w:pPr>
      <w:r>
        <w:rPr/>
        <w:t>Messmer M, Rytz U, Spreng D. Urethral entrapment following pelvic fracture fixation in a dog. </w:t>
      </w:r>
      <w:r>
        <w:rPr>
          <w:u w:val="single"/>
        </w:rPr>
        <w:t>J Small Anim Pract</w:t>
      </w:r>
      <w:r>
        <w:rPr/>
        <w:t> 2001</w:t>
      </w:r>
      <w:r>
        <w:rPr>
          <w:w w:val="41"/>
        </w:rPr>
        <w:t>X</w:t>
      </w:r>
      <w:r>
        <w:rPr/>
        <w:t>42(7):341</w:t>
      </w:r>
      <w:r>
        <w:rPr>
          <w:w w:val="119"/>
        </w:rPr>
        <w:t>[</w:t>
      </w:r>
      <w:r>
        <w:rPr/>
        <w:t>4.</w:t>
      </w:r>
    </w:p>
    <w:p>
      <w:pPr>
        <w:pStyle w:val="BodyText"/>
        <w:rPr>
          <w:sz w:val="20"/>
        </w:rPr>
      </w:pPr>
    </w:p>
    <w:p>
      <w:pPr>
        <w:pStyle w:val="BodyText"/>
        <w:spacing w:before="7"/>
        <w:rPr>
          <w:sz w:val="18"/>
        </w:rPr>
      </w:pPr>
    </w:p>
    <w:p>
      <w:pPr>
        <w:pStyle w:val="BodyText"/>
        <w:spacing w:line="274" w:lineRule="exact" w:before="75"/>
        <w:ind w:left="144" w:right="144"/>
      </w:pPr>
      <w:r>
        <w:rPr/>
        <w:t>Moreau PM. Neurogenic disorders of micturition in the dog and cat. </w:t>
      </w:r>
      <w:r>
        <w:rPr>
          <w:u w:val="single"/>
        </w:rPr>
        <w:t>Compend Contin Educ Pract Vet </w:t>
      </w:r>
      <w:r>
        <w:rPr/>
        <w:t>1982X4:12–22.</w:t>
      </w:r>
    </w:p>
    <w:p>
      <w:pPr>
        <w:pStyle w:val="BodyText"/>
        <w:rPr>
          <w:sz w:val="20"/>
        </w:rPr>
      </w:pPr>
    </w:p>
    <w:p>
      <w:pPr>
        <w:pStyle w:val="BodyText"/>
        <w:spacing w:before="5"/>
        <w:rPr>
          <w:sz w:val="18"/>
        </w:rPr>
      </w:pPr>
    </w:p>
    <w:p>
      <w:pPr>
        <w:pStyle w:val="BodyText"/>
        <w:spacing w:line="242" w:lineRule="auto" w:before="70"/>
        <w:ind w:left="144" w:right="145"/>
      </w:pPr>
      <w:r>
        <w:rPr/>
        <w:t>Moroff SD, Brown BA, Mattiesen DT, et al. Infiltrative urethral disease in female dogs: 41 cases (1980–1987). </w:t>
      </w:r>
      <w:r>
        <w:rPr>
          <w:u w:val="single"/>
        </w:rPr>
        <w:t>J Am Vet Med Assoc </w:t>
      </w:r>
      <w:r>
        <w:rPr/>
        <w:t>1991X199(29):147–251.</w:t>
      </w:r>
    </w:p>
    <w:p>
      <w:pPr>
        <w:pStyle w:val="BodyText"/>
        <w:rPr>
          <w:sz w:val="20"/>
        </w:rPr>
      </w:pPr>
    </w:p>
    <w:p>
      <w:pPr>
        <w:pStyle w:val="BodyText"/>
        <w:spacing w:before="7"/>
        <w:rPr>
          <w:sz w:val="18"/>
        </w:rPr>
      </w:pPr>
    </w:p>
    <w:p>
      <w:pPr>
        <w:pStyle w:val="BodyText"/>
        <w:spacing w:line="274" w:lineRule="exact" w:before="75"/>
        <w:ind w:left="144" w:right="144"/>
      </w:pPr>
      <w:r>
        <w:rPr/>
        <w:t>Mutsaers AJ, Widmer WR, Knapp DW. Canine transitional cell carcinoma. </w:t>
      </w:r>
      <w:r>
        <w:rPr>
          <w:i/>
          <w:u w:val="single"/>
        </w:rPr>
        <w:t>J Vet Intern </w:t>
      </w:r>
      <w:r>
        <w:rPr>
          <w:i/>
          <w:w w:val="95"/>
          <w:u w:val="single"/>
        </w:rPr>
        <w:t>Med </w:t>
      </w:r>
      <w:r>
        <w:rPr>
          <w:w w:val="95"/>
        </w:rPr>
        <w:t>2003X17(2):136–144.</w:t>
      </w:r>
    </w:p>
    <w:p>
      <w:pPr>
        <w:pStyle w:val="BodyText"/>
        <w:rPr>
          <w:sz w:val="20"/>
        </w:rPr>
      </w:pPr>
    </w:p>
    <w:p>
      <w:pPr>
        <w:pStyle w:val="BodyText"/>
        <w:spacing w:before="5"/>
        <w:rPr>
          <w:sz w:val="18"/>
        </w:rPr>
      </w:pPr>
    </w:p>
    <w:p>
      <w:pPr>
        <w:pStyle w:val="BodyText"/>
        <w:spacing w:line="242" w:lineRule="auto" w:before="70"/>
        <w:ind w:left="144" w:right="144"/>
      </w:pPr>
      <w:r>
        <w:rPr/>
        <w:t>Naber KG. Short[term therapy of acute uncomplicated cistitis. </w:t>
      </w:r>
      <w:r>
        <w:rPr>
          <w:u w:val="single"/>
        </w:rPr>
        <w:t>Curr Opin Urol </w:t>
      </w:r>
      <w:r>
        <w:rPr/>
        <w:t>1999</w:t>
      </w:r>
      <w:r>
        <w:rPr>
          <w:w w:val="41"/>
        </w:rPr>
        <w:t>X</w:t>
      </w:r>
      <w:r>
        <w:rPr/>
        <w:t>9(1):57</w:t>
      </w:r>
      <w:r>
        <w:rPr>
          <w:w w:val="119"/>
        </w:rPr>
        <w:t>[</w:t>
      </w:r>
      <w:r>
        <w:rPr/>
        <w:t>64.</w:t>
      </w:r>
    </w:p>
    <w:p>
      <w:pPr>
        <w:pStyle w:val="BodyText"/>
      </w:pPr>
    </w:p>
    <w:p>
      <w:pPr>
        <w:pStyle w:val="BodyText"/>
        <w:spacing w:before="1"/>
        <w:rPr>
          <w:sz w:val="21"/>
        </w:rPr>
      </w:pPr>
    </w:p>
    <w:p>
      <w:pPr>
        <w:pStyle w:val="BodyText"/>
        <w:spacing w:line="274" w:lineRule="exact" w:before="1"/>
        <w:ind w:left="144" w:right="148"/>
      </w:pPr>
      <w:r>
        <w:rPr/>
        <w:t>Nickel RF, Venker[van Haagen AJ. Functional anatomy and neural regulation of the lower urinary tract in female dogs: a review. </w:t>
      </w:r>
      <w:r>
        <w:rPr>
          <w:u w:val="single"/>
        </w:rPr>
        <w:t>Vet Q. </w:t>
      </w:r>
      <w:r>
        <w:rPr/>
        <w:t>1999X21(3):83–5.</w:t>
      </w:r>
    </w:p>
    <w:p>
      <w:pPr>
        <w:pStyle w:val="BodyText"/>
        <w:rPr>
          <w:sz w:val="20"/>
        </w:rPr>
      </w:pPr>
    </w:p>
    <w:p>
      <w:pPr>
        <w:pStyle w:val="BodyText"/>
        <w:spacing w:before="5"/>
        <w:rPr>
          <w:sz w:val="18"/>
        </w:rPr>
      </w:pPr>
    </w:p>
    <w:p>
      <w:pPr>
        <w:pStyle w:val="BodyText"/>
        <w:spacing w:line="242" w:lineRule="auto" w:before="70"/>
        <w:ind w:left="144" w:right="205"/>
      </w:pPr>
      <w:r>
        <w:rPr/>
        <w:t>Norris CR, Williams BJ, Ling GV, et al. Recurrent and persistent urinary tract infections  in</w:t>
      </w:r>
      <w:r>
        <w:rPr>
          <w:spacing w:val="-10"/>
        </w:rPr>
        <w:t> </w:t>
      </w:r>
      <w:r>
        <w:rPr/>
        <w:t>dogs:</w:t>
      </w:r>
      <w:r>
        <w:rPr>
          <w:spacing w:val="-10"/>
        </w:rPr>
        <w:t> </w:t>
      </w:r>
      <w:r>
        <w:rPr/>
        <w:t>383</w:t>
      </w:r>
      <w:r>
        <w:rPr>
          <w:spacing w:val="-10"/>
        </w:rPr>
        <w:t> </w:t>
      </w:r>
      <w:r>
        <w:rPr/>
        <w:t>cases</w:t>
      </w:r>
      <w:r>
        <w:rPr>
          <w:spacing w:val="-10"/>
        </w:rPr>
        <w:t> </w:t>
      </w:r>
      <w:r>
        <w:rPr/>
        <w:t>(1969–1995).</w:t>
      </w:r>
      <w:r>
        <w:rPr>
          <w:spacing w:val="-11"/>
        </w:rPr>
        <w:t> </w:t>
      </w:r>
      <w:r>
        <w:rPr>
          <w:u w:val="single"/>
        </w:rPr>
        <w:t>J</w:t>
      </w:r>
      <w:r>
        <w:rPr>
          <w:spacing w:val="-10"/>
          <w:u w:val="single"/>
        </w:rPr>
        <w:t> </w:t>
      </w:r>
      <w:r>
        <w:rPr>
          <w:u w:val="single"/>
        </w:rPr>
        <w:t>Am</w:t>
      </w:r>
      <w:r>
        <w:rPr>
          <w:spacing w:val="-10"/>
          <w:u w:val="single"/>
        </w:rPr>
        <w:t> </w:t>
      </w:r>
      <w:r>
        <w:rPr>
          <w:u w:val="single"/>
        </w:rPr>
        <w:t>Anim</w:t>
      </w:r>
      <w:r>
        <w:rPr>
          <w:spacing w:val="-10"/>
          <w:u w:val="single"/>
        </w:rPr>
        <w:t> </w:t>
      </w:r>
      <w:r>
        <w:rPr>
          <w:u w:val="single"/>
        </w:rPr>
        <w:t>Hosp</w:t>
      </w:r>
      <w:r>
        <w:rPr>
          <w:spacing w:val="-10"/>
          <w:u w:val="single"/>
        </w:rPr>
        <w:t> </w:t>
      </w:r>
      <w:r>
        <w:rPr>
          <w:u w:val="single"/>
        </w:rPr>
        <w:t>Assoc</w:t>
      </w:r>
      <w:r>
        <w:rPr>
          <w:spacing w:val="-11"/>
          <w:u w:val="single"/>
        </w:rPr>
        <w:t> </w:t>
      </w:r>
      <w:r>
        <w:rPr/>
        <w:t>2000X36(6):484–492.</w:t>
      </w:r>
    </w:p>
    <w:p>
      <w:pPr>
        <w:pStyle w:val="BodyText"/>
        <w:rPr>
          <w:sz w:val="20"/>
        </w:rPr>
      </w:pPr>
    </w:p>
    <w:p>
      <w:pPr>
        <w:pStyle w:val="BodyText"/>
        <w:spacing w:before="7"/>
        <w:rPr>
          <w:sz w:val="18"/>
        </w:rPr>
      </w:pPr>
    </w:p>
    <w:p>
      <w:pPr>
        <w:pStyle w:val="BodyText"/>
        <w:spacing w:before="69"/>
        <w:ind w:left="144" w:right="148"/>
        <w:jc w:val="both"/>
      </w:pPr>
      <w:r>
        <w:rPr/>
        <w:t>Ogeer G, Mathews K, Weese J, et al. Evaluation of catheter[associated urinary tract infections and multi[drug[resistant Escherichia coli isolates from the urine of dogs with indwelling urinary catheters. </w:t>
      </w:r>
      <w:r>
        <w:rPr>
          <w:u w:val="single"/>
        </w:rPr>
        <w:t>J Am Vet Med Asocc </w:t>
      </w:r>
      <w:r>
        <w:rPr/>
        <w:t>2006bX229(10):1584–90.</w:t>
      </w:r>
    </w:p>
    <w:p>
      <w:pPr>
        <w:spacing w:after="0"/>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before="70"/>
        <w:ind w:left="144" w:right="148"/>
        <w:jc w:val="both"/>
      </w:pPr>
      <w:r>
        <w:rPr/>
        <w:t>Osborne CA, Lulich JP, Polzin DJ. Medical dissolution and prevention of canine struvita urolithiasis: twenty years of experience. </w:t>
      </w:r>
      <w:r>
        <w:rPr>
          <w:u w:val="single"/>
        </w:rPr>
        <w:t>Vet Clin North Am Small Anim Pract </w:t>
      </w:r>
      <w:r>
        <w:rPr/>
        <w:t>1999X29(1):73–111.</w:t>
      </w:r>
    </w:p>
    <w:p>
      <w:pPr>
        <w:pStyle w:val="BodyText"/>
      </w:pPr>
    </w:p>
    <w:p>
      <w:pPr>
        <w:pStyle w:val="BodyText"/>
        <w:spacing w:before="10"/>
        <w:rPr>
          <w:sz w:val="20"/>
        </w:rPr>
      </w:pPr>
    </w:p>
    <w:p>
      <w:pPr>
        <w:pStyle w:val="BodyText"/>
        <w:ind w:left="144" w:right="148"/>
        <w:jc w:val="both"/>
      </w:pPr>
      <w:r>
        <w:rPr/>
        <w:t>Osborne CA, Lulich JP, Kruger JM, et al. Analysis of 451,891 canine uroliths, feline uroliths, and feline urethral plugs from 1981 to 2007. Perspectives from the Minnesota Urolith Center. </w:t>
      </w:r>
      <w:r>
        <w:rPr>
          <w:u w:val="single"/>
        </w:rPr>
        <w:t>Vet Clin North Am Small Anim Pract </w:t>
      </w:r>
      <w:r>
        <w:rPr/>
        <w:t>2009X39(1):183–97.</w:t>
      </w:r>
    </w:p>
    <w:p>
      <w:pPr>
        <w:pStyle w:val="BodyText"/>
        <w:rPr>
          <w:sz w:val="20"/>
        </w:rPr>
      </w:pPr>
    </w:p>
    <w:p>
      <w:pPr>
        <w:pStyle w:val="BodyText"/>
        <w:spacing w:before="9"/>
        <w:rPr>
          <w:sz w:val="18"/>
        </w:rPr>
      </w:pPr>
    </w:p>
    <w:p>
      <w:pPr>
        <w:pStyle w:val="BodyText"/>
        <w:spacing w:line="242" w:lineRule="auto" w:before="70"/>
        <w:ind w:left="144" w:right="144"/>
      </w:pPr>
      <w:r>
        <w:rPr/>
        <w:t>Osborne CA, JP Lulich, LL Swanson, et al. Drug[induced urolithiasis. </w:t>
      </w:r>
      <w:r>
        <w:rPr>
          <w:u w:val="single"/>
        </w:rPr>
        <w:t>Vet Clin North Am Small Anim Pract </w:t>
      </w:r>
      <w:r>
        <w:rPr/>
        <w:t>2009bX39(1):55[63.</w:t>
      </w:r>
    </w:p>
    <w:p>
      <w:pPr>
        <w:pStyle w:val="BodyText"/>
        <w:rPr>
          <w:sz w:val="20"/>
        </w:rPr>
      </w:pPr>
    </w:p>
    <w:p>
      <w:pPr>
        <w:pStyle w:val="BodyText"/>
        <w:spacing w:before="7"/>
        <w:rPr>
          <w:sz w:val="18"/>
        </w:rPr>
      </w:pPr>
    </w:p>
    <w:p>
      <w:pPr>
        <w:pStyle w:val="BodyText"/>
        <w:spacing w:before="69"/>
        <w:ind w:left="144" w:right="148"/>
        <w:jc w:val="both"/>
      </w:pPr>
      <w:r>
        <w:rPr/>
        <w:t>Ostrooumov M. Espectrometría infrarroja de reflexión en mineralogía avanzada, gemología y arqueometría. </w:t>
      </w:r>
      <w:r>
        <w:rPr>
          <w:u w:val="single"/>
        </w:rPr>
        <w:t>Monografías del instituto de geofísica/12. </w:t>
      </w:r>
      <w:r>
        <w:rPr/>
        <w:t>Instituto de Geofísica</w:t>
      </w:r>
      <w:r>
        <w:rPr>
          <w:w w:val="119"/>
        </w:rPr>
        <w:t>[</w:t>
      </w:r>
      <w:r>
        <w:rPr/>
        <w:t>UNAM México</w:t>
      </w:r>
      <w:r>
        <w:rPr>
          <w:w w:val="41"/>
        </w:rPr>
        <w:t>X</w:t>
      </w:r>
      <w:r>
        <w:rPr/>
        <w:t> 2007: 6.</w:t>
      </w:r>
    </w:p>
    <w:p>
      <w:pPr>
        <w:pStyle w:val="BodyText"/>
      </w:pPr>
    </w:p>
    <w:p>
      <w:pPr>
        <w:pStyle w:val="BodyText"/>
        <w:spacing w:before="4"/>
        <w:rPr>
          <w:sz w:val="21"/>
        </w:rPr>
      </w:pPr>
    </w:p>
    <w:p>
      <w:pPr>
        <w:pStyle w:val="BodyText"/>
        <w:spacing w:line="274" w:lineRule="exact"/>
        <w:ind w:left="144" w:right="148"/>
        <w:jc w:val="both"/>
      </w:pPr>
      <w:r>
        <w:rPr/>
        <w:t>Oyafuso MK, Kogika MM, Waki MM, Prosser CS, et al. Urolitíase em cães: avaliação quantitativa da composição mineral de 156 urólitos. </w:t>
      </w:r>
      <w:r>
        <w:rPr>
          <w:u w:val="single"/>
        </w:rPr>
        <w:t>Cienc. Rural</w:t>
      </w:r>
      <w:r>
        <w:rPr/>
        <w:t> 2010</w:t>
      </w:r>
      <w:r>
        <w:rPr>
          <w:w w:val="41"/>
        </w:rPr>
        <w:t>X</w:t>
      </w:r>
      <w:r>
        <w:rPr/>
        <w:t> 4(1):102</w:t>
      </w:r>
      <w:r>
        <w:rPr>
          <w:w w:val="119"/>
        </w:rPr>
        <w:t>[</w:t>
      </w:r>
      <w:r>
        <w:rPr/>
        <w:t>108.</w:t>
      </w:r>
    </w:p>
    <w:p>
      <w:pPr>
        <w:pStyle w:val="BodyText"/>
        <w:rPr>
          <w:sz w:val="20"/>
        </w:rPr>
      </w:pPr>
    </w:p>
    <w:p>
      <w:pPr>
        <w:pStyle w:val="BodyText"/>
        <w:spacing w:before="5"/>
        <w:rPr>
          <w:sz w:val="18"/>
        </w:rPr>
      </w:pPr>
    </w:p>
    <w:p>
      <w:pPr>
        <w:pStyle w:val="BodyText"/>
        <w:spacing w:line="242" w:lineRule="auto" w:before="70"/>
        <w:ind w:left="144" w:right="148"/>
        <w:jc w:val="both"/>
      </w:pPr>
      <w:r>
        <w:rPr/>
        <w:t>Pechman RD. Urinary trauma in dogs and cats: a review. </w:t>
      </w:r>
      <w:r>
        <w:rPr>
          <w:u w:val="single"/>
        </w:rPr>
        <w:t>J Am Anim Hosp Assoc </w:t>
      </w:r>
      <w:r>
        <w:rPr/>
        <w:t>1982X18(1):33[40.</w:t>
      </w:r>
    </w:p>
    <w:p>
      <w:pPr>
        <w:pStyle w:val="BodyText"/>
      </w:pPr>
    </w:p>
    <w:p>
      <w:pPr>
        <w:pStyle w:val="BodyText"/>
        <w:spacing w:before="7"/>
        <w:rPr>
          <w:sz w:val="20"/>
        </w:rPr>
      </w:pPr>
    </w:p>
    <w:p>
      <w:pPr>
        <w:pStyle w:val="BodyText"/>
        <w:ind w:left="144" w:right="148"/>
        <w:jc w:val="both"/>
      </w:pPr>
      <w:r>
        <w:rPr/>
        <w:t>Ponglowhapan S, Church DB, Khalid DM. Differences in the proportion of collagen and muscle in the canine lower urinary tract with regard to gonadal status and gender. </w:t>
      </w:r>
      <w:r>
        <w:rPr>
          <w:w w:val="95"/>
          <w:u w:val="single"/>
        </w:rPr>
        <w:t>Theriogenology </w:t>
      </w:r>
      <w:r>
        <w:rPr>
          <w:spacing w:val="52"/>
          <w:w w:val="95"/>
          <w:u w:val="single"/>
        </w:rPr>
        <w:t> </w:t>
      </w:r>
      <w:r>
        <w:rPr>
          <w:w w:val="95"/>
        </w:rPr>
        <w:t>2008X70(9):1516[24.</w:t>
      </w:r>
    </w:p>
    <w:p>
      <w:pPr>
        <w:pStyle w:val="BodyText"/>
        <w:rPr>
          <w:sz w:val="20"/>
        </w:rPr>
      </w:pPr>
    </w:p>
    <w:p>
      <w:pPr>
        <w:pStyle w:val="BodyText"/>
        <w:spacing w:before="9"/>
        <w:rPr>
          <w:sz w:val="18"/>
        </w:rPr>
      </w:pPr>
    </w:p>
    <w:p>
      <w:pPr>
        <w:pStyle w:val="BodyText"/>
        <w:spacing w:before="70"/>
        <w:ind w:left="144" w:right="148"/>
        <w:jc w:val="both"/>
      </w:pPr>
      <w:r>
        <w:rPr/>
        <w:t>Pressler BM, Vaden SL, Lane IF, et al. Candida spp. Urinary tract infections in 13 dogs and seven cats: predisposing factors, treatment, and outcome. </w:t>
      </w:r>
      <w:r>
        <w:rPr>
          <w:u w:val="single"/>
        </w:rPr>
        <w:t>J Am Anim Hosp Assoc </w:t>
      </w:r>
      <w:r>
        <w:rPr/>
        <w:t>2003X39(3):263–70.</w:t>
      </w:r>
    </w:p>
    <w:p>
      <w:pPr>
        <w:pStyle w:val="BodyText"/>
      </w:pPr>
    </w:p>
    <w:p>
      <w:pPr>
        <w:pStyle w:val="BodyText"/>
        <w:spacing w:before="4"/>
        <w:rPr>
          <w:sz w:val="21"/>
        </w:rPr>
      </w:pPr>
    </w:p>
    <w:p>
      <w:pPr>
        <w:pStyle w:val="BodyText"/>
        <w:spacing w:line="274" w:lineRule="exact"/>
        <w:ind w:left="144" w:right="148"/>
        <w:jc w:val="both"/>
      </w:pPr>
      <w:r>
        <w:rPr/>
        <w:t>Ragni RR. Urethral prolapse in three male yorkshire terriers. </w:t>
      </w:r>
      <w:r>
        <w:rPr>
          <w:u w:val="single"/>
        </w:rPr>
        <w:t>J Small Anim Pract </w:t>
      </w:r>
      <w:r>
        <w:rPr/>
        <w:t>2007X48(3):180.</w:t>
      </w:r>
    </w:p>
    <w:p>
      <w:pPr>
        <w:pStyle w:val="BodyText"/>
      </w:pPr>
    </w:p>
    <w:p>
      <w:pPr>
        <w:pStyle w:val="BodyText"/>
        <w:spacing w:before="6"/>
        <w:rPr>
          <w:sz w:val="20"/>
        </w:rPr>
      </w:pPr>
    </w:p>
    <w:p>
      <w:pPr>
        <w:pStyle w:val="BodyText"/>
        <w:spacing w:line="242" w:lineRule="auto"/>
        <w:ind w:left="144" w:right="148"/>
        <w:jc w:val="both"/>
      </w:pPr>
      <w:r>
        <w:rPr/>
        <w:t>Rieser TM. Urinary tract emergences. </w:t>
      </w:r>
      <w:r>
        <w:rPr>
          <w:u w:val="single"/>
        </w:rPr>
        <w:t>Vet Clin North Am Small Anim Pract </w:t>
      </w:r>
      <w:r>
        <w:rPr/>
        <w:t>2005</w:t>
      </w:r>
      <w:r>
        <w:rPr>
          <w:w w:val="41"/>
        </w:rPr>
        <w:t>X</w:t>
      </w:r>
      <w:r>
        <w:rPr/>
        <w:t>35(2):359</w:t>
      </w:r>
      <w:r>
        <w:rPr>
          <w:w w:val="119"/>
        </w:rPr>
        <w:t>[</w:t>
      </w:r>
      <w:r>
        <w:rPr/>
        <w:t>373.</w:t>
      </w:r>
    </w:p>
    <w:p>
      <w:pPr>
        <w:spacing w:after="0" w:line="242" w:lineRule="auto"/>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242" w:lineRule="auto" w:before="70"/>
        <w:ind w:left="144" w:right="144"/>
      </w:pPr>
      <w:r>
        <w:rPr/>
        <w:t>Rogers DK, Jones B, Roberts L, et al. Composition of uroliths in small domestic animals in the United Kingdom. </w:t>
      </w:r>
      <w:r>
        <w:rPr>
          <w:u w:val="single"/>
        </w:rPr>
        <w:t>Vet J </w:t>
      </w:r>
      <w:r>
        <w:rPr/>
        <w:t>2011X188(2):228[30.</w:t>
      </w:r>
    </w:p>
    <w:p>
      <w:pPr>
        <w:pStyle w:val="BodyText"/>
        <w:rPr>
          <w:sz w:val="20"/>
        </w:rPr>
      </w:pPr>
    </w:p>
    <w:p>
      <w:pPr>
        <w:pStyle w:val="BodyText"/>
        <w:spacing w:before="7"/>
        <w:rPr>
          <w:sz w:val="18"/>
        </w:rPr>
      </w:pPr>
    </w:p>
    <w:p>
      <w:pPr>
        <w:pStyle w:val="BodyText"/>
        <w:spacing w:line="274" w:lineRule="exact" w:before="75"/>
        <w:ind w:left="144" w:right="144"/>
      </w:pPr>
      <w:r>
        <w:rPr/>
        <w:t>Ruel Y, Barthez PY, Mailles A, Begon D et al. Ultrasonographic evaluation of the rostate in healthy intact dogs. </w:t>
      </w:r>
      <w:r>
        <w:rPr>
          <w:u w:val="single"/>
        </w:rPr>
        <w:t>Vet Radiol Ultrasound </w:t>
      </w:r>
      <w:r>
        <w:rPr/>
        <w:t>1998X39(3):212–6.</w:t>
      </w:r>
    </w:p>
    <w:p>
      <w:pPr>
        <w:pStyle w:val="BodyText"/>
        <w:rPr>
          <w:sz w:val="20"/>
        </w:rPr>
      </w:pPr>
    </w:p>
    <w:p>
      <w:pPr>
        <w:pStyle w:val="BodyText"/>
        <w:spacing w:before="5"/>
        <w:rPr>
          <w:sz w:val="18"/>
        </w:rPr>
      </w:pPr>
    </w:p>
    <w:p>
      <w:pPr>
        <w:pStyle w:val="BodyText"/>
        <w:spacing w:line="242" w:lineRule="auto" w:before="70"/>
        <w:ind w:left="144" w:right="144"/>
      </w:pPr>
      <w:r>
        <w:rPr/>
        <w:t>Saint S, Lipsky BA. Preventing catheter[related bacteriuria. Should we? Can we? How? </w:t>
      </w:r>
      <w:r>
        <w:rPr>
          <w:u w:val="single"/>
        </w:rPr>
        <w:t>Arch Intern Med </w:t>
      </w:r>
      <w:r>
        <w:rPr/>
        <w:t>1999X159(8):800–8.</w:t>
      </w:r>
    </w:p>
    <w:p>
      <w:pPr>
        <w:pStyle w:val="BodyText"/>
        <w:rPr>
          <w:sz w:val="20"/>
        </w:rPr>
      </w:pPr>
    </w:p>
    <w:p>
      <w:pPr>
        <w:pStyle w:val="BodyText"/>
        <w:spacing w:before="7"/>
        <w:rPr>
          <w:sz w:val="18"/>
        </w:rPr>
      </w:pPr>
    </w:p>
    <w:p>
      <w:pPr>
        <w:pStyle w:val="BodyText"/>
        <w:spacing w:line="274" w:lineRule="exact" w:before="75"/>
        <w:ind w:left="144" w:right="148"/>
        <w:jc w:val="both"/>
      </w:pPr>
      <w:r>
        <w:rPr/>
        <w:t>Selcer BA. Urinary tract trauma associated whith pelvic trauma. </w:t>
      </w:r>
      <w:r>
        <w:rPr>
          <w:u w:val="single"/>
        </w:rPr>
        <w:t>J Am Anim Hosp assoc </w:t>
      </w:r>
      <w:r>
        <w:rPr/>
        <w:t>1982X19(5):785[93.</w:t>
      </w:r>
    </w:p>
    <w:p>
      <w:pPr>
        <w:pStyle w:val="BodyText"/>
      </w:pPr>
    </w:p>
    <w:p>
      <w:pPr>
        <w:pStyle w:val="BodyText"/>
        <w:spacing w:before="6"/>
        <w:rPr>
          <w:sz w:val="20"/>
        </w:rPr>
      </w:pPr>
    </w:p>
    <w:p>
      <w:pPr>
        <w:pStyle w:val="BodyText"/>
        <w:ind w:left="144" w:right="148"/>
        <w:jc w:val="both"/>
      </w:pPr>
      <w:r>
        <w:rPr/>
        <w:t>Sereda C, Fowler D, Shmon C. Iatrogenic proximal urethral obstructión after inadvertend prostatectomy during bilateral perineal herniorrhaphy in a dog. </w:t>
      </w:r>
      <w:r>
        <w:rPr>
          <w:u w:val="single"/>
        </w:rPr>
        <w:t>Can Vet J </w:t>
      </w:r>
      <w:r>
        <w:rPr/>
        <w:t>2002X43(4):288[90.</w:t>
      </w:r>
    </w:p>
    <w:p>
      <w:pPr>
        <w:pStyle w:val="BodyText"/>
      </w:pPr>
    </w:p>
    <w:p>
      <w:pPr>
        <w:pStyle w:val="BodyText"/>
        <w:spacing w:before="10"/>
        <w:rPr>
          <w:sz w:val="20"/>
        </w:rPr>
      </w:pPr>
    </w:p>
    <w:p>
      <w:pPr>
        <w:pStyle w:val="BodyText"/>
        <w:spacing w:line="242" w:lineRule="auto"/>
        <w:ind w:left="144" w:right="148"/>
        <w:jc w:val="both"/>
      </w:pPr>
      <w:r>
        <w:rPr/>
        <w:t>Shulz KS, Waldron DR, Smith MM, et al. Inadvertent prostatectomy as a complication of cryptorchidectomy in four dogs. </w:t>
      </w:r>
      <w:r>
        <w:rPr>
          <w:u w:val="single"/>
        </w:rPr>
        <w:t>J Am Anim Hosp Assoc </w:t>
      </w:r>
      <w:r>
        <w:rPr/>
        <w:t>1996X32(3):211[14.</w:t>
      </w:r>
    </w:p>
    <w:p>
      <w:pPr>
        <w:pStyle w:val="BodyText"/>
        <w:rPr>
          <w:sz w:val="20"/>
        </w:rPr>
      </w:pPr>
    </w:p>
    <w:p>
      <w:pPr>
        <w:pStyle w:val="BodyText"/>
        <w:spacing w:before="7"/>
        <w:rPr>
          <w:sz w:val="18"/>
        </w:rPr>
      </w:pPr>
    </w:p>
    <w:p>
      <w:pPr>
        <w:pStyle w:val="BodyText"/>
        <w:spacing w:line="274" w:lineRule="exact" w:before="75"/>
        <w:ind w:left="144" w:right="144"/>
      </w:pPr>
      <w:r>
        <w:rPr/>
        <w:t>Shweighauser A, Howard J, Malik Y, et al. Xanthinuria in a domestic shorthair cat. </w:t>
      </w:r>
      <w:r>
        <w:rPr>
          <w:u w:val="single"/>
        </w:rPr>
        <w:t>V</w:t>
      </w:r>
      <w:r>
        <w:rPr>
          <w:i/>
          <w:u w:val="single"/>
        </w:rPr>
        <w:t>et </w:t>
      </w:r>
      <w:r>
        <w:rPr>
          <w:i/>
          <w:w w:val="95"/>
          <w:u w:val="single"/>
        </w:rPr>
        <w:t>Rec </w:t>
      </w:r>
      <w:r>
        <w:rPr>
          <w:w w:val="95"/>
        </w:rPr>
        <w:t>2009X164(3):91[2.</w:t>
      </w:r>
    </w:p>
    <w:p>
      <w:pPr>
        <w:pStyle w:val="BodyText"/>
        <w:rPr>
          <w:sz w:val="20"/>
        </w:rPr>
      </w:pPr>
    </w:p>
    <w:p>
      <w:pPr>
        <w:pStyle w:val="BodyText"/>
        <w:spacing w:before="5"/>
        <w:rPr>
          <w:sz w:val="18"/>
        </w:rPr>
      </w:pPr>
    </w:p>
    <w:p>
      <w:pPr>
        <w:pStyle w:val="BodyText"/>
        <w:spacing w:line="242" w:lineRule="auto" w:before="70"/>
        <w:ind w:left="144" w:right="144"/>
      </w:pPr>
      <w:r>
        <w:rPr/>
        <w:t>Smith J. Canine prostatic disease: A review of anatomy, pathology, diagnosis and treatment. </w:t>
      </w:r>
      <w:r>
        <w:rPr>
          <w:i/>
          <w:u w:val="single"/>
        </w:rPr>
        <w:t>Theriogenology </w:t>
      </w:r>
      <w:r>
        <w:rPr/>
        <w:t>2008X70(3):375[83.</w:t>
      </w:r>
    </w:p>
    <w:p>
      <w:pPr>
        <w:pStyle w:val="BodyText"/>
        <w:rPr>
          <w:sz w:val="20"/>
        </w:rPr>
      </w:pPr>
    </w:p>
    <w:p>
      <w:pPr>
        <w:pStyle w:val="BodyText"/>
        <w:spacing w:before="7"/>
        <w:rPr>
          <w:sz w:val="18"/>
        </w:rPr>
      </w:pPr>
    </w:p>
    <w:p>
      <w:pPr>
        <w:pStyle w:val="BodyText"/>
        <w:spacing w:line="274" w:lineRule="exact" w:before="75"/>
        <w:ind w:left="144" w:right="144"/>
      </w:pPr>
      <w:r>
        <w:rPr/>
        <w:t>Sosnar M, Bulkova T, Ruzicka M. Epidemiology of canine urolithiasis in the Czech Republic from 1997 to 2002. </w:t>
      </w:r>
      <w:r>
        <w:rPr>
          <w:u w:val="single"/>
        </w:rPr>
        <w:t>J Small Anim Pract </w:t>
      </w:r>
      <w:r>
        <w:rPr/>
        <w:t>2005X46(4):177–84.</w:t>
      </w:r>
    </w:p>
    <w:p>
      <w:pPr>
        <w:pStyle w:val="BodyText"/>
        <w:rPr>
          <w:sz w:val="20"/>
        </w:rPr>
      </w:pPr>
    </w:p>
    <w:p>
      <w:pPr>
        <w:pStyle w:val="BodyText"/>
        <w:spacing w:before="5"/>
        <w:rPr>
          <w:sz w:val="18"/>
        </w:rPr>
      </w:pPr>
    </w:p>
    <w:p>
      <w:pPr>
        <w:pStyle w:val="BodyText"/>
        <w:spacing w:line="242" w:lineRule="auto" w:before="70"/>
        <w:ind w:left="144" w:right="205"/>
      </w:pPr>
      <w:r>
        <w:rPr/>
        <w:t>Spackman CJ, Roth L. Prostatic cyst and concurrent Sertoli cell tumor in a dog. </w:t>
      </w:r>
      <w:r>
        <w:rPr>
          <w:u w:val="single"/>
        </w:rPr>
        <w:t>J Am Vet</w:t>
      </w:r>
      <w:r>
        <w:rPr>
          <w:spacing w:val="-33"/>
          <w:u w:val="single"/>
        </w:rPr>
        <w:t> </w:t>
      </w:r>
      <w:r>
        <w:rPr>
          <w:u w:val="single"/>
        </w:rPr>
        <w:t>Med</w:t>
      </w:r>
      <w:r>
        <w:rPr>
          <w:spacing w:val="-33"/>
          <w:u w:val="single"/>
        </w:rPr>
        <w:t> </w:t>
      </w:r>
      <w:r>
        <w:rPr>
          <w:u w:val="single"/>
        </w:rPr>
        <w:t>Assoc</w:t>
      </w:r>
      <w:r>
        <w:rPr>
          <w:spacing w:val="-33"/>
          <w:u w:val="single"/>
        </w:rPr>
        <w:t> </w:t>
      </w:r>
      <w:r>
        <w:rPr/>
        <w:t>1988X192(8):1096–8.</w:t>
      </w:r>
    </w:p>
    <w:p>
      <w:pPr>
        <w:pStyle w:val="BodyText"/>
        <w:spacing w:before="2"/>
        <w:rPr>
          <w:sz w:val="28"/>
        </w:rPr>
      </w:pPr>
    </w:p>
    <w:p>
      <w:pPr>
        <w:pStyle w:val="BodyText"/>
        <w:spacing w:before="69"/>
        <w:ind w:left="144" w:right="148"/>
        <w:jc w:val="both"/>
      </w:pPr>
      <w:r>
        <w:rPr/>
        <w:t>Stiffler KS, Stevenson MA, Sanchez S, et al. Prevalence and characterization of urinary tract infections in dogs with surgically treated type 1 thoracolumbar intervertebral disc extrusion. </w:t>
      </w:r>
      <w:r>
        <w:rPr>
          <w:i/>
          <w:u w:val="single"/>
        </w:rPr>
        <w:t>Vet Surg </w:t>
      </w:r>
      <w:r>
        <w:rPr/>
        <w:t>2006X35(4):330–6.</w:t>
      </w:r>
    </w:p>
    <w:p>
      <w:pPr>
        <w:spacing w:after="0"/>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242" w:lineRule="auto" w:before="70"/>
        <w:ind w:left="144" w:right="148"/>
        <w:jc w:val="both"/>
      </w:pPr>
      <w:r>
        <w:rPr/>
        <w:t>Stiller AT, Lulich J, Furrow E. Urethral Plugs in Dogs. </w:t>
      </w:r>
      <w:r>
        <w:rPr>
          <w:u w:val="single"/>
        </w:rPr>
        <w:t>J Vet Intern Med </w:t>
      </w:r>
      <w:r>
        <w:rPr/>
        <w:t>2014X28(2):324[ 30.</w:t>
      </w:r>
    </w:p>
    <w:p>
      <w:pPr>
        <w:pStyle w:val="BodyText"/>
      </w:pPr>
    </w:p>
    <w:p>
      <w:pPr>
        <w:pStyle w:val="BodyText"/>
        <w:spacing w:before="7"/>
        <w:rPr>
          <w:sz w:val="20"/>
        </w:rPr>
      </w:pPr>
    </w:p>
    <w:p>
      <w:pPr>
        <w:pStyle w:val="BodyText"/>
        <w:ind w:left="144" w:right="148"/>
        <w:jc w:val="both"/>
      </w:pPr>
      <w:r>
        <w:rPr/>
        <w:t>Stone EA. Neurogenic urinary incontinence. In: Binnington AG and Cockshutt JR (eds). </w:t>
      </w:r>
      <w:r>
        <w:rPr>
          <w:u w:val="single"/>
        </w:rPr>
        <w:t>Decision Making in Small Animal Soft Tissue Surgery. </w:t>
      </w:r>
      <w:r>
        <w:rPr/>
        <w:t>B.C. Decker Inc, Canada 1988:116–117.</w:t>
      </w:r>
    </w:p>
    <w:p>
      <w:pPr>
        <w:pStyle w:val="BodyText"/>
      </w:pPr>
    </w:p>
    <w:p>
      <w:pPr>
        <w:pStyle w:val="BodyText"/>
        <w:spacing w:before="4"/>
        <w:rPr>
          <w:sz w:val="21"/>
        </w:rPr>
      </w:pPr>
    </w:p>
    <w:p>
      <w:pPr>
        <w:pStyle w:val="BodyText"/>
        <w:spacing w:line="274" w:lineRule="exact"/>
        <w:ind w:left="144" w:right="148"/>
        <w:jc w:val="both"/>
      </w:pPr>
      <w:r>
        <w:rPr/>
        <w:t>Stone EA, Barsanti JA. Abnormal urine output and voiding. In: Stone EA and Barsanti  JA (eds). </w:t>
      </w:r>
      <w:r>
        <w:rPr>
          <w:u w:val="single"/>
        </w:rPr>
        <w:t>Urologic Surgery of the Dog and Cat</w:t>
      </w:r>
      <w:r>
        <w:rPr/>
        <w:t>. Lea and Febiger, USA</w:t>
      </w:r>
      <w:r>
        <w:rPr>
          <w:spacing w:val="50"/>
        </w:rPr>
        <w:t> </w:t>
      </w:r>
      <w:r>
        <w:rPr/>
        <w:t>1992:11–15.</w:t>
      </w:r>
    </w:p>
    <w:p>
      <w:pPr>
        <w:pStyle w:val="BodyText"/>
        <w:rPr>
          <w:sz w:val="20"/>
        </w:rPr>
      </w:pPr>
    </w:p>
    <w:p>
      <w:pPr>
        <w:pStyle w:val="BodyText"/>
        <w:spacing w:before="5"/>
        <w:rPr>
          <w:sz w:val="18"/>
        </w:rPr>
      </w:pPr>
    </w:p>
    <w:p>
      <w:pPr>
        <w:pStyle w:val="BodyText"/>
        <w:spacing w:before="70"/>
        <w:ind w:left="144" w:right="148"/>
        <w:jc w:val="both"/>
      </w:pPr>
      <w:r>
        <w:rPr/>
        <w:t>Sutherland[Smith J, Jerram RM, Walker AM, et al CG. Ectopic ureters and ureteroceles in dogs: presentation, cause, and diagnosis. </w:t>
      </w:r>
      <w:r>
        <w:rPr>
          <w:u w:val="single"/>
        </w:rPr>
        <w:t>Compend Contin Educ Pract Vet </w:t>
      </w:r>
      <w:r>
        <w:rPr/>
        <w:t>2004X26(4):303[10.</w:t>
      </w:r>
    </w:p>
    <w:p>
      <w:pPr>
        <w:pStyle w:val="BodyText"/>
      </w:pPr>
    </w:p>
    <w:p>
      <w:pPr>
        <w:pStyle w:val="BodyText"/>
        <w:spacing w:before="10"/>
        <w:rPr>
          <w:sz w:val="20"/>
        </w:rPr>
      </w:pPr>
    </w:p>
    <w:p>
      <w:pPr>
        <w:pStyle w:val="BodyText"/>
        <w:spacing w:line="242" w:lineRule="auto"/>
        <w:ind w:left="144" w:right="148"/>
        <w:jc w:val="both"/>
      </w:pPr>
      <w:r>
        <w:rPr/>
        <w:t>Tasaki Y, Miura N, Tanaka M, Momoi Y. Predisposing cause and prevention of canine silica urolithiasis. </w:t>
      </w:r>
      <w:r>
        <w:rPr>
          <w:u w:val="single"/>
        </w:rPr>
        <w:t>J. Pet. Anim. Nut. </w:t>
      </w:r>
      <w:r>
        <w:rPr/>
        <w:t>2013X16(2):61[6</w:t>
      </w:r>
      <w:r>
        <w:rPr>
          <w:color w:val="548DD4"/>
        </w:rPr>
        <w:t>.</w:t>
      </w:r>
    </w:p>
    <w:p>
      <w:pPr>
        <w:pStyle w:val="BodyText"/>
        <w:spacing w:before="8"/>
        <w:rPr>
          <w:sz w:val="17"/>
        </w:rPr>
      </w:pPr>
    </w:p>
    <w:p>
      <w:pPr>
        <w:pStyle w:val="BodyText"/>
        <w:spacing w:line="274" w:lineRule="exact" w:before="75"/>
        <w:ind w:left="144" w:right="144"/>
      </w:pPr>
      <w:r>
        <w:rPr/>
        <w:t>Teske E, Naan EC, Van Garderen, et al. Canine prostatic carcinoma: Epidemiological evidence of a increased risk in castrated dogs. </w:t>
      </w:r>
      <w:r>
        <w:rPr>
          <w:u w:val="single"/>
        </w:rPr>
        <w:t>Mol Cell Endo</w:t>
      </w:r>
      <w:r>
        <w:rPr>
          <w:spacing w:val="61"/>
          <w:u w:val="single"/>
        </w:rPr>
        <w:t> </w:t>
      </w:r>
      <w:r>
        <w:rPr/>
        <w:t>2002X197(1[2):251[5.</w:t>
      </w:r>
    </w:p>
    <w:p>
      <w:pPr>
        <w:pStyle w:val="BodyText"/>
        <w:rPr>
          <w:sz w:val="28"/>
        </w:rPr>
      </w:pPr>
    </w:p>
    <w:p>
      <w:pPr>
        <w:pStyle w:val="BodyText"/>
        <w:spacing w:line="242" w:lineRule="auto" w:before="70"/>
        <w:ind w:left="144" w:right="205"/>
      </w:pPr>
      <w:r>
        <w:rPr/>
        <w:t>Thornhill JA, Cechner P. Traumatic injures to the Kidney, uréter, bladder and urethra. </w:t>
      </w:r>
      <w:r>
        <w:rPr>
          <w:u w:val="single"/>
        </w:rPr>
        <w:t>Vet</w:t>
      </w:r>
      <w:r>
        <w:rPr>
          <w:spacing w:val="-12"/>
          <w:u w:val="single"/>
        </w:rPr>
        <w:t> </w:t>
      </w:r>
      <w:r>
        <w:rPr>
          <w:u w:val="single"/>
        </w:rPr>
        <w:t>Clin</w:t>
      </w:r>
      <w:r>
        <w:rPr>
          <w:spacing w:val="-12"/>
          <w:u w:val="single"/>
        </w:rPr>
        <w:t> </w:t>
      </w:r>
      <w:r>
        <w:rPr>
          <w:u w:val="single"/>
        </w:rPr>
        <w:t>North</w:t>
      </w:r>
      <w:r>
        <w:rPr>
          <w:spacing w:val="-12"/>
          <w:u w:val="single"/>
        </w:rPr>
        <w:t> </w:t>
      </w:r>
      <w:r>
        <w:rPr>
          <w:u w:val="single"/>
        </w:rPr>
        <w:t>Am</w:t>
      </w:r>
      <w:r>
        <w:rPr>
          <w:spacing w:val="-12"/>
          <w:u w:val="single"/>
        </w:rPr>
        <w:t> </w:t>
      </w:r>
      <w:r>
        <w:rPr>
          <w:u w:val="single"/>
        </w:rPr>
        <w:t>Small</w:t>
      </w:r>
      <w:r>
        <w:rPr>
          <w:spacing w:val="-12"/>
          <w:u w:val="single"/>
        </w:rPr>
        <w:t> </w:t>
      </w:r>
      <w:r>
        <w:rPr>
          <w:u w:val="single"/>
        </w:rPr>
        <w:t>Anim</w:t>
      </w:r>
      <w:r>
        <w:rPr>
          <w:spacing w:val="-12"/>
          <w:u w:val="single"/>
        </w:rPr>
        <w:t> </w:t>
      </w:r>
      <w:r>
        <w:rPr>
          <w:u w:val="single"/>
        </w:rPr>
        <w:t>Prac</w:t>
      </w:r>
      <w:r>
        <w:rPr>
          <w:spacing w:val="-13"/>
          <w:u w:val="single"/>
        </w:rPr>
        <w:t> </w:t>
      </w:r>
      <w:r>
        <w:rPr/>
        <w:t>1981X11(1):157[69.</w:t>
      </w:r>
    </w:p>
    <w:p>
      <w:pPr>
        <w:pStyle w:val="BodyText"/>
        <w:rPr>
          <w:sz w:val="20"/>
        </w:rPr>
      </w:pPr>
    </w:p>
    <w:p>
      <w:pPr>
        <w:pStyle w:val="BodyText"/>
        <w:spacing w:before="7"/>
        <w:rPr>
          <w:sz w:val="18"/>
        </w:rPr>
      </w:pPr>
    </w:p>
    <w:p>
      <w:pPr>
        <w:pStyle w:val="BodyText"/>
        <w:spacing w:before="69"/>
        <w:ind w:left="144" w:right="148"/>
        <w:jc w:val="both"/>
      </w:pPr>
      <w:r>
        <w:rPr/>
        <w:t>Thrusfield MV, Holt PE, Muirhead RH. Acquired urinary incontinence in bitches: its incidence and relationship to neutering practice. </w:t>
      </w:r>
      <w:r>
        <w:rPr>
          <w:u w:val="single"/>
        </w:rPr>
        <w:t>J Small Anim Pract </w:t>
      </w:r>
      <w:r>
        <w:rPr/>
        <w:t>1998X39(12):559– 66.</w:t>
      </w:r>
    </w:p>
    <w:p>
      <w:pPr>
        <w:pStyle w:val="BodyText"/>
      </w:pPr>
    </w:p>
    <w:p>
      <w:pPr>
        <w:pStyle w:val="BodyText"/>
        <w:spacing w:before="10"/>
        <w:rPr>
          <w:sz w:val="20"/>
        </w:rPr>
      </w:pPr>
    </w:p>
    <w:p>
      <w:pPr>
        <w:pStyle w:val="BodyText"/>
        <w:ind w:left="144" w:right="148"/>
        <w:jc w:val="both"/>
      </w:pPr>
      <w:r>
        <w:rPr/>
        <w:t>Ticer JW, Spencer CP, Ackerman N. Positive contrast retrograde urethrography. A useful procedure for evaluating urethral disorders in he dog. </w:t>
      </w:r>
      <w:r>
        <w:rPr>
          <w:u w:val="single"/>
        </w:rPr>
        <w:t>Vet Radiol Ultrasound </w:t>
      </w:r>
      <w:r>
        <w:rPr/>
        <w:t>1980X21(1):2[11.</w:t>
      </w:r>
    </w:p>
    <w:p>
      <w:pPr>
        <w:pStyle w:val="BodyText"/>
      </w:pPr>
    </w:p>
    <w:p>
      <w:pPr>
        <w:pStyle w:val="BodyText"/>
        <w:spacing w:before="4"/>
        <w:rPr>
          <w:sz w:val="21"/>
        </w:rPr>
      </w:pPr>
    </w:p>
    <w:p>
      <w:pPr>
        <w:pStyle w:val="BodyText"/>
        <w:spacing w:line="274" w:lineRule="exact"/>
        <w:ind w:left="144" w:right="148"/>
        <w:jc w:val="both"/>
      </w:pPr>
      <w:r>
        <w:rPr/>
        <w:t>Toshiyuki N, Shin[IChi E, Hideki E, et al. Renal silica Calculi in an infant. </w:t>
      </w:r>
      <w:r>
        <w:rPr>
          <w:u w:val="single"/>
        </w:rPr>
        <w:t>Int J Urol </w:t>
      </w:r>
      <w:r>
        <w:rPr/>
        <w:t>2004X11(2):119[21.</w:t>
      </w:r>
    </w:p>
    <w:p>
      <w:pPr>
        <w:pStyle w:val="BodyText"/>
        <w:spacing w:before="1"/>
        <w:rPr>
          <w:sz w:val="34"/>
        </w:rPr>
      </w:pPr>
    </w:p>
    <w:p>
      <w:pPr>
        <w:pStyle w:val="BodyText"/>
        <w:ind w:left="144" w:right="148"/>
        <w:jc w:val="both"/>
      </w:pPr>
      <w:r>
        <w:rPr/>
        <w:t>Tsuchida AS, Kagi H, Koyama M, Tagawa. Xanthine urolithiasis in a cat: a case report and evaluation of candidate gene for xanthine dehydrogenase. </w:t>
      </w:r>
      <w:r>
        <w:rPr>
          <w:u w:val="single"/>
        </w:rPr>
        <w:t>J Feline Med Surg </w:t>
      </w:r>
      <w:r>
        <w:rPr/>
        <w:t>2007X9(6):503[8.</w:t>
      </w:r>
    </w:p>
    <w:p>
      <w:pPr>
        <w:spacing w:after="0"/>
        <w:jc w:val="both"/>
        <w:sectPr>
          <w:pgSz w:w="12240" w:h="15840"/>
          <w:pgMar w:header="886" w:footer="882" w:top="1140" w:bottom="1080" w:left="1560" w:right="980"/>
        </w:sectPr>
      </w:pPr>
    </w:p>
    <w:p>
      <w:pPr>
        <w:pStyle w:val="BodyText"/>
        <w:rPr>
          <w:sz w:val="20"/>
        </w:rPr>
      </w:pPr>
    </w:p>
    <w:p>
      <w:pPr>
        <w:pStyle w:val="BodyText"/>
        <w:spacing w:before="4"/>
        <w:rPr>
          <w:sz w:val="22"/>
        </w:rPr>
      </w:pPr>
    </w:p>
    <w:p>
      <w:pPr>
        <w:pStyle w:val="BodyText"/>
        <w:spacing w:line="242" w:lineRule="auto" w:before="70"/>
        <w:ind w:left="144" w:right="144"/>
      </w:pPr>
      <w:r>
        <w:rPr/>
        <w:t>Van Zuilen CD, Nickel RF, Van Dijk TH et al. Xanthinuria in a family of Cavalier King Charles spaniels. </w:t>
      </w:r>
      <w:r>
        <w:rPr>
          <w:u w:val="single"/>
        </w:rPr>
        <w:t>Vet Q </w:t>
      </w:r>
      <w:r>
        <w:rPr/>
        <w:t>1997X19(4):172[4.</w:t>
      </w:r>
    </w:p>
    <w:p>
      <w:pPr>
        <w:pStyle w:val="BodyText"/>
        <w:rPr>
          <w:sz w:val="20"/>
        </w:rPr>
      </w:pPr>
    </w:p>
    <w:p>
      <w:pPr>
        <w:pStyle w:val="BodyText"/>
        <w:spacing w:before="7"/>
        <w:rPr>
          <w:sz w:val="18"/>
        </w:rPr>
      </w:pPr>
    </w:p>
    <w:p>
      <w:pPr>
        <w:pStyle w:val="BodyText"/>
        <w:spacing w:line="274" w:lineRule="exact" w:before="75"/>
        <w:ind w:left="144" w:right="144"/>
      </w:pPr>
      <w:r>
        <w:rPr/>
        <w:t>Vrabelova L, Silvestrini P, Ciudad J, et al. Analysis of 2735 canine uroliths in Spain and Portugal. A retrospective study: 2004[2006. </w:t>
      </w:r>
      <w:r>
        <w:rPr>
          <w:u w:val="single"/>
        </w:rPr>
        <w:t>Res Vet Sci </w:t>
      </w:r>
      <w:r>
        <w:rPr/>
        <w:t>2011X91(2):208[11.</w:t>
      </w:r>
    </w:p>
    <w:p>
      <w:pPr>
        <w:pStyle w:val="BodyText"/>
        <w:rPr>
          <w:sz w:val="20"/>
        </w:rPr>
      </w:pPr>
    </w:p>
    <w:p>
      <w:pPr>
        <w:pStyle w:val="BodyText"/>
        <w:spacing w:before="5"/>
        <w:rPr>
          <w:sz w:val="18"/>
        </w:rPr>
      </w:pPr>
    </w:p>
    <w:p>
      <w:pPr>
        <w:pStyle w:val="BodyText"/>
        <w:spacing w:line="242" w:lineRule="auto" w:before="70"/>
        <w:ind w:left="144" w:right="144"/>
      </w:pPr>
      <w:r>
        <w:rPr/>
        <w:t>Wallerstrom BI, Wagberg TI. Canine urolithiasis in Sweden and Norway: retrospective survey of prevalence and epidemiology. </w:t>
      </w:r>
      <w:r>
        <w:rPr>
          <w:u w:val="single"/>
        </w:rPr>
        <w:t>J Small Anim Pract</w:t>
      </w:r>
      <w:r>
        <w:rPr/>
        <w:t> 1992</w:t>
      </w:r>
      <w:r>
        <w:rPr>
          <w:w w:val="41"/>
        </w:rPr>
        <w:t>X</w:t>
      </w:r>
      <w:r>
        <w:rPr/>
        <w:t>33(11):534–9.</w:t>
      </w:r>
    </w:p>
    <w:p>
      <w:pPr>
        <w:pStyle w:val="BodyText"/>
        <w:rPr>
          <w:sz w:val="20"/>
        </w:rPr>
      </w:pPr>
    </w:p>
    <w:p>
      <w:pPr>
        <w:pStyle w:val="BodyText"/>
        <w:spacing w:before="7"/>
        <w:rPr>
          <w:sz w:val="18"/>
        </w:rPr>
      </w:pPr>
    </w:p>
    <w:p>
      <w:pPr>
        <w:pStyle w:val="BodyText"/>
        <w:spacing w:line="274" w:lineRule="exact" w:before="75"/>
        <w:ind w:left="144" w:right="144"/>
      </w:pPr>
      <w:r>
        <w:rPr/>
        <w:t>Weese JS, Palmer A. Presence of Oxalobacter forgimenes in the stool of healthy dogs. </w:t>
      </w:r>
      <w:r>
        <w:rPr>
          <w:u w:val="single"/>
        </w:rPr>
        <w:t>Vet Microbiol </w:t>
      </w:r>
      <w:r>
        <w:rPr/>
        <w:t>2009X137(3[4):412[3.</w:t>
      </w:r>
    </w:p>
    <w:p>
      <w:pPr>
        <w:pStyle w:val="BodyText"/>
        <w:rPr>
          <w:sz w:val="20"/>
        </w:rPr>
      </w:pPr>
    </w:p>
    <w:p>
      <w:pPr>
        <w:pStyle w:val="BodyText"/>
        <w:spacing w:before="5"/>
        <w:rPr>
          <w:sz w:val="18"/>
        </w:rPr>
      </w:pPr>
    </w:p>
    <w:p>
      <w:pPr>
        <w:pStyle w:val="BodyText"/>
        <w:spacing w:before="70"/>
        <w:ind w:left="144" w:right="148"/>
        <w:jc w:val="both"/>
      </w:pPr>
      <w:r>
        <w:rPr/>
        <w:t>Weese JS, Blondeau JM, Boothe D, et al. Antimicrobial use guidelines for treatment of urinary tract disease in dogs and cats: antimicrobial guidelines working group of the international society for companion animal infection disease. </w:t>
      </w:r>
      <w:r>
        <w:rPr>
          <w:u w:val="single"/>
        </w:rPr>
        <w:t>Vet. Med. Int. </w:t>
      </w:r>
      <w:r>
        <w:rPr/>
        <w:t>2011X 263768. doi: 10.4061/2011/263768.</w:t>
      </w:r>
    </w:p>
    <w:p>
      <w:pPr>
        <w:pStyle w:val="BodyText"/>
      </w:pPr>
    </w:p>
    <w:p>
      <w:pPr>
        <w:pStyle w:val="BodyText"/>
        <w:spacing w:before="4"/>
        <w:rPr>
          <w:sz w:val="21"/>
        </w:rPr>
      </w:pPr>
    </w:p>
    <w:p>
      <w:pPr>
        <w:pStyle w:val="BodyText"/>
        <w:spacing w:line="274" w:lineRule="exact"/>
        <w:ind w:left="144" w:right="148"/>
        <w:jc w:val="both"/>
      </w:pPr>
      <w:r>
        <w:rPr/>
        <w:t>White RA, Herrtage ME, Dennis R. The diagnosis and management of paraprostatic and prostatic retention cyst in the dog. </w:t>
      </w:r>
      <w:r>
        <w:rPr>
          <w:u w:val="single"/>
        </w:rPr>
        <w:t>J Small Animal Pract</w:t>
      </w:r>
      <w:r>
        <w:rPr/>
        <w:t>, 1987X28(7):551–74.</w:t>
      </w:r>
    </w:p>
    <w:p>
      <w:pPr>
        <w:pStyle w:val="BodyText"/>
        <w:rPr>
          <w:sz w:val="20"/>
        </w:rPr>
      </w:pPr>
    </w:p>
    <w:p>
      <w:pPr>
        <w:pStyle w:val="BodyText"/>
        <w:spacing w:before="5"/>
        <w:rPr>
          <w:sz w:val="18"/>
        </w:rPr>
      </w:pPr>
    </w:p>
    <w:p>
      <w:pPr>
        <w:pStyle w:val="BodyText"/>
        <w:spacing w:line="242" w:lineRule="auto" w:before="70"/>
        <w:ind w:left="144" w:right="205"/>
      </w:pPr>
      <w:r>
        <w:rPr/>
        <w:t>Winter MD, Locke JE, Penninck DG. Imaging diagnosis–urinary obstruction secondary  to</w:t>
      </w:r>
      <w:r>
        <w:rPr>
          <w:spacing w:val="-10"/>
        </w:rPr>
        <w:t> </w:t>
      </w:r>
      <w:r>
        <w:rPr/>
        <w:t>prostatic</w:t>
      </w:r>
      <w:r>
        <w:rPr>
          <w:spacing w:val="-10"/>
        </w:rPr>
        <w:t> </w:t>
      </w:r>
      <w:r>
        <w:rPr/>
        <w:t>lymphoma</w:t>
      </w:r>
      <w:r>
        <w:rPr>
          <w:spacing w:val="-10"/>
        </w:rPr>
        <w:t> </w:t>
      </w:r>
      <w:r>
        <w:rPr/>
        <w:t>in</w:t>
      </w:r>
      <w:r>
        <w:rPr>
          <w:spacing w:val="-10"/>
        </w:rPr>
        <w:t> </w:t>
      </w:r>
      <w:r>
        <w:rPr/>
        <w:t>a</w:t>
      </w:r>
      <w:r>
        <w:rPr>
          <w:spacing w:val="-10"/>
        </w:rPr>
        <w:t> </w:t>
      </w:r>
      <w:r>
        <w:rPr/>
        <w:t>young</w:t>
      </w:r>
      <w:r>
        <w:rPr>
          <w:spacing w:val="-10"/>
        </w:rPr>
        <w:t> </w:t>
      </w:r>
      <w:r>
        <w:rPr/>
        <w:t>dog.</w:t>
      </w:r>
      <w:r>
        <w:rPr>
          <w:spacing w:val="-11"/>
        </w:rPr>
        <w:t> </w:t>
      </w:r>
      <w:r>
        <w:rPr>
          <w:u w:val="single"/>
        </w:rPr>
        <w:t>Vet</w:t>
      </w:r>
      <w:r>
        <w:rPr>
          <w:spacing w:val="-10"/>
          <w:u w:val="single"/>
        </w:rPr>
        <w:t> </w:t>
      </w:r>
      <w:r>
        <w:rPr>
          <w:u w:val="single"/>
        </w:rPr>
        <w:t>Radiol</w:t>
      </w:r>
      <w:r>
        <w:rPr>
          <w:spacing w:val="-10"/>
          <w:u w:val="single"/>
        </w:rPr>
        <w:t> </w:t>
      </w:r>
      <w:r>
        <w:rPr>
          <w:u w:val="single"/>
        </w:rPr>
        <w:t>Ultrasound</w:t>
      </w:r>
      <w:r>
        <w:rPr>
          <w:spacing w:val="-11"/>
          <w:u w:val="single"/>
        </w:rPr>
        <w:t> </w:t>
      </w:r>
      <w:r>
        <w:rPr/>
        <w:t>2006X47(6):597–601.</w:t>
      </w:r>
    </w:p>
    <w:p>
      <w:pPr>
        <w:spacing w:after="0" w:line="242" w:lineRule="auto"/>
        <w:sectPr>
          <w:pgSz w:w="12240" w:h="15840"/>
          <w:pgMar w:header="886" w:footer="882" w:top="1140" w:bottom="1080" w:left="1560" w:right="980"/>
        </w:sectPr>
      </w:pPr>
    </w:p>
    <w:p>
      <w:pPr>
        <w:pStyle w:val="BodyText"/>
        <w:rPr>
          <w:sz w:val="20"/>
        </w:rPr>
      </w:pPr>
    </w:p>
    <w:p>
      <w:pPr>
        <w:pStyle w:val="BodyText"/>
        <w:spacing w:before="8"/>
        <w:rPr>
          <w:sz w:val="23"/>
        </w:rPr>
      </w:pPr>
    </w:p>
    <w:p>
      <w:pPr>
        <w:spacing w:before="66"/>
        <w:ind w:left="144" w:right="144" w:firstLine="0"/>
        <w:jc w:val="left"/>
        <w:rPr>
          <w:b/>
          <w:sz w:val="31"/>
        </w:rPr>
      </w:pPr>
      <w:r>
        <w:rPr>
          <w:b/>
          <w:sz w:val="31"/>
        </w:rPr>
        <w:t>Anexos</w:t>
      </w:r>
    </w:p>
    <w:p>
      <w:pPr>
        <w:pStyle w:val="BodyText"/>
        <w:rPr>
          <w:b/>
          <w:sz w:val="20"/>
        </w:rPr>
      </w:pPr>
    </w:p>
    <w:p>
      <w:pPr>
        <w:pStyle w:val="BodyText"/>
        <w:rPr>
          <w:b/>
          <w:sz w:val="20"/>
        </w:rPr>
      </w:pPr>
    </w:p>
    <w:p>
      <w:pPr>
        <w:pStyle w:val="BodyText"/>
        <w:rPr>
          <w:b/>
          <w:sz w:val="21"/>
        </w:rPr>
      </w:pPr>
      <w:r>
        <w:rPr/>
        <w:drawing>
          <wp:anchor distT="0" distB="0" distL="0" distR="0" allowOverlap="1" layoutInCell="1" locked="0" behindDoc="0" simplePos="0" relativeHeight="1552">
            <wp:simplePos x="0" y="0"/>
            <wp:positionH relativeFrom="page">
              <wp:posOffset>2240445</wp:posOffset>
            </wp:positionH>
            <wp:positionV relativeFrom="paragraph">
              <wp:posOffset>178273</wp:posOffset>
            </wp:positionV>
            <wp:extent cx="3578712" cy="2387822"/>
            <wp:effectExtent l="0" t="0" r="0" b="0"/>
            <wp:wrapTopAndBottom/>
            <wp:docPr id="7" name="image5.jpeg" descr=""/>
            <wp:cNvGraphicFramePr>
              <a:graphicFrameLocks noChangeAspect="1"/>
            </wp:cNvGraphicFramePr>
            <a:graphic>
              <a:graphicData uri="http://schemas.openxmlformats.org/drawingml/2006/picture">
                <pic:pic>
                  <pic:nvPicPr>
                    <pic:cNvPr id="8" name="image5.jpeg"/>
                    <pic:cNvPicPr/>
                  </pic:nvPicPr>
                  <pic:blipFill>
                    <a:blip r:embed="rId24" cstate="print"/>
                    <a:stretch>
                      <a:fillRect/>
                    </a:stretch>
                  </pic:blipFill>
                  <pic:spPr>
                    <a:xfrm>
                      <a:off x="0" y="0"/>
                      <a:ext cx="3578712" cy="2387822"/>
                    </a:xfrm>
                    <a:prstGeom prst="rect">
                      <a:avLst/>
                    </a:prstGeom>
                  </pic:spPr>
                </pic:pic>
              </a:graphicData>
            </a:graphic>
          </wp:anchor>
        </w:drawing>
      </w:r>
    </w:p>
    <w:p>
      <w:pPr>
        <w:pStyle w:val="BodyText"/>
        <w:spacing w:before="3"/>
        <w:rPr>
          <w:b/>
          <w:sz w:val="40"/>
        </w:rPr>
      </w:pPr>
    </w:p>
    <w:p>
      <w:pPr>
        <w:spacing w:line="247" w:lineRule="auto" w:before="0"/>
        <w:ind w:left="144" w:right="205" w:firstLine="0"/>
        <w:jc w:val="left"/>
        <w:rPr>
          <w:sz w:val="21"/>
        </w:rPr>
      </w:pPr>
      <w:r>
        <w:rPr>
          <w:b/>
          <w:w w:val="105"/>
          <w:sz w:val="21"/>
        </w:rPr>
        <w:t>Figura 1. </w:t>
      </w:r>
      <w:r>
        <w:rPr>
          <w:w w:val="105"/>
          <w:sz w:val="21"/>
        </w:rPr>
        <w:t>Sedimento urinario donde se observan abundantes eritrocitos, leucocitos y colonias de bacterias que confirma una infección bacteriana del tracto urinario caudal.</w:t>
      </w:r>
    </w:p>
    <w:p>
      <w:pPr>
        <w:pStyle w:val="BodyText"/>
        <w:spacing w:before="7"/>
      </w:pPr>
      <w:r>
        <w:rPr/>
        <w:drawing>
          <wp:anchor distT="0" distB="0" distL="0" distR="0" allowOverlap="1" layoutInCell="1" locked="0" behindDoc="0" simplePos="0" relativeHeight="1576">
            <wp:simplePos x="0" y="0"/>
            <wp:positionH relativeFrom="page">
              <wp:posOffset>1996605</wp:posOffset>
            </wp:positionH>
            <wp:positionV relativeFrom="paragraph">
              <wp:posOffset>205016</wp:posOffset>
            </wp:positionV>
            <wp:extent cx="4058711" cy="3333940"/>
            <wp:effectExtent l="0" t="0" r="0" b="0"/>
            <wp:wrapTopAndBottom/>
            <wp:docPr id="9" name="image6.jpeg" descr=""/>
            <wp:cNvGraphicFramePr>
              <a:graphicFrameLocks noChangeAspect="1"/>
            </wp:cNvGraphicFramePr>
            <a:graphic>
              <a:graphicData uri="http://schemas.openxmlformats.org/drawingml/2006/picture">
                <pic:pic>
                  <pic:nvPicPr>
                    <pic:cNvPr id="10" name="image6.jpeg"/>
                    <pic:cNvPicPr/>
                  </pic:nvPicPr>
                  <pic:blipFill>
                    <a:blip r:embed="rId25" cstate="print"/>
                    <a:stretch>
                      <a:fillRect/>
                    </a:stretch>
                  </pic:blipFill>
                  <pic:spPr>
                    <a:xfrm>
                      <a:off x="0" y="0"/>
                      <a:ext cx="4058711" cy="3333940"/>
                    </a:xfrm>
                    <a:prstGeom prst="rect">
                      <a:avLst/>
                    </a:prstGeom>
                  </pic:spPr>
                </pic:pic>
              </a:graphicData>
            </a:graphic>
          </wp:anchor>
        </w:drawing>
      </w:r>
    </w:p>
    <w:p>
      <w:pPr>
        <w:pStyle w:val="BodyText"/>
        <w:spacing w:before="10"/>
        <w:rPr>
          <w:sz w:val="25"/>
        </w:rPr>
      </w:pPr>
    </w:p>
    <w:p>
      <w:pPr>
        <w:spacing w:line="252" w:lineRule="auto" w:before="0"/>
        <w:ind w:left="144" w:right="144" w:firstLine="0"/>
        <w:jc w:val="left"/>
        <w:rPr>
          <w:sz w:val="21"/>
        </w:rPr>
      </w:pPr>
      <w:r>
        <w:rPr>
          <w:b/>
          <w:w w:val="105"/>
          <w:sz w:val="21"/>
        </w:rPr>
        <w:t>Figura 2. </w:t>
      </w:r>
      <w:r>
        <w:rPr>
          <w:w w:val="105"/>
          <w:sz w:val="21"/>
        </w:rPr>
        <w:t>Estudio radiográfico de un perro macho con retención urinaria derivada de una lesión de la neurona motora alta secundaria a espondilosis deformante toracolumbar.</w:t>
      </w:r>
    </w:p>
    <w:p>
      <w:pPr>
        <w:spacing w:after="0" w:line="252" w:lineRule="auto"/>
        <w:jc w:val="left"/>
        <w:rPr>
          <w:sz w:val="21"/>
        </w:rPr>
        <w:sectPr>
          <w:footerReference w:type="default" r:id="rId23"/>
          <w:pgSz w:w="12240" w:h="15840"/>
          <w:pgMar w:footer="882" w:header="886" w:top="1140" w:bottom="1080" w:left="156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pStyle w:val="BodyText"/>
        <w:ind w:left="2213"/>
        <w:rPr>
          <w:sz w:val="20"/>
        </w:rPr>
      </w:pPr>
      <w:r>
        <w:rPr>
          <w:sz w:val="20"/>
        </w:rPr>
        <w:drawing>
          <wp:inline distT="0" distB="0" distL="0" distR="0">
            <wp:extent cx="3420190" cy="2600801"/>
            <wp:effectExtent l="0" t="0" r="0" b="0"/>
            <wp:docPr id="11" name="image7.jpeg" descr=""/>
            <wp:cNvGraphicFramePr>
              <a:graphicFrameLocks noChangeAspect="1"/>
            </wp:cNvGraphicFramePr>
            <a:graphic>
              <a:graphicData uri="http://schemas.openxmlformats.org/drawingml/2006/picture">
                <pic:pic>
                  <pic:nvPicPr>
                    <pic:cNvPr id="12" name="image7.jpeg"/>
                    <pic:cNvPicPr/>
                  </pic:nvPicPr>
                  <pic:blipFill>
                    <a:blip r:embed="rId27" cstate="print"/>
                    <a:stretch>
                      <a:fillRect/>
                    </a:stretch>
                  </pic:blipFill>
                  <pic:spPr>
                    <a:xfrm>
                      <a:off x="0" y="0"/>
                      <a:ext cx="3420190" cy="2600801"/>
                    </a:xfrm>
                    <a:prstGeom prst="rect">
                      <a:avLst/>
                    </a:prstGeom>
                  </pic:spPr>
                </pic:pic>
              </a:graphicData>
            </a:graphic>
          </wp:inline>
        </w:drawing>
      </w:r>
      <w:r>
        <w:rPr>
          <w:sz w:val="20"/>
        </w:rPr>
      </w:r>
    </w:p>
    <w:p>
      <w:pPr>
        <w:pStyle w:val="BodyText"/>
        <w:spacing w:before="10"/>
        <w:rPr>
          <w:sz w:val="23"/>
        </w:rPr>
      </w:pPr>
    </w:p>
    <w:p>
      <w:pPr>
        <w:spacing w:line="252" w:lineRule="auto" w:before="79"/>
        <w:ind w:left="254" w:right="112" w:firstLine="0"/>
        <w:jc w:val="both"/>
        <w:rPr>
          <w:sz w:val="21"/>
        </w:rPr>
      </w:pPr>
      <w:r>
        <w:rPr>
          <w:b/>
          <w:w w:val="105"/>
          <w:sz w:val="21"/>
        </w:rPr>
        <w:t>Figura 3. </w:t>
      </w:r>
      <w:r>
        <w:rPr>
          <w:w w:val="105"/>
          <w:sz w:val="21"/>
        </w:rPr>
        <w:t>Vaginocistouretrografia retrograda con medio de contraste positivo de un perro hembra con incontinencia urinaria. En la proyección lateral se observa la uretra que en su porción caudal y dorsal se marca la inserción de un uréter ectópico, dorsal a éste se observa el cuerpo y cuernos uterinos.</w:t>
      </w:r>
    </w:p>
    <w:p>
      <w:pPr>
        <w:pStyle w:val="BodyText"/>
        <w:rPr>
          <w:sz w:val="20"/>
        </w:rPr>
      </w:pPr>
    </w:p>
    <w:p>
      <w:pPr>
        <w:pStyle w:val="BodyText"/>
        <w:spacing w:before="1"/>
        <w:rPr>
          <w:sz w:val="20"/>
        </w:rPr>
      </w:pPr>
      <w:r>
        <w:rPr/>
        <w:drawing>
          <wp:anchor distT="0" distB="0" distL="0" distR="0" allowOverlap="1" layoutInCell="1" locked="0" behindDoc="0" simplePos="0" relativeHeight="1600">
            <wp:simplePos x="0" y="0"/>
            <wp:positionH relativeFrom="page">
              <wp:posOffset>2386749</wp:posOffset>
            </wp:positionH>
            <wp:positionV relativeFrom="paragraph">
              <wp:posOffset>171822</wp:posOffset>
            </wp:positionV>
            <wp:extent cx="3417192" cy="2334577"/>
            <wp:effectExtent l="0" t="0" r="0" b="0"/>
            <wp:wrapTopAndBottom/>
            <wp:docPr id="13" name="image8.jpeg" descr=""/>
            <wp:cNvGraphicFramePr>
              <a:graphicFrameLocks noChangeAspect="1"/>
            </wp:cNvGraphicFramePr>
            <a:graphic>
              <a:graphicData uri="http://schemas.openxmlformats.org/drawingml/2006/picture">
                <pic:pic>
                  <pic:nvPicPr>
                    <pic:cNvPr id="14" name="image8.jpeg"/>
                    <pic:cNvPicPr/>
                  </pic:nvPicPr>
                  <pic:blipFill>
                    <a:blip r:embed="rId28" cstate="print"/>
                    <a:stretch>
                      <a:fillRect/>
                    </a:stretch>
                  </pic:blipFill>
                  <pic:spPr>
                    <a:xfrm>
                      <a:off x="0" y="0"/>
                      <a:ext cx="3417192" cy="2334577"/>
                    </a:xfrm>
                    <a:prstGeom prst="rect">
                      <a:avLst/>
                    </a:prstGeom>
                  </pic:spPr>
                </pic:pic>
              </a:graphicData>
            </a:graphic>
          </wp:anchor>
        </w:drawing>
      </w:r>
    </w:p>
    <w:p>
      <w:pPr>
        <w:pStyle w:val="BodyText"/>
        <w:rPr>
          <w:sz w:val="22"/>
        </w:rPr>
      </w:pPr>
    </w:p>
    <w:p>
      <w:pPr>
        <w:pStyle w:val="BodyText"/>
        <w:spacing w:before="5"/>
        <w:rPr>
          <w:sz w:val="23"/>
        </w:rPr>
      </w:pPr>
    </w:p>
    <w:p>
      <w:pPr>
        <w:spacing w:line="252" w:lineRule="auto" w:before="0"/>
        <w:ind w:left="254" w:right="112" w:firstLine="0"/>
        <w:jc w:val="both"/>
        <w:rPr>
          <w:sz w:val="21"/>
        </w:rPr>
      </w:pPr>
      <w:r>
        <w:rPr>
          <w:b/>
          <w:w w:val="105"/>
          <w:sz w:val="21"/>
        </w:rPr>
        <w:t>Figura 4. </w:t>
      </w:r>
      <w:r>
        <w:rPr>
          <w:w w:val="105"/>
          <w:sz w:val="21"/>
        </w:rPr>
        <w:t>Perro macho con hematuria y polaquiuria con 2 meses de evolución, y estranguria aguda. En el estudio radiográfico de vías urinarias en su proyección lateral se observan estructuras radiopacas compatibles con urolitos uno de forma ovalada de 5.5 x 4 cm en la vejiga y otro en la uretra peneana de aproximadamente 4 mm de diámetro.</w:t>
      </w:r>
    </w:p>
    <w:p>
      <w:pPr>
        <w:spacing w:after="0" w:line="252" w:lineRule="auto"/>
        <w:jc w:val="both"/>
        <w:rPr>
          <w:sz w:val="21"/>
        </w:rPr>
        <w:sectPr>
          <w:footerReference w:type="default" r:id="rId26"/>
          <w:pgSz w:w="12240" w:h="15840"/>
          <w:pgMar w:footer="882" w:header="886" w:top="1140" w:bottom="1080" w:left="1560" w:right="980"/>
          <w:pgNumType w:start="71"/>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10"/>
        </w:rPr>
      </w:pPr>
    </w:p>
    <w:p>
      <w:pPr>
        <w:pStyle w:val="BodyText"/>
        <w:ind w:left="2102"/>
        <w:rPr>
          <w:sz w:val="20"/>
        </w:rPr>
      </w:pPr>
      <w:r>
        <w:rPr>
          <w:sz w:val="20"/>
        </w:rPr>
        <w:drawing>
          <wp:inline distT="0" distB="0" distL="0" distR="0">
            <wp:extent cx="3456431" cy="2592324"/>
            <wp:effectExtent l="0" t="0" r="0" b="0"/>
            <wp:docPr id="15" name="image9.jpeg" descr=""/>
            <wp:cNvGraphicFramePr>
              <a:graphicFrameLocks noChangeAspect="1"/>
            </wp:cNvGraphicFramePr>
            <a:graphic>
              <a:graphicData uri="http://schemas.openxmlformats.org/drawingml/2006/picture">
                <pic:pic>
                  <pic:nvPicPr>
                    <pic:cNvPr id="16" name="image9.jpeg"/>
                    <pic:cNvPicPr/>
                  </pic:nvPicPr>
                  <pic:blipFill>
                    <a:blip r:embed="rId29" cstate="print"/>
                    <a:stretch>
                      <a:fillRect/>
                    </a:stretch>
                  </pic:blipFill>
                  <pic:spPr>
                    <a:xfrm>
                      <a:off x="0" y="0"/>
                      <a:ext cx="3456431" cy="2592324"/>
                    </a:xfrm>
                    <a:prstGeom prst="rect">
                      <a:avLst/>
                    </a:prstGeom>
                  </pic:spPr>
                </pic:pic>
              </a:graphicData>
            </a:graphic>
          </wp:inline>
        </w:drawing>
      </w:r>
      <w:r>
        <w:rPr>
          <w:sz w:val="20"/>
        </w:rPr>
      </w:r>
    </w:p>
    <w:p>
      <w:pPr>
        <w:pStyle w:val="BodyText"/>
        <w:rPr>
          <w:sz w:val="20"/>
        </w:rPr>
      </w:pPr>
    </w:p>
    <w:p>
      <w:pPr>
        <w:pStyle w:val="BodyText"/>
        <w:spacing w:before="5"/>
        <w:rPr>
          <w:sz w:val="21"/>
        </w:rPr>
      </w:pPr>
    </w:p>
    <w:p>
      <w:pPr>
        <w:spacing w:line="252" w:lineRule="auto" w:before="0"/>
        <w:ind w:left="144" w:right="150" w:firstLine="0"/>
        <w:jc w:val="both"/>
        <w:rPr>
          <w:sz w:val="21"/>
        </w:rPr>
      </w:pPr>
      <w:r>
        <w:rPr>
          <w:b/>
          <w:w w:val="105"/>
          <w:sz w:val="21"/>
        </w:rPr>
        <w:t>Figura 5. </w:t>
      </w:r>
      <w:r>
        <w:rPr>
          <w:w w:val="105"/>
          <w:sz w:val="21"/>
        </w:rPr>
        <w:t>Imagen endoscópica de un urolito en la uretra del caso clínico de la figura 4. Note la presencia de moco y cristales adheridos alrededor del urolito. La uretritis proliferativa denota la cronicidad del proceso inflamatorio derivado del cuadro obstructivo.</w:t>
      </w:r>
    </w:p>
    <w:p>
      <w:pPr>
        <w:pStyle w:val="BodyText"/>
        <w:spacing w:before="3"/>
      </w:pPr>
      <w:r>
        <w:rPr/>
        <w:drawing>
          <wp:anchor distT="0" distB="0" distL="0" distR="0" allowOverlap="1" layoutInCell="1" locked="0" behindDoc="0" simplePos="0" relativeHeight="1624">
            <wp:simplePos x="0" y="0"/>
            <wp:positionH relativeFrom="page">
              <wp:posOffset>2341029</wp:posOffset>
            </wp:positionH>
            <wp:positionV relativeFrom="paragraph">
              <wp:posOffset>202036</wp:posOffset>
            </wp:positionV>
            <wp:extent cx="3428084" cy="2568035"/>
            <wp:effectExtent l="0" t="0" r="0" b="0"/>
            <wp:wrapTopAndBottom/>
            <wp:docPr id="17" name="image10.jpeg" descr=""/>
            <wp:cNvGraphicFramePr>
              <a:graphicFrameLocks noChangeAspect="1"/>
            </wp:cNvGraphicFramePr>
            <a:graphic>
              <a:graphicData uri="http://schemas.openxmlformats.org/drawingml/2006/picture">
                <pic:pic>
                  <pic:nvPicPr>
                    <pic:cNvPr id="18" name="image10.jpeg"/>
                    <pic:cNvPicPr/>
                  </pic:nvPicPr>
                  <pic:blipFill>
                    <a:blip r:embed="rId30" cstate="print"/>
                    <a:stretch>
                      <a:fillRect/>
                    </a:stretch>
                  </pic:blipFill>
                  <pic:spPr>
                    <a:xfrm>
                      <a:off x="0" y="0"/>
                      <a:ext cx="3428084" cy="2568035"/>
                    </a:xfrm>
                    <a:prstGeom prst="rect">
                      <a:avLst/>
                    </a:prstGeom>
                  </pic:spPr>
                </pic:pic>
              </a:graphicData>
            </a:graphic>
          </wp:anchor>
        </w:drawing>
      </w:r>
    </w:p>
    <w:p>
      <w:pPr>
        <w:pStyle w:val="BodyText"/>
        <w:rPr>
          <w:sz w:val="22"/>
        </w:rPr>
      </w:pPr>
    </w:p>
    <w:p>
      <w:pPr>
        <w:spacing w:line="252" w:lineRule="auto" w:before="195"/>
        <w:ind w:left="144" w:right="147" w:firstLine="0"/>
        <w:jc w:val="both"/>
        <w:rPr>
          <w:sz w:val="21"/>
        </w:rPr>
      </w:pPr>
      <w:r>
        <w:rPr>
          <w:b/>
          <w:w w:val="105"/>
          <w:sz w:val="21"/>
        </w:rPr>
        <w:t>Figura 6. </w:t>
      </w:r>
      <w:r>
        <w:rPr>
          <w:w w:val="105"/>
          <w:sz w:val="21"/>
        </w:rPr>
        <w:t>El urolito de la figura 5, una vez retirado de la uretra tenía una forma de matatena con un diámetro de 4 mm. En esta imagen parcial del urolito obtenida por microscopia estereoscópica se observan las proyecciones radiales de un urolito de color verde a amarillo y rodeando a este depósitos cristalinos de otro tipo de mineral de color blanco. La composición mineral fue analizada mediante espectroscopía infrarroja encontrando un urolito de silicato y cristales de estruvita adheridos a la superficie del mismo.</w:t>
      </w:r>
    </w:p>
    <w:p>
      <w:pPr>
        <w:spacing w:after="0" w:line="252" w:lineRule="auto"/>
        <w:jc w:val="both"/>
        <w:rPr>
          <w:sz w:val="21"/>
        </w:rPr>
        <w:sectPr>
          <w:pgSz w:w="12240" w:h="15840"/>
          <w:pgMar w:header="886" w:footer="882" w:top="1140" w:bottom="1080" w:left="1560" w:right="980"/>
        </w:sectPr>
      </w:pPr>
    </w:p>
    <w:p>
      <w:pPr>
        <w:pStyle w:val="BodyText"/>
        <w:rPr>
          <w:sz w:val="20"/>
        </w:rPr>
      </w:pPr>
    </w:p>
    <w:p>
      <w:pPr>
        <w:pStyle w:val="BodyText"/>
        <w:rPr>
          <w:sz w:val="20"/>
        </w:rPr>
      </w:pPr>
    </w:p>
    <w:p>
      <w:pPr>
        <w:pStyle w:val="BodyText"/>
        <w:rPr>
          <w:sz w:val="20"/>
        </w:rPr>
      </w:pPr>
    </w:p>
    <w:p>
      <w:pPr>
        <w:pStyle w:val="BodyText"/>
        <w:spacing w:before="11"/>
        <w:rPr>
          <w:sz w:val="10"/>
        </w:rPr>
      </w:pPr>
    </w:p>
    <w:p>
      <w:pPr>
        <w:pStyle w:val="BodyText"/>
        <w:ind w:left="1757"/>
        <w:rPr>
          <w:sz w:val="20"/>
        </w:rPr>
      </w:pPr>
      <w:r>
        <w:rPr>
          <w:sz w:val="20"/>
        </w:rPr>
        <w:drawing>
          <wp:inline distT="0" distB="0" distL="0" distR="0">
            <wp:extent cx="3859913" cy="2895695"/>
            <wp:effectExtent l="0" t="0" r="0" b="0"/>
            <wp:docPr id="19" name="image11.jpeg" descr=""/>
            <wp:cNvGraphicFramePr>
              <a:graphicFrameLocks noChangeAspect="1"/>
            </wp:cNvGraphicFramePr>
            <a:graphic>
              <a:graphicData uri="http://schemas.openxmlformats.org/drawingml/2006/picture">
                <pic:pic>
                  <pic:nvPicPr>
                    <pic:cNvPr id="20" name="image11.jpeg"/>
                    <pic:cNvPicPr/>
                  </pic:nvPicPr>
                  <pic:blipFill>
                    <a:blip r:embed="rId31" cstate="print"/>
                    <a:stretch>
                      <a:fillRect/>
                    </a:stretch>
                  </pic:blipFill>
                  <pic:spPr>
                    <a:xfrm>
                      <a:off x="0" y="0"/>
                      <a:ext cx="3859913" cy="2895695"/>
                    </a:xfrm>
                    <a:prstGeom prst="rect">
                      <a:avLst/>
                    </a:prstGeom>
                  </pic:spPr>
                </pic:pic>
              </a:graphicData>
            </a:graphic>
          </wp:inline>
        </w:drawing>
      </w:r>
      <w:r>
        <w:rPr>
          <w:sz w:val="20"/>
        </w:rPr>
      </w:r>
    </w:p>
    <w:p>
      <w:pPr>
        <w:pStyle w:val="BodyText"/>
        <w:rPr>
          <w:sz w:val="16"/>
        </w:rPr>
      </w:pPr>
    </w:p>
    <w:p>
      <w:pPr>
        <w:spacing w:line="252" w:lineRule="auto" w:before="79"/>
        <w:ind w:left="254" w:right="347" w:firstLine="0"/>
        <w:jc w:val="both"/>
        <w:rPr>
          <w:sz w:val="21"/>
        </w:rPr>
      </w:pPr>
      <w:r>
        <w:rPr>
          <w:b/>
          <w:w w:val="105"/>
          <w:sz w:val="21"/>
        </w:rPr>
        <w:t>Figura 7. </w:t>
      </w:r>
      <w:r>
        <w:rPr>
          <w:w w:val="105"/>
          <w:sz w:val="21"/>
        </w:rPr>
        <w:t>Imagen por microscopía estereoscópica de un urolito de oxalato de calcio dihidratado. La composición química del urolito fue determinada mediante espectroscopía infrarroja.</w:t>
      </w:r>
    </w:p>
    <w:p>
      <w:pPr>
        <w:pStyle w:val="BodyText"/>
        <w:rPr>
          <w:sz w:val="20"/>
        </w:rPr>
      </w:pPr>
    </w:p>
    <w:p>
      <w:pPr>
        <w:pStyle w:val="BodyText"/>
        <w:spacing w:before="1"/>
        <w:rPr>
          <w:sz w:val="20"/>
        </w:rPr>
      </w:pPr>
      <w:r>
        <w:rPr/>
        <w:drawing>
          <wp:anchor distT="0" distB="0" distL="0" distR="0" allowOverlap="1" layoutInCell="1" locked="0" behindDoc="0" simplePos="0" relativeHeight="1648">
            <wp:simplePos x="0" y="0"/>
            <wp:positionH relativeFrom="page">
              <wp:posOffset>2072805</wp:posOffset>
            </wp:positionH>
            <wp:positionV relativeFrom="paragraph">
              <wp:posOffset>171822</wp:posOffset>
            </wp:positionV>
            <wp:extent cx="3891250" cy="2916174"/>
            <wp:effectExtent l="0" t="0" r="0" b="0"/>
            <wp:wrapTopAndBottom/>
            <wp:docPr id="21" name="image12.jpeg" descr=""/>
            <wp:cNvGraphicFramePr>
              <a:graphicFrameLocks noChangeAspect="1"/>
            </wp:cNvGraphicFramePr>
            <a:graphic>
              <a:graphicData uri="http://schemas.openxmlformats.org/drawingml/2006/picture">
                <pic:pic>
                  <pic:nvPicPr>
                    <pic:cNvPr id="22" name="image12.jpeg"/>
                    <pic:cNvPicPr/>
                  </pic:nvPicPr>
                  <pic:blipFill>
                    <a:blip r:embed="rId32" cstate="print"/>
                    <a:stretch>
                      <a:fillRect/>
                    </a:stretch>
                  </pic:blipFill>
                  <pic:spPr>
                    <a:xfrm>
                      <a:off x="0" y="0"/>
                      <a:ext cx="3891250" cy="2916174"/>
                    </a:xfrm>
                    <a:prstGeom prst="rect">
                      <a:avLst/>
                    </a:prstGeom>
                  </pic:spPr>
                </pic:pic>
              </a:graphicData>
            </a:graphic>
          </wp:anchor>
        </w:drawing>
      </w:r>
    </w:p>
    <w:p>
      <w:pPr>
        <w:pStyle w:val="BodyText"/>
        <w:spacing w:before="9"/>
        <w:rPr>
          <w:sz w:val="23"/>
        </w:rPr>
      </w:pPr>
    </w:p>
    <w:p>
      <w:pPr>
        <w:spacing w:line="252" w:lineRule="auto" w:before="1"/>
        <w:ind w:left="254" w:right="347" w:firstLine="0"/>
        <w:jc w:val="both"/>
        <w:rPr>
          <w:sz w:val="21"/>
        </w:rPr>
      </w:pPr>
      <w:r>
        <w:rPr>
          <w:b/>
          <w:w w:val="105"/>
          <w:sz w:val="21"/>
        </w:rPr>
        <w:t>Figura 8. </w:t>
      </w:r>
      <w:r>
        <w:rPr>
          <w:w w:val="105"/>
          <w:sz w:val="21"/>
        </w:rPr>
        <w:t>Imagen por microscopía estereoscópica de múltiples urolitos de estruvita. La composición química de los urolitos fue determinada mediante espectroscopía infrarroja.</w:t>
      </w:r>
    </w:p>
    <w:p>
      <w:pPr>
        <w:spacing w:after="0" w:line="252" w:lineRule="auto"/>
        <w:jc w:val="both"/>
        <w:rPr>
          <w:sz w:val="21"/>
        </w:rPr>
        <w:sectPr>
          <w:pgSz w:w="12240" w:h="15840"/>
          <w:pgMar w:header="886" w:footer="882" w:top="1140" w:bottom="1080" w:left="1560" w:right="9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3"/>
        </w:rPr>
      </w:pPr>
    </w:p>
    <w:p>
      <w:pPr>
        <w:pStyle w:val="BodyText"/>
        <w:ind w:left="1781"/>
        <w:rPr>
          <w:sz w:val="20"/>
        </w:rPr>
      </w:pPr>
      <w:r>
        <w:rPr>
          <w:sz w:val="20"/>
        </w:rPr>
        <w:drawing>
          <wp:inline distT="0" distB="0" distL="0" distR="0">
            <wp:extent cx="3784037" cy="2834258"/>
            <wp:effectExtent l="0" t="0" r="0" b="0"/>
            <wp:docPr id="23" name="image13.jpeg" descr=""/>
            <wp:cNvGraphicFramePr>
              <a:graphicFrameLocks noChangeAspect="1"/>
            </wp:cNvGraphicFramePr>
            <a:graphic>
              <a:graphicData uri="http://schemas.openxmlformats.org/drawingml/2006/picture">
                <pic:pic>
                  <pic:nvPicPr>
                    <pic:cNvPr id="24" name="image13.jpeg"/>
                    <pic:cNvPicPr/>
                  </pic:nvPicPr>
                  <pic:blipFill>
                    <a:blip r:embed="rId33" cstate="print"/>
                    <a:stretch>
                      <a:fillRect/>
                    </a:stretch>
                  </pic:blipFill>
                  <pic:spPr>
                    <a:xfrm>
                      <a:off x="0" y="0"/>
                      <a:ext cx="3784037" cy="2834258"/>
                    </a:xfrm>
                    <a:prstGeom prst="rect">
                      <a:avLst/>
                    </a:prstGeom>
                  </pic:spPr>
                </pic:pic>
              </a:graphicData>
            </a:graphic>
          </wp:inline>
        </w:drawing>
      </w:r>
      <w:r>
        <w:rPr>
          <w:sz w:val="20"/>
        </w:rPr>
      </w:r>
    </w:p>
    <w:p>
      <w:pPr>
        <w:pStyle w:val="BodyText"/>
        <w:spacing w:before="3"/>
        <w:rPr>
          <w:sz w:val="20"/>
        </w:rPr>
      </w:pPr>
    </w:p>
    <w:p>
      <w:pPr>
        <w:spacing w:line="252" w:lineRule="auto" w:before="79"/>
        <w:ind w:left="254" w:right="344" w:firstLine="0"/>
        <w:jc w:val="both"/>
        <w:rPr>
          <w:sz w:val="21"/>
        </w:rPr>
      </w:pPr>
      <w:r>
        <w:rPr>
          <w:b/>
          <w:w w:val="105"/>
          <w:sz w:val="21"/>
        </w:rPr>
        <w:t>Figura 9. </w:t>
      </w:r>
      <w:r>
        <w:rPr>
          <w:w w:val="105"/>
          <w:sz w:val="21"/>
        </w:rPr>
        <w:t>Imagen por microscopía estereoscópica. Detalle de las capas de una proyección radial de un urolito de silicato. La composición química del urolito fue determinada mediante espectroscopía infrarroja.</w:t>
      </w:r>
    </w:p>
    <w:p>
      <w:pPr>
        <w:pStyle w:val="BodyText"/>
        <w:rPr>
          <w:sz w:val="18"/>
        </w:rPr>
      </w:pPr>
      <w:r>
        <w:rPr/>
        <w:drawing>
          <wp:anchor distT="0" distB="0" distL="0" distR="0" allowOverlap="1" layoutInCell="1" locked="0" behindDoc="0" simplePos="0" relativeHeight="1672">
            <wp:simplePos x="0" y="0"/>
            <wp:positionH relativeFrom="page">
              <wp:posOffset>2161197</wp:posOffset>
            </wp:positionH>
            <wp:positionV relativeFrom="paragraph">
              <wp:posOffset>156316</wp:posOffset>
            </wp:positionV>
            <wp:extent cx="3767085" cy="2823781"/>
            <wp:effectExtent l="0" t="0" r="0" b="0"/>
            <wp:wrapTopAndBottom/>
            <wp:docPr id="25" name="image14.jpeg" descr=""/>
            <wp:cNvGraphicFramePr>
              <a:graphicFrameLocks noChangeAspect="1"/>
            </wp:cNvGraphicFramePr>
            <a:graphic>
              <a:graphicData uri="http://schemas.openxmlformats.org/drawingml/2006/picture">
                <pic:pic>
                  <pic:nvPicPr>
                    <pic:cNvPr id="26" name="image14.jpeg"/>
                    <pic:cNvPicPr/>
                  </pic:nvPicPr>
                  <pic:blipFill>
                    <a:blip r:embed="rId34" cstate="print"/>
                    <a:stretch>
                      <a:fillRect/>
                    </a:stretch>
                  </pic:blipFill>
                  <pic:spPr>
                    <a:xfrm>
                      <a:off x="0" y="0"/>
                      <a:ext cx="3767085" cy="2823781"/>
                    </a:xfrm>
                    <a:prstGeom prst="rect">
                      <a:avLst/>
                    </a:prstGeom>
                  </pic:spPr>
                </pic:pic>
              </a:graphicData>
            </a:graphic>
          </wp:anchor>
        </w:drawing>
      </w:r>
    </w:p>
    <w:p>
      <w:pPr>
        <w:pStyle w:val="BodyText"/>
        <w:spacing w:before="4"/>
        <w:rPr>
          <w:sz w:val="19"/>
        </w:rPr>
      </w:pPr>
    </w:p>
    <w:p>
      <w:pPr>
        <w:spacing w:line="249" w:lineRule="auto" w:before="0"/>
        <w:ind w:left="254" w:right="344" w:firstLine="0"/>
        <w:jc w:val="both"/>
        <w:rPr>
          <w:sz w:val="21"/>
        </w:rPr>
      </w:pPr>
      <w:r>
        <w:rPr>
          <w:b/>
          <w:w w:val="105"/>
          <w:sz w:val="21"/>
        </w:rPr>
        <w:t>Figura 10. </w:t>
      </w:r>
      <w:r>
        <w:rPr>
          <w:w w:val="105"/>
          <w:sz w:val="21"/>
        </w:rPr>
        <w:t>Imagen endoscópica de urolitos de silicatos alojados en la uretra de un perro macho. La composición química de los urolitos fue determinada mediante espectroscopía infrarroja.</w:t>
      </w:r>
    </w:p>
    <w:p>
      <w:pPr>
        <w:spacing w:after="0" w:line="249" w:lineRule="auto"/>
        <w:jc w:val="both"/>
        <w:rPr>
          <w:sz w:val="21"/>
        </w:rPr>
        <w:sectPr>
          <w:pgSz w:w="12240" w:h="15840"/>
          <w:pgMar w:header="886" w:footer="882" w:top="1140" w:bottom="1080" w:left="1560" w:right="980"/>
        </w:sectPr>
      </w:pPr>
    </w:p>
    <w:p>
      <w:pPr>
        <w:pStyle w:val="BodyText"/>
        <w:rPr>
          <w:sz w:val="20"/>
        </w:rPr>
      </w:pPr>
    </w:p>
    <w:p>
      <w:pPr>
        <w:pStyle w:val="BodyText"/>
        <w:spacing w:before="9"/>
        <w:rPr>
          <w:sz w:val="28"/>
        </w:rPr>
      </w:pPr>
    </w:p>
    <w:p>
      <w:pPr>
        <w:tabs>
          <w:tab w:pos="5457" w:val="left" w:leader="none"/>
        </w:tabs>
        <w:spacing w:line="240" w:lineRule="auto"/>
        <w:ind w:left="144" w:right="0" w:firstLine="0"/>
        <w:rPr>
          <w:sz w:val="20"/>
        </w:rPr>
      </w:pPr>
      <w:r>
        <w:rPr>
          <w:position w:val="156"/>
          <w:sz w:val="20"/>
        </w:rPr>
        <w:drawing>
          <wp:inline distT="0" distB="0" distL="0" distR="0">
            <wp:extent cx="3094947" cy="2543460"/>
            <wp:effectExtent l="0" t="0" r="0" b="0"/>
            <wp:docPr id="27" name="image15.jpeg" descr=""/>
            <wp:cNvGraphicFramePr>
              <a:graphicFrameLocks noChangeAspect="1"/>
            </wp:cNvGraphicFramePr>
            <a:graphic>
              <a:graphicData uri="http://schemas.openxmlformats.org/drawingml/2006/picture">
                <pic:pic>
                  <pic:nvPicPr>
                    <pic:cNvPr id="28" name="image15.jpeg"/>
                    <pic:cNvPicPr/>
                  </pic:nvPicPr>
                  <pic:blipFill>
                    <a:blip r:embed="rId35" cstate="print"/>
                    <a:stretch>
                      <a:fillRect/>
                    </a:stretch>
                  </pic:blipFill>
                  <pic:spPr>
                    <a:xfrm>
                      <a:off x="0" y="0"/>
                      <a:ext cx="3094947" cy="2543460"/>
                    </a:xfrm>
                    <a:prstGeom prst="rect">
                      <a:avLst/>
                    </a:prstGeom>
                  </pic:spPr>
                </pic:pic>
              </a:graphicData>
            </a:graphic>
          </wp:inline>
        </w:drawing>
      </w:r>
      <w:r>
        <w:rPr>
          <w:position w:val="156"/>
          <w:sz w:val="20"/>
        </w:rPr>
      </w:r>
      <w:r>
        <w:rPr>
          <w:position w:val="156"/>
          <w:sz w:val="20"/>
        </w:rPr>
        <w:tab/>
      </w:r>
      <w:r>
        <w:rPr>
          <w:sz w:val="20"/>
        </w:rPr>
        <w:drawing>
          <wp:inline distT="0" distB="0" distL="0" distR="0">
            <wp:extent cx="2520412" cy="3537204"/>
            <wp:effectExtent l="0" t="0" r="0" b="0"/>
            <wp:docPr id="29" name="image16.jpeg" descr=""/>
            <wp:cNvGraphicFramePr>
              <a:graphicFrameLocks noChangeAspect="1"/>
            </wp:cNvGraphicFramePr>
            <a:graphic>
              <a:graphicData uri="http://schemas.openxmlformats.org/drawingml/2006/picture">
                <pic:pic>
                  <pic:nvPicPr>
                    <pic:cNvPr id="30" name="image16.jpeg"/>
                    <pic:cNvPicPr/>
                  </pic:nvPicPr>
                  <pic:blipFill>
                    <a:blip r:embed="rId36" cstate="print"/>
                    <a:stretch>
                      <a:fillRect/>
                    </a:stretch>
                  </pic:blipFill>
                  <pic:spPr>
                    <a:xfrm>
                      <a:off x="0" y="0"/>
                      <a:ext cx="2520412" cy="3537204"/>
                    </a:xfrm>
                    <a:prstGeom prst="rect">
                      <a:avLst/>
                    </a:prstGeom>
                  </pic:spPr>
                </pic:pic>
              </a:graphicData>
            </a:graphic>
          </wp:inline>
        </w:drawing>
      </w:r>
      <w:r>
        <w:rPr>
          <w:sz w:val="20"/>
        </w:rPr>
      </w:r>
    </w:p>
    <w:p>
      <w:pPr>
        <w:pStyle w:val="BodyText"/>
        <w:spacing w:before="4"/>
        <w:rPr>
          <w:sz w:val="6"/>
        </w:rPr>
      </w:pPr>
      <w:r>
        <w:rPr/>
        <w:drawing>
          <wp:anchor distT="0" distB="0" distL="0" distR="0" allowOverlap="1" layoutInCell="1" locked="0" behindDoc="0" simplePos="0" relativeHeight="1696">
            <wp:simplePos x="0" y="0"/>
            <wp:positionH relativeFrom="page">
              <wp:posOffset>2249589</wp:posOffset>
            </wp:positionH>
            <wp:positionV relativeFrom="paragraph">
              <wp:posOffset>71247</wp:posOffset>
            </wp:positionV>
            <wp:extent cx="3655560" cy="2743200"/>
            <wp:effectExtent l="0" t="0" r="0" b="0"/>
            <wp:wrapTopAndBottom/>
            <wp:docPr id="31" name="image17.jpeg" descr=""/>
            <wp:cNvGraphicFramePr>
              <a:graphicFrameLocks noChangeAspect="1"/>
            </wp:cNvGraphicFramePr>
            <a:graphic>
              <a:graphicData uri="http://schemas.openxmlformats.org/drawingml/2006/picture">
                <pic:pic>
                  <pic:nvPicPr>
                    <pic:cNvPr id="32" name="image17.jpeg"/>
                    <pic:cNvPicPr/>
                  </pic:nvPicPr>
                  <pic:blipFill>
                    <a:blip r:embed="rId37" cstate="print"/>
                    <a:stretch>
                      <a:fillRect/>
                    </a:stretch>
                  </pic:blipFill>
                  <pic:spPr>
                    <a:xfrm>
                      <a:off x="0" y="0"/>
                      <a:ext cx="3655560" cy="2743200"/>
                    </a:xfrm>
                    <a:prstGeom prst="rect">
                      <a:avLst/>
                    </a:prstGeom>
                  </pic:spPr>
                </pic:pic>
              </a:graphicData>
            </a:graphic>
          </wp:anchor>
        </w:drawing>
      </w:r>
    </w:p>
    <w:p>
      <w:pPr>
        <w:pStyle w:val="BodyText"/>
        <w:spacing w:before="3"/>
        <w:rPr>
          <w:sz w:val="25"/>
        </w:rPr>
      </w:pPr>
    </w:p>
    <w:p>
      <w:pPr>
        <w:spacing w:line="252" w:lineRule="auto" w:before="78"/>
        <w:ind w:left="144" w:right="146" w:firstLine="0"/>
        <w:jc w:val="both"/>
        <w:rPr>
          <w:sz w:val="21"/>
        </w:rPr>
      </w:pPr>
      <w:r>
        <w:rPr>
          <w:b/>
          <w:w w:val="105"/>
          <w:sz w:val="21"/>
        </w:rPr>
        <w:t>Figura 11. </w:t>
      </w:r>
      <w:r>
        <w:rPr>
          <w:w w:val="105"/>
          <w:sz w:val="21"/>
        </w:rPr>
        <w:t>Estudios de imagen de un paciente hematúrico con 8 meses de evolución. En las imágenes superiores, en el estudios radiográfico rutinario de vías urinarias de abdomen se </w:t>
      </w:r>
      <w:r>
        <w:rPr>
          <w:w w:val="102"/>
          <w:sz w:val="21"/>
        </w:rPr>
        <w:t>observa</w:t>
      </w:r>
      <w:r>
        <w:rPr>
          <w:sz w:val="21"/>
        </w:rPr>
        <w:t>   </w:t>
      </w:r>
      <w:r>
        <w:rPr>
          <w:w w:val="102"/>
          <w:sz w:val="21"/>
        </w:rPr>
        <w:t>prostatomegalia</w:t>
      </w:r>
      <w:r>
        <w:rPr>
          <w:sz w:val="21"/>
        </w:rPr>
        <w:t>   </w:t>
      </w:r>
      <w:r>
        <w:rPr>
          <w:w w:val="102"/>
          <w:sz w:val="21"/>
        </w:rPr>
        <w:t>en</w:t>
      </w:r>
      <w:r>
        <w:rPr>
          <w:sz w:val="21"/>
        </w:rPr>
        <w:t>   </w:t>
      </w:r>
      <w:r>
        <w:rPr>
          <w:w w:val="102"/>
          <w:sz w:val="21"/>
        </w:rPr>
        <w:t>ambas</w:t>
      </w:r>
      <w:r>
        <w:rPr>
          <w:sz w:val="21"/>
        </w:rPr>
        <w:t>   </w:t>
      </w:r>
      <w:r>
        <w:rPr>
          <w:w w:val="102"/>
          <w:sz w:val="21"/>
        </w:rPr>
        <w:t>proyecciones</w:t>
      </w:r>
      <w:r>
        <w:rPr>
          <w:sz w:val="21"/>
        </w:rPr>
        <w:t>   </w:t>
      </w:r>
      <w:r>
        <w:rPr>
          <w:w w:val="102"/>
          <w:sz w:val="21"/>
        </w:rPr>
        <w:t>radiográficas</w:t>
      </w:r>
      <w:r>
        <w:rPr>
          <w:w w:val="42"/>
          <w:sz w:val="21"/>
        </w:rPr>
        <w:t>X</w:t>
      </w:r>
      <w:r>
        <w:rPr>
          <w:sz w:val="21"/>
        </w:rPr>
        <w:t>   </w:t>
      </w:r>
      <w:r>
        <w:rPr>
          <w:w w:val="102"/>
          <w:sz w:val="21"/>
        </w:rPr>
        <w:t>en</w:t>
      </w:r>
      <w:r>
        <w:rPr>
          <w:sz w:val="21"/>
        </w:rPr>
        <w:t>   </w:t>
      </w:r>
      <w:r>
        <w:rPr>
          <w:w w:val="102"/>
          <w:sz w:val="21"/>
        </w:rPr>
        <w:t>la</w:t>
      </w:r>
      <w:r>
        <w:rPr>
          <w:sz w:val="21"/>
        </w:rPr>
        <w:t>   </w:t>
      </w:r>
      <w:r>
        <w:rPr>
          <w:w w:val="102"/>
          <w:sz w:val="21"/>
        </w:rPr>
        <w:t>imagen</w:t>
      </w:r>
      <w:r>
        <w:rPr>
          <w:sz w:val="21"/>
        </w:rPr>
        <w:t>   </w:t>
      </w:r>
      <w:r>
        <w:rPr>
          <w:w w:val="102"/>
          <w:sz w:val="21"/>
        </w:rPr>
        <w:t>inferior </w:t>
      </w:r>
      <w:r>
        <w:rPr>
          <w:w w:val="105"/>
          <w:sz w:val="21"/>
        </w:rPr>
        <w:t>ultrasonográfico de próstata la cual se observa con ecogenicidad heterogénea y con presencia de cavitaciones con un tamaño 1.3 cms de diámetro promedio. El diagnóstico de imagen fue prostatomegalia y quistes intraprostáticos.</w:t>
      </w:r>
    </w:p>
    <w:p>
      <w:pPr>
        <w:spacing w:after="0" w:line="252" w:lineRule="auto"/>
        <w:jc w:val="both"/>
        <w:rPr>
          <w:sz w:val="21"/>
        </w:rPr>
        <w:sectPr>
          <w:pgSz w:w="12240" w:h="15840"/>
          <w:pgMar w:header="886" w:footer="882" w:top="1140" w:bottom="1080" w:left="1560" w:right="980"/>
        </w:sectPr>
      </w:pPr>
    </w:p>
    <w:p>
      <w:pPr>
        <w:pStyle w:val="BodyText"/>
        <w:rPr>
          <w:sz w:val="20"/>
        </w:rPr>
      </w:pPr>
    </w:p>
    <w:p>
      <w:pPr>
        <w:pStyle w:val="BodyText"/>
        <w:rPr>
          <w:sz w:val="20"/>
        </w:rPr>
      </w:pPr>
    </w:p>
    <w:p>
      <w:pPr>
        <w:pStyle w:val="BodyText"/>
        <w:rPr>
          <w:sz w:val="20"/>
        </w:rPr>
      </w:pPr>
    </w:p>
    <w:p>
      <w:pPr>
        <w:pStyle w:val="BodyText"/>
        <w:spacing w:before="2"/>
        <w:rPr>
          <w:sz w:val="25"/>
        </w:rPr>
      </w:pPr>
    </w:p>
    <w:p>
      <w:pPr>
        <w:spacing w:before="63"/>
        <w:ind w:left="144" w:right="144" w:firstLine="0"/>
        <w:jc w:val="left"/>
        <w:rPr>
          <w:b/>
          <w:sz w:val="28"/>
        </w:rPr>
      </w:pPr>
      <w:r>
        <w:rPr>
          <w:b/>
          <w:sz w:val="28"/>
        </w:rPr>
        <w:t>ARTÍCULO DE INVESTIGACION</w:t>
      </w:r>
    </w:p>
    <w:p>
      <w:pPr>
        <w:pStyle w:val="BodyText"/>
        <w:rPr>
          <w:b/>
          <w:sz w:val="28"/>
        </w:rPr>
      </w:pPr>
    </w:p>
    <w:p>
      <w:pPr>
        <w:pStyle w:val="BodyText"/>
        <w:rPr>
          <w:b/>
          <w:sz w:val="28"/>
        </w:rPr>
      </w:pPr>
    </w:p>
    <w:p>
      <w:pPr>
        <w:pStyle w:val="BodyText"/>
        <w:rPr>
          <w:b/>
          <w:sz w:val="28"/>
        </w:rPr>
      </w:pPr>
    </w:p>
    <w:p>
      <w:pPr>
        <w:pStyle w:val="Heading2"/>
        <w:spacing w:before="161"/>
      </w:pPr>
      <w:r>
        <w:rPr>
          <w:b/>
        </w:rPr>
        <w:t>Título: </w:t>
      </w:r>
      <w:r>
        <w:rPr>
          <w:u w:val="single"/>
        </w:rPr>
        <w:t>Analysis of lower urinary tract disease of dogs</w:t>
      </w:r>
    </w:p>
    <w:p>
      <w:pPr>
        <w:pStyle w:val="BodyText"/>
        <w:rPr>
          <w:sz w:val="20"/>
        </w:rPr>
      </w:pPr>
    </w:p>
    <w:p>
      <w:pPr>
        <w:pStyle w:val="BodyText"/>
        <w:rPr>
          <w:sz w:val="20"/>
        </w:rPr>
      </w:pPr>
    </w:p>
    <w:p>
      <w:pPr>
        <w:pStyle w:val="Heading2"/>
        <w:spacing w:line="362" w:lineRule="auto" w:before="183"/>
      </w:pPr>
      <w:r>
        <w:rPr>
          <w:b/>
        </w:rPr>
        <w:t>Autores: </w:t>
      </w:r>
      <w:r>
        <w:rPr>
          <w:u w:val="single"/>
        </w:rPr>
        <w:t>Mendoza[López CI, Del[Angel[Caraza J, Quijano[Hernández IA, Barbosa[Mireles MA</w:t>
      </w:r>
    </w:p>
    <w:p>
      <w:pPr>
        <w:pStyle w:val="BodyText"/>
        <w:rPr>
          <w:sz w:val="20"/>
        </w:rPr>
      </w:pPr>
    </w:p>
    <w:p>
      <w:pPr>
        <w:pStyle w:val="BodyText"/>
        <w:spacing w:before="6"/>
        <w:rPr>
          <w:sz w:val="16"/>
        </w:rPr>
      </w:pPr>
    </w:p>
    <w:p>
      <w:pPr>
        <w:pStyle w:val="Heading2"/>
        <w:spacing w:line="362" w:lineRule="auto" w:before="63"/>
      </w:pPr>
      <w:r>
        <w:rPr>
          <w:b/>
        </w:rPr>
        <w:t>Revista: </w:t>
      </w:r>
      <w:r>
        <w:rPr>
          <w:u w:val="single"/>
        </w:rPr>
        <w:t>Brazilian Journal of Veterinary Research (Pesquisa Veterinaria Brasileira)</w:t>
      </w:r>
    </w:p>
    <w:p>
      <w:pPr>
        <w:pStyle w:val="BodyText"/>
        <w:rPr>
          <w:sz w:val="20"/>
        </w:rPr>
      </w:pPr>
    </w:p>
    <w:p>
      <w:pPr>
        <w:pStyle w:val="BodyText"/>
      </w:pPr>
    </w:p>
    <w:p>
      <w:pPr>
        <w:spacing w:before="63"/>
        <w:ind w:left="144" w:right="144" w:firstLine="0"/>
        <w:jc w:val="left"/>
        <w:rPr>
          <w:sz w:val="28"/>
        </w:rPr>
      </w:pPr>
      <w:r>
        <w:rPr>
          <w:b/>
          <w:sz w:val="28"/>
        </w:rPr>
        <w:t>Fecha de envío: </w:t>
      </w:r>
      <w:r>
        <w:rPr>
          <w:sz w:val="28"/>
          <w:u w:val="single"/>
        </w:rPr>
        <w:t>24 de Julio de 2015</w:t>
      </w:r>
    </w:p>
    <w:p>
      <w:pPr>
        <w:pStyle w:val="BodyText"/>
        <w:rPr>
          <w:sz w:val="20"/>
        </w:rPr>
      </w:pPr>
    </w:p>
    <w:p>
      <w:pPr>
        <w:pStyle w:val="BodyText"/>
        <w:rPr>
          <w:sz w:val="20"/>
        </w:rPr>
      </w:pPr>
    </w:p>
    <w:p>
      <w:pPr>
        <w:pStyle w:val="BodyText"/>
        <w:spacing w:before="10"/>
        <w:rPr>
          <w:sz w:val="25"/>
        </w:rPr>
      </w:pPr>
    </w:p>
    <w:p>
      <w:pPr>
        <w:spacing w:before="63"/>
        <w:ind w:left="144" w:right="144" w:firstLine="0"/>
        <w:jc w:val="left"/>
        <w:rPr>
          <w:b/>
          <w:sz w:val="28"/>
        </w:rPr>
      </w:pPr>
      <w:r>
        <w:rPr>
          <w:b/>
          <w:sz w:val="28"/>
        </w:rPr>
        <w:t>Indices:</w:t>
      </w:r>
    </w:p>
    <w:p>
      <w:pPr>
        <w:pStyle w:val="Heading2"/>
        <w:numPr>
          <w:ilvl w:val="1"/>
          <w:numId w:val="3"/>
        </w:numPr>
        <w:tabs>
          <w:tab w:pos="1212" w:val="left" w:leader="none"/>
          <w:tab w:pos="1213" w:val="left" w:leader="none"/>
        </w:tabs>
        <w:spacing w:line="240" w:lineRule="auto" w:before="249" w:after="0"/>
        <w:ind w:left="1212" w:right="0" w:hanging="360"/>
        <w:jc w:val="left"/>
      </w:pPr>
      <w:r>
        <w:rPr/>
        <w:t>Thomson Reuters WEB of Science</w:t>
      </w:r>
      <w:r>
        <w:rPr>
          <w:spacing w:val="-19"/>
        </w:rPr>
        <w:t> </w:t>
      </w:r>
      <w:r>
        <w:rPr/>
        <w:t>(JCR).</w:t>
      </w:r>
    </w:p>
    <w:p>
      <w:pPr>
        <w:pStyle w:val="Heading2"/>
        <w:numPr>
          <w:ilvl w:val="1"/>
          <w:numId w:val="3"/>
        </w:numPr>
        <w:tabs>
          <w:tab w:pos="1212" w:val="left" w:leader="none"/>
          <w:tab w:pos="1213" w:val="left" w:leader="none"/>
        </w:tabs>
        <w:spacing w:line="240" w:lineRule="auto" w:before="41" w:after="0"/>
        <w:ind w:left="1212" w:right="0" w:hanging="360"/>
        <w:jc w:val="left"/>
      </w:pPr>
      <w:r>
        <w:rPr/>
        <w:t>ScIELO</w:t>
      </w:r>
      <w:r>
        <w:rPr>
          <w:spacing w:val="-7"/>
        </w:rPr>
        <w:t> </w:t>
      </w:r>
      <w:r>
        <w:rPr/>
        <w:t>Brasil</w:t>
      </w:r>
    </w:p>
    <w:p>
      <w:pPr>
        <w:spacing w:after="0" w:line="240" w:lineRule="auto"/>
        <w:jc w:val="left"/>
        <w:sectPr>
          <w:pgSz w:w="12240" w:h="15840"/>
          <w:pgMar w:header="886" w:footer="882" w:top="1140" w:bottom="1080" w:left="1560" w:right="980"/>
        </w:sectPr>
      </w:pPr>
    </w:p>
    <w:p>
      <w:pPr>
        <w:tabs>
          <w:tab w:pos="10842" w:val="left" w:leader="none"/>
        </w:tabs>
        <w:spacing w:before="75"/>
        <w:ind w:left="120" w:right="0" w:firstLine="0"/>
        <w:jc w:val="left"/>
        <w:rPr>
          <w:sz w:val="12"/>
        </w:rPr>
      </w:pPr>
      <w:r>
        <w:rPr>
          <w:w w:val="110"/>
          <w:sz w:val="12"/>
        </w:rPr>
        <w:t>ScholarOne</w:t>
      </w:r>
      <w:r>
        <w:rPr>
          <w:spacing w:val="-11"/>
          <w:w w:val="110"/>
          <w:sz w:val="12"/>
        </w:rPr>
        <w:t> </w:t>
      </w:r>
      <w:r>
        <w:rPr>
          <w:w w:val="110"/>
          <w:sz w:val="12"/>
        </w:rPr>
        <w:t>Manuscripts</w:t>
        <w:tab/>
        <w:t>24/07/15</w:t>
      </w:r>
      <w:r>
        <w:rPr>
          <w:spacing w:val="-11"/>
          <w:w w:val="110"/>
          <w:sz w:val="12"/>
        </w:rPr>
        <w:t> </w:t>
      </w:r>
      <w:r>
        <w:rPr>
          <w:w w:val="110"/>
          <w:sz w:val="12"/>
        </w:rPr>
        <w:t>2:16</w:t>
      </w:r>
    </w:p>
    <w:p>
      <w:pPr>
        <w:pStyle w:val="BodyText"/>
        <w:rPr>
          <w:sz w:val="28"/>
        </w:rPr>
      </w:pPr>
    </w:p>
    <w:tbl>
      <w:tblPr>
        <w:tblW w:w="0" w:type="auto"/>
        <w:jc w:val="left"/>
        <w:tblInd w:w="1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732"/>
        <w:gridCol w:w="1615"/>
        <w:gridCol w:w="1323"/>
        <w:gridCol w:w="432"/>
        <w:gridCol w:w="265"/>
      </w:tblGrid>
      <w:tr>
        <w:trPr>
          <w:trHeight w:val="249" w:hRule="exact"/>
        </w:trPr>
        <w:tc>
          <w:tcPr>
            <w:tcW w:w="6732" w:type="dxa"/>
            <w:tcBorders>
              <w:bottom w:val="single" w:sz="4" w:space="0" w:color="666666"/>
              <w:right w:val="single" w:sz="7" w:space="0" w:color="666666"/>
            </w:tcBorders>
            <w:shd w:val="clear" w:color="auto" w:fill="FFFFFF"/>
          </w:tcPr>
          <w:p>
            <w:pPr>
              <w:pStyle w:val="TableParagraph"/>
              <w:spacing w:before="34"/>
              <w:ind w:left="270"/>
              <w:rPr>
                <w:sz w:val="11"/>
              </w:rPr>
            </w:pPr>
            <w:r>
              <w:rPr>
                <w:shadow/>
                <w:color w:val="ABABAB"/>
                <w:w w:val="95"/>
                <w:sz w:val="11"/>
              </w:rPr>
              <w:t>ScholarOne  Manuscripts™</w:t>
            </w:r>
          </w:p>
        </w:tc>
        <w:tc>
          <w:tcPr>
            <w:tcW w:w="1615" w:type="dxa"/>
            <w:tcBorders>
              <w:left w:val="single" w:sz="7" w:space="0" w:color="666666"/>
              <w:bottom w:val="single" w:sz="4" w:space="0" w:color="666666"/>
              <w:right w:val="single" w:sz="4" w:space="0" w:color="666666"/>
            </w:tcBorders>
            <w:shd w:val="clear" w:color="auto" w:fill="FFFFFF"/>
          </w:tcPr>
          <w:p>
            <w:pPr>
              <w:pStyle w:val="TableParagraph"/>
              <w:spacing w:before="34"/>
              <w:ind w:left="89"/>
              <w:rPr>
                <w:sz w:val="11"/>
              </w:rPr>
            </w:pPr>
            <w:r>
              <w:rPr>
                <w:shadow/>
                <w:color w:val="ABABAB"/>
                <w:w w:val="95"/>
                <w:sz w:val="11"/>
              </w:rPr>
              <w:t>Javier Del-Angel-Caraza</w:t>
            </w:r>
          </w:p>
        </w:tc>
        <w:tc>
          <w:tcPr>
            <w:tcW w:w="1323" w:type="dxa"/>
            <w:tcBorders>
              <w:left w:val="single" w:sz="4" w:space="0" w:color="666666"/>
              <w:bottom w:val="single" w:sz="4" w:space="0" w:color="666666"/>
              <w:right w:val="single" w:sz="4" w:space="0" w:color="666666"/>
            </w:tcBorders>
            <w:shd w:val="clear" w:color="auto" w:fill="FFFFFF"/>
          </w:tcPr>
          <w:p>
            <w:pPr>
              <w:pStyle w:val="TableParagraph"/>
              <w:spacing w:before="34"/>
              <w:ind w:left="90"/>
              <w:rPr>
                <w:sz w:val="11"/>
              </w:rPr>
            </w:pPr>
            <w:r>
              <w:rPr>
                <w:shadow/>
                <w:color w:val="ABABAB"/>
                <w:sz w:val="11"/>
              </w:rPr>
              <w:t>Instructions &amp; Forms</w:t>
            </w:r>
          </w:p>
        </w:tc>
        <w:tc>
          <w:tcPr>
            <w:tcW w:w="432" w:type="dxa"/>
            <w:tcBorders>
              <w:left w:val="single" w:sz="4" w:space="0" w:color="666666"/>
              <w:bottom w:val="single" w:sz="4" w:space="0" w:color="666666"/>
              <w:right w:val="single" w:sz="4" w:space="0" w:color="666666"/>
            </w:tcBorders>
            <w:shd w:val="clear" w:color="auto" w:fill="FFFFFF"/>
          </w:tcPr>
          <w:p>
            <w:pPr>
              <w:pStyle w:val="TableParagraph"/>
              <w:spacing w:before="34"/>
              <w:ind w:left="90"/>
              <w:rPr>
                <w:sz w:val="11"/>
              </w:rPr>
            </w:pPr>
            <w:r>
              <w:rPr>
                <w:shadow/>
                <w:color w:val="ABABAB"/>
                <w:sz w:val="11"/>
              </w:rPr>
              <w:t>Help</w:t>
            </w:r>
          </w:p>
        </w:tc>
        <w:tc>
          <w:tcPr>
            <w:tcW w:w="265" w:type="dxa"/>
            <w:tcBorders>
              <w:left w:val="single" w:sz="4" w:space="0" w:color="666666"/>
              <w:bottom w:val="single" w:sz="4" w:space="0" w:color="666666"/>
            </w:tcBorders>
            <w:shd w:val="clear" w:color="auto" w:fill="FFFFFF"/>
          </w:tcPr>
          <w:p>
            <w:pPr>
              <w:pStyle w:val="TableParagraph"/>
              <w:spacing w:before="34"/>
              <w:ind w:left="90"/>
              <w:rPr>
                <w:sz w:val="11"/>
              </w:rPr>
            </w:pPr>
            <w:r>
              <w:rPr>
                <w:shadow/>
                <w:color w:val="ABABAB"/>
                <w:sz w:val="11"/>
              </w:rPr>
              <w:t>Lo</w:t>
            </w:r>
          </w:p>
        </w:tc>
      </w:tr>
    </w:tbl>
    <w:p>
      <w:pPr>
        <w:pStyle w:val="BodyText"/>
        <w:rPr>
          <w:sz w:val="20"/>
        </w:rPr>
      </w:pPr>
    </w:p>
    <w:p>
      <w:pPr>
        <w:pStyle w:val="BodyText"/>
        <w:rPr>
          <w:sz w:val="20"/>
        </w:rPr>
      </w:pPr>
    </w:p>
    <w:p>
      <w:pPr>
        <w:pStyle w:val="BodyText"/>
        <w:spacing w:before="10"/>
      </w:pPr>
    </w:p>
    <w:p>
      <w:pPr>
        <w:spacing w:before="79"/>
        <w:ind w:left="390" w:right="0" w:firstLine="0"/>
        <w:jc w:val="left"/>
        <w:rPr>
          <w:rFonts w:ascii="Verdana"/>
          <w:sz w:val="11"/>
        </w:rPr>
      </w:pPr>
      <w:r>
        <w:rPr/>
        <w:pict>
          <v:group style="position:absolute;margin-left:18pt;margin-top:-49.970512pt;width:531.2pt;height:52.25pt;mso-position-horizontal-relative:page;mso-position-vertical-relative:paragraph;z-index:-93712" coordorigin="360,-999" coordsize="10624,1045">
            <v:rect style="position:absolute;left:360;top:-999;width:10458;height:352" filled="true" fillcolor="#000000" stroked="false">
              <v:fill opacity="6422f" type="solid"/>
            </v:rect>
            <v:shape style="position:absolute;left:8532;top:-908;width:81;height:45" type="#_x0000_t75" stroked="false">
              <v:imagedata r:id="rId40" o:title=""/>
            </v:shape>
            <v:shape style="position:absolute;left:360;top:-764;width:10413;height:810" type="#_x0000_t75" stroked="false">
              <v:imagedata r:id="rId41" o:title=""/>
            </v:shape>
            <v:rect style="position:absolute;left:360;top:-746;width:10368;height:720" filled="true" fillcolor="#ffffff" stroked="false">
              <v:fill type="solid"/>
            </v:rect>
            <v:shape style="position:absolute;left:360;top:-746;width:6300;height:720" type="#_x0000_t75" stroked="false">
              <v:imagedata r:id="rId42" o:title=""/>
            </v:shape>
            <v:shape style="position:absolute;left:10683;top:-944;width:302;height:108" type="#_x0000_t202" filled="false" stroked="false">
              <v:textbox inset="0,0,0,0">
                <w:txbxContent>
                  <w:p>
                    <w:pPr>
                      <w:spacing w:line="108" w:lineRule="exact" w:before="0"/>
                      <w:ind w:left="0" w:right="-19" w:firstLine="0"/>
                      <w:jc w:val="left"/>
                      <w:rPr>
                        <w:rFonts w:ascii="Verdana"/>
                        <w:sz w:val="11"/>
                      </w:rPr>
                    </w:pPr>
                    <w:r>
                      <w:rPr>
                        <w:rFonts w:ascii="Verdana"/>
                        <w:shadow/>
                        <w:color w:val="ABABAB"/>
                        <w:sz w:val="11"/>
                      </w:rPr>
                      <w:t>g</w:t>
                    </w:r>
                    <w:r>
                      <w:rPr>
                        <w:rFonts w:ascii="Verdana"/>
                        <w:shadow/>
                        <w:color w:val="ABABAB"/>
                        <w:spacing w:val="-6"/>
                        <w:sz w:val="11"/>
                      </w:rPr>
                      <w:t> </w:t>
                    </w:r>
                    <w:r>
                      <w:rPr>
                        <w:rFonts w:ascii="Verdana"/>
                        <w:shadow/>
                        <w:color w:val="ABABAB"/>
                        <w:sz w:val="11"/>
                      </w:rPr>
                      <w:t>Out</w:t>
                    </w:r>
                  </w:p>
                </w:txbxContent>
              </v:textbox>
              <w10:wrap type="none"/>
            </v:shape>
            <w10:wrap type="none"/>
          </v:group>
        </w:pict>
      </w:r>
      <w:r>
        <w:rPr>
          <w:rFonts w:ascii="Verdana"/>
          <w:b/>
          <w:color w:val="ABABAB"/>
          <w:sz w:val="11"/>
        </w:rPr>
        <w:t>Main Menu  </w:t>
      </w:r>
      <w:r>
        <w:rPr>
          <w:rFonts w:ascii="Verdana"/>
          <w:b/>
          <w:color w:val="787878"/>
          <w:sz w:val="11"/>
        </w:rPr>
        <w:t>/  </w:t>
      </w:r>
      <w:r>
        <w:rPr>
          <w:rFonts w:ascii="Verdana"/>
          <w:b/>
          <w:color w:val="ABABAB"/>
          <w:sz w:val="11"/>
        </w:rPr>
        <w:t>Author Dashboard  </w:t>
      </w:r>
      <w:r>
        <w:rPr>
          <w:rFonts w:ascii="Verdana"/>
          <w:b/>
          <w:color w:val="787878"/>
          <w:sz w:val="11"/>
        </w:rPr>
        <w:t>/ </w:t>
      </w:r>
      <w:r>
        <w:rPr>
          <w:rFonts w:ascii="Verdana"/>
          <w:color w:val="AB6622"/>
          <w:sz w:val="11"/>
        </w:rPr>
        <w:t>Submission Confirmation</w:t>
      </w:r>
    </w:p>
    <w:p>
      <w:pPr>
        <w:pStyle w:val="BodyText"/>
        <w:rPr>
          <w:rFonts w:ascii="Verdana"/>
          <w:sz w:val="20"/>
        </w:rPr>
      </w:pPr>
    </w:p>
    <w:p>
      <w:pPr>
        <w:pStyle w:val="BodyText"/>
        <w:spacing w:before="8"/>
        <w:rPr>
          <w:rFonts w:ascii="Verdana"/>
          <w:sz w:val="29"/>
        </w:rPr>
      </w:pPr>
      <w:r>
        <w:rPr/>
        <w:drawing>
          <wp:anchor distT="0" distB="0" distL="0" distR="0" allowOverlap="1" layoutInCell="1" locked="0" behindDoc="0" simplePos="0" relativeHeight="1720">
            <wp:simplePos x="0" y="0"/>
            <wp:positionH relativeFrom="page">
              <wp:posOffset>1405889</wp:posOffset>
            </wp:positionH>
            <wp:positionV relativeFrom="paragraph">
              <wp:posOffset>253896</wp:posOffset>
            </wp:positionV>
            <wp:extent cx="617219" cy="217170"/>
            <wp:effectExtent l="0" t="0" r="0" b="0"/>
            <wp:wrapTopAndBottom/>
            <wp:docPr id="33" name="image21.png" descr=""/>
            <wp:cNvGraphicFramePr>
              <a:graphicFrameLocks noChangeAspect="1"/>
            </wp:cNvGraphicFramePr>
            <a:graphic>
              <a:graphicData uri="http://schemas.openxmlformats.org/drawingml/2006/picture">
                <pic:pic>
                  <pic:nvPicPr>
                    <pic:cNvPr id="34" name="image21.png"/>
                    <pic:cNvPicPr/>
                  </pic:nvPicPr>
                  <pic:blipFill>
                    <a:blip r:embed="rId43" cstate="print"/>
                    <a:stretch>
                      <a:fillRect/>
                    </a:stretch>
                  </pic:blipFill>
                  <pic:spPr>
                    <a:xfrm>
                      <a:off x="0" y="0"/>
                      <a:ext cx="617219" cy="217170"/>
                    </a:xfrm>
                    <a:prstGeom prst="rect">
                      <a:avLst/>
                    </a:prstGeom>
                  </pic:spPr>
                </pic:pic>
              </a:graphicData>
            </a:graphic>
          </wp:anchor>
        </w:drawing>
      </w:r>
    </w:p>
    <w:p>
      <w:pPr>
        <w:pStyle w:val="BodyText"/>
        <w:spacing w:before="3"/>
        <w:rPr>
          <w:rFonts w:ascii="Verdana"/>
          <w:sz w:val="12"/>
        </w:rPr>
      </w:pPr>
    </w:p>
    <w:p>
      <w:pPr>
        <w:spacing w:before="0"/>
        <w:ind w:left="3000" w:right="0" w:firstLine="0"/>
        <w:jc w:val="left"/>
        <w:rPr>
          <w:rFonts w:ascii="Verdana" w:hAnsi="Verdana"/>
          <w:sz w:val="10"/>
        </w:rPr>
      </w:pPr>
      <w:r>
        <w:rPr>
          <w:rFonts w:ascii="Verdana" w:hAnsi="Verdana"/>
          <w:sz w:val="10"/>
        </w:rPr>
        <w:t>Thank you for submitting your manuscript to </w:t>
      </w:r>
      <w:r>
        <w:rPr>
          <w:rFonts w:ascii="Verdana" w:hAnsi="Verdana"/>
          <w:i/>
          <w:sz w:val="10"/>
        </w:rPr>
        <w:t>Pesquisa Veterinária Brasileira</w:t>
      </w:r>
      <w:r>
        <w:rPr>
          <w:rFonts w:ascii="Verdana" w:hAnsi="Verdana"/>
          <w:sz w:val="10"/>
        </w:rPr>
        <w:t>.</w:t>
      </w:r>
    </w:p>
    <w:p>
      <w:pPr>
        <w:pStyle w:val="BodyText"/>
        <w:rPr>
          <w:rFonts w:ascii="Verdana"/>
          <w:sz w:val="10"/>
        </w:rPr>
      </w:pPr>
    </w:p>
    <w:p>
      <w:pPr>
        <w:pStyle w:val="BodyText"/>
        <w:rPr>
          <w:rFonts w:ascii="Verdana"/>
          <w:sz w:val="10"/>
        </w:rPr>
      </w:pPr>
    </w:p>
    <w:p>
      <w:pPr>
        <w:pStyle w:val="BodyText"/>
        <w:rPr>
          <w:rFonts w:ascii="Verdana"/>
          <w:sz w:val="10"/>
        </w:rPr>
      </w:pPr>
    </w:p>
    <w:p>
      <w:pPr>
        <w:pStyle w:val="BodyText"/>
        <w:rPr>
          <w:rFonts w:ascii="Verdana"/>
          <w:sz w:val="10"/>
        </w:rPr>
      </w:pPr>
    </w:p>
    <w:p>
      <w:pPr>
        <w:pStyle w:val="BodyText"/>
        <w:rPr>
          <w:rFonts w:ascii="Verdana"/>
          <w:sz w:val="10"/>
        </w:rPr>
      </w:pPr>
    </w:p>
    <w:p>
      <w:pPr>
        <w:spacing w:before="81"/>
        <w:ind w:left="3664" w:right="0" w:firstLine="0"/>
        <w:jc w:val="left"/>
        <w:rPr>
          <w:rFonts w:ascii="Verdana"/>
          <w:sz w:val="10"/>
        </w:rPr>
      </w:pPr>
      <w:r>
        <w:rPr>
          <w:rFonts w:ascii="Verdana"/>
          <w:sz w:val="10"/>
        </w:rPr>
        <w:t>Manuscript ID:  PVB-4285</w:t>
      </w:r>
    </w:p>
    <w:p>
      <w:pPr>
        <w:spacing w:before="85"/>
        <w:ind w:left="4122" w:right="4870" w:firstLine="0"/>
        <w:jc w:val="center"/>
        <w:rPr>
          <w:rFonts w:ascii="Verdana"/>
          <w:sz w:val="10"/>
        </w:rPr>
      </w:pPr>
      <w:r>
        <w:rPr>
          <w:rFonts w:ascii="Verdana"/>
          <w:sz w:val="10"/>
        </w:rPr>
        <w:t>Title:  Analysis of lower urinary tract diseases of dogs</w:t>
      </w:r>
    </w:p>
    <w:p>
      <w:pPr>
        <w:spacing w:line="230" w:lineRule="auto" w:before="89"/>
        <w:ind w:left="3973" w:right="5994" w:firstLine="520"/>
        <w:jc w:val="left"/>
        <w:rPr>
          <w:rFonts w:ascii="Verdana" w:hAnsi="Verdana"/>
          <w:sz w:val="10"/>
        </w:rPr>
      </w:pPr>
      <w:r>
        <w:rPr>
          <w:rFonts w:ascii="Verdana" w:hAnsi="Verdana"/>
          <w:sz w:val="10"/>
        </w:rPr>
        <w:t>Mendoza-López, Claudia </w:t>
      </w:r>
      <w:r>
        <w:rPr>
          <w:rFonts w:ascii="Verdana" w:hAnsi="Verdana"/>
          <w:position w:val="-4"/>
          <w:sz w:val="10"/>
        </w:rPr>
        <w:t>Authors:  </w:t>
      </w:r>
      <w:r>
        <w:rPr>
          <w:rFonts w:ascii="Verdana" w:hAnsi="Verdana"/>
          <w:sz w:val="10"/>
        </w:rPr>
        <w:t>Del-Angel-Caraza, Javier</w:t>
      </w:r>
    </w:p>
    <w:p>
      <w:pPr>
        <w:spacing w:line="66" w:lineRule="exact" w:before="0"/>
        <w:ind w:left="4494" w:right="0" w:firstLine="0"/>
        <w:jc w:val="left"/>
        <w:rPr>
          <w:rFonts w:ascii="Verdana" w:hAnsi="Verdana"/>
          <w:sz w:val="10"/>
        </w:rPr>
      </w:pPr>
      <w:r>
        <w:rPr>
          <w:rFonts w:ascii="Verdana" w:hAnsi="Verdana"/>
          <w:sz w:val="10"/>
        </w:rPr>
        <w:t>Quijano-Hernández, Israel</w:t>
      </w:r>
    </w:p>
    <w:p>
      <w:pPr>
        <w:spacing w:line="408" w:lineRule="auto" w:before="0"/>
        <w:ind w:left="3576" w:right="5994" w:firstLine="917"/>
        <w:jc w:val="left"/>
        <w:rPr>
          <w:rFonts w:ascii="Verdana"/>
          <w:sz w:val="10"/>
        </w:rPr>
      </w:pPr>
      <w:r>
        <w:rPr/>
        <w:drawing>
          <wp:anchor distT="0" distB="0" distL="0" distR="0" allowOverlap="1" layoutInCell="1" locked="0" behindDoc="0" simplePos="0" relativeHeight="1744">
            <wp:simplePos x="0" y="0"/>
            <wp:positionH relativeFrom="page">
              <wp:posOffset>4394834</wp:posOffset>
            </wp:positionH>
            <wp:positionV relativeFrom="paragraph">
              <wp:posOffset>332446</wp:posOffset>
            </wp:positionV>
            <wp:extent cx="297179" cy="102870"/>
            <wp:effectExtent l="0" t="0" r="0" b="0"/>
            <wp:wrapTopAndBottom/>
            <wp:docPr id="35" name="image22.png" descr=""/>
            <wp:cNvGraphicFramePr>
              <a:graphicFrameLocks noChangeAspect="1"/>
            </wp:cNvGraphicFramePr>
            <a:graphic>
              <a:graphicData uri="http://schemas.openxmlformats.org/drawingml/2006/picture">
                <pic:pic>
                  <pic:nvPicPr>
                    <pic:cNvPr id="36" name="image22.png"/>
                    <pic:cNvPicPr/>
                  </pic:nvPicPr>
                  <pic:blipFill>
                    <a:blip r:embed="rId44" cstate="print"/>
                    <a:stretch>
                      <a:fillRect/>
                    </a:stretch>
                  </pic:blipFill>
                  <pic:spPr>
                    <a:xfrm>
                      <a:off x="0" y="0"/>
                      <a:ext cx="297179" cy="102870"/>
                    </a:xfrm>
                    <a:prstGeom prst="rect">
                      <a:avLst/>
                    </a:prstGeom>
                  </pic:spPr>
                </pic:pic>
              </a:graphicData>
            </a:graphic>
          </wp:anchor>
        </w:drawing>
      </w:r>
      <w:r>
        <w:rPr/>
        <w:drawing>
          <wp:anchor distT="0" distB="0" distL="0" distR="0" allowOverlap="1" layoutInCell="1" locked="0" behindDoc="0" simplePos="0" relativeHeight="1768">
            <wp:simplePos x="0" y="0"/>
            <wp:positionH relativeFrom="page">
              <wp:posOffset>4760595</wp:posOffset>
            </wp:positionH>
            <wp:positionV relativeFrom="paragraph">
              <wp:posOffset>332446</wp:posOffset>
            </wp:positionV>
            <wp:extent cx="800099" cy="102870"/>
            <wp:effectExtent l="0" t="0" r="0" b="0"/>
            <wp:wrapTopAndBottom/>
            <wp:docPr id="37" name="image23.png" descr=""/>
            <wp:cNvGraphicFramePr>
              <a:graphicFrameLocks noChangeAspect="1"/>
            </wp:cNvGraphicFramePr>
            <a:graphic>
              <a:graphicData uri="http://schemas.openxmlformats.org/drawingml/2006/picture">
                <pic:pic>
                  <pic:nvPicPr>
                    <pic:cNvPr id="38" name="image23.png"/>
                    <pic:cNvPicPr/>
                  </pic:nvPicPr>
                  <pic:blipFill>
                    <a:blip r:embed="rId45" cstate="print"/>
                    <a:stretch>
                      <a:fillRect/>
                    </a:stretch>
                  </pic:blipFill>
                  <pic:spPr>
                    <a:xfrm>
                      <a:off x="0" y="0"/>
                      <a:ext cx="800099" cy="102870"/>
                    </a:xfrm>
                    <a:prstGeom prst="rect">
                      <a:avLst/>
                    </a:prstGeom>
                  </pic:spPr>
                </pic:pic>
              </a:graphicData>
            </a:graphic>
          </wp:anchor>
        </w:drawing>
      </w:r>
      <w:r>
        <w:rPr>
          <w:rFonts w:ascii="Verdana"/>
          <w:sz w:val="10"/>
        </w:rPr>
        <w:t>Barbosa-Mireles, Marco Date Submitted: 24-Jul-2015</w:t>
      </w: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rPr>
          <w:rFonts w:ascii="Verdana"/>
          <w:sz w:val="20"/>
        </w:rPr>
      </w:pPr>
    </w:p>
    <w:p>
      <w:pPr>
        <w:pStyle w:val="BodyText"/>
        <w:spacing w:before="4"/>
        <w:rPr>
          <w:rFonts w:ascii="Verdana"/>
          <w:sz w:val="25"/>
        </w:rPr>
      </w:pPr>
      <w:r>
        <w:rPr/>
        <w:pict>
          <v:line style="position:absolute;mso-position-horizontal-relative:page;mso-position-vertical-relative:paragraph;z-index:1792;mso-wrap-distance-left:0;mso-wrap-distance-right:0" from="18pt,17.595312pt" to="536.4pt,17.595312pt" stroked="true" strokeweight=".45pt" strokecolor="#000000">
            <w10:wrap type="topAndBottom"/>
          </v:line>
        </w:pict>
      </w:r>
    </w:p>
    <w:p>
      <w:pPr>
        <w:pStyle w:val="BodyText"/>
        <w:rPr>
          <w:rFonts w:ascii="Verdana"/>
          <w:sz w:val="5"/>
        </w:rPr>
      </w:pPr>
    </w:p>
    <w:p>
      <w:pPr>
        <w:tabs>
          <w:tab w:pos="8445" w:val="left" w:leader="none"/>
        </w:tabs>
        <w:spacing w:line="240" w:lineRule="auto"/>
        <w:ind w:left="120" w:right="0" w:firstLine="0"/>
        <w:rPr>
          <w:rFonts w:ascii="Verdana"/>
          <w:sz w:val="20"/>
        </w:rPr>
      </w:pPr>
      <w:r>
        <w:rPr>
          <w:rFonts w:ascii="Verdana"/>
          <w:sz w:val="20"/>
        </w:rPr>
        <w:drawing>
          <wp:inline distT="0" distB="0" distL="0" distR="0">
            <wp:extent cx="1091565" cy="560069"/>
            <wp:effectExtent l="0" t="0" r="0" b="0"/>
            <wp:docPr id="39" name="image24.png" descr=""/>
            <wp:cNvGraphicFramePr>
              <a:graphicFrameLocks noChangeAspect="1"/>
            </wp:cNvGraphicFramePr>
            <a:graphic>
              <a:graphicData uri="http://schemas.openxmlformats.org/drawingml/2006/picture">
                <pic:pic>
                  <pic:nvPicPr>
                    <pic:cNvPr id="40" name="image24.png"/>
                    <pic:cNvPicPr/>
                  </pic:nvPicPr>
                  <pic:blipFill>
                    <a:blip r:embed="rId46" cstate="print"/>
                    <a:stretch>
                      <a:fillRect/>
                    </a:stretch>
                  </pic:blipFill>
                  <pic:spPr>
                    <a:xfrm>
                      <a:off x="0" y="0"/>
                      <a:ext cx="1091565" cy="560069"/>
                    </a:xfrm>
                    <a:prstGeom prst="rect">
                      <a:avLst/>
                    </a:prstGeom>
                  </pic:spPr>
                </pic:pic>
              </a:graphicData>
            </a:graphic>
          </wp:inline>
        </w:drawing>
      </w:r>
      <w:r>
        <w:rPr>
          <w:rFonts w:ascii="Verdana"/>
          <w:sz w:val="20"/>
        </w:rPr>
      </w:r>
      <w:r>
        <w:rPr>
          <w:rFonts w:ascii="Verdana"/>
          <w:sz w:val="20"/>
        </w:rPr>
        <w:tab/>
      </w:r>
      <w:r>
        <w:rPr>
          <w:rFonts w:ascii="Verdana"/>
          <w:sz w:val="20"/>
        </w:rPr>
        <w:drawing>
          <wp:inline distT="0" distB="0" distL="0" distR="0">
            <wp:extent cx="1400175" cy="560069"/>
            <wp:effectExtent l="0" t="0" r="0" b="0"/>
            <wp:docPr id="41" name="image25.png" descr=""/>
            <wp:cNvGraphicFramePr>
              <a:graphicFrameLocks noChangeAspect="1"/>
            </wp:cNvGraphicFramePr>
            <a:graphic>
              <a:graphicData uri="http://schemas.openxmlformats.org/drawingml/2006/picture">
                <pic:pic>
                  <pic:nvPicPr>
                    <pic:cNvPr id="42" name="image25.png"/>
                    <pic:cNvPicPr/>
                  </pic:nvPicPr>
                  <pic:blipFill>
                    <a:blip r:embed="rId47" cstate="print"/>
                    <a:stretch>
                      <a:fillRect/>
                    </a:stretch>
                  </pic:blipFill>
                  <pic:spPr>
                    <a:xfrm>
                      <a:off x="0" y="0"/>
                      <a:ext cx="1400175" cy="560069"/>
                    </a:xfrm>
                    <a:prstGeom prst="rect">
                      <a:avLst/>
                    </a:prstGeom>
                  </pic:spPr>
                </pic:pic>
              </a:graphicData>
            </a:graphic>
          </wp:inline>
        </w:drawing>
      </w:r>
      <w:r>
        <w:rPr>
          <w:rFonts w:ascii="Verdana"/>
          <w:sz w:val="20"/>
        </w:rPr>
      </w:r>
    </w:p>
    <w:p>
      <w:pPr>
        <w:spacing w:before="22"/>
        <w:ind w:left="120" w:right="0" w:firstLine="0"/>
        <w:jc w:val="left"/>
        <w:rPr>
          <w:sz w:val="12"/>
        </w:rPr>
      </w:pPr>
      <w:r>
        <w:rPr>
          <w:color w:val="ABABAB"/>
          <w:w w:val="105"/>
          <w:sz w:val="12"/>
        </w:rPr>
        <w:t>© Thomson Reuters </w:t>
      </w:r>
      <w:r>
        <w:rPr>
          <w:color w:val="787878"/>
          <w:w w:val="105"/>
          <w:sz w:val="12"/>
        </w:rPr>
        <w:t>|  </w:t>
      </w:r>
      <w:r>
        <w:rPr>
          <w:color w:val="ABABAB"/>
          <w:w w:val="105"/>
          <w:sz w:val="12"/>
        </w:rPr>
        <w:t>© ScholarOne, Inc., 2015. </w:t>
      </w:r>
      <w:r>
        <w:rPr>
          <w:color w:val="787878"/>
          <w:w w:val="105"/>
          <w:sz w:val="12"/>
        </w:rPr>
        <w:t>All Rights Reserved.</w:t>
      </w:r>
    </w:p>
    <w:p>
      <w:pPr>
        <w:spacing w:line="312" w:lineRule="auto" w:before="42"/>
        <w:ind w:left="120" w:right="6683" w:firstLine="0"/>
        <w:jc w:val="left"/>
        <w:rPr>
          <w:sz w:val="12"/>
        </w:rPr>
      </w:pPr>
      <w:r>
        <w:rPr>
          <w:color w:val="787878"/>
          <w:w w:val="105"/>
          <w:sz w:val="12"/>
        </w:rPr>
        <w:t>ScholarOne Manuscripts and ScholarOne are registered trademarks of ScholarOne, Inc. ScholarOne Manuscripts Patents </w:t>
      </w:r>
      <w:r>
        <w:rPr>
          <w:color w:val="ABABAB"/>
          <w:w w:val="105"/>
          <w:sz w:val="12"/>
        </w:rPr>
        <w:t>#7,257,767 </w:t>
      </w:r>
      <w:r>
        <w:rPr>
          <w:color w:val="787878"/>
          <w:w w:val="105"/>
          <w:sz w:val="12"/>
        </w:rPr>
        <w:t>and </w:t>
      </w:r>
      <w:r>
        <w:rPr>
          <w:color w:val="ABABAB"/>
          <w:w w:val="105"/>
          <w:sz w:val="12"/>
        </w:rPr>
        <w:t>#7,263,655</w:t>
      </w:r>
      <w:r>
        <w:rPr>
          <w:color w:val="787878"/>
          <w:w w:val="105"/>
          <w:sz w:val="12"/>
        </w:rPr>
        <w:t>.</w:t>
      </w:r>
    </w:p>
    <w:p>
      <w:pPr>
        <w:spacing w:before="37"/>
        <w:ind w:left="120" w:right="0" w:firstLine="0"/>
        <w:jc w:val="left"/>
        <w:rPr>
          <w:sz w:val="12"/>
        </w:rPr>
      </w:pPr>
      <w:r>
        <w:rPr>
          <w:color w:val="ABABAB"/>
          <w:w w:val="320"/>
          <w:sz w:val="12"/>
        </w:rPr>
        <w:t>!</w:t>
      </w:r>
      <w:r>
        <w:rPr>
          <w:color w:val="ABABAB"/>
          <w:spacing w:val="-90"/>
          <w:w w:val="320"/>
          <w:sz w:val="12"/>
        </w:rPr>
        <w:t> </w:t>
      </w:r>
      <w:r>
        <w:rPr>
          <w:color w:val="ABABAB"/>
          <w:w w:val="115"/>
          <w:sz w:val="12"/>
        </w:rPr>
        <w:t>@ScholarOneNews </w:t>
      </w:r>
      <w:r>
        <w:rPr>
          <w:color w:val="787878"/>
          <w:w w:val="115"/>
          <w:sz w:val="12"/>
        </w:rPr>
        <w:t>| </w:t>
      </w:r>
      <w:r>
        <w:rPr>
          <w:color w:val="ABABAB"/>
          <w:w w:val="320"/>
          <w:sz w:val="12"/>
        </w:rPr>
        <w:t>"</w:t>
      </w:r>
      <w:r>
        <w:rPr>
          <w:color w:val="ABABAB"/>
          <w:spacing w:val="-89"/>
          <w:w w:val="320"/>
          <w:sz w:val="12"/>
        </w:rPr>
        <w:t> </w:t>
      </w:r>
      <w:r>
        <w:rPr>
          <w:color w:val="ABABAB"/>
          <w:w w:val="115"/>
          <w:sz w:val="12"/>
        </w:rPr>
        <w:t>System Requirements </w:t>
      </w:r>
      <w:r>
        <w:rPr>
          <w:color w:val="787878"/>
          <w:w w:val="115"/>
          <w:sz w:val="12"/>
        </w:rPr>
        <w:t>| </w:t>
      </w:r>
      <w:r>
        <w:rPr>
          <w:color w:val="ABABAB"/>
          <w:w w:val="165"/>
          <w:sz w:val="12"/>
        </w:rPr>
        <w:t># </w:t>
      </w:r>
      <w:r>
        <w:rPr>
          <w:color w:val="ABABAB"/>
          <w:w w:val="115"/>
          <w:sz w:val="12"/>
        </w:rPr>
        <w:t>Privacy Statement </w:t>
      </w:r>
      <w:r>
        <w:rPr>
          <w:color w:val="787878"/>
          <w:w w:val="115"/>
          <w:sz w:val="12"/>
        </w:rPr>
        <w:t>| </w:t>
      </w:r>
      <w:r>
        <w:rPr>
          <w:color w:val="ABABAB"/>
          <w:w w:val="165"/>
          <w:sz w:val="12"/>
        </w:rPr>
        <w:t>$ </w:t>
      </w:r>
      <w:r>
        <w:rPr>
          <w:color w:val="ABABAB"/>
          <w:spacing w:val="-3"/>
          <w:w w:val="115"/>
          <w:sz w:val="12"/>
        </w:rPr>
        <w:t>Terms </w:t>
      </w:r>
      <w:r>
        <w:rPr>
          <w:color w:val="ABABAB"/>
          <w:w w:val="115"/>
          <w:sz w:val="12"/>
        </w:rPr>
        <w:t>of Use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2"/>
        </w:rPr>
      </w:pPr>
    </w:p>
    <w:p>
      <w:pPr>
        <w:tabs>
          <w:tab w:pos="10852" w:val="left" w:leader="none"/>
        </w:tabs>
        <w:spacing w:before="91"/>
        <w:ind w:left="120" w:right="0" w:firstLine="0"/>
        <w:jc w:val="left"/>
        <w:rPr>
          <w:sz w:val="12"/>
        </w:rPr>
      </w:pPr>
      <w:r>
        <w:rPr>
          <w:w w:val="110"/>
          <w:sz w:val="12"/>
        </w:rPr>
        <w:t>https://mc04.manuscriptcentral.com/pvb-scielo</w:t>
        <w:tab/>
        <w:t>Página</w:t>
      </w:r>
      <w:r>
        <w:rPr>
          <w:spacing w:val="-10"/>
          <w:w w:val="110"/>
          <w:sz w:val="12"/>
        </w:rPr>
        <w:t> </w:t>
      </w:r>
      <w:r>
        <w:rPr>
          <w:w w:val="110"/>
          <w:sz w:val="12"/>
        </w:rPr>
        <w:t>1</w:t>
      </w:r>
      <w:r>
        <w:rPr>
          <w:spacing w:val="-10"/>
          <w:w w:val="110"/>
          <w:sz w:val="12"/>
        </w:rPr>
        <w:t> </w:t>
      </w:r>
      <w:r>
        <w:rPr>
          <w:w w:val="110"/>
          <w:sz w:val="12"/>
        </w:rPr>
        <w:t>de</w:t>
      </w:r>
      <w:r>
        <w:rPr>
          <w:spacing w:val="-10"/>
          <w:w w:val="110"/>
          <w:sz w:val="12"/>
        </w:rPr>
        <w:t> </w:t>
      </w:r>
      <w:r>
        <w:rPr>
          <w:w w:val="110"/>
          <w:sz w:val="12"/>
        </w:rPr>
        <w:t>1</w:t>
      </w:r>
    </w:p>
    <w:p>
      <w:pPr>
        <w:spacing w:after="0"/>
        <w:jc w:val="left"/>
        <w:rPr>
          <w:sz w:val="12"/>
        </w:rPr>
        <w:sectPr>
          <w:headerReference w:type="default" r:id="rId38"/>
          <w:footerReference w:type="default" r:id="rId39"/>
          <w:pgSz w:w="12240" w:h="15840"/>
          <w:pgMar w:header="0" w:footer="0" w:top="280" w:bottom="280" w:left="240" w:right="260"/>
        </w:sectPr>
      </w:pPr>
    </w:p>
    <w:p>
      <w:pPr>
        <w:spacing w:before="56"/>
        <w:ind w:left="4652" w:right="0" w:firstLine="0"/>
        <w:jc w:val="left"/>
        <w:rPr>
          <w:b/>
          <w:sz w:val="20"/>
        </w:rPr>
      </w:pPr>
      <w:r>
        <w:rPr/>
        <w:pict>
          <v:shape style="position:absolute;margin-left:214.920013pt;margin-top:357.599976pt;width:324.850pt;height:31pt;mso-position-horizontal-relative:page;mso-position-vertical-relative:page;z-index:-93496" coordorigin="4298,7152" coordsize="6497,620" path="m10795,7152l4298,7152,4298,7358,4298,7565,4298,7771,10795,7771,10795,7565,10795,7358,10795,7152e" filled="true" fillcolor="#ffffff" stroked="false">
            <v:path arrowok="t"/>
            <v:fill type="solid"/>
            <w10:wrap type="none"/>
          </v:shape>
        </w:pict>
      </w:r>
      <w:r>
        <w:rPr/>
        <w:pict>
          <v:shape style="position:absolute;margin-left:214.920013pt;margin-top:449.159973pt;width:324.850pt;height:20.65pt;mso-position-horizontal-relative:page;mso-position-vertical-relative:page;z-index:-93472" coordorigin="4298,8983" coordsize="6497,413" path="m10795,8983l4298,8983,4298,9190,4298,9396,10795,9396,10795,9190,10795,8983e" filled="true" fillcolor="#ffffff" stroked="false">
            <v:path arrowok="t"/>
            <v:fill type="solid"/>
            <w10:wrap type="none"/>
          </v:shape>
        </w:pict>
      </w:r>
      <w:r>
        <w:rPr/>
        <w:pict>
          <v:shape style="position:absolute;margin-left:335.47298pt;margin-top:473.095227pt;width:107.1pt;height:48pt;mso-position-horizontal-relative:page;mso-position-vertical-relative:page;z-index:-93424;rotation:51" type="#_x0000_t136" fillcolor="#d6f1fe" stroked="f">
            <o:extrusion v:ext="view" autorotationcenter="t"/>
            <v:textpath style="font-family:&amp;quot;Arial&amp;quot;;font-size:48pt;v-text-kern:t;mso-text-shadow:auto;font-weight:bold" string="Only"/>
            <w10:wrap type="none"/>
          </v:shape>
        </w:pict>
      </w:r>
      <w:r>
        <w:rPr>
          <w:b/>
          <w:sz w:val="20"/>
        </w:rPr>
        <w:t>Pesquisa Veterinária Brasileira</w:t>
      </w:r>
    </w:p>
    <w:p>
      <w:pPr>
        <w:pStyle w:val="BodyText"/>
        <w:rPr>
          <w:b/>
          <w:sz w:val="20"/>
        </w:rPr>
      </w:pPr>
    </w:p>
    <w:p>
      <w:pPr>
        <w:pStyle w:val="BodyText"/>
        <w:rPr>
          <w:b/>
          <w:sz w:val="20"/>
        </w:rPr>
      </w:pPr>
    </w:p>
    <w:p>
      <w:pPr>
        <w:pStyle w:val="BodyText"/>
        <w:rPr>
          <w:b/>
          <w:sz w:val="20"/>
        </w:rPr>
      </w:pPr>
    </w:p>
    <w:p>
      <w:pPr>
        <w:pStyle w:val="BodyText"/>
        <w:spacing w:before="6"/>
        <w:rPr>
          <w:b/>
        </w:rPr>
      </w:pPr>
      <w:r>
        <w:rPr/>
        <w:drawing>
          <wp:anchor distT="0" distB="0" distL="0" distR="0" allowOverlap="1" layoutInCell="1" locked="0" behindDoc="0" simplePos="0" relativeHeight="1864">
            <wp:simplePos x="0" y="0"/>
            <wp:positionH relativeFrom="page">
              <wp:posOffset>2703576</wp:posOffset>
            </wp:positionH>
            <wp:positionV relativeFrom="paragraph">
              <wp:posOffset>204264</wp:posOffset>
            </wp:positionV>
            <wp:extent cx="2362352" cy="1243583"/>
            <wp:effectExtent l="0" t="0" r="0" b="0"/>
            <wp:wrapTopAndBottom/>
            <wp:docPr id="43" name="image26.png" descr=""/>
            <wp:cNvGraphicFramePr>
              <a:graphicFrameLocks noChangeAspect="1"/>
            </wp:cNvGraphicFramePr>
            <a:graphic>
              <a:graphicData uri="http://schemas.openxmlformats.org/drawingml/2006/picture">
                <pic:pic>
                  <pic:nvPicPr>
                    <pic:cNvPr id="44" name="image26.png"/>
                    <pic:cNvPicPr/>
                  </pic:nvPicPr>
                  <pic:blipFill>
                    <a:blip r:embed="rId50" cstate="print"/>
                    <a:stretch>
                      <a:fillRect/>
                    </a:stretch>
                  </pic:blipFill>
                  <pic:spPr>
                    <a:xfrm>
                      <a:off x="0" y="0"/>
                      <a:ext cx="2362352" cy="1243583"/>
                    </a:xfrm>
                    <a:prstGeom prst="rect">
                      <a:avLst/>
                    </a:prstGeom>
                  </pic:spPr>
                </pic:pic>
              </a:graphicData>
            </a:graphic>
          </wp:anchor>
        </w:drawing>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3"/>
        </w:rPr>
      </w:pPr>
    </w:p>
    <w:p>
      <w:pPr>
        <w:spacing w:before="62"/>
        <w:ind w:left="3187" w:right="0" w:firstLine="0"/>
        <w:jc w:val="left"/>
        <w:rPr>
          <w:rFonts w:ascii="Verdana"/>
          <w:b/>
          <w:sz w:val="22"/>
        </w:rPr>
      </w:pPr>
      <w:r>
        <w:rPr/>
        <w:pict>
          <v:shape style="position:absolute;margin-left:214.919998pt;margin-top:69.860947pt;width:324.850pt;height:159.2pt;mso-position-horizontal-relative:page;mso-position-vertical-relative:paragraph;z-index:-93616" type="#_x0000_t202" filled="false" stroked="false">
            <v:textbox inset="0,0,0,0">
              <w:txbxContent>
                <w:p>
                  <w:pPr>
                    <w:spacing w:line="664" w:lineRule="exact" w:before="0"/>
                    <w:ind w:left="214" w:right="0" w:firstLine="0"/>
                    <w:jc w:val="left"/>
                    <w:rPr>
                      <w:b/>
                      <w:sz w:val="96"/>
                    </w:rPr>
                  </w:pPr>
                  <w:r>
                    <w:rPr>
                      <w:b/>
                      <w:color w:val="D6F1FE"/>
                      <w:sz w:val="96"/>
                    </w:rPr>
                    <w:t>Review</w:t>
                  </w:r>
                </w:p>
              </w:txbxContent>
            </v:textbox>
            <w10:wrap type="none"/>
          </v:shape>
        </w:pict>
      </w:r>
      <w:r>
        <w:rPr/>
        <w:pict>
          <v:rect style="position:absolute;margin-left:214.919998pt;margin-top:49.439098pt;width:324.840pt;height:10.32pt;mso-position-horizontal-relative:page;mso-position-vertical-relative:paragraph;z-index:-93592" filled="true" fillcolor="#ffffff" stroked="false">
            <v:fill type="solid"/>
            <w10:wrap type="none"/>
          </v:rect>
        </w:pict>
      </w:r>
      <w:r>
        <w:rPr/>
        <w:pict>
          <v:rect style="position:absolute;margin-left:214.919998pt;margin-top:68.759102pt;width:324.840pt;height:10.32pt;mso-position-horizontal-relative:page;mso-position-vertical-relative:paragraph;z-index:-93568" filled="true" fillcolor="#ffffff" stroked="false">
            <v:fill type="solid"/>
            <w10:wrap type="none"/>
          </v:rect>
        </w:pict>
      </w:r>
      <w:r>
        <w:rPr/>
        <w:pict>
          <v:rect style="position:absolute;margin-left:214.919998pt;margin-top:88.079102pt;width:324.840pt;height:10.44pt;mso-position-horizontal-relative:page;mso-position-vertical-relative:paragraph;z-index:-93544" filled="true" fillcolor="#ffffff" stroked="false">
            <v:fill type="solid"/>
            <w10:wrap type="none"/>
          </v:rect>
        </w:pict>
      </w:r>
      <w:r>
        <w:rPr/>
        <w:pict>
          <v:rect style="position:absolute;margin-left:214.919998pt;margin-top:107.519096pt;width:324.840pt;height:10.32pt;mso-position-horizontal-relative:page;mso-position-vertical-relative:paragraph;z-index:-93520" filled="true" fillcolor="#ffffff" stroked="false">
            <v:fill type="solid"/>
            <w10:wrap type="none"/>
          </v:rect>
        </w:pict>
      </w:r>
      <w:r>
        <w:rPr/>
        <w:pict>
          <v:shape style="position:absolute;margin-left:173.153275pt;margin-top:20.166234pt;width:77.75pt;height:48pt;mso-position-horizontal-relative:page;mso-position-vertical-relative:paragraph;z-index:-93448;rotation:51" type="#_x0000_t136" fillcolor="#d6f1fe" stroked="f">
            <o:extrusion v:ext="view" autorotationcenter="t"/>
            <v:textpath style="font-family:&amp;quot;Arial&amp;quot;;font-size:48pt;v-text-kern:t;mso-text-shadow:auto;font-weight:bold" string="For"/>
            <w10:wrap type="none"/>
          </v:shape>
        </w:pict>
      </w:r>
      <w:r>
        <w:rPr>
          <w:rFonts w:ascii="Verdana"/>
          <w:b/>
          <w:color w:val="2B2B2B"/>
          <w:sz w:val="22"/>
        </w:rPr>
        <w:t>Analysis of lower urinary tract diseases of dogs</w:t>
      </w:r>
    </w:p>
    <w:p>
      <w:pPr>
        <w:pStyle w:val="BodyText"/>
        <w:rPr>
          <w:rFonts w:ascii="Verdana"/>
          <w:b/>
          <w:sz w:val="20"/>
        </w:rPr>
      </w:pPr>
    </w:p>
    <w:p>
      <w:pPr>
        <w:pStyle w:val="BodyText"/>
        <w:spacing w:before="9"/>
        <w:rPr>
          <w:rFonts w:ascii="Verdana"/>
          <w:b/>
          <w:sz w:val="25"/>
        </w:rPr>
      </w:pPr>
    </w:p>
    <w:tbl>
      <w:tblPr>
        <w:tblW w:w="0" w:type="auto"/>
        <w:jc w:val="left"/>
        <w:tblInd w:w="1388" w:type="dxa"/>
        <w:tblBorders>
          <w:top w:val="double" w:sz="4" w:space="0" w:color="7F7F7F"/>
          <w:left w:val="double" w:sz="4" w:space="0" w:color="7F7F7F"/>
          <w:bottom w:val="double" w:sz="4" w:space="0" w:color="7F7F7F"/>
          <w:right w:val="double" w:sz="4" w:space="0" w:color="7F7F7F"/>
          <w:insideH w:val="double" w:sz="4" w:space="0" w:color="7F7F7F"/>
          <w:insideV w:val="double" w:sz="4" w:space="0" w:color="7F7F7F"/>
        </w:tblBorders>
        <w:tblLayout w:type="fixed"/>
        <w:tblCellMar>
          <w:top w:w="0" w:type="dxa"/>
          <w:left w:w="0" w:type="dxa"/>
          <w:bottom w:w="0" w:type="dxa"/>
          <w:right w:w="0" w:type="dxa"/>
        </w:tblCellMar>
        <w:tblLook w:val="01E0"/>
      </w:tblPr>
      <w:tblGrid>
        <w:gridCol w:w="2861"/>
        <w:gridCol w:w="6538"/>
        <w:gridCol w:w="94"/>
      </w:tblGrid>
      <w:tr>
        <w:trPr>
          <w:trHeight w:val="385" w:hRule="exact"/>
        </w:trPr>
        <w:tc>
          <w:tcPr>
            <w:tcW w:w="2861" w:type="dxa"/>
            <w:tcBorders>
              <w:top w:val="double" w:sz="4" w:space="0" w:color="7F7F7F"/>
              <w:left w:val="single" w:sz="6" w:space="0" w:color="D4D0C8"/>
              <w:right w:val="double" w:sz="4" w:space="0" w:color="7F7F7F"/>
            </w:tcBorders>
            <w:shd w:val="clear" w:color="auto" w:fill="EEEEEE"/>
          </w:tcPr>
          <w:p>
            <w:pPr>
              <w:pStyle w:val="TableParagraph"/>
              <w:spacing w:before="74"/>
              <w:ind w:right="120"/>
              <w:jc w:val="right"/>
              <w:rPr>
                <w:sz w:val="17"/>
              </w:rPr>
            </w:pPr>
            <w:r>
              <w:rPr>
                <w:sz w:val="17"/>
              </w:rPr>
              <w:t>Journal:</w:t>
            </w:r>
          </w:p>
        </w:tc>
        <w:tc>
          <w:tcPr>
            <w:tcW w:w="6632" w:type="dxa"/>
            <w:gridSpan w:val="2"/>
            <w:tcBorders>
              <w:top w:val="double" w:sz="4" w:space="0" w:color="7F7F7F"/>
              <w:left w:val="double" w:sz="4" w:space="0" w:color="7F7F7F"/>
              <w:right w:val="single" w:sz="6" w:space="0" w:color="D4D0C8"/>
            </w:tcBorders>
          </w:tcPr>
          <w:p>
            <w:pPr>
              <w:pStyle w:val="TableParagraph"/>
              <w:spacing w:before="74"/>
              <w:ind w:left="25" w:right="497"/>
              <w:rPr>
                <w:i/>
                <w:sz w:val="17"/>
              </w:rPr>
            </w:pPr>
            <w:r>
              <w:rPr>
                <w:i/>
                <w:sz w:val="17"/>
              </w:rPr>
              <w:t>Pesquisa Veterinária Brasileira</w:t>
            </w:r>
          </w:p>
        </w:tc>
      </w:tr>
      <w:tr>
        <w:trPr>
          <w:trHeight w:val="386" w:hRule="exact"/>
        </w:trPr>
        <w:tc>
          <w:tcPr>
            <w:tcW w:w="2861" w:type="dxa"/>
            <w:tcBorders>
              <w:left w:val="single" w:sz="6" w:space="0" w:color="D4D0C8"/>
              <w:right w:val="double" w:sz="4" w:space="0" w:color="7F7F7F"/>
            </w:tcBorders>
            <w:shd w:val="clear" w:color="auto" w:fill="EEEEEE"/>
          </w:tcPr>
          <w:p>
            <w:pPr>
              <w:pStyle w:val="TableParagraph"/>
              <w:spacing w:before="74"/>
              <w:ind w:right="119"/>
              <w:jc w:val="right"/>
              <w:rPr>
                <w:sz w:val="17"/>
              </w:rPr>
            </w:pPr>
            <w:r>
              <w:rPr>
                <w:sz w:val="17"/>
              </w:rPr>
              <w:t>Manuscript ID:</w:t>
            </w:r>
          </w:p>
        </w:tc>
        <w:tc>
          <w:tcPr>
            <w:tcW w:w="6632" w:type="dxa"/>
            <w:gridSpan w:val="2"/>
            <w:tcBorders>
              <w:left w:val="double" w:sz="4" w:space="0" w:color="7F7F7F"/>
              <w:right w:val="single" w:sz="6" w:space="0" w:color="7F7F7F"/>
            </w:tcBorders>
          </w:tcPr>
          <w:p>
            <w:pPr>
              <w:pStyle w:val="TableParagraph"/>
              <w:spacing w:before="74"/>
              <w:ind w:left="25" w:right="497"/>
              <w:rPr>
                <w:sz w:val="17"/>
              </w:rPr>
            </w:pPr>
            <w:r>
              <w:rPr>
                <w:sz w:val="17"/>
              </w:rPr>
              <w:t>PVB-4285</w:t>
            </w:r>
          </w:p>
        </w:tc>
      </w:tr>
      <w:tr>
        <w:trPr>
          <w:trHeight w:val="386" w:hRule="exact"/>
        </w:trPr>
        <w:tc>
          <w:tcPr>
            <w:tcW w:w="2861" w:type="dxa"/>
            <w:tcBorders>
              <w:left w:val="single" w:sz="6" w:space="0" w:color="D4D0C8"/>
              <w:right w:val="double" w:sz="4" w:space="0" w:color="7F7F7F"/>
            </w:tcBorders>
            <w:shd w:val="clear" w:color="auto" w:fill="EEEEEE"/>
          </w:tcPr>
          <w:p>
            <w:pPr>
              <w:pStyle w:val="TableParagraph"/>
              <w:spacing w:before="74"/>
              <w:ind w:right="118"/>
              <w:jc w:val="right"/>
              <w:rPr>
                <w:sz w:val="17"/>
              </w:rPr>
            </w:pPr>
            <w:r>
              <w:rPr>
                <w:sz w:val="17"/>
              </w:rPr>
              <w:t>Manuscript Type:</w:t>
            </w:r>
          </w:p>
        </w:tc>
        <w:tc>
          <w:tcPr>
            <w:tcW w:w="6632" w:type="dxa"/>
            <w:gridSpan w:val="2"/>
            <w:tcBorders>
              <w:left w:val="double" w:sz="4" w:space="0" w:color="7F7F7F"/>
              <w:right w:val="single" w:sz="6" w:space="0" w:color="7F7F7F"/>
            </w:tcBorders>
          </w:tcPr>
          <w:p>
            <w:pPr>
              <w:pStyle w:val="TableParagraph"/>
              <w:spacing w:before="74"/>
              <w:ind w:left="25" w:right="497"/>
              <w:rPr>
                <w:sz w:val="17"/>
              </w:rPr>
            </w:pPr>
            <w:r>
              <w:rPr>
                <w:sz w:val="17"/>
              </w:rPr>
              <w:t>Original Article</w:t>
            </w:r>
          </w:p>
        </w:tc>
      </w:tr>
      <w:tr>
        <w:trPr>
          <w:trHeight w:val="342" w:hRule="exact"/>
        </w:trPr>
        <w:tc>
          <w:tcPr>
            <w:tcW w:w="2861" w:type="dxa"/>
            <w:tcBorders>
              <w:left w:val="single" w:sz="6" w:space="0" w:color="D4D0C8"/>
              <w:right w:val="double" w:sz="4" w:space="0" w:color="7F7F7F"/>
            </w:tcBorders>
            <w:shd w:val="clear" w:color="auto" w:fill="EEEEEE"/>
          </w:tcPr>
          <w:p>
            <w:pPr>
              <w:pStyle w:val="TableParagraph"/>
              <w:spacing w:before="76"/>
              <w:ind w:right="120"/>
              <w:jc w:val="right"/>
              <w:rPr>
                <w:sz w:val="17"/>
              </w:rPr>
            </w:pPr>
            <w:r>
              <w:rPr>
                <w:sz w:val="17"/>
              </w:rPr>
              <w:t>Date Submitted by the Author:</w:t>
            </w:r>
          </w:p>
        </w:tc>
        <w:tc>
          <w:tcPr>
            <w:tcW w:w="6632" w:type="dxa"/>
            <w:gridSpan w:val="2"/>
            <w:tcBorders>
              <w:left w:val="double" w:sz="4" w:space="0" w:color="7F7F7F"/>
              <w:right w:val="single" w:sz="6" w:space="0" w:color="7F7F7F"/>
            </w:tcBorders>
          </w:tcPr>
          <w:p>
            <w:pPr>
              <w:pStyle w:val="TableParagraph"/>
              <w:spacing w:before="76"/>
              <w:ind w:left="25" w:right="497"/>
              <w:rPr>
                <w:sz w:val="17"/>
              </w:rPr>
            </w:pPr>
            <w:r>
              <w:rPr>
                <w:sz w:val="17"/>
              </w:rPr>
              <w:t>24-Jul-2015</w:t>
            </w:r>
          </w:p>
        </w:tc>
      </w:tr>
      <w:tr>
        <w:trPr>
          <w:trHeight w:val="136" w:hRule="exact"/>
        </w:trPr>
        <w:tc>
          <w:tcPr>
            <w:tcW w:w="2861" w:type="dxa"/>
            <w:vMerge w:val="restart"/>
            <w:tcBorders>
              <w:left w:val="single" w:sz="6" w:space="0" w:color="D4D0C8"/>
              <w:right w:val="double" w:sz="4" w:space="0" w:color="7F7F7F"/>
            </w:tcBorders>
            <w:shd w:val="clear" w:color="auto" w:fill="EEEEEE"/>
          </w:tcPr>
          <w:p>
            <w:pPr>
              <w:pStyle w:val="TableParagraph"/>
              <w:spacing w:before="120"/>
              <w:ind w:left="526"/>
              <w:rPr>
                <w:sz w:val="17"/>
              </w:rPr>
            </w:pPr>
            <w:r>
              <w:rPr>
                <w:sz w:val="17"/>
              </w:rPr>
              <w:t>Complete List of Authors:</w:t>
            </w:r>
          </w:p>
        </w:tc>
        <w:tc>
          <w:tcPr>
            <w:tcW w:w="6632" w:type="dxa"/>
            <w:gridSpan w:val="2"/>
            <w:tcBorders>
              <w:left w:val="double" w:sz="4" w:space="0" w:color="7F7F7F"/>
              <w:bottom w:val="nil"/>
              <w:right w:val="single" w:sz="6" w:space="0" w:color="D4D0C8"/>
            </w:tcBorders>
          </w:tcPr>
          <w:p>
            <w:pPr/>
          </w:p>
        </w:tc>
      </w:tr>
      <w:tr>
        <w:trPr>
          <w:trHeight w:val="1787" w:hRule="exact"/>
        </w:trPr>
        <w:tc>
          <w:tcPr>
            <w:tcW w:w="2861" w:type="dxa"/>
            <w:vMerge/>
            <w:tcBorders>
              <w:left w:val="single" w:sz="6" w:space="0" w:color="D4D0C8"/>
              <w:right w:val="double" w:sz="4" w:space="0" w:color="7F7F7F"/>
            </w:tcBorders>
            <w:shd w:val="clear" w:color="auto" w:fill="EEEEEE"/>
          </w:tcPr>
          <w:p>
            <w:pPr/>
          </w:p>
        </w:tc>
        <w:tc>
          <w:tcPr>
            <w:tcW w:w="6632" w:type="dxa"/>
            <w:gridSpan w:val="2"/>
            <w:tcBorders>
              <w:top w:val="nil"/>
              <w:left w:val="double" w:sz="4" w:space="0" w:color="7F7F7F"/>
              <w:right w:val="single" w:sz="6" w:space="0" w:color="D4D0C8"/>
            </w:tcBorders>
          </w:tcPr>
          <w:p>
            <w:pPr>
              <w:pStyle w:val="TableParagraph"/>
              <w:spacing w:before="2"/>
              <w:ind w:left="25" w:right="497"/>
              <w:rPr>
                <w:sz w:val="17"/>
              </w:rPr>
            </w:pPr>
            <w:r>
              <w:rPr>
                <w:sz w:val="17"/>
              </w:rPr>
              <w:t>Mendoza-López, Claudia; Universidad Autonoma del Estado de México, Hospital Veterinario para Pequeñas Especies</w:t>
            </w:r>
          </w:p>
          <w:p>
            <w:pPr>
              <w:pStyle w:val="TableParagraph"/>
              <w:ind w:left="25" w:right="453"/>
              <w:rPr>
                <w:sz w:val="17"/>
              </w:rPr>
            </w:pPr>
            <w:r>
              <w:rPr>
                <w:sz w:val="17"/>
              </w:rPr>
              <w:t>Del-Angel-Caraza, Javier; Universidad Autónoma del Estado de México, Hospital Veterinario para Pequeñas Especies</w:t>
            </w:r>
          </w:p>
          <w:p>
            <w:pPr>
              <w:pStyle w:val="TableParagraph"/>
              <w:ind w:left="25" w:right="316"/>
              <w:rPr>
                <w:sz w:val="17"/>
              </w:rPr>
            </w:pPr>
            <w:r>
              <w:rPr>
                <w:sz w:val="17"/>
              </w:rPr>
              <w:t>Quijano-Hernández, Israel; Universidad Autonoma del Estado de México, Hospital Veterinario para Pequeñas Especies</w:t>
            </w:r>
          </w:p>
          <w:p>
            <w:pPr>
              <w:pStyle w:val="TableParagraph"/>
              <w:ind w:left="25" w:right="573"/>
              <w:rPr>
                <w:sz w:val="17"/>
              </w:rPr>
            </w:pPr>
            <w:r>
              <w:rPr>
                <w:sz w:val="17"/>
              </w:rPr>
              <w:t>Barbosa-Mireles, Marco; Universidad Autonoma del Estado de México, Hospital Veterinario para Pequeñas Especies</w:t>
            </w:r>
          </w:p>
        </w:tc>
      </w:tr>
      <w:tr>
        <w:trPr>
          <w:trHeight w:val="457" w:hRule="exact"/>
        </w:trPr>
        <w:tc>
          <w:tcPr>
            <w:tcW w:w="2861" w:type="dxa"/>
            <w:tcBorders>
              <w:left w:val="single" w:sz="6" w:space="0" w:color="D4D0C8"/>
              <w:bottom w:val="nil"/>
              <w:right w:val="double" w:sz="4" w:space="0" w:color="7F7F7F"/>
            </w:tcBorders>
            <w:shd w:val="clear" w:color="auto" w:fill="EEEEEE"/>
          </w:tcPr>
          <w:p>
            <w:pPr>
              <w:pStyle w:val="TableParagraph"/>
              <w:spacing w:before="132"/>
              <w:ind w:right="123"/>
              <w:jc w:val="right"/>
              <w:rPr>
                <w:sz w:val="17"/>
              </w:rPr>
            </w:pPr>
            <w:r>
              <w:rPr>
                <w:sz w:val="17"/>
              </w:rPr>
              <w:t>Keyword:</w:t>
            </w:r>
          </w:p>
        </w:tc>
        <w:tc>
          <w:tcPr>
            <w:tcW w:w="6632" w:type="dxa"/>
            <w:gridSpan w:val="2"/>
            <w:tcBorders>
              <w:left w:val="double" w:sz="4" w:space="0" w:color="7F7F7F"/>
              <w:bottom w:val="nil"/>
              <w:right w:val="single" w:sz="6" w:space="0" w:color="7F7F7F"/>
            </w:tcBorders>
          </w:tcPr>
          <w:p>
            <w:pPr>
              <w:pStyle w:val="TableParagraph"/>
              <w:spacing w:before="29"/>
              <w:ind w:left="25" w:right="308"/>
              <w:rPr>
                <w:sz w:val="17"/>
              </w:rPr>
            </w:pPr>
            <w:r>
              <w:rPr>
                <w:sz w:val="17"/>
              </w:rPr>
              <w:t>Lower urinary tract disease, epidemiology, dog, urolithiasis, urinary tract infection</w:t>
            </w:r>
          </w:p>
        </w:tc>
      </w:tr>
      <w:tr>
        <w:trPr>
          <w:trHeight w:val="136" w:hRule="exact"/>
        </w:trPr>
        <w:tc>
          <w:tcPr>
            <w:tcW w:w="2861" w:type="dxa"/>
            <w:tcBorders>
              <w:top w:val="nil"/>
              <w:left w:val="single" w:sz="6" w:space="0" w:color="D4D0C8"/>
              <w:right w:val="double" w:sz="4" w:space="0" w:color="7F7F7F"/>
            </w:tcBorders>
            <w:shd w:val="clear" w:color="auto" w:fill="EEEEEE"/>
          </w:tcPr>
          <w:p>
            <w:pPr/>
          </w:p>
        </w:tc>
        <w:tc>
          <w:tcPr>
            <w:tcW w:w="6538" w:type="dxa"/>
            <w:tcBorders>
              <w:top w:val="nil"/>
              <w:left w:val="double" w:sz="4" w:space="0" w:color="7F7F7F"/>
              <w:right w:val="nil"/>
            </w:tcBorders>
          </w:tcPr>
          <w:p>
            <w:pPr/>
          </w:p>
        </w:tc>
        <w:tc>
          <w:tcPr>
            <w:tcW w:w="94" w:type="dxa"/>
            <w:tcBorders>
              <w:top w:val="nil"/>
              <w:left w:val="nil"/>
              <w:right w:val="single" w:sz="6" w:space="0" w:color="D4D0C8"/>
            </w:tcBorders>
          </w:tcPr>
          <w:p>
            <w:pPr/>
          </w:p>
        </w:tc>
      </w:tr>
      <w:tr>
        <w:trPr>
          <w:trHeight w:val="410" w:hRule="exact"/>
        </w:trPr>
        <w:tc>
          <w:tcPr>
            <w:tcW w:w="9493" w:type="dxa"/>
            <w:gridSpan w:val="3"/>
            <w:tcBorders>
              <w:left w:val="single" w:sz="6" w:space="0" w:color="D4D0C8"/>
              <w:bottom w:val="double" w:sz="4" w:space="0" w:color="7F7F7F"/>
              <w:right w:val="single" w:sz="6" w:space="0" w:color="7F7F7F"/>
            </w:tcBorders>
          </w:tcPr>
          <w:p>
            <w:pPr>
              <w:pStyle w:val="TableParagraph"/>
              <w:spacing w:before="3"/>
              <w:rPr>
                <w:b/>
                <w:sz w:val="2"/>
              </w:rPr>
            </w:pPr>
          </w:p>
          <w:p>
            <w:pPr>
              <w:pStyle w:val="TableParagraph"/>
              <w:ind w:left="32"/>
              <w:rPr>
                <w:sz w:val="20"/>
              </w:rPr>
            </w:pPr>
            <w:r>
              <w:rPr>
                <w:sz w:val="20"/>
              </w:rPr>
              <w:pict>
                <v:group style="width:468pt;height:13.8pt;mso-position-horizontal-relative:char;mso-position-vertical-relative:line" coordorigin="0,0" coordsize="9360,276">
                  <v:rect style="position:absolute;left:0;top:0;width:9360;height:276" filled="true" fillcolor="#ffffff" stroked="false">
                    <v:fill type="solid"/>
                  </v:rect>
                </v:group>
              </w:pict>
            </w:r>
            <w:r>
              <w:rPr>
                <w:sz w:val="20"/>
              </w:rPr>
            </w:r>
          </w:p>
        </w:tc>
      </w:tr>
    </w:tbl>
    <w:p>
      <w:pPr>
        <w:pStyle w:val="BodyText"/>
        <w:spacing w:before="1"/>
        <w:rPr>
          <w:rFonts w:ascii="Verdana"/>
          <w:b/>
          <w:sz w:val="19"/>
        </w:rPr>
      </w:pPr>
      <w:r>
        <w:rPr/>
        <w:drawing>
          <wp:anchor distT="0" distB="0" distL="0" distR="0" allowOverlap="1" layoutInCell="1" locked="0" behindDoc="0" simplePos="0" relativeHeight="1912">
            <wp:simplePos x="0" y="0"/>
            <wp:positionH relativeFrom="page">
              <wp:posOffset>3226307</wp:posOffset>
            </wp:positionH>
            <wp:positionV relativeFrom="paragraph">
              <wp:posOffset>172212</wp:posOffset>
            </wp:positionV>
            <wp:extent cx="1321308" cy="429768"/>
            <wp:effectExtent l="0" t="0" r="0" b="0"/>
            <wp:wrapTopAndBottom/>
            <wp:docPr id="45" name="image27.jpeg" descr=""/>
            <wp:cNvGraphicFramePr>
              <a:graphicFrameLocks noChangeAspect="1"/>
            </wp:cNvGraphicFramePr>
            <a:graphic>
              <a:graphicData uri="http://schemas.openxmlformats.org/drawingml/2006/picture">
                <pic:pic>
                  <pic:nvPicPr>
                    <pic:cNvPr id="46" name="image27.jpeg"/>
                    <pic:cNvPicPr/>
                  </pic:nvPicPr>
                  <pic:blipFill>
                    <a:blip r:embed="rId51" cstate="print"/>
                    <a:stretch>
                      <a:fillRect/>
                    </a:stretch>
                  </pic:blipFill>
                  <pic:spPr>
                    <a:xfrm>
                      <a:off x="0" y="0"/>
                      <a:ext cx="1321308" cy="429768"/>
                    </a:xfrm>
                    <a:prstGeom prst="rect">
                      <a:avLst/>
                    </a:prstGeom>
                  </pic:spPr>
                </pic:pic>
              </a:graphicData>
            </a:graphic>
          </wp:anchor>
        </w:drawing>
      </w:r>
    </w:p>
    <w:p>
      <w:pPr>
        <w:spacing w:after="0"/>
        <w:rPr>
          <w:rFonts w:ascii="Verdana"/>
          <w:sz w:val="19"/>
        </w:rPr>
        <w:sectPr>
          <w:headerReference w:type="default" r:id="rId48"/>
          <w:footerReference w:type="default" r:id="rId49"/>
          <w:pgSz w:w="12240" w:h="15840"/>
          <w:pgMar w:header="0" w:footer="594" w:top="140" w:bottom="780" w:left="0" w:right="1220"/>
        </w:sectPr>
      </w:pPr>
    </w:p>
    <w:p>
      <w:pPr>
        <w:tabs>
          <w:tab w:pos="4652" w:val="left" w:leader="none"/>
        </w:tabs>
        <w:spacing w:before="56"/>
        <w:ind w:left="160" w:right="0" w:firstLine="0"/>
        <w:jc w:val="left"/>
        <w:rPr>
          <w:b/>
          <w:sz w:val="20"/>
        </w:rPr>
      </w:pPr>
      <w:r>
        <w:rPr>
          <w:b/>
          <w:sz w:val="20"/>
        </w:rPr>
        <w:t>Page 1</w:t>
      </w:r>
      <w:r>
        <w:rPr>
          <w:b/>
          <w:spacing w:val="-1"/>
          <w:sz w:val="20"/>
        </w:rPr>
        <w:t> </w:t>
      </w:r>
      <w:r>
        <w:rPr>
          <w:b/>
          <w:sz w:val="20"/>
        </w:rPr>
        <w:t>of</w:t>
      </w:r>
      <w:r>
        <w:rPr>
          <w:b/>
          <w:spacing w:val="-1"/>
          <w:sz w:val="20"/>
        </w:rPr>
        <w:t> </w:t>
      </w:r>
      <w:r>
        <w:rPr>
          <w:b/>
          <w:sz w:val="20"/>
        </w:rPr>
        <w:t>13</w:t>
        <w:tab/>
        <w:t>Pesquisa Veterinária</w:t>
      </w:r>
      <w:r>
        <w:rPr>
          <w:b/>
          <w:spacing w:val="-11"/>
          <w:sz w:val="20"/>
        </w:rPr>
        <w:t> </w:t>
      </w:r>
      <w:r>
        <w:rPr>
          <w:b/>
          <w:sz w:val="20"/>
        </w:rPr>
        <w:t>Brasileira</w:t>
      </w:r>
    </w:p>
    <w:p>
      <w:pPr>
        <w:pStyle w:val="BodyText"/>
        <w:spacing w:before="4"/>
        <w:rPr>
          <w:b/>
          <w:sz w:val="19"/>
        </w:rPr>
      </w:pPr>
    </w:p>
    <w:p>
      <w:pPr>
        <w:spacing w:line="230" w:lineRule="exact" w:before="56"/>
        <w:ind w:left="0" w:right="111" w:firstLine="0"/>
        <w:jc w:val="right"/>
        <w:rPr>
          <w:rFonts w:ascii="Calibri"/>
          <w:sz w:val="22"/>
        </w:rPr>
      </w:pPr>
      <w:r>
        <w:rPr>
          <w:rFonts w:ascii="Calibri"/>
          <w:w w:val="100"/>
          <w:sz w:val="22"/>
        </w:rPr>
        <w:t>1</w:t>
      </w:r>
    </w:p>
    <w:p>
      <w:pPr>
        <w:spacing w:line="191" w:lineRule="exact" w:before="0"/>
        <w:ind w:left="160" w:right="0" w:firstLine="0"/>
        <w:jc w:val="left"/>
        <w:rPr>
          <w:sz w:val="20"/>
        </w:rPr>
      </w:pPr>
      <w:r>
        <w:rPr>
          <w:sz w:val="20"/>
        </w:rPr>
        <w:t>1</w:t>
      </w:r>
    </w:p>
    <w:p>
      <w:pPr>
        <w:pStyle w:val="Heading3"/>
        <w:tabs>
          <w:tab w:pos="3835" w:val="left" w:leader="none"/>
        </w:tabs>
        <w:spacing w:line="256" w:lineRule="exact" w:before="6"/>
        <w:ind w:left="160" w:right="0"/>
        <w:rPr>
          <w:rFonts w:ascii="Cambria"/>
          <w:sz w:val="16"/>
        </w:rPr>
      </w:pPr>
      <w:r>
        <w:rPr>
          <w:b w:val="0"/>
          <w:position w:val="4"/>
          <w:sz w:val="20"/>
        </w:rPr>
        <w:t>2</w:t>
        <w:tab/>
      </w:r>
      <w:r>
        <w:rPr>
          <w:rFonts w:ascii="Cambria"/>
        </w:rPr>
        <w:t>Analysis of lower urinary tract diseases of</w:t>
      </w:r>
      <w:r>
        <w:rPr>
          <w:rFonts w:ascii="Cambria"/>
          <w:spacing w:val="-21"/>
        </w:rPr>
        <w:t> </w:t>
      </w:r>
      <w:r>
        <w:rPr>
          <w:rFonts w:ascii="Cambria"/>
        </w:rPr>
        <w:t>dogs</w:t>
      </w:r>
      <w:r>
        <w:rPr>
          <w:rFonts w:ascii="Cambria"/>
          <w:position w:val="6"/>
          <w:sz w:val="16"/>
        </w:rPr>
        <w:t>1</w:t>
      </w:r>
    </w:p>
    <w:p>
      <w:pPr>
        <w:spacing w:line="204" w:lineRule="exact" w:before="0"/>
        <w:ind w:left="160" w:right="0" w:firstLine="0"/>
        <w:jc w:val="left"/>
        <w:rPr>
          <w:sz w:val="20"/>
        </w:rPr>
      </w:pPr>
      <w:r>
        <w:rPr>
          <w:sz w:val="20"/>
        </w:rPr>
        <w:t>3</w:t>
      </w:r>
    </w:p>
    <w:p>
      <w:pPr>
        <w:pStyle w:val="BodyText"/>
        <w:tabs>
          <w:tab w:pos="3527" w:val="left" w:leader="none"/>
        </w:tabs>
        <w:spacing w:line="381" w:lineRule="exact" w:before="4"/>
        <w:ind w:left="160"/>
        <w:rPr>
          <w:rFonts w:ascii="Cambria" w:hAnsi="Cambria"/>
        </w:rPr>
      </w:pPr>
      <w:r>
        <w:rPr/>
        <w:pict>
          <v:shape style="position:absolute;margin-left:8pt;margin-top:13.488697pt;width:5.6pt;height:10pt;mso-position-horizontal-relative:page;mso-position-vertical-relative:paragraph;z-index:-93376" type="#_x0000_t202" filled="false" stroked="false">
            <v:textbox inset="0,0,0,0">
              <w:txbxContent>
                <w:p>
                  <w:pPr>
                    <w:spacing w:line="196" w:lineRule="exact" w:before="0"/>
                    <w:ind w:left="0" w:right="0" w:firstLine="0"/>
                    <w:jc w:val="left"/>
                    <w:rPr>
                      <w:sz w:val="20"/>
                    </w:rPr>
                  </w:pPr>
                  <w:r>
                    <w:rPr>
                      <w:sz w:val="20"/>
                    </w:rPr>
                    <w:t>5</w:t>
                  </w:r>
                </w:p>
              </w:txbxContent>
            </v:textbox>
            <w10:wrap type="none"/>
          </v:shape>
        </w:pict>
      </w:r>
      <w:r>
        <w:rPr>
          <w:position w:val="14"/>
          <w:sz w:val="20"/>
        </w:rPr>
        <w:t>4</w:t>
        <w:tab/>
      </w:r>
      <w:r>
        <w:rPr>
          <w:rFonts w:ascii="Cambria" w:hAnsi="Cambria"/>
        </w:rPr>
        <w:t>Claudia Iveth Mendóza-López,</w:t>
      </w:r>
      <w:r>
        <w:rPr>
          <w:rFonts w:ascii="Cambria" w:hAnsi="Cambria"/>
          <w:position w:val="6"/>
          <w:sz w:val="16"/>
        </w:rPr>
        <w:t>2 </w:t>
      </w:r>
      <w:r>
        <w:rPr>
          <w:rFonts w:ascii="Cambria" w:hAnsi="Cambria"/>
        </w:rPr>
        <w:t>Javier</w:t>
      </w:r>
      <w:r>
        <w:rPr>
          <w:rFonts w:ascii="Cambria" w:hAnsi="Cambria"/>
          <w:spacing w:val="-10"/>
        </w:rPr>
        <w:t> </w:t>
      </w:r>
      <w:r>
        <w:rPr>
          <w:rFonts w:ascii="Cambria" w:hAnsi="Cambria"/>
        </w:rPr>
        <w:t>Del-Angel-Caraza,</w:t>
      </w:r>
      <w:r>
        <w:rPr>
          <w:rFonts w:ascii="Cambria" w:hAnsi="Cambria"/>
          <w:position w:val="6"/>
          <w:sz w:val="16"/>
        </w:rPr>
        <w:t>2</w:t>
      </w:r>
      <w:r>
        <w:rPr>
          <w:rFonts w:ascii="Cambria" w:hAnsi="Cambria"/>
        </w:rPr>
        <w:t>*</w:t>
      </w:r>
    </w:p>
    <w:p>
      <w:pPr>
        <w:pStyle w:val="BodyText"/>
        <w:tabs>
          <w:tab w:pos="2846" w:val="left" w:leader="none"/>
        </w:tabs>
        <w:spacing w:line="310" w:lineRule="exact"/>
        <w:ind w:left="160"/>
        <w:rPr>
          <w:rFonts w:ascii="Cambria" w:hAnsi="Cambria"/>
          <w:sz w:val="16"/>
        </w:rPr>
      </w:pPr>
      <w:r>
        <w:rPr>
          <w:position w:val="-3"/>
          <w:sz w:val="20"/>
        </w:rPr>
        <w:t>6</w:t>
        <w:tab/>
      </w:r>
      <w:r>
        <w:rPr>
          <w:rFonts w:ascii="Cambria" w:hAnsi="Cambria"/>
        </w:rPr>
        <w:t>Israel Alejandro Quijano-Hernández,</w:t>
      </w:r>
      <w:r>
        <w:rPr>
          <w:rFonts w:ascii="Cambria" w:hAnsi="Cambria"/>
          <w:position w:val="6"/>
          <w:sz w:val="16"/>
        </w:rPr>
        <w:t>2  </w:t>
      </w:r>
      <w:r>
        <w:rPr>
          <w:rFonts w:ascii="Cambria" w:hAnsi="Cambria"/>
        </w:rPr>
        <w:t>Marco Antonio</w:t>
      </w:r>
      <w:r>
        <w:rPr>
          <w:rFonts w:ascii="Cambria" w:hAnsi="Cambria"/>
          <w:spacing w:val="-33"/>
        </w:rPr>
        <w:t> </w:t>
      </w:r>
      <w:r>
        <w:rPr>
          <w:rFonts w:ascii="Cambria" w:hAnsi="Cambria"/>
        </w:rPr>
        <w:t>Barbosa-Mireles</w:t>
      </w:r>
      <w:r>
        <w:rPr>
          <w:rFonts w:ascii="Cambria" w:hAnsi="Cambria"/>
          <w:position w:val="6"/>
          <w:sz w:val="16"/>
        </w:rPr>
        <w:t>2</w:t>
      </w:r>
    </w:p>
    <w:p>
      <w:pPr>
        <w:spacing w:before="8"/>
        <w:ind w:left="160" w:right="0" w:firstLine="0"/>
        <w:jc w:val="left"/>
        <w:rPr>
          <w:sz w:val="20"/>
        </w:rPr>
      </w:pPr>
      <w:r>
        <w:rPr>
          <w:sz w:val="20"/>
        </w:rPr>
        <w:t>7</w:t>
      </w:r>
    </w:p>
    <w:p>
      <w:pPr>
        <w:pStyle w:val="ListParagraph"/>
        <w:numPr>
          <w:ilvl w:val="0"/>
          <w:numId w:val="4"/>
        </w:numPr>
        <w:tabs>
          <w:tab w:pos="1132" w:val="left" w:leader="none"/>
          <w:tab w:pos="1133" w:val="left" w:leader="none"/>
        </w:tabs>
        <w:spacing w:line="261" w:lineRule="exact" w:before="6" w:after="0"/>
        <w:ind w:left="1132" w:right="0" w:hanging="972"/>
        <w:jc w:val="left"/>
        <w:rPr>
          <w:sz w:val="24"/>
        </w:rPr>
      </w:pPr>
      <w:r>
        <w:rPr>
          <w:b/>
          <w:sz w:val="24"/>
        </w:rPr>
        <w:t>ABSTRACT.- </w:t>
      </w:r>
      <w:r>
        <w:rPr>
          <w:sz w:val="24"/>
        </w:rPr>
        <w:t>Mendóza-López C.I.,   Del-Angel-Caraza J., Quijano-Hernández I.A.,  </w:t>
      </w:r>
      <w:r>
        <w:rPr>
          <w:spacing w:val="12"/>
          <w:sz w:val="24"/>
        </w:rPr>
        <w:t> </w:t>
      </w:r>
      <w:r>
        <w:rPr>
          <w:sz w:val="24"/>
        </w:rPr>
        <w:t>Barbosa-Mireles</w:t>
      </w:r>
    </w:p>
    <w:p>
      <w:pPr>
        <w:pStyle w:val="ListParagraph"/>
        <w:numPr>
          <w:ilvl w:val="0"/>
          <w:numId w:val="4"/>
        </w:numPr>
        <w:tabs>
          <w:tab w:pos="1132" w:val="left" w:leader="none"/>
          <w:tab w:pos="1133" w:val="left" w:leader="none"/>
        </w:tabs>
        <w:spacing w:line="256" w:lineRule="exact" w:before="0" w:after="0"/>
        <w:ind w:left="1132" w:right="0" w:hanging="972"/>
        <w:jc w:val="left"/>
        <w:rPr>
          <w:i/>
          <w:sz w:val="24"/>
        </w:rPr>
      </w:pPr>
      <w:r>
        <w:rPr>
          <w:sz w:val="24"/>
        </w:rPr>
        <w:t>M.A.</w:t>
      </w:r>
      <w:r>
        <w:rPr>
          <w:spacing w:val="33"/>
          <w:sz w:val="24"/>
        </w:rPr>
        <w:t> </w:t>
      </w:r>
      <w:r>
        <w:rPr>
          <w:sz w:val="24"/>
        </w:rPr>
        <w:t>2015.</w:t>
      </w:r>
      <w:r>
        <w:rPr>
          <w:spacing w:val="33"/>
          <w:sz w:val="24"/>
        </w:rPr>
        <w:t> </w:t>
      </w:r>
      <w:r>
        <w:rPr>
          <w:b/>
          <w:sz w:val="24"/>
        </w:rPr>
        <w:t>Analysis</w:t>
      </w:r>
      <w:r>
        <w:rPr>
          <w:b/>
          <w:spacing w:val="32"/>
          <w:sz w:val="24"/>
        </w:rPr>
        <w:t> </w:t>
      </w:r>
      <w:r>
        <w:rPr>
          <w:b/>
          <w:sz w:val="24"/>
        </w:rPr>
        <w:t>of</w:t>
      </w:r>
      <w:r>
        <w:rPr>
          <w:b/>
          <w:spacing w:val="35"/>
          <w:sz w:val="24"/>
        </w:rPr>
        <w:t> </w:t>
      </w:r>
      <w:r>
        <w:rPr>
          <w:b/>
          <w:sz w:val="24"/>
        </w:rPr>
        <w:t>lower</w:t>
      </w:r>
      <w:r>
        <w:rPr>
          <w:b/>
          <w:spacing w:val="31"/>
          <w:sz w:val="24"/>
        </w:rPr>
        <w:t> </w:t>
      </w:r>
      <w:r>
        <w:rPr>
          <w:b/>
          <w:sz w:val="24"/>
        </w:rPr>
        <w:t>urinary</w:t>
      </w:r>
      <w:r>
        <w:rPr>
          <w:b/>
          <w:spacing w:val="32"/>
          <w:sz w:val="24"/>
        </w:rPr>
        <w:t> </w:t>
      </w:r>
      <w:r>
        <w:rPr>
          <w:b/>
          <w:sz w:val="24"/>
        </w:rPr>
        <w:t>tract</w:t>
      </w:r>
      <w:r>
        <w:rPr>
          <w:b/>
          <w:spacing w:val="33"/>
          <w:sz w:val="24"/>
        </w:rPr>
        <w:t> </w:t>
      </w:r>
      <w:r>
        <w:rPr>
          <w:b/>
          <w:sz w:val="24"/>
        </w:rPr>
        <w:t>diseases</w:t>
      </w:r>
      <w:r>
        <w:rPr>
          <w:b/>
          <w:spacing w:val="32"/>
          <w:sz w:val="24"/>
        </w:rPr>
        <w:t> </w:t>
      </w:r>
      <w:r>
        <w:rPr>
          <w:b/>
          <w:sz w:val="24"/>
        </w:rPr>
        <w:t>of</w:t>
      </w:r>
      <w:r>
        <w:rPr>
          <w:b/>
          <w:spacing w:val="33"/>
          <w:sz w:val="24"/>
        </w:rPr>
        <w:t> </w:t>
      </w:r>
      <w:r>
        <w:rPr>
          <w:b/>
          <w:sz w:val="24"/>
        </w:rPr>
        <w:t>dogs.</w:t>
      </w:r>
      <w:r>
        <w:rPr>
          <w:b/>
          <w:spacing w:val="31"/>
          <w:sz w:val="24"/>
        </w:rPr>
        <w:t> </w:t>
      </w:r>
      <w:r>
        <w:rPr>
          <w:i/>
          <w:sz w:val="24"/>
        </w:rPr>
        <w:t>Pesquisa</w:t>
      </w:r>
      <w:r>
        <w:rPr>
          <w:i/>
          <w:spacing w:val="33"/>
          <w:sz w:val="24"/>
        </w:rPr>
        <w:t> </w:t>
      </w:r>
      <w:r>
        <w:rPr>
          <w:i/>
          <w:sz w:val="24"/>
        </w:rPr>
        <w:t>Veterinária</w:t>
      </w:r>
      <w:r>
        <w:rPr>
          <w:i/>
          <w:spacing w:val="33"/>
          <w:sz w:val="24"/>
        </w:rPr>
        <w:t> </w:t>
      </w:r>
      <w:r>
        <w:rPr>
          <w:i/>
          <w:sz w:val="24"/>
        </w:rPr>
        <w:t>Brasileira</w:t>
      </w:r>
    </w:p>
    <w:p>
      <w:pPr>
        <w:pStyle w:val="ListParagraph"/>
        <w:numPr>
          <w:ilvl w:val="0"/>
          <w:numId w:val="4"/>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71773pt;width:11.15pt;height:10pt;mso-position-horizontal-relative:page;mso-position-vertical-relative:paragraph;z-index:-93352" type="#_x0000_t202" filled="false" stroked="false">
            <v:textbox inset="0,0,0,0">
              <w:txbxContent>
                <w:p>
                  <w:pPr>
                    <w:spacing w:line="196" w:lineRule="exact" w:before="0"/>
                    <w:ind w:left="0" w:right="-20" w:firstLine="0"/>
                    <w:jc w:val="left"/>
                    <w:rPr>
                      <w:sz w:val="20"/>
                    </w:rPr>
                  </w:pPr>
                  <w:r>
                    <w:rPr>
                      <w:sz w:val="20"/>
                    </w:rPr>
                    <w:t>11</w:t>
                  </w:r>
                </w:p>
              </w:txbxContent>
            </v:textbox>
            <w10:wrap type="none"/>
          </v:shape>
        </w:pict>
      </w:r>
      <w:r>
        <w:rPr>
          <w:i/>
          <w:sz w:val="24"/>
        </w:rPr>
        <w:t>00(0):00-00. </w:t>
      </w:r>
      <w:r>
        <w:rPr>
          <w:sz w:val="24"/>
        </w:rPr>
        <w:t>Hospital Veterinario para Pequeñas Especies,  FMVZ-UAEMex. Jesús    </w:t>
      </w:r>
      <w:r>
        <w:rPr>
          <w:spacing w:val="12"/>
          <w:sz w:val="24"/>
        </w:rPr>
        <w:t> </w:t>
      </w:r>
      <w:r>
        <w:rPr>
          <w:sz w:val="24"/>
        </w:rPr>
        <w:t>Carranza  203</w:t>
      </w:r>
    </w:p>
    <w:p>
      <w:pPr>
        <w:pStyle w:val="ListParagraph"/>
        <w:numPr>
          <w:ilvl w:val="0"/>
          <w:numId w:val="5"/>
        </w:numPr>
        <w:tabs>
          <w:tab w:pos="1132" w:val="left" w:leader="none"/>
          <w:tab w:pos="1133" w:val="left" w:leader="none"/>
        </w:tabs>
        <w:spacing w:line="297" w:lineRule="exact" w:before="0" w:after="0"/>
        <w:ind w:left="1132" w:right="0" w:hanging="972"/>
        <w:jc w:val="left"/>
        <w:rPr>
          <w:sz w:val="24"/>
        </w:rPr>
      </w:pPr>
      <w:r>
        <w:rPr>
          <w:sz w:val="24"/>
        </w:rPr>
        <w:t>Col. Universidad CP 50130, Toluca, México. E-mail:</w:t>
      </w:r>
      <w:r>
        <w:rPr>
          <w:spacing w:val="-33"/>
          <w:sz w:val="24"/>
        </w:rPr>
        <w:t> </w:t>
      </w:r>
      <w:hyperlink r:id="rId54">
        <w:r>
          <w:rPr>
            <w:sz w:val="24"/>
            <w:u w:val="single"/>
          </w:rPr>
          <w:t>dlangel@uaemex.mx</w:t>
        </w:r>
      </w:hyperlink>
    </w:p>
    <w:p>
      <w:pPr>
        <w:pStyle w:val="ListParagraph"/>
        <w:numPr>
          <w:ilvl w:val="0"/>
          <w:numId w:val="5"/>
        </w:numPr>
        <w:tabs>
          <w:tab w:pos="1840" w:val="left" w:leader="none"/>
          <w:tab w:pos="1841" w:val="left" w:leader="none"/>
        </w:tabs>
        <w:spacing w:line="258" w:lineRule="exact" w:before="0" w:after="0"/>
        <w:ind w:left="1840" w:right="0" w:hanging="1680"/>
        <w:jc w:val="left"/>
        <w:rPr>
          <w:sz w:val="24"/>
        </w:rPr>
      </w:pPr>
      <w:r>
        <w:rPr>
          <w:sz w:val="24"/>
        </w:rPr>
        <w:t>Lower  urinary  tract  diseases  (LUTD)  include  different  diseases  that  affect  the</w:t>
      </w:r>
      <w:r>
        <w:rPr>
          <w:spacing w:val="-17"/>
          <w:sz w:val="24"/>
        </w:rPr>
        <w:t> </w:t>
      </w:r>
      <w:r>
        <w:rPr>
          <w:sz w:val="24"/>
        </w:rPr>
        <w:t>urinary</w:t>
      </w:r>
    </w:p>
    <w:p>
      <w:pPr>
        <w:pStyle w:val="ListParagraph"/>
        <w:numPr>
          <w:ilvl w:val="0"/>
          <w:numId w:val="5"/>
        </w:numPr>
        <w:tabs>
          <w:tab w:pos="1132" w:val="left" w:leader="none"/>
          <w:tab w:pos="1133" w:val="left" w:leader="none"/>
        </w:tabs>
        <w:spacing w:line="256" w:lineRule="exact" w:before="0" w:after="0"/>
        <w:ind w:left="1132" w:right="0" w:hanging="972"/>
        <w:jc w:val="left"/>
        <w:rPr>
          <w:sz w:val="24"/>
        </w:rPr>
      </w:pPr>
      <w:r>
        <w:rPr/>
        <w:pict>
          <v:shape style="position:absolute;margin-left:116.872412pt;margin-top:170.818006pt;width:376.45pt;height:48pt;mso-position-horizontal-relative:page;mso-position-vertical-relative:paragraph;z-index:-93400;rotation:51" type="#_x0000_t136" fillcolor="#d6f1fe" stroked="f">
            <o:extrusion v:ext="view" autorotationcenter="t"/>
            <v:textpath style="font-family:&amp;quot;Arial&amp;quot;;font-size:48pt;v-text-kern:t;mso-text-shadow:auto;font-weight:bold" string="For Review Only"/>
            <w10:wrap type="none"/>
          </v:shape>
        </w:pict>
      </w:r>
      <w:r>
        <w:rPr>
          <w:sz w:val="24"/>
        </w:rPr>
        <w:t>bladder,</w:t>
      </w:r>
      <w:r>
        <w:rPr>
          <w:spacing w:val="36"/>
          <w:sz w:val="24"/>
        </w:rPr>
        <w:t> </w:t>
      </w:r>
      <w:r>
        <w:rPr>
          <w:sz w:val="24"/>
        </w:rPr>
        <w:t>urethra,</w:t>
      </w:r>
      <w:r>
        <w:rPr>
          <w:spacing w:val="36"/>
          <w:sz w:val="24"/>
        </w:rPr>
        <w:t> </w:t>
      </w:r>
      <w:r>
        <w:rPr>
          <w:sz w:val="24"/>
        </w:rPr>
        <w:t>and</w:t>
      </w:r>
      <w:r>
        <w:rPr>
          <w:spacing w:val="37"/>
          <w:sz w:val="24"/>
        </w:rPr>
        <w:t> </w:t>
      </w:r>
      <w:r>
        <w:rPr>
          <w:sz w:val="24"/>
        </w:rPr>
        <w:t>prostate.</w:t>
      </w:r>
      <w:r>
        <w:rPr>
          <w:spacing w:val="36"/>
          <w:sz w:val="24"/>
        </w:rPr>
        <w:t> </w:t>
      </w:r>
      <w:r>
        <w:rPr>
          <w:sz w:val="24"/>
        </w:rPr>
        <w:t>The</w:t>
      </w:r>
      <w:r>
        <w:rPr>
          <w:spacing w:val="36"/>
          <w:sz w:val="24"/>
        </w:rPr>
        <w:t> </w:t>
      </w:r>
      <w:r>
        <w:rPr>
          <w:sz w:val="24"/>
        </w:rPr>
        <w:t>objective</w:t>
      </w:r>
      <w:r>
        <w:rPr>
          <w:spacing w:val="33"/>
          <w:sz w:val="24"/>
        </w:rPr>
        <w:t> </w:t>
      </w:r>
      <w:r>
        <w:rPr>
          <w:sz w:val="24"/>
        </w:rPr>
        <w:t>of</w:t>
      </w:r>
      <w:r>
        <w:rPr>
          <w:spacing w:val="35"/>
          <w:sz w:val="24"/>
        </w:rPr>
        <w:t> </w:t>
      </w:r>
      <w:r>
        <w:rPr>
          <w:sz w:val="24"/>
        </w:rPr>
        <w:t>this</w:t>
      </w:r>
      <w:r>
        <w:rPr>
          <w:spacing w:val="35"/>
          <w:sz w:val="24"/>
        </w:rPr>
        <w:t> </w:t>
      </w:r>
      <w:r>
        <w:rPr>
          <w:sz w:val="24"/>
        </w:rPr>
        <w:t>study</w:t>
      </w:r>
      <w:r>
        <w:rPr>
          <w:spacing w:val="37"/>
          <w:sz w:val="24"/>
        </w:rPr>
        <w:t> </w:t>
      </w:r>
      <w:r>
        <w:rPr>
          <w:sz w:val="24"/>
        </w:rPr>
        <w:t>was</w:t>
      </w:r>
      <w:r>
        <w:rPr>
          <w:spacing w:val="35"/>
          <w:sz w:val="24"/>
        </w:rPr>
        <w:t> </w:t>
      </w:r>
      <w:r>
        <w:rPr>
          <w:sz w:val="24"/>
        </w:rPr>
        <w:t>to</w:t>
      </w:r>
      <w:r>
        <w:rPr>
          <w:spacing w:val="35"/>
          <w:sz w:val="24"/>
        </w:rPr>
        <w:t> </w:t>
      </w:r>
      <w:r>
        <w:rPr>
          <w:sz w:val="24"/>
        </w:rPr>
        <w:t>determine</w:t>
      </w:r>
      <w:r>
        <w:rPr>
          <w:spacing w:val="36"/>
          <w:sz w:val="24"/>
        </w:rPr>
        <w:t> </w:t>
      </w:r>
      <w:r>
        <w:rPr>
          <w:sz w:val="24"/>
        </w:rPr>
        <w:t>the</w:t>
      </w:r>
      <w:r>
        <w:rPr>
          <w:spacing w:val="36"/>
          <w:sz w:val="24"/>
        </w:rPr>
        <w:t> </w:t>
      </w:r>
      <w:r>
        <w:rPr>
          <w:sz w:val="24"/>
        </w:rPr>
        <w:t>frequency</w:t>
      </w:r>
      <w:r>
        <w:rPr>
          <w:spacing w:val="34"/>
          <w:sz w:val="24"/>
        </w:rPr>
        <w:t> </w:t>
      </w:r>
      <w:r>
        <w:rPr>
          <w:sz w:val="24"/>
        </w:rPr>
        <w:t>of</w:t>
      </w:r>
    </w:p>
    <w:p>
      <w:pPr>
        <w:pStyle w:val="ListParagraph"/>
        <w:numPr>
          <w:ilvl w:val="0"/>
          <w:numId w:val="5"/>
        </w:numPr>
        <w:tabs>
          <w:tab w:pos="1132" w:val="left" w:leader="none"/>
          <w:tab w:pos="1133" w:val="left" w:leader="none"/>
        </w:tabs>
        <w:spacing w:line="261" w:lineRule="exact" w:before="0" w:after="0"/>
        <w:ind w:left="1132" w:right="0" w:hanging="972"/>
        <w:jc w:val="left"/>
        <w:rPr>
          <w:sz w:val="24"/>
        </w:rPr>
      </w:pPr>
      <w:r>
        <w:rPr>
          <w:sz w:val="24"/>
        </w:rPr>
        <w:t>different  related  diseases,  to  characterize  the  population  affected,  and  to  determine  the</w:t>
      </w:r>
      <w:r>
        <w:rPr>
          <w:spacing w:val="4"/>
          <w:sz w:val="24"/>
        </w:rPr>
        <w:t> </w:t>
      </w:r>
      <w:r>
        <w:rPr>
          <w:sz w:val="24"/>
        </w:rPr>
        <w:t>risk</w:t>
      </w:r>
    </w:p>
    <w:p>
      <w:pPr>
        <w:pStyle w:val="ListParagraph"/>
        <w:numPr>
          <w:ilvl w:val="0"/>
          <w:numId w:val="5"/>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399722pt;width:11.15pt;height:10pt;mso-position-horizontal-relative:page;mso-position-vertical-relative:paragraph;z-index:-93328" type="#_x0000_t202" filled="false" stroked="false">
            <v:textbox inset="0,0,0,0">
              <w:txbxContent>
                <w:p>
                  <w:pPr>
                    <w:spacing w:line="196" w:lineRule="exact" w:before="0"/>
                    <w:ind w:left="0" w:right="-20" w:firstLine="0"/>
                    <w:jc w:val="left"/>
                    <w:rPr>
                      <w:sz w:val="20"/>
                    </w:rPr>
                  </w:pPr>
                  <w:r>
                    <w:rPr>
                      <w:sz w:val="20"/>
                    </w:rPr>
                    <w:t>17</w:t>
                  </w:r>
                </w:p>
              </w:txbxContent>
            </v:textbox>
            <w10:wrap type="none"/>
          </v:shape>
        </w:pict>
      </w:r>
      <w:r>
        <w:rPr>
          <w:sz w:val="24"/>
        </w:rPr>
        <w:t>factors in dogs. The clinical cases were diagnosed with LUTD through physical examination,  </w:t>
      </w:r>
      <w:r>
        <w:rPr>
          <w:spacing w:val="37"/>
          <w:sz w:val="24"/>
        </w:rPr>
        <w:t> </w:t>
      </w:r>
      <w:r>
        <w:rPr>
          <w:sz w:val="24"/>
        </w:rPr>
        <w:t>and</w:t>
      </w:r>
    </w:p>
    <w:p>
      <w:pPr>
        <w:pStyle w:val="ListParagraph"/>
        <w:numPr>
          <w:ilvl w:val="0"/>
          <w:numId w:val="6"/>
        </w:numPr>
        <w:tabs>
          <w:tab w:pos="1132" w:val="left" w:leader="none"/>
          <w:tab w:pos="1133" w:val="left" w:leader="none"/>
        </w:tabs>
        <w:spacing w:line="291" w:lineRule="exact" w:before="2" w:after="0"/>
        <w:ind w:left="1132" w:right="0" w:hanging="972"/>
        <w:jc w:val="left"/>
        <w:rPr>
          <w:sz w:val="24"/>
        </w:rPr>
      </w:pPr>
      <w:r>
        <w:rPr>
          <w:sz w:val="24"/>
        </w:rPr>
        <w:t>clinical</w:t>
      </w:r>
      <w:r>
        <w:rPr>
          <w:spacing w:val="47"/>
          <w:sz w:val="24"/>
        </w:rPr>
        <w:t> </w:t>
      </w:r>
      <w:r>
        <w:rPr>
          <w:sz w:val="24"/>
        </w:rPr>
        <w:t>laboratory</w:t>
      </w:r>
      <w:r>
        <w:rPr>
          <w:spacing w:val="46"/>
          <w:sz w:val="24"/>
        </w:rPr>
        <w:t> </w:t>
      </w:r>
      <w:r>
        <w:rPr>
          <w:sz w:val="24"/>
        </w:rPr>
        <w:t>and</w:t>
      </w:r>
      <w:r>
        <w:rPr>
          <w:spacing w:val="46"/>
          <w:sz w:val="24"/>
        </w:rPr>
        <w:t> </w:t>
      </w:r>
      <w:r>
        <w:rPr>
          <w:sz w:val="24"/>
        </w:rPr>
        <w:t>imaging</w:t>
      </w:r>
      <w:r>
        <w:rPr>
          <w:spacing w:val="46"/>
          <w:sz w:val="24"/>
        </w:rPr>
        <w:t> </w:t>
      </w:r>
      <w:r>
        <w:rPr>
          <w:sz w:val="24"/>
        </w:rPr>
        <w:t>studies.</w:t>
      </w:r>
      <w:r>
        <w:rPr>
          <w:spacing w:val="48"/>
          <w:sz w:val="24"/>
        </w:rPr>
        <w:t> </w:t>
      </w:r>
      <w:r>
        <w:rPr>
          <w:sz w:val="24"/>
        </w:rPr>
        <w:t>Male</w:t>
      </w:r>
      <w:r>
        <w:rPr>
          <w:spacing w:val="45"/>
          <w:sz w:val="24"/>
        </w:rPr>
        <w:t> </w:t>
      </w:r>
      <w:r>
        <w:rPr>
          <w:sz w:val="24"/>
        </w:rPr>
        <w:t>dogs</w:t>
      </w:r>
      <w:r>
        <w:rPr>
          <w:spacing w:val="48"/>
          <w:sz w:val="24"/>
        </w:rPr>
        <w:t> </w:t>
      </w:r>
      <w:r>
        <w:rPr>
          <w:sz w:val="24"/>
        </w:rPr>
        <w:t>had</w:t>
      </w:r>
      <w:r>
        <w:rPr>
          <w:spacing w:val="46"/>
          <w:sz w:val="24"/>
        </w:rPr>
        <w:t> </w:t>
      </w:r>
      <w:r>
        <w:rPr>
          <w:sz w:val="24"/>
        </w:rPr>
        <w:t>a</w:t>
      </w:r>
      <w:r>
        <w:rPr>
          <w:spacing w:val="47"/>
          <w:sz w:val="24"/>
        </w:rPr>
        <w:t> </w:t>
      </w:r>
      <w:r>
        <w:rPr>
          <w:sz w:val="24"/>
        </w:rPr>
        <w:t>greater</w:t>
      </w:r>
      <w:r>
        <w:rPr>
          <w:spacing w:val="46"/>
          <w:sz w:val="24"/>
        </w:rPr>
        <w:t> </w:t>
      </w:r>
      <w:r>
        <w:rPr>
          <w:sz w:val="24"/>
        </w:rPr>
        <w:t>predisposition</w:t>
      </w:r>
      <w:r>
        <w:rPr>
          <w:spacing w:val="48"/>
          <w:sz w:val="24"/>
        </w:rPr>
        <w:t> </w:t>
      </w:r>
      <w:r>
        <w:rPr>
          <w:sz w:val="24"/>
        </w:rPr>
        <w:t>to</w:t>
      </w:r>
      <w:r>
        <w:rPr>
          <w:spacing w:val="47"/>
          <w:sz w:val="24"/>
        </w:rPr>
        <w:t> </w:t>
      </w:r>
      <w:r>
        <w:rPr>
          <w:sz w:val="24"/>
        </w:rPr>
        <w:t>present</w:t>
      </w:r>
      <w:r>
        <w:rPr>
          <w:spacing w:val="45"/>
          <w:sz w:val="24"/>
        </w:rPr>
        <w:t> </w:t>
      </w:r>
      <w:r>
        <w:rPr>
          <w:sz w:val="24"/>
        </w:rPr>
        <w:t>a</w:t>
      </w:r>
    </w:p>
    <w:p>
      <w:pPr>
        <w:pStyle w:val="ListParagraph"/>
        <w:numPr>
          <w:ilvl w:val="0"/>
          <w:numId w:val="6"/>
        </w:numPr>
        <w:tabs>
          <w:tab w:pos="1132" w:val="left" w:leader="none"/>
          <w:tab w:pos="1133" w:val="left" w:leader="none"/>
        </w:tabs>
        <w:spacing w:line="256" w:lineRule="exact" w:before="0" w:after="0"/>
        <w:ind w:left="1132" w:right="0" w:hanging="972"/>
        <w:jc w:val="left"/>
        <w:rPr>
          <w:sz w:val="24"/>
        </w:rPr>
      </w:pPr>
      <w:r>
        <w:rPr>
          <w:sz w:val="24"/>
        </w:rPr>
        <w:t>LUTD.</w:t>
      </w:r>
      <w:r>
        <w:rPr>
          <w:spacing w:val="31"/>
          <w:sz w:val="24"/>
        </w:rPr>
        <w:t> </w:t>
      </w:r>
      <w:r>
        <w:rPr>
          <w:sz w:val="24"/>
        </w:rPr>
        <w:t>Dogs</w:t>
      </w:r>
      <w:r>
        <w:rPr>
          <w:spacing w:val="31"/>
          <w:sz w:val="24"/>
        </w:rPr>
        <w:t> </w:t>
      </w:r>
      <w:r>
        <w:rPr>
          <w:sz w:val="24"/>
        </w:rPr>
        <w:t>from</w:t>
      </w:r>
      <w:r>
        <w:rPr>
          <w:spacing w:val="30"/>
          <w:sz w:val="24"/>
        </w:rPr>
        <w:t> </w:t>
      </w:r>
      <w:r>
        <w:rPr>
          <w:sz w:val="24"/>
        </w:rPr>
        <w:t>3</w:t>
      </w:r>
      <w:r>
        <w:rPr>
          <w:spacing w:val="30"/>
          <w:sz w:val="24"/>
        </w:rPr>
        <w:t> </w:t>
      </w:r>
      <w:r>
        <w:rPr>
          <w:sz w:val="24"/>
        </w:rPr>
        <w:t>months</w:t>
      </w:r>
      <w:r>
        <w:rPr>
          <w:spacing w:val="31"/>
          <w:sz w:val="24"/>
        </w:rPr>
        <w:t> </w:t>
      </w:r>
      <w:r>
        <w:rPr>
          <w:sz w:val="24"/>
        </w:rPr>
        <w:t>to</w:t>
      </w:r>
      <w:r>
        <w:rPr>
          <w:spacing w:val="30"/>
          <w:sz w:val="24"/>
        </w:rPr>
        <w:t> </w:t>
      </w:r>
      <w:r>
        <w:rPr>
          <w:sz w:val="24"/>
        </w:rPr>
        <w:t>18</w:t>
      </w:r>
      <w:r>
        <w:rPr>
          <w:spacing w:val="30"/>
          <w:sz w:val="24"/>
        </w:rPr>
        <w:t> </w:t>
      </w:r>
      <w:r>
        <w:rPr>
          <w:sz w:val="24"/>
        </w:rPr>
        <w:t>years</w:t>
      </w:r>
      <w:r>
        <w:rPr>
          <w:spacing w:val="31"/>
          <w:sz w:val="24"/>
        </w:rPr>
        <w:t> </w:t>
      </w:r>
      <w:r>
        <w:rPr>
          <w:sz w:val="24"/>
        </w:rPr>
        <w:t>with</w:t>
      </w:r>
      <w:r>
        <w:rPr>
          <w:spacing w:val="28"/>
          <w:sz w:val="24"/>
        </w:rPr>
        <w:t> </w:t>
      </w:r>
      <w:r>
        <w:rPr>
          <w:sz w:val="24"/>
        </w:rPr>
        <w:t>a</w:t>
      </w:r>
      <w:r>
        <w:rPr>
          <w:spacing w:val="31"/>
          <w:sz w:val="24"/>
        </w:rPr>
        <w:t> </w:t>
      </w:r>
      <w:r>
        <w:rPr>
          <w:sz w:val="24"/>
        </w:rPr>
        <w:t>median</w:t>
      </w:r>
      <w:r>
        <w:rPr>
          <w:spacing w:val="30"/>
          <w:sz w:val="24"/>
        </w:rPr>
        <w:t> </w:t>
      </w:r>
      <w:r>
        <w:rPr>
          <w:sz w:val="24"/>
        </w:rPr>
        <w:t>of</w:t>
      </w:r>
      <w:r>
        <w:rPr>
          <w:spacing w:val="30"/>
          <w:sz w:val="24"/>
        </w:rPr>
        <w:t> </w:t>
      </w:r>
      <w:r>
        <w:rPr>
          <w:sz w:val="24"/>
        </w:rPr>
        <w:t>8</w:t>
      </w:r>
      <w:r>
        <w:rPr>
          <w:spacing w:val="30"/>
          <w:sz w:val="24"/>
        </w:rPr>
        <w:t> </w:t>
      </w:r>
      <w:r>
        <w:rPr>
          <w:sz w:val="24"/>
        </w:rPr>
        <w:t>years</w:t>
      </w:r>
      <w:r>
        <w:rPr>
          <w:spacing w:val="28"/>
          <w:sz w:val="24"/>
        </w:rPr>
        <w:t> </w:t>
      </w:r>
      <w:r>
        <w:rPr>
          <w:sz w:val="24"/>
        </w:rPr>
        <w:t>were</w:t>
      </w:r>
      <w:r>
        <w:rPr>
          <w:spacing w:val="31"/>
          <w:sz w:val="24"/>
        </w:rPr>
        <w:t> </w:t>
      </w:r>
      <w:r>
        <w:rPr>
          <w:sz w:val="24"/>
        </w:rPr>
        <w:t>affected,</w:t>
      </w:r>
      <w:r>
        <w:rPr>
          <w:spacing w:val="31"/>
          <w:sz w:val="24"/>
        </w:rPr>
        <w:t> </w:t>
      </w:r>
      <w:r>
        <w:rPr>
          <w:sz w:val="24"/>
        </w:rPr>
        <w:t>and</w:t>
      </w:r>
      <w:r>
        <w:rPr>
          <w:spacing w:val="27"/>
          <w:sz w:val="24"/>
        </w:rPr>
        <w:t> </w:t>
      </w:r>
      <w:r>
        <w:rPr>
          <w:sz w:val="24"/>
        </w:rPr>
        <w:t>the</w:t>
      </w:r>
      <w:r>
        <w:rPr>
          <w:spacing w:val="31"/>
          <w:sz w:val="24"/>
        </w:rPr>
        <w:t> </w:t>
      </w:r>
      <w:r>
        <w:rPr>
          <w:sz w:val="24"/>
        </w:rPr>
        <w:t>most</w:t>
      </w:r>
    </w:p>
    <w:p>
      <w:pPr>
        <w:pStyle w:val="ListParagraph"/>
        <w:numPr>
          <w:ilvl w:val="0"/>
          <w:numId w:val="6"/>
        </w:numPr>
        <w:tabs>
          <w:tab w:pos="1132" w:val="left" w:leader="none"/>
          <w:tab w:pos="1133" w:val="left" w:leader="none"/>
        </w:tabs>
        <w:spacing w:line="261" w:lineRule="exact" w:before="0" w:after="0"/>
        <w:ind w:left="1132" w:right="0" w:hanging="972"/>
        <w:jc w:val="left"/>
        <w:rPr>
          <w:sz w:val="24"/>
        </w:rPr>
      </w:pPr>
      <w:r>
        <w:rPr>
          <w:sz w:val="24"/>
        </w:rPr>
        <w:t>affected  breeds  were  Poodle,  Labrador,  German  shepherd,  Schnauzer,  Cocker  Spaniel      </w:t>
      </w:r>
      <w:r>
        <w:rPr>
          <w:spacing w:val="26"/>
          <w:sz w:val="24"/>
        </w:rPr>
        <w:t> </w:t>
      </w:r>
      <w:r>
        <w:rPr>
          <w:sz w:val="24"/>
        </w:rPr>
        <w:t>and</w:t>
      </w:r>
    </w:p>
    <w:p>
      <w:pPr>
        <w:pStyle w:val="ListParagraph"/>
        <w:numPr>
          <w:ilvl w:val="0"/>
          <w:numId w:val="6"/>
        </w:numPr>
        <w:tabs>
          <w:tab w:pos="1132" w:val="left" w:leader="none"/>
          <w:tab w:pos="1133" w:val="left" w:leader="none"/>
        </w:tabs>
        <w:spacing w:line="256" w:lineRule="exact" w:before="0" w:after="0"/>
        <w:ind w:left="1132" w:right="0" w:hanging="972"/>
        <w:jc w:val="left"/>
        <w:rPr>
          <w:sz w:val="24"/>
        </w:rPr>
      </w:pPr>
      <w:r>
        <w:rPr>
          <w:sz w:val="24"/>
        </w:rPr>
        <w:t>Chihuahua. The LUTD presented with the following frequencies: bacterial urinary tract </w:t>
      </w:r>
      <w:r>
        <w:rPr>
          <w:spacing w:val="52"/>
          <w:sz w:val="24"/>
        </w:rPr>
        <w:t> </w:t>
      </w:r>
      <w:r>
        <w:rPr>
          <w:sz w:val="24"/>
        </w:rPr>
        <w:t>infection</w:t>
      </w:r>
    </w:p>
    <w:p>
      <w:pPr>
        <w:spacing w:line="116" w:lineRule="exact" w:before="0"/>
        <w:ind w:left="160" w:right="0" w:firstLine="0"/>
        <w:jc w:val="left"/>
        <w:rPr>
          <w:sz w:val="20"/>
        </w:rPr>
      </w:pPr>
      <w:r>
        <w:rPr>
          <w:sz w:val="20"/>
        </w:rPr>
        <w:t>22</w:t>
      </w:r>
    </w:p>
    <w:p>
      <w:pPr>
        <w:pStyle w:val="ListParagraph"/>
        <w:numPr>
          <w:ilvl w:val="0"/>
          <w:numId w:val="7"/>
        </w:numPr>
        <w:tabs>
          <w:tab w:pos="1132" w:val="left" w:leader="none"/>
          <w:tab w:pos="1133" w:val="left" w:leader="none"/>
        </w:tabs>
        <w:spacing w:line="257" w:lineRule="exact" w:before="0" w:after="0"/>
        <w:ind w:left="1132" w:right="0" w:hanging="972"/>
        <w:jc w:val="left"/>
        <w:rPr>
          <w:sz w:val="24"/>
        </w:rPr>
      </w:pPr>
      <w:r>
        <w:rPr>
          <w:sz w:val="24"/>
        </w:rPr>
        <w:t>34.02%; micturition disorders 22.68%; urolithiasis 20.61%; prostatic disease 14.43%;  traumatic</w:t>
      </w:r>
    </w:p>
    <w:p>
      <w:pPr>
        <w:pStyle w:val="ListParagraph"/>
        <w:numPr>
          <w:ilvl w:val="0"/>
          <w:numId w:val="7"/>
        </w:numPr>
        <w:tabs>
          <w:tab w:pos="1132" w:val="left" w:leader="none"/>
          <w:tab w:pos="1133" w:val="left" w:leader="none"/>
        </w:tabs>
        <w:spacing w:line="256" w:lineRule="exact" w:before="0" w:after="0"/>
        <w:ind w:left="1132" w:right="0" w:hanging="972"/>
        <w:jc w:val="left"/>
        <w:rPr>
          <w:sz w:val="24"/>
        </w:rPr>
      </w:pPr>
      <w:r>
        <w:rPr>
          <w:sz w:val="24"/>
        </w:rPr>
        <w:t>problems 8.24%. Sixty-seven per cent of the cases were specific diseases, such as   uncomplicated</w:t>
      </w:r>
    </w:p>
    <w:p>
      <w:pPr>
        <w:pStyle w:val="ListParagraph"/>
        <w:numPr>
          <w:ilvl w:val="0"/>
          <w:numId w:val="7"/>
        </w:numPr>
        <w:tabs>
          <w:tab w:pos="1132" w:val="left" w:leader="none"/>
          <w:tab w:pos="1133" w:val="left" w:leader="none"/>
        </w:tabs>
        <w:spacing w:line="261" w:lineRule="exact" w:before="0" w:after="0"/>
        <w:ind w:left="1132" w:right="0" w:hanging="972"/>
        <w:jc w:val="left"/>
        <w:rPr>
          <w:sz w:val="24"/>
        </w:rPr>
      </w:pPr>
      <w:r>
        <w:rPr>
          <w:sz w:val="24"/>
        </w:rPr>
        <w:t>and</w:t>
      </w:r>
      <w:r>
        <w:rPr>
          <w:spacing w:val="42"/>
          <w:sz w:val="24"/>
        </w:rPr>
        <w:t> </w:t>
      </w:r>
      <w:r>
        <w:rPr>
          <w:sz w:val="24"/>
        </w:rPr>
        <w:t>complicated</w:t>
      </w:r>
      <w:r>
        <w:rPr>
          <w:spacing w:val="42"/>
          <w:sz w:val="24"/>
        </w:rPr>
        <w:t> </w:t>
      </w:r>
      <w:r>
        <w:rPr>
          <w:sz w:val="24"/>
        </w:rPr>
        <w:t>bacterial</w:t>
      </w:r>
      <w:r>
        <w:rPr>
          <w:spacing w:val="42"/>
          <w:sz w:val="24"/>
        </w:rPr>
        <w:t> </w:t>
      </w:r>
      <w:r>
        <w:rPr>
          <w:sz w:val="24"/>
        </w:rPr>
        <w:t>urinary</w:t>
      </w:r>
      <w:r>
        <w:rPr>
          <w:spacing w:val="42"/>
          <w:sz w:val="24"/>
        </w:rPr>
        <w:t> </w:t>
      </w:r>
      <w:r>
        <w:rPr>
          <w:sz w:val="24"/>
        </w:rPr>
        <w:t>tract</w:t>
      </w:r>
      <w:r>
        <w:rPr>
          <w:spacing w:val="43"/>
          <w:sz w:val="24"/>
        </w:rPr>
        <w:t> </w:t>
      </w:r>
      <w:r>
        <w:rPr>
          <w:sz w:val="24"/>
        </w:rPr>
        <w:t>infections,</w:t>
      </w:r>
      <w:r>
        <w:rPr>
          <w:spacing w:val="45"/>
          <w:sz w:val="24"/>
        </w:rPr>
        <w:t> </w:t>
      </w:r>
      <w:r>
        <w:rPr>
          <w:sz w:val="24"/>
        </w:rPr>
        <w:t>urinary</w:t>
      </w:r>
      <w:r>
        <w:rPr>
          <w:spacing w:val="42"/>
          <w:sz w:val="24"/>
        </w:rPr>
        <w:t> </w:t>
      </w:r>
      <w:r>
        <w:rPr>
          <w:sz w:val="24"/>
        </w:rPr>
        <w:t>retention</w:t>
      </w:r>
      <w:r>
        <w:rPr>
          <w:spacing w:val="43"/>
          <w:sz w:val="24"/>
        </w:rPr>
        <w:t> </w:t>
      </w:r>
      <w:r>
        <w:rPr>
          <w:sz w:val="24"/>
        </w:rPr>
        <w:t>of</w:t>
      </w:r>
      <w:r>
        <w:rPr>
          <w:spacing w:val="42"/>
          <w:sz w:val="24"/>
        </w:rPr>
        <w:t> </w:t>
      </w:r>
      <w:r>
        <w:rPr>
          <w:sz w:val="24"/>
        </w:rPr>
        <w:t>neurologic</w:t>
      </w:r>
      <w:r>
        <w:rPr>
          <w:spacing w:val="42"/>
          <w:sz w:val="24"/>
        </w:rPr>
        <w:t> </w:t>
      </w:r>
      <w:r>
        <w:rPr>
          <w:sz w:val="24"/>
        </w:rPr>
        <w:t>origin</w:t>
      </w:r>
      <w:r>
        <w:rPr>
          <w:spacing w:val="43"/>
          <w:sz w:val="24"/>
        </w:rPr>
        <w:t> </w:t>
      </w:r>
      <w:r>
        <w:rPr>
          <w:sz w:val="24"/>
        </w:rPr>
        <w:t>and</w:t>
      </w:r>
    </w:p>
    <w:p>
      <w:pPr>
        <w:pStyle w:val="ListParagraph"/>
        <w:numPr>
          <w:ilvl w:val="0"/>
          <w:numId w:val="7"/>
        </w:numPr>
        <w:tabs>
          <w:tab w:pos="1132" w:val="left" w:leader="none"/>
          <w:tab w:pos="1133" w:val="left" w:leader="none"/>
        </w:tabs>
        <w:spacing w:line="256" w:lineRule="exact" w:before="0" w:after="0"/>
        <w:ind w:left="1132" w:right="0" w:hanging="972"/>
        <w:jc w:val="left"/>
        <w:rPr>
          <w:sz w:val="24"/>
        </w:rPr>
      </w:pPr>
      <w:r>
        <w:rPr>
          <w:sz w:val="24"/>
        </w:rPr>
        <w:t>silica</w:t>
      </w:r>
      <w:r>
        <w:rPr>
          <w:spacing w:val="-9"/>
          <w:sz w:val="24"/>
        </w:rPr>
        <w:t> </w:t>
      </w:r>
      <w:r>
        <w:rPr>
          <w:sz w:val="24"/>
        </w:rPr>
        <w:t>urolithiasis.</w:t>
      </w:r>
    </w:p>
    <w:p>
      <w:pPr>
        <w:spacing w:line="190" w:lineRule="exact" w:before="0"/>
        <w:ind w:left="160" w:right="0" w:firstLine="0"/>
        <w:jc w:val="left"/>
        <w:rPr>
          <w:sz w:val="20"/>
        </w:rPr>
      </w:pPr>
      <w:r>
        <w:rPr>
          <w:sz w:val="20"/>
        </w:rPr>
        <w:t>27</w:t>
      </w:r>
    </w:p>
    <w:p>
      <w:pPr>
        <w:pStyle w:val="ListParagraph"/>
        <w:numPr>
          <w:ilvl w:val="0"/>
          <w:numId w:val="8"/>
        </w:numPr>
        <w:tabs>
          <w:tab w:pos="1132" w:val="left" w:leader="none"/>
          <w:tab w:pos="1133" w:val="left" w:leader="none"/>
          <w:tab w:pos="3004" w:val="left" w:leader="none"/>
        </w:tabs>
        <w:spacing w:line="286" w:lineRule="exact" w:before="0" w:after="0"/>
        <w:ind w:left="1132" w:right="0" w:hanging="972"/>
        <w:jc w:val="left"/>
        <w:rPr>
          <w:sz w:val="24"/>
        </w:rPr>
      </w:pPr>
      <w:r>
        <w:rPr>
          <w:sz w:val="24"/>
        </w:rPr>
        <w:t>INDEX </w:t>
      </w:r>
      <w:r>
        <w:rPr>
          <w:spacing w:val="22"/>
          <w:sz w:val="24"/>
        </w:rPr>
        <w:t> </w:t>
      </w:r>
      <w:r>
        <w:rPr>
          <w:sz w:val="24"/>
        </w:rPr>
        <w:t>TERMS:</w:t>
        <w:tab/>
        <w:t>Lower  urinary  tract  disease,  epidemiology,  dog,  urolithiasis,  urinary    </w:t>
      </w:r>
      <w:r>
        <w:rPr>
          <w:spacing w:val="11"/>
          <w:sz w:val="24"/>
        </w:rPr>
        <w:t> </w:t>
      </w:r>
      <w:r>
        <w:rPr>
          <w:sz w:val="24"/>
        </w:rPr>
        <w:t>tract</w:t>
      </w:r>
    </w:p>
    <w:p>
      <w:pPr>
        <w:pStyle w:val="ListParagraph"/>
        <w:numPr>
          <w:ilvl w:val="0"/>
          <w:numId w:val="8"/>
        </w:numPr>
        <w:tabs>
          <w:tab w:pos="1132" w:val="left" w:leader="none"/>
          <w:tab w:pos="1133" w:val="left" w:leader="none"/>
        </w:tabs>
        <w:spacing w:line="326" w:lineRule="exact" w:before="0" w:after="0"/>
        <w:ind w:left="1132" w:right="0" w:hanging="972"/>
        <w:jc w:val="left"/>
        <w:rPr>
          <w:sz w:val="24"/>
        </w:rPr>
      </w:pPr>
      <w:r>
        <w:rPr/>
        <w:pict>
          <v:shape style="position:absolute;margin-left:8pt;margin-top:10.850737pt;width:11.15pt;height:10pt;mso-position-horizontal-relative:page;mso-position-vertical-relative:paragraph;z-index:-93304" type="#_x0000_t202" filled="false" stroked="false">
            <v:textbox inset="0,0,0,0">
              <w:txbxContent>
                <w:p>
                  <w:pPr>
                    <w:spacing w:line="196" w:lineRule="exact" w:before="0"/>
                    <w:ind w:left="0" w:right="-20" w:firstLine="0"/>
                    <w:jc w:val="left"/>
                    <w:rPr>
                      <w:sz w:val="20"/>
                    </w:rPr>
                  </w:pPr>
                  <w:r>
                    <w:rPr>
                      <w:sz w:val="20"/>
                    </w:rPr>
                    <w:t>30</w:t>
                  </w:r>
                </w:p>
              </w:txbxContent>
            </v:textbox>
            <w10:wrap type="none"/>
          </v:shape>
        </w:pict>
      </w:r>
      <w:r>
        <w:rPr>
          <w:sz w:val="24"/>
        </w:rPr>
        <w:t>infection, micturition disorders, prostate</w:t>
      </w:r>
      <w:r>
        <w:rPr>
          <w:spacing w:val="-21"/>
          <w:sz w:val="24"/>
        </w:rPr>
        <w:t> </w:t>
      </w:r>
      <w:r>
        <w:rPr>
          <w:sz w:val="24"/>
        </w:rPr>
        <w:t>disease.</w:t>
      </w:r>
    </w:p>
    <w:p>
      <w:pPr>
        <w:spacing w:line="211" w:lineRule="exact" w:before="91"/>
        <w:ind w:left="160" w:right="0" w:firstLine="0"/>
        <w:jc w:val="left"/>
        <w:rPr>
          <w:sz w:val="20"/>
        </w:rPr>
      </w:pPr>
      <w:r>
        <w:rPr>
          <w:sz w:val="20"/>
        </w:rPr>
        <w:t>31</w:t>
      </w:r>
    </w:p>
    <w:p>
      <w:pPr>
        <w:pStyle w:val="ListParagraph"/>
        <w:numPr>
          <w:ilvl w:val="0"/>
          <w:numId w:val="9"/>
        </w:numPr>
        <w:tabs>
          <w:tab w:pos="1132" w:val="left" w:leader="none"/>
          <w:tab w:pos="1133" w:val="left" w:leader="none"/>
        </w:tabs>
        <w:spacing w:line="257" w:lineRule="exact" w:before="0" w:after="0"/>
        <w:ind w:left="1132" w:right="0" w:hanging="972"/>
        <w:jc w:val="left"/>
        <w:rPr>
          <w:sz w:val="24"/>
        </w:rPr>
      </w:pPr>
      <w:r>
        <w:rPr>
          <w:position w:val="6"/>
          <w:sz w:val="16"/>
        </w:rPr>
        <w:t>1 </w:t>
      </w:r>
      <w:r>
        <w:rPr>
          <w:sz w:val="24"/>
        </w:rPr>
        <w:t>Received</w:t>
      </w:r>
      <w:r>
        <w:rPr>
          <w:spacing w:val="-9"/>
          <w:sz w:val="24"/>
        </w:rPr>
        <w:t> </w:t>
      </w:r>
      <w:r>
        <w:rPr>
          <w:sz w:val="24"/>
        </w:rPr>
        <w:t>on………………..</w:t>
      </w:r>
    </w:p>
    <w:p>
      <w:pPr>
        <w:pStyle w:val="ListParagraph"/>
        <w:numPr>
          <w:ilvl w:val="0"/>
          <w:numId w:val="9"/>
        </w:numPr>
        <w:tabs>
          <w:tab w:pos="1238" w:val="left" w:leader="none"/>
          <w:tab w:pos="1239" w:val="left" w:leader="none"/>
        </w:tabs>
        <w:spacing w:line="260" w:lineRule="exact" w:before="0" w:after="0"/>
        <w:ind w:left="1238" w:right="0" w:hanging="1078"/>
        <w:jc w:val="left"/>
        <w:rPr>
          <w:sz w:val="24"/>
        </w:rPr>
      </w:pPr>
      <w:r>
        <w:rPr>
          <w:sz w:val="24"/>
        </w:rPr>
        <w:t>Accepted for publication</w:t>
      </w:r>
      <w:r>
        <w:rPr>
          <w:spacing w:val="-18"/>
          <w:sz w:val="24"/>
        </w:rPr>
        <w:t> </w:t>
      </w:r>
      <w:r>
        <w:rPr>
          <w:sz w:val="24"/>
        </w:rPr>
        <w:t>on…………………</w:t>
      </w:r>
    </w:p>
    <w:p>
      <w:pPr>
        <w:pStyle w:val="ListParagraph"/>
        <w:numPr>
          <w:ilvl w:val="0"/>
          <w:numId w:val="9"/>
        </w:numPr>
        <w:tabs>
          <w:tab w:pos="1132" w:val="left" w:leader="none"/>
          <w:tab w:pos="1133" w:val="left" w:leader="none"/>
        </w:tabs>
        <w:spacing w:line="256" w:lineRule="exact" w:before="0" w:after="0"/>
        <w:ind w:left="1132" w:right="0" w:hanging="972"/>
        <w:jc w:val="left"/>
        <w:rPr>
          <w:sz w:val="24"/>
        </w:rPr>
      </w:pPr>
      <w:r>
        <w:rPr>
          <w:position w:val="6"/>
          <w:sz w:val="16"/>
        </w:rPr>
        <w:t>2 </w:t>
      </w:r>
      <w:r>
        <w:rPr>
          <w:sz w:val="24"/>
        </w:rPr>
        <w:t>Hospital Veterinario para Pequeñas Especies, Facultad de Medicina Veterinaria y Zootecnia de</w:t>
      </w:r>
      <w:r>
        <w:rPr>
          <w:spacing w:val="-35"/>
          <w:sz w:val="24"/>
        </w:rPr>
        <w:t> </w:t>
      </w:r>
      <w:r>
        <w:rPr>
          <w:sz w:val="24"/>
        </w:rPr>
        <w:t>la</w:t>
      </w:r>
    </w:p>
    <w:p>
      <w:pPr>
        <w:pStyle w:val="ListParagraph"/>
        <w:numPr>
          <w:ilvl w:val="0"/>
          <w:numId w:val="9"/>
        </w:numPr>
        <w:tabs>
          <w:tab w:pos="1132" w:val="left" w:leader="none"/>
          <w:tab w:pos="1133" w:val="left" w:leader="none"/>
        </w:tabs>
        <w:spacing w:line="331" w:lineRule="exact" w:before="0" w:after="0"/>
        <w:ind w:left="1132" w:right="0" w:hanging="972"/>
        <w:jc w:val="left"/>
        <w:rPr>
          <w:sz w:val="24"/>
        </w:rPr>
      </w:pPr>
      <w:r>
        <w:rPr/>
        <w:pict>
          <v:shape style="position:absolute;margin-left:8pt;margin-top:10.782729pt;width:11.15pt;height:10pt;mso-position-horizontal-relative:page;mso-position-vertical-relative:paragraph;z-index:-93280" type="#_x0000_t202" filled="false" stroked="false">
            <v:textbox inset="0,0,0,0">
              <w:txbxContent>
                <w:p>
                  <w:pPr>
                    <w:spacing w:line="196" w:lineRule="exact" w:before="0"/>
                    <w:ind w:left="0" w:right="-20" w:firstLine="0"/>
                    <w:jc w:val="left"/>
                    <w:rPr>
                      <w:sz w:val="20"/>
                    </w:rPr>
                  </w:pPr>
                  <w:r>
                    <w:rPr>
                      <w:sz w:val="20"/>
                    </w:rPr>
                    <w:t>36</w:t>
                  </w:r>
                </w:p>
              </w:txbxContent>
            </v:textbox>
            <w10:wrap type="none"/>
          </v:shape>
        </w:pict>
      </w:r>
      <w:r>
        <w:rPr>
          <w:sz w:val="24"/>
        </w:rPr>
        <w:t>Universidad</w:t>
      </w:r>
      <w:r>
        <w:rPr>
          <w:spacing w:val="20"/>
          <w:sz w:val="24"/>
        </w:rPr>
        <w:t> </w:t>
      </w:r>
      <w:r>
        <w:rPr>
          <w:sz w:val="24"/>
        </w:rPr>
        <w:t>Autónoma</w:t>
      </w:r>
      <w:r>
        <w:rPr>
          <w:spacing w:val="22"/>
          <w:sz w:val="24"/>
        </w:rPr>
        <w:t> </w:t>
      </w:r>
      <w:r>
        <w:rPr>
          <w:sz w:val="24"/>
        </w:rPr>
        <w:t>del</w:t>
      </w:r>
      <w:r>
        <w:rPr>
          <w:spacing w:val="20"/>
          <w:sz w:val="24"/>
        </w:rPr>
        <w:t> </w:t>
      </w:r>
      <w:r>
        <w:rPr>
          <w:sz w:val="24"/>
        </w:rPr>
        <w:t>Estado</w:t>
      </w:r>
      <w:r>
        <w:rPr>
          <w:spacing w:val="21"/>
          <w:sz w:val="24"/>
        </w:rPr>
        <w:t> </w:t>
      </w:r>
      <w:r>
        <w:rPr>
          <w:sz w:val="24"/>
        </w:rPr>
        <w:t>de</w:t>
      </w:r>
      <w:r>
        <w:rPr>
          <w:spacing w:val="23"/>
          <w:sz w:val="24"/>
        </w:rPr>
        <w:t> </w:t>
      </w:r>
      <w:r>
        <w:rPr>
          <w:sz w:val="24"/>
        </w:rPr>
        <w:t>México</w:t>
      </w:r>
      <w:r>
        <w:rPr>
          <w:spacing w:val="21"/>
          <w:sz w:val="24"/>
        </w:rPr>
        <w:t> </w:t>
      </w:r>
      <w:r>
        <w:rPr>
          <w:sz w:val="24"/>
        </w:rPr>
        <w:t>(UAEMex).</w:t>
      </w:r>
      <w:r>
        <w:rPr>
          <w:spacing w:val="22"/>
          <w:sz w:val="24"/>
        </w:rPr>
        <w:t> </w:t>
      </w:r>
      <w:r>
        <w:rPr>
          <w:sz w:val="24"/>
        </w:rPr>
        <w:t>Jesús</w:t>
      </w:r>
      <w:r>
        <w:rPr>
          <w:spacing w:val="21"/>
          <w:sz w:val="24"/>
        </w:rPr>
        <w:t> </w:t>
      </w:r>
      <w:r>
        <w:rPr>
          <w:sz w:val="24"/>
        </w:rPr>
        <w:t>Carranza</w:t>
      </w:r>
      <w:r>
        <w:rPr>
          <w:spacing w:val="21"/>
          <w:sz w:val="24"/>
        </w:rPr>
        <w:t> </w:t>
      </w:r>
      <w:r>
        <w:rPr>
          <w:sz w:val="24"/>
        </w:rPr>
        <w:t>#</w:t>
      </w:r>
      <w:r>
        <w:rPr>
          <w:spacing w:val="21"/>
          <w:sz w:val="24"/>
        </w:rPr>
        <w:t> </w:t>
      </w:r>
      <w:r>
        <w:rPr>
          <w:sz w:val="24"/>
        </w:rPr>
        <w:t>203</w:t>
      </w:r>
      <w:r>
        <w:rPr>
          <w:spacing w:val="20"/>
          <w:sz w:val="24"/>
        </w:rPr>
        <w:t> </w:t>
      </w:r>
      <w:r>
        <w:rPr>
          <w:sz w:val="24"/>
        </w:rPr>
        <w:t>Col.</w:t>
      </w:r>
      <w:r>
        <w:rPr>
          <w:spacing w:val="22"/>
          <w:sz w:val="24"/>
        </w:rPr>
        <w:t> </w:t>
      </w:r>
      <w:r>
        <w:rPr>
          <w:sz w:val="24"/>
        </w:rPr>
        <w:t>Universidad</w:t>
      </w:r>
    </w:p>
    <w:p>
      <w:pPr>
        <w:pStyle w:val="BodyText"/>
        <w:tabs>
          <w:tab w:pos="1132" w:val="left" w:leader="none"/>
        </w:tabs>
        <w:spacing w:line="310" w:lineRule="exact"/>
        <w:ind w:left="160"/>
        <w:rPr>
          <w:rFonts w:ascii="Cambria" w:hAnsi="Cambria"/>
        </w:rPr>
      </w:pPr>
      <w:r>
        <w:rPr>
          <w:position w:val="-3"/>
          <w:sz w:val="20"/>
        </w:rPr>
        <w:t>37</w:t>
        <w:tab/>
      </w:r>
      <w:r>
        <w:rPr>
          <w:rFonts w:ascii="Cambria" w:hAnsi="Cambria"/>
        </w:rPr>
        <w:t>CP 50130, Toluca, México. Corresponding author:</w:t>
      </w:r>
      <w:r>
        <w:rPr>
          <w:rFonts w:ascii="Cambria" w:hAnsi="Cambria"/>
          <w:spacing w:val="-27"/>
        </w:rPr>
        <w:t> </w:t>
      </w:r>
      <w:hyperlink r:id="rId54">
        <w:r>
          <w:rPr>
            <w:rFonts w:ascii="Cambria" w:hAnsi="Cambria"/>
            <w:u w:val="single"/>
          </w:rPr>
          <w:t>dlangel@uaemex.mx</w:t>
        </w:r>
      </w:hyperlink>
    </w:p>
    <w:p>
      <w:pPr>
        <w:spacing w:before="8"/>
        <w:ind w:left="160" w:right="0" w:firstLine="0"/>
        <w:jc w:val="left"/>
        <w:rPr>
          <w:sz w:val="20"/>
        </w:rPr>
      </w:pPr>
      <w:r>
        <w:rPr>
          <w:sz w:val="20"/>
        </w:rPr>
        <w:t>38</w:t>
      </w:r>
    </w:p>
    <w:p>
      <w:pPr>
        <w:spacing w:line="221" w:lineRule="exact" w:before="3"/>
        <w:ind w:left="160" w:right="0" w:firstLine="0"/>
        <w:jc w:val="left"/>
        <w:rPr>
          <w:sz w:val="20"/>
        </w:rPr>
      </w:pPr>
      <w:r>
        <w:rPr>
          <w:sz w:val="20"/>
        </w:rPr>
        <w:t>39</w:t>
      </w:r>
    </w:p>
    <w:p>
      <w:pPr>
        <w:pStyle w:val="ListParagraph"/>
        <w:numPr>
          <w:ilvl w:val="0"/>
          <w:numId w:val="10"/>
        </w:numPr>
        <w:tabs>
          <w:tab w:pos="1132" w:val="left" w:leader="none"/>
          <w:tab w:pos="1133" w:val="left" w:leader="none"/>
        </w:tabs>
        <w:spacing w:line="257" w:lineRule="exact" w:before="0" w:after="0"/>
        <w:ind w:left="1132" w:right="0" w:hanging="972"/>
        <w:jc w:val="left"/>
        <w:rPr>
          <w:sz w:val="24"/>
        </w:rPr>
      </w:pPr>
      <w:r>
        <w:rPr>
          <w:b/>
          <w:sz w:val="24"/>
        </w:rPr>
        <w:t>RESUMO.- [Análise de doenças do trato urinário inferior em cães] </w:t>
      </w:r>
      <w:r>
        <w:rPr>
          <w:sz w:val="24"/>
        </w:rPr>
        <w:t>Doenças do trato </w:t>
      </w:r>
      <w:r>
        <w:rPr>
          <w:spacing w:val="25"/>
          <w:sz w:val="24"/>
        </w:rPr>
        <w:t> </w:t>
      </w:r>
      <w:r>
        <w:rPr>
          <w:sz w:val="24"/>
        </w:rPr>
        <w:t>urinário</w:t>
      </w:r>
    </w:p>
    <w:p>
      <w:pPr>
        <w:pStyle w:val="ListParagraph"/>
        <w:numPr>
          <w:ilvl w:val="0"/>
          <w:numId w:val="10"/>
        </w:numPr>
        <w:tabs>
          <w:tab w:pos="1132" w:val="left" w:leader="none"/>
          <w:tab w:pos="1133" w:val="left" w:leader="none"/>
        </w:tabs>
        <w:spacing w:line="257" w:lineRule="exact" w:before="0" w:after="0"/>
        <w:ind w:left="1132" w:right="0" w:hanging="972"/>
        <w:jc w:val="left"/>
        <w:rPr>
          <w:sz w:val="24"/>
        </w:rPr>
      </w:pPr>
      <w:r>
        <w:rPr>
          <w:sz w:val="24"/>
        </w:rPr>
        <w:t>inferior</w:t>
      </w:r>
      <w:r>
        <w:rPr>
          <w:spacing w:val="17"/>
          <w:sz w:val="24"/>
        </w:rPr>
        <w:t> </w:t>
      </w:r>
      <w:r>
        <w:rPr>
          <w:sz w:val="24"/>
        </w:rPr>
        <w:t>(DTUI)</w:t>
      </w:r>
      <w:r>
        <w:rPr>
          <w:spacing w:val="18"/>
          <w:sz w:val="24"/>
        </w:rPr>
        <w:t> </w:t>
      </w:r>
      <w:r>
        <w:rPr>
          <w:sz w:val="24"/>
        </w:rPr>
        <w:t>incluem</w:t>
      </w:r>
      <w:r>
        <w:rPr>
          <w:spacing w:val="18"/>
          <w:sz w:val="24"/>
        </w:rPr>
        <w:t> </w:t>
      </w:r>
      <w:r>
        <w:rPr>
          <w:sz w:val="24"/>
        </w:rPr>
        <w:t>várias</w:t>
      </w:r>
      <w:r>
        <w:rPr>
          <w:spacing w:val="18"/>
          <w:sz w:val="24"/>
        </w:rPr>
        <w:t> </w:t>
      </w:r>
      <w:r>
        <w:rPr>
          <w:sz w:val="24"/>
        </w:rPr>
        <w:t>doenças</w:t>
      </w:r>
      <w:r>
        <w:rPr>
          <w:spacing w:val="18"/>
          <w:sz w:val="24"/>
        </w:rPr>
        <w:t> </w:t>
      </w:r>
      <w:r>
        <w:rPr>
          <w:sz w:val="24"/>
        </w:rPr>
        <w:t>que</w:t>
      </w:r>
      <w:r>
        <w:rPr>
          <w:spacing w:val="19"/>
          <w:sz w:val="24"/>
        </w:rPr>
        <w:t> </w:t>
      </w:r>
      <w:r>
        <w:rPr>
          <w:sz w:val="24"/>
        </w:rPr>
        <w:t>afetam</w:t>
      </w:r>
      <w:r>
        <w:rPr>
          <w:spacing w:val="18"/>
          <w:sz w:val="24"/>
        </w:rPr>
        <w:t> </w:t>
      </w:r>
      <w:r>
        <w:rPr>
          <w:sz w:val="24"/>
        </w:rPr>
        <w:t>a</w:t>
      </w:r>
      <w:r>
        <w:rPr>
          <w:spacing w:val="18"/>
          <w:sz w:val="24"/>
        </w:rPr>
        <w:t> </w:t>
      </w:r>
      <w:r>
        <w:rPr>
          <w:sz w:val="24"/>
        </w:rPr>
        <w:t>bexiga,</w:t>
      </w:r>
      <w:r>
        <w:rPr>
          <w:spacing w:val="19"/>
          <w:sz w:val="24"/>
        </w:rPr>
        <w:t> </w:t>
      </w:r>
      <w:r>
        <w:rPr>
          <w:sz w:val="24"/>
        </w:rPr>
        <w:t>uretra</w:t>
      </w:r>
      <w:r>
        <w:rPr>
          <w:spacing w:val="19"/>
          <w:sz w:val="24"/>
        </w:rPr>
        <w:t> </w:t>
      </w:r>
      <w:r>
        <w:rPr>
          <w:sz w:val="24"/>
        </w:rPr>
        <w:t>e</w:t>
      </w:r>
      <w:r>
        <w:rPr>
          <w:spacing w:val="19"/>
          <w:sz w:val="24"/>
        </w:rPr>
        <w:t> </w:t>
      </w:r>
      <w:r>
        <w:rPr>
          <w:sz w:val="24"/>
        </w:rPr>
        <w:t>próstata.</w:t>
      </w:r>
      <w:r>
        <w:rPr>
          <w:spacing w:val="19"/>
          <w:sz w:val="24"/>
        </w:rPr>
        <w:t> </w:t>
      </w:r>
      <w:r>
        <w:rPr>
          <w:sz w:val="24"/>
        </w:rPr>
        <w:t>O</w:t>
      </w:r>
      <w:r>
        <w:rPr>
          <w:spacing w:val="17"/>
          <w:sz w:val="24"/>
        </w:rPr>
        <w:t> </w:t>
      </w:r>
      <w:r>
        <w:rPr>
          <w:sz w:val="24"/>
        </w:rPr>
        <w:t>objetivo</w:t>
      </w:r>
      <w:r>
        <w:rPr>
          <w:spacing w:val="18"/>
          <w:sz w:val="24"/>
        </w:rPr>
        <w:t> </w:t>
      </w:r>
      <w:r>
        <w:rPr>
          <w:sz w:val="24"/>
        </w:rPr>
        <w:t>deste</w:t>
      </w:r>
    </w:p>
    <w:p>
      <w:pPr>
        <w:pStyle w:val="ListParagraph"/>
        <w:numPr>
          <w:ilvl w:val="0"/>
          <w:numId w:val="10"/>
        </w:numPr>
        <w:tabs>
          <w:tab w:pos="1132" w:val="left" w:leader="none"/>
          <w:tab w:pos="1133" w:val="left" w:leader="none"/>
        </w:tabs>
        <w:spacing w:line="260" w:lineRule="exact" w:before="0" w:after="0"/>
        <w:ind w:left="1132" w:right="0" w:hanging="972"/>
        <w:jc w:val="left"/>
        <w:rPr>
          <w:sz w:val="24"/>
        </w:rPr>
      </w:pPr>
      <w:r>
        <w:rPr>
          <w:sz w:val="24"/>
        </w:rPr>
        <w:t>estudo  foi  determinar  a  frequência  de  diferentes  doenças  relacionadas,  para  caracterizar   </w:t>
      </w:r>
      <w:r>
        <w:rPr>
          <w:spacing w:val="25"/>
          <w:sz w:val="24"/>
        </w:rPr>
        <w:t> </w:t>
      </w:r>
      <w:r>
        <w:rPr>
          <w:sz w:val="24"/>
        </w:rPr>
        <w:t>a</w:t>
      </w:r>
    </w:p>
    <w:p>
      <w:pPr>
        <w:spacing w:line="115" w:lineRule="exact" w:before="0"/>
        <w:ind w:left="160" w:right="0" w:firstLine="0"/>
        <w:jc w:val="left"/>
        <w:rPr>
          <w:sz w:val="20"/>
        </w:rPr>
      </w:pPr>
      <w:r>
        <w:rPr>
          <w:sz w:val="20"/>
        </w:rPr>
        <w:t>43</w:t>
      </w:r>
    </w:p>
    <w:p>
      <w:pPr>
        <w:pStyle w:val="ListParagraph"/>
        <w:numPr>
          <w:ilvl w:val="0"/>
          <w:numId w:val="11"/>
        </w:numPr>
        <w:tabs>
          <w:tab w:pos="1132" w:val="left" w:leader="none"/>
          <w:tab w:pos="1133" w:val="left" w:leader="none"/>
        </w:tabs>
        <w:spacing w:line="257" w:lineRule="exact" w:before="0" w:after="0"/>
        <w:ind w:left="1132" w:right="0" w:hanging="972"/>
        <w:jc w:val="left"/>
        <w:rPr>
          <w:sz w:val="24"/>
        </w:rPr>
      </w:pPr>
      <w:r>
        <w:rPr>
          <w:sz w:val="24"/>
        </w:rPr>
        <w:t>população  afetada,  e  para  determinar  os  fatores  de  risco  em  cães.  Os  casos  clínicos   </w:t>
      </w:r>
      <w:r>
        <w:rPr>
          <w:spacing w:val="25"/>
          <w:sz w:val="24"/>
        </w:rPr>
        <w:t> </w:t>
      </w:r>
      <w:r>
        <w:rPr>
          <w:sz w:val="24"/>
        </w:rPr>
        <w:t>foram</w:t>
      </w:r>
    </w:p>
    <w:p>
      <w:pPr>
        <w:pStyle w:val="ListParagraph"/>
        <w:numPr>
          <w:ilvl w:val="0"/>
          <w:numId w:val="11"/>
        </w:numPr>
        <w:tabs>
          <w:tab w:pos="1132" w:val="left" w:leader="none"/>
          <w:tab w:pos="1133" w:val="left" w:leader="none"/>
        </w:tabs>
        <w:spacing w:line="256" w:lineRule="exact" w:before="0" w:after="0"/>
        <w:ind w:left="1132" w:right="0" w:hanging="972"/>
        <w:jc w:val="left"/>
        <w:rPr>
          <w:sz w:val="24"/>
        </w:rPr>
      </w:pPr>
      <w:r>
        <w:rPr>
          <w:sz w:val="24"/>
        </w:rPr>
        <w:t>diagnosticados</w:t>
      </w:r>
      <w:r>
        <w:rPr>
          <w:spacing w:val="21"/>
          <w:sz w:val="24"/>
        </w:rPr>
        <w:t> </w:t>
      </w:r>
      <w:r>
        <w:rPr>
          <w:sz w:val="24"/>
        </w:rPr>
        <w:t>com</w:t>
      </w:r>
      <w:r>
        <w:rPr>
          <w:spacing w:val="23"/>
          <w:sz w:val="24"/>
        </w:rPr>
        <w:t> </w:t>
      </w:r>
      <w:r>
        <w:rPr>
          <w:sz w:val="24"/>
        </w:rPr>
        <w:t>DTUI</w:t>
      </w:r>
      <w:r>
        <w:rPr>
          <w:spacing w:val="20"/>
          <w:sz w:val="24"/>
        </w:rPr>
        <w:t> </w:t>
      </w:r>
      <w:r>
        <w:rPr>
          <w:sz w:val="24"/>
        </w:rPr>
        <w:t>através</w:t>
      </w:r>
      <w:r>
        <w:rPr>
          <w:spacing w:val="23"/>
          <w:sz w:val="24"/>
        </w:rPr>
        <w:t> </w:t>
      </w:r>
      <w:r>
        <w:rPr>
          <w:sz w:val="24"/>
        </w:rPr>
        <w:t>de</w:t>
      </w:r>
      <w:r>
        <w:rPr>
          <w:spacing w:val="21"/>
          <w:sz w:val="24"/>
        </w:rPr>
        <w:t> </w:t>
      </w:r>
      <w:r>
        <w:rPr>
          <w:sz w:val="24"/>
        </w:rPr>
        <w:t>exame</w:t>
      </w:r>
      <w:r>
        <w:rPr>
          <w:spacing w:val="21"/>
          <w:sz w:val="24"/>
        </w:rPr>
        <w:t> </w:t>
      </w:r>
      <w:r>
        <w:rPr>
          <w:sz w:val="24"/>
        </w:rPr>
        <w:t>físico</w:t>
      </w:r>
      <w:r>
        <w:rPr>
          <w:spacing w:val="21"/>
          <w:sz w:val="24"/>
        </w:rPr>
        <w:t> </w:t>
      </w:r>
      <w:r>
        <w:rPr>
          <w:sz w:val="24"/>
        </w:rPr>
        <w:t>e</w:t>
      </w:r>
      <w:r>
        <w:rPr>
          <w:spacing w:val="21"/>
          <w:sz w:val="24"/>
        </w:rPr>
        <w:t> </w:t>
      </w:r>
      <w:r>
        <w:rPr>
          <w:sz w:val="24"/>
        </w:rPr>
        <w:t>estudos</w:t>
      </w:r>
      <w:r>
        <w:rPr>
          <w:spacing w:val="21"/>
          <w:sz w:val="24"/>
        </w:rPr>
        <w:t> </w:t>
      </w:r>
      <w:r>
        <w:rPr>
          <w:sz w:val="24"/>
        </w:rPr>
        <w:t>laboratoriais</w:t>
      </w:r>
      <w:r>
        <w:rPr>
          <w:spacing w:val="21"/>
          <w:sz w:val="24"/>
        </w:rPr>
        <w:t> </w:t>
      </w:r>
      <w:r>
        <w:rPr>
          <w:sz w:val="24"/>
        </w:rPr>
        <w:t>e</w:t>
      </w:r>
      <w:r>
        <w:rPr>
          <w:spacing w:val="21"/>
          <w:sz w:val="24"/>
        </w:rPr>
        <w:t> </w:t>
      </w:r>
      <w:r>
        <w:rPr>
          <w:sz w:val="24"/>
        </w:rPr>
        <w:t>de</w:t>
      </w:r>
      <w:r>
        <w:rPr>
          <w:spacing w:val="21"/>
          <w:sz w:val="24"/>
        </w:rPr>
        <w:t> </w:t>
      </w:r>
      <w:r>
        <w:rPr>
          <w:sz w:val="24"/>
        </w:rPr>
        <w:t>imagem</w:t>
      </w:r>
      <w:r>
        <w:rPr>
          <w:spacing w:val="23"/>
          <w:sz w:val="24"/>
        </w:rPr>
        <w:t> </w:t>
      </w:r>
      <w:r>
        <w:rPr>
          <w:sz w:val="24"/>
        </w:rPr>
        <w:t>clínicos.</w:t>
      </w:r>
    </w:p>
    <w:p>
      <w:pPr>
        <w:pStyle w:val="ListParagraph"/>
        <w:numPr>
          <w:ilvl w:val="0"/>
          <w:numId w:val="11"/>
        </w:numPr>
        <w:tabs>
          <w:tab w:pos="1132" w:val="left" w:leader="none"/>
          <w:tab w:pos="1133" w:val="left" w:leader="none"/>
        </w:tabs>
        <w:spacing w:line="263" w:lineRule="exact" w:before="0" w:after="0"/>
        <w:ind w:left="1132" w:right="0" w:hanging="972"/>
        <w:jc w:val="left"/>
        <w:rPr>
          <w:sz w:val="24"/>
        </w:rPr>
      </w:pPr>
      <w:r>
        <w:rPr>
          <w:sz w:val="24"/>
        </w:rPr>
        <w:t>Cães</w:t>
      </w:r>
      <w:r>
        <w:rPr>
          <w:spacing w:val="33"/>
          <w:sz w:val="24"/>
        </w:rPr>
        <w:t> </w:t>
      </w:r>
      <w:r>
        <w:rPr>
          <w:sz w:val="24"/>
        </w:rPr>
        <w:t>machos</w:t>
      </w:r>
      <w:r>
        <w:rPr>
          <w:spacing w:val="33"/>
          <w:sz w:val="24"/>
        </w:rPr>
        <w:t> </w:t>
      </w:r>
      <w:r>
        <w:rPr>
          <w:sz w:val="24"/>
        </w:rPr>
        <w:t>tinham</w:t>
      </w:r>
      <w:r>
        <w:rPr>
          <w:spacing w:val="32"/>
          <w:sz w:val="24"/>
        </w:rPr>
        <w:t> </w:t>
      </w:r>
      <w:r>
        <w:rPr>
          <w:sz w:val="24"/>
        </w:rPr>
        <w:t>uma</w:t>
      </w:r>
      <w:r>
        <w:rPr>
          <w:spacing w:val="33"/>
          <w:sz w:val="24"/>
        </w:rPr>
        <w:t> </w:t>
      </w:r>
      <w:r>
        <w:rPr>
          <w:sz w:val="24"/>
        </w:rPr>
        <w:t>predisposição</w:t>
      </w:r>
      <w:r>
        <w:rPr>
          <w:spacing w:val="33"/>
          <w:sz w:val="24"/>
        </w:rPr>
        <w:t> </w:t>
      </w:r>
      <w:r>
        <w:rPr>
          <w:sz w:val="24"/>
        </w:rPr>
        <w:t>maior</w:t>
      </w:r>
      <w:r>
        <w:rPr>
          <w:spacing w:val="32"/>
          <w:sz w:val="24"/>
        </w:rPr>
        <w:t> </w:t>
      </w:r>
      <w:r>
        <w:rPr>
          <w:sz w:val="24"/>
        </w:rPr>
        <w:t>de</w:t>
      </w:r>
      <w:r>
        <w:rPr>
          <w:spacing w:val="34"/>
          <w:sz w:val="24"/>
        </w:rPr>
        <w:t> </w:t>
      </w:r>
      <w:r>
        <w:rPr>
          <w:sz w:val="24"/>
        </w:rPr>
        <w:t>apresentar</w:t>
      </w:r>
      <w:r>
        <w:rPr>
          <w:spacing w:val="32"/>
          <w:sz w:val="24"/>
        </w:rPr>
        <w:t> </w:t>
      </w:r>
      <w:r>
        <w:rPr>
          <w:sz w:val="24"/>
        </w:rPr>
        <w:t>um</w:t>
      </w:r>
      <w:r>
        <w:rPr>
          <w:spacing w:val="32"/>
          <w:sz w:val="24"/>
        </w:rPr>
        <w:t> </w:t>
      </w:r>
      <w:r>
        <w:rPr>
          <w:sz w:val="24"/>
        </w:rPr>
        <w:t>DTUI.</w:t>
      </w:r>
      <w:r>
        <w:rPr>
          <w:spacing w:val="34"/>
          <w:sz w:val="24"/>
        </w:rPr>
        <w:t> </w:t>
      </w:r>
      <w:r>
        <w:rPr>
          <w:sz w:val="24"/>
        </w:rPr>
        <w:t>Cães</w:t>
      </w:r>
      <w:r>
        <w:rPr>
          <w:spacing w:val="33"/>
          <w:sz w:val="24"/>
        </w:rPr>
        <w:t> </w:t>
      </w:r>
      <w:r>
        <w:rPr>
          <w:sz w:val="24"/>
        </w:rPr>
        <w:t>de</w:t>
      </w:r>
      <w:r>
        <w:rPr>
          <w:spacing w:val="33"/>
          <w:sz w:val="24"/>
        </w:rPr>
        <w:t> </w:t>
      </w:r>
      <w:r>
        <w:rPr>
          <w:sz w:val="24"/>
        </w:rPr>
        <w:t>3</w:t>
      </w:r>
      <w:r>
        <w:rPr>
          <w:spacing w:val="32"/>
          <w:sz w:val="24"/>
        </w:rPr>
        <w:t> </w:t>
      </w:r>
      <w:r>
        <w:rPr>
          <w:sz w:val="24"/>
        </w:rPr>
        <w:t>meses</w:t>
      </w:r>
      <w:r>
        <w:rPr>
          <w:spacing w:val="33"/>
          <w:sz w:val="24"/>
        </w:rPr>
        <w:t> </w:t>
      </w:r>
      <w:r>
        <w:rPr>
          <w:sz w:val="24"/>
        </w:rPr>
        <w:t>a</w:t>
      </w:r>
      <w:r>
        <w:rPr>
          <w:spacing w:val="31"/>
          <w:sz w:val="24"/>
        </w:rPr>
        <w:t> </w:t>
      </w:r>
      <w:r>
        <w:rPr>
          <w:sz w:val="24"/>
        </w:rPr>
        <w:t>18</w:t>
      </w:r>
    </w:p>
    <w:p>
      <w:pPr>
        <w:pStyle w:val="ListParagraph"/>
        <w:numPr>
          <w:ilvl w:val="0"/>
          <w:numId w:val="11"/>
        </w:numPr>
        <w:tabs>
          <w:tab w:pos="1132" w:val="left" w:leader="none"/>
          <w:tab w:pos="1133" w:val="left" w:leader="none"/>
        </w:tabs>
        <w:spacing w:line="257" w:lineRule="exact" w:before="0" w:after="0"/>
        <w:ind w:left="1132" w:right="0" w:hanging="972"/>
        <w:jc w:val="left"/>
        <w:rPr>
          <w:sz w:val="24"/>
        </w:rPr>
      </w:pPr>
      <w:r>
        <w:rPr>
          <w:sz w:val="24"/>
        </w:rPr>
        <w:t>anos,  com  uma  média  de  oito  anos  foram  afetadas,  e  as  raças  mais  afetadas  foram </w:t>
      </w:r>
      <w:r>
        <w:rPr>
          <w:spacing w:val="44"/>
          <w:sz w:val="24"/>
        </w:rPr>
        <w:t> </w:t>
      </w:r>
      <w:r>
        <w:rPr>
          <w:sz w:val="24"/>
        </w:rPr>
        <w:t>Poodle,</w:t>
      </w:r>
    </w:p>
    <w:p>
      <w:pPr>
        <w:pStyle w:val="ListParagraph"/>
        <w:numPr>
          <w:ilvl w:val="0"/>
          <w:numId w:val="11"/>
        </w:numPr>
        <w:tabs>
          <w:tab w:pos="1132" w:val="left" w:leader="none"/>
          <w:tab w:pos="1133" w:val="left" w:leader="none"/>
        </w:tabs>
        <w:spacing w:line="256" w:lineRule="exact" w:before="0" w:after="0"/>
        <w:ind w:left="1132" w:right="0" w:hanging="972"/>
        <w:jc w:val="left"/>
        <w:rPr>
          <w:sz w:val="24"/>
        </w:rPr>
      </w:pPr>
      <w:r>
        <w:rPr>
          <w:sz w:val="24"/>
        </w:rPr>
        <w:t>Labrador,</w:t>
      </w:r>
      <w:r>
        <w:rPr>
          <w:spacing w:val="28"/>
          <w:sz w:val="24"/>
        </w:rPr>
        <w:t> </w:t>
      </w:r>
      <w:r>
        <w:rPr>
          <w:sz w:val="24"/>
        </w:rPr>
        <w:t>Pastor</w:t>
      </w:r>
      <w:r>
        <w:rPr>
          <w:spacing w:val="26"/>
          <w:sz w:val="24"/>
        </w:rPr>
        <w:t> </w:t>
      </w:r>
      <w:r>
        <w:rPr>
          <w:sz w:val="24"/>
        </w:rPr>
        <w:t>Alemão,</w:t>
      </w:r>
      <w:r>
        <w:rPr>
          <w:spacing w:val="28"/>
          <w:sz w:val="24"/>
        </w:rPr>
        <w:t> </w:t>
      </w:r>
      <w:r>
        <w:rPr>
          <w:sz w:val="24"/>
        </w:rPr>
        <w:t>Schnauzer,</w:t>
      </w:r>
      <w:r>
        <w:rPr>
          <w:spacing w:val="28"/>
          <w:sz w:val="24"/>
        </w:rPr>
        <w:t> </w:t>
      </w:r>
      <w:r>
        <w:rPr>
          <w:sz w:val="24"/>
        </w:rPr>
        <w:t>Cocker</w:t>
      </w:r>
      <w:r>
        <w:rPr>
          <w:spacing w:val="29"/>
          <w:sz w:val="24"/>
        </w:rPr>
        <w:t> </w:t>
      </w:r>
      <w:r>
        <w:rPr>
          <w:sz w:val="24"/>
        </w:rPr>
        <w:t>Spaniel</w:t>
      </w:r>
      <w:r>
        <w:rPr>
          <w:spacing w:val="26"/>
          <w:sz w:val="24"/>
        </w:rPr>
        <w:t> </w:t>
      </w:r>
      <w:r>
        <w:rPr>
          <w:sz w:val="24"/>
        </w:rPr>
        <w:t>e</w:t>
      </w:r>
      <w:r>
        <w:rPr>
          <w:spacing w:val="27"/>
          <w:sz w:val="24"/>
        </w:rPr>
        <w:t> </w:t>
      </w:r>
      <w:r>
        <w:rPr>
          <w:sz w:val="24"/>
        </w:rPr>
        <w:t>Chihuahua.</w:t>
      </w:r>
      <w:r>
        <w:rPr>
          <w:spacing w:val="28"/>
          <w:sz w:val="24"/>
        </w:rPr>
        <w:t> </w:t>
      </w:r>
      <w:r>
        <w:rPr>
          <w:sz w:val="24"/>
        </w:rPr>
        <w:t>O</w:t>
      </w:r>
      <w:r>
        <w:rPr>
          <w:spacing w:val="26"/>
          <w:sz w:val="24"/>
        </w:rPr>
        <w:t> </w:t>
      </w:r>
      <w:r>
        <w:rPr>
          <w:sz w:val="24"/>
        </w:rPr>
        <w:t>DTUI</w:t>
      </w:r>
      <w:r>
        <w:rPr>
          <w:spacing w:val="26"/>
          <w:sz w:val="24"/>
        </w:rPr>
        <w:t> </w:t>
      </w:r>
      <w:r>
        <w:rPr>
          <w:sz w:val="24"/>
        </w:rPr>
        <w:t>apresentado</w:t>
      </w:r>
      <w:r>
        <w:rPr>
          <w:spacing w:val="27"/>
          <w:sz w:val="24"/>
        </w:rPr>
        <w:t> </w:t>
      </w:r>
      <w:r>
        <w:rPr>
          <w:sz w:val="24"/>
        </w:rPr>
        <w:t>com</w:t>
      </w:r>
      <w:r>
        <w:rPr>
          <w:spacing w:val="26"/>
          <w:sz w:val="24"/>
        </w:rPr>
        <w:t> </w:t>
      </w:r>
      <w:r>
        <w:rPr>
          <w:sz w:val="24"/>
        </w:rPr>
        <w:t>as</w:t>
      </w:r>
    </w:p>
    <w:p>
      <w:pPr>
        <w:spacing w:line="115" w:lineRule="exact" w:before="0"/>
        <w:ind w:left="160" w:right="0" w:firstLine="0"/>
        <w:jc w:val="left"/>
        <w:rPr>
          <w:sz w:val="20"/>
        </w:rPr>
      </w:pPr>
      <w:r>
        <w:rPr>
          <w:sz w:val="20"/>
        </w:rPr>
        <w:t>49</w:t>
      </w:r>
    </w:p>
    <w:p>
      <w:pPr>
        <w:pStyle w:val="ListParagraph"/>
        <w:numPr>
          <w:ilvl w:val="0"/>
          <w:numId w:val="12"/>
        </w:numPr>
        <w:tabs>
          <w:tab w:pos="1132" w:val="left" w:leader="none"/>
          <w:tab w:pos="1133" w:val="left" w:leader="none"/>
        </w:tabs>
        <w:spacing w:line="253" w:lineRule="exact" w:before="0" w:after="0"/>
        <w:ind w:left="1132" w:right="0" w:hanging="972"/>
        <w:jc w:val="left"/>
        <w:rPr>
          <w:sz w:val="24"/>
        </w:rPr>
      </w:pPr>
      <w:r>
        <w:rPr>
          <w:sz w:val="24"/>
        </w:rPr>
        <w:t>seguintes  frequências:  infecção  bacteriana  do  trato  urinário  34,02%;  distúrbios    </w:t>
      </w:r>
      <w:r>
        <w:rPr>
          <w:spacing w:val="48"/>
          <w:sz w:val="24"/>
        </w:rPr>
        <w:t> </w:t>
      </w:r>
      <w:r>
        <w:rPr>
          <w:sz w:val="24"/>
        </w:rPr>
        <w:t>miccionais</w:t>
      </w:r>
    </w:p>
    <w:p>
      <w:pPr>
        <w:pStyle w:val="ListParagraph"/>
        <w:numPr>
          <w:ilvl w:val="0"/>
          <w:numId w:val="12"/>
        </w:numPr>
        <w:tabs>
          <w:tab w:pos="1132" w:val="left" w:leader="none"/>
          <w:tab w:pos="1133" w:val="left" w:leader="none"/>
        </w:tabs>
        <w:spacing w:line="262" w:lineRule="exact" w:before="0" w:after="0"/>
        <w:ind w:left="1132" w:right="0" w:hanging="972"/>
        <w:jc w:val="left"/>
        <w:rPr>
          <w:sz w:val="24"/>
        </w:rPr>
      </w:pPr>
      <w:r>
        <w:rPr>
          <w:position w:val="2"/>
          <w:sz w:val="24"/>
        </w:rPr>
        <w:t>22,68%; urolithiasis 20,61%; doença prostática 14,43%; problemas traumáticas 8,24%.</w:t>
      </w:r>
      <w:r>
        <w:rPr>
          <w:spacing w:val="37"/>
          <w:position w:val="2"/>
          <w:sz w:val="24"/>
        </w:rPr>
        <w:t> </w:t>
      </w:r>
      <w:r>
        <w:rPr>
          <w:position w:val="2"/>
          <w:sz w:val="24"/>
        </w:rPr>
        <w:t>Sessenta</w:t>
      </w:r>
    </w:p>
    <w:p>
      <w:pPr>
        <w:pStyle w:val="ListParagraph"/>
        <w:numPr>
          <w:ilvl w:val="0"/>
          <w:numId w:val="12"/>
        </w:numPr>
        <w:tabs>
          <w:tab w:pos="1132" w:val="left" w:leader="none"/>
          <w:tab w:pos="1133" w:val="left" w:leader="none"/>
        </w:tabs>
        <w:spacing w:line="260" w:lineRule="exact" w:before="0" w:after="0"/>
        <w:ind w:left="1132" w:right="0" w:hanging="972"/>
        <w:jc w:val="left"/>
        <w:rPr>
          <w:sz w:val="24"/>
        </w:rPr>
      </w:pPr>
      <w:r>
        <w:rPr>
          <w:sz w:val="24"/>
        </w:rPr>
        <w:t>e  sete  por  cento  dos  casos  eram  doenças  específicas,  tais  como  infecções  bacterianas    </w:t>
      </w:r>
      <w:r>
        <w:rPr>
          <w:spacing w:val="49"/>
          <w:sz w:val="24"/>
        </w:rPr>
        <w:t> </w:t>
      </w:r>
      <w:r>
        <w:rPr>
          <w:sz w:val="24"/>
        </w:rPr>
        <w:t>não</w:t>
      </w:r>
    </w:p>
    <w:p>
      <w:pPr>
        <w:pStyle w:val="ListParagraph"/>
        <w:numPr>
          <w:ilvl w:val="0"/>
          <w:numId w:val="12"/>
        </w:numPr>
        <w:tabs>
          <w:tab w:pos="1132" w:val="left" w:leader="none"/>
          <w:tab w:pos="1133" w:val="left" w:leader="none"/>
        </w:tabs>
        <w:spacing w:line="256" w:lineRule="exact" w:before="0" w:after="0"/>
        <w:ind w:left="1132" w:right="0" w:hanging="972"/>
        <w:jc w:val="left"/>
        <w:rPr>
          <w:sz w:val="24"/>
        </w:rPr>
      </w:pPr>
      <w:r>
        <w:rPr>
          <w:sz w:val="24"/>
        </w:rPr>
        <w:t>complicadas</w:t>
      </w:r>
      <w:r>
        <w:rPr>
          <w:spacing w:val="34"/>
          <w:sz w:val="24"/>
        </w:rPr>
        <w:t> </w:t>
      </w:r>
      <w:r>
        <w:rPr>
          <w:sz w:val="24"/>
        </w:rPr>
        <w:t>e</w:t>
      </w:r>
      <w:r>
        <w:rPr>
          <w:spacing w:val="35"/>
          <w:sz w:val="24"/>
        </w:rPr>
        <w:t> </w:t>
      </w:r>
      <w:r>
        <w:rPr>
          <w:sz w:val="24"/>
        </w:rPr>
        <w:t>complicadas</w:t>
      </w:r>
      <w:r>
        <w:rPr>
          <w:spacing w:val="34"/>
          <w:sz w:val="24"/>
        </w:rPr>
        <w:t> </w:t>
      </w:r>
      <w:r>
        <w:rPr>
          <w:sz w:val="24"/>
        </w:rPr>
        <w:t>do</w:t>
      </w:r>
      <w:r>
        <w:rPr>
          <w:spacing w:val="34"/>
          <w:sz w:val="24"/>
        </w:rPr>
        <w:t> </w:t>
      </w:r>
      <w:r>
        <w:rPr>
          <w:sz w:val="24"/>
        </w:rPr>
        <w:t>trato</w:t>
      </w:r>
      <w:r>
        <w:rPr>
          <w:spacing w:val="34"/>
          <w:sz w:val="24"/>
        </w:rPr>
        <w:t> </w:t>
      </w:r>
      <w:r>
        <w:rPr>
          <w:sz w:val="24"/>
        </w:rPr>
        <w:t>urinário,</w:t>
      </w:r>
      <w:r>
        <w:rPr>
          <w:spacing w:val="33"/>
          <w:sz w:val="24"/>
        </w:rPr>
        <w:t> </w:t>
      </w:r>
      <w:r>
        <w:rPr>
          <w:sz w:val="24"/>
        </w:rPr>
        <w:t>retenção</w:t>
      </w:r>
      <w:r>
        <w:rPr>
          <w:spacing w:val="34"/>
          <w:sz w:val="24"/>
        </w:rPr>
        <w:t> </w:t>
      </w:r>
      <w:r>
        <w:rPr>
          <w:sz w:val="24"/>
        </w:rPr>
        <w:t>urinária</w:t>
      </w:r>
      <w:r>
        <w:rPr>
          <w:spacing w:val="32"/>
          <w:sz w:val="24"/>
        </w:rPr>
        <w:t> </w:t>
      </w:r>
      <w:r>
        <w:rPr>
          <w:sz w:val="24"/>
        </w:rPr>
        <w:t>de</w:t>
      </w:r>
      <w:r>
        <w:rPr>
          <w:spacing w:val="32"/>
          <w:sz w:val="24"/>
        </w:rPr>
        <w:t> </w:t>
      </w:r>
      <w:r>
        <w:rPr>
          <w:sz w:val="24"/>
        </w:rPr>
        <w:t>origem</w:t>
      </w:r>
      <w:r>
        <w:rPr>
          <w:spacing w:val="34"/>
          <w:sz w:val="24"/>
        </w:rPr>
        <w:t> </w:t>
      </w:r>
      <w:r>
        <w:rPr>
          <w:sz w:val="24"/>
        </w:rPr>
        <w:t>neurológica</w:t>
      </w:r>
      <w:r>
        <w:rPr>
          <w:spacing w:val="35"/>
          <w:sz w:val="24"/>
        </w:rPr>
        <w:t> </w:t>
      </w:r>
      <w:r>
        <w:rPr>
          <w:sz w:val="24"/>
        </w:rPr>
        <w:t>e</w:t>
      </w:r>
      <w:r>
        <w:rPr>
          <w:spacing w:val="35"/>
          <w:sz w:val="24"/>
        </w:rPr>
        <w:t> </w:t>
      </w:r>
      <w:r>
        <w:rPr>
          <w:sz w:val="24"/>
        </w:rPr>
        <w:t>sílica</w:t>
      </w:r>
    </w:p>
    <w:p>
      <w:pPr>
        <w:pStyle w:val="ListParagraph"/>
        <w:numPr>
          <w:ilvl w:val="0"/>
          <w:numId w:val="12"/>
        </w:numPr>
        <w:tabs>
          <w:tab w:pos="1132" w:val="left" w:leader="none"/>
          <w:tab w:pos="1133" w:val="left" w:leader="none"/>
        </w:tabs>
        <w:spacing w:line="258" w:lineRule="exact" w:before="0" w:after="0"/>
        <w:ind w:left="1132" w:right="0" w:hanging="972"/>
        <w:jc w:val="left"/>
        <w:rPr>
          <w:sz w:val="24"/>
        </w:rPr>
      </w:pPr>
      <w:r>
        <w:rPr>
          <w:sz w:val="24"/>
        </w:rPr>
        <w:t>urolitíase.</w:t>
      </w:r>
    </w:p>
    <w:p>
      <w:pPr>
        <w:spacing w:line="162" w:lineRule="exact" w:before="0"/>
        <w:ind w:left="160" w:right="0" w:firstLine="0"/>
        <w:jc w:val="left"/>
        <w:rPr>
          <w:sz w:val="20"/>
        </w:rPr>
      </w:pPr>
      <w:r>
        <w:rPr>
          <w:sz w:val="20"/>
        </w:rPr>
        <w:t>55</w:t>
      </w:r>
    </w:p>
    <w:p>
      <w:pPr>
        <w:pStyle w:val="BodyText"/>
        <w:tabs>
          <w:tab w:pos="1132" w:val="left" w:leader="none"/>
        </w:tabs>
        <w:spacing w:line="381" w:lineRule="exact" w:before="7"/>
        <w:ind w:left="160"/>
        <w:rPr>
          <w:rFonts w:ascii="Cambria" w:hAnsi="Cambria"/>
        </w:rPr>
      </w:pPr>
      <w:r>
        <w:rPr/>
        <w:pict>
          <v:shape style="position:absolute;margin-left:8pt;margin-top:13.482686pt;width:11.15pt;height:10pt;mso-position-horizontal-relative:page;mso-position-vertical-relative:paragraph;z-index:-93256" type="#_x0000_t202" filled="false" stroked="false">
            <v:textbox inset="0,0,0,0">
              <w:txbxContent>
                <w:p>
                  <w:pPr>
                    <w:spacing w:line="196" w:lineRule="exact" w:before="0"/>
                    <w:ind w:left="0" w:right="-20" w:firstLine="0"/>
                    <w:jc w:val="left"/>
                    <w:rPr>
                      <w:sz w:val="20"/>
                    </w:rPr>
                  </w:pPr>
                  <w:r>
                    <w:rPr>
                      <w:sz w:val="20"/>
                    </w:rPr>
                    <w:t>57</w:t>
                  </w:r>
                </w:p>
              </w:txbxContent>
            </v:textbox>
            <w10:wrap type="none"/>
          </v:shape>
        </w:pict>
      </w:r>
      <w:r>
        <w:rPr>
          <w:position w:val="14"/>
          <w:sz w:val="20"/>
        </w:rPr>
        <w:t>56</w:t>
        <w:tab/>
      </w:r>
      <w:r>
        <w:rPr>
          <w:rFonts w:ascii="Cambria" w:hAnsi="Cambria"/>
        </w:rPr>
        <w:t>TERMOS  DE  INDEXAÇÃO:  Doença  do  trato  urinário  inferior,  cães,  epidemiologia,   </w:t>
      </w:r>
      <w:r>
        <w:rPr>
          <w:rFonts w:ascii="Cambria" w:hAnsi="Cambria"/>
          <w:spacing w:val="17"/>
        </w:rPr>
        <w:t> </w:t>
      </w:r>
      <w:r>
        <w:rPr>
          <w:rFonts w:ascii="Cambria" w:hAnsi="Cambria"/>
        </w:rPr>
        <w:t>urolitíase,</w:t>
      </w:r>
    </w:p>
    <w:p>
      <w:pPr>
        <w:pStyle w:val="BodyText"/>
        <w:tabs>
          <w:tab w:pos="1132" w:val="left" w:leader="none"/>
        </w:tabs>
        <w:spacing w:line="310" w:lineRule="exact"/>
        <w:ind w:left="160"/>
        <w:rPr>
          <w:rFonts w:ascii="Cambria" w:hAnsi="Cambria"/>
        </w:rPr>
      </w:pPr>
      <w:r>
        <w:rPr>
          <w:position w:val="-3"/>
          <w:sz w:val="20"/>
        </w:rPr>
        <w:t>58</w:t>
        <w:tab/>
      </w:r>
      <w:r>
        <w:rPr>
          <w:rFonts w:ascii="Cambria" w:hAnsi="Cambria"/>
        </w:rPr>
        <w:t>infecção urinária, distúrbios miccionais, doença da</w:t>
      </w:r>
      <w:r>
        <w:rPr>
          <w:rFonts w:ascii="Cambria" w:hAnsi="Cambria"/>
          <w:spacing w:val="-27"/>
        </w:rPr>
        <w:t> </w:t>
      </w:r>
      <w:r>
        <w:rPr>
          <w:rFonts w:ascii="Cambria" w:hAnsi="Cambria"/>
        </w:rPr>
        <w:t>próstata.</w:t>
      </w:r>
    </w:p>
    <w:p>
      <w:pPr>
        <w:spacing w:after="0" w:line="310" w:lineRule="exact"/>
        <w:rPr>
          <w:rFonts w:ascii="Cambria" w:hAnsi="Cambria"/>
        </w:rPr>
        <w:sectPr>
          <w:headerReference w:type="default" r:id="rId52"/>
          <w:footerReference w:type="default" r:id="rId53"/>
          <w:pgSz w:w="12240" w:h="15840"/>
          <w:pgMar w:header="0" w:footer="1118" w:top="140" w:bottom="1300" w:left="0" w:right="1020"/>
        </w:sectPr>
      </w:pPr>
    </w:p>
    <w:p>
      <w:pPr>
        <w:tabs>
          <w:tab w:pos="10912" w:val="left" w:leader="none"/>
        </w:tabs>
        <w:spacing w:before="56"/>
        <w:ind w:left="4652" w:right="0" w:firstLine="0"/>
        <w:jc w:val="left"/>
        <w:rPr>
          <w:b/>
          <w:sz w:val="20"/>
        </w:rPr>
      </w:pPr>
      <w:r>
        <w:rPr>
          <w:b/>
          <w:sz w:val="20"/>
        </w:rPr>
        <w:t>Pesquisa</w:t>
      </w:r>
      <w:r>
        <w:rPr>
          <w:b/>
          <w:spacing w:val="-3"/>
          <w:sz w:val="20"/>
        </w:rPr>
        <w:t> </w:t>
      </w:r>
      <w:r>
        <w:rPr>
          <w:b/>
          <w:sz w:val="20"/>
        </w:rPr>
        <w:t>Veterinária</w:t>
      </w:r>
      <w:r>
        <w:rPr>
          <w:b/>
          <w:spacing w:val="-4"/>
          <w:sz w:val="20"/>
        </w:rPr>
        <w:t> </w:t>
      </w:r>
      <w:r>
        <w:rPr>
          <w:b/>
          <w:sz w:val="20"/>
        </w:rPr>
        <w:t>Brasileira</w:t>
        <w:tab/>
        <w:t>Page 2 of</w:t>
      </w:r>
      <w:r>
        <w:rPr>
          <w:b/>
          <w:spacing w:val="-2"/>
          <w:sz w:val="20"/>
        </w:rPr>
        <w:t> </w:t>
      </w:r>
      <w:r>
        <w:rPr>
          <w:b/>
          <w:sz w:val="20"/>
        </w:rPr>
        <w:t>13</w:t>
      </w:r>
    </w:p>
    <w:p>
      <w:pPr>
        <w:pStyle w:val="BodyText"/>
        <w:spacing w:before="4"/>
        <w:rPr>
          <w:b/>
          <w:sz w:val="19"/>
        </w:rPr>
      </w:pPr>
    </w:p>
    <w:p>
      <w:pPr>
        <w:spacing w:line="230" w:lineRule="exact" w:before="56"/>
        <w:ind w:left="0" w:right="1091" w:firstLine="0"/>
        <w:jc w:val="right"/>
        <w:rPr>
          <w:rFonts w:ascii="Calibri"/>
          <w:sz w:val="22"/>
        </w:rPr>
      </w:pPr>
      <w:r>
        <w:rPr>
          <w:rFonts w:ascii="Calibri"/>
          <w:w w:val="100"/>
          <w:sz w:val="22"/>
        </w:rPr>
        <w:t>2</w:t>
      </w:r>
    </w:p>
    <w:p>
      <w:pPr>
        <w:spacing w:line="191" w:lineRule="exact" w:before="0"/>
        <w:ind w:left="160" w:right="0" w:firstLine="0"/>
        <w:jc w:val="left"/>
        <w:rPr>
          <w:sz w:val="20"/>
        </w:rPr>
      </w:pPr>
      <w:r>
        <w:rPr>
          <w:sz w:val="20"/>
        </w:rPr>
        <w:t>1</w:t>
      </w:r>
    </w:p>
    <w:p>
      <w:pPr>
        <w:pStyle w:val="Heading3"/>
        <w:tabs>
          <w:tab w:pos="5236" w:val="left" w:leader="none"/>
        </w:tabs>
        <w:spacing w:line="256" w:lineRule="exact" w:before="6"/>
        <w:ind w:left="160" w:right="0"/>
        <w:rPr>
          <w:rFonts w:ascii="Cambria"/>
        </w:rPr>
      </w:pPr>
      <w:r>
        <w:rPr>
          <w:b w:val="0"/>
          <w:position w:val="4"/>
          <w:sz w:val="20"/>
        </w:rPr>
        <w:t>2</w:t>
        <w:tab/>
      </w:r>
      <w:r>
        <w:rPr>
          <w:rFonts w:ascii="Cambria"/>
        </w:rPr>
        <w:t>INTRODUCTION</w:t>
      </w:r>
    </w:p>
    <w:p>
      <w:pPr>
        <w:spacing w:line="204" w:lineRule="exact" w:before="0"/>
        <w:ind w:left="160" w:right="0" w:firstLine="0"/>
        <w:jc w:val="left"/>
        <w:rPr>
          <w:sz w:val="20"/>
        </w:rPr>
      </w:pPr>
      <w:r>
        <w:rPr>
          <w:sz w:val="20"/>
        </w:rPr>
        <w:t>3</w:t>
      </w:r>
    </w:p>
    <w:p>
      <w:pPr>
        <w:pStyle w:val="ListParagraph"/>
        <w:numPr>
          <w:ilvl w:val="0"/>
          <w:numId w:val="13"/>
        </w:numPr>
        <w:tabs>
          <w:tab w:pos="1132" w:val="left" w:leader="none"/>
          <w:tab w:pos="1133" w:val="left" w:leader="none"/>
        </w:tabs>
        <w:spacing w:line="266" w:lineRule="exact" w:before="3" w:after="0"/>
        <w:ind w:left="1132" w:right="0" w:hanging="972"/>
        <w:jc w:val="left"/>
        <w:rPr>
          <w:sz w:val="24"/>
        </w:rPr>
      </w:pPr>
      <w:r>
        <w:rPr>
          <w:sz w:val="24"/>
        </w:rPr>
        <w:t>In</w:t>
      </w:r>
      <w:r>
        <w:rPr>
          <w:spacing w:val="37"/>
          <w:sz w:val="24"/>
        </w:rPr>
        <w:t> </w:t>
      </w:r>
      <w:r>
        <w:rPr>
          <w:sz w:val="24"/>
        </w:rPr>
        <w:t>dogs,</w:t>
      </w:r>
      <w:r>
        <w:rPr>
          <w:spacing w:val="38"/>
          <w:sz w:val="24"/>
        </w:rPr>
        <w:t> </w:t>
      </w:r>
      <w:r>
        <w:rPr>
          <w:sz w:val="24"/>
        </w:rPr>
        <w:t>lower</w:t>
      </w:r>
      <w:r>
        <w:rPr>
          <w:spacing w:val="36"/>
          <w:sz w:val="24"/>
        </w:rPr>
        <w:t> </w:t>
      </w:r>
      <w:r>
        <w:rPr>
          <w:sz w:val="24"/>
        </w:rPr>
        <w:t>urinary</w:t>
      </w:r>
      <w:r>
        <w:rPr>
          <w:spacing w:val="38"/>
          <w:sz w:val="24"/>
        </w:rPr>
        <w:t> </w:t>
      </w:r>
      <w:r>
        <w:rPr>
          <w:sz w:val="24"/>
        </w:rPr>
        <w:t>tract</w:t>
      </w:r>
      <w:r>
        <w:rPr>
          <w:spacing w:val="37"/>
          <w:sz w:val="24"/>
        </w:rPr>
        <w:t> </w:t>
      </w:r>
      <w:r>
        <w:rPr>
          <w:sz w:val="24"/>
        </w:rPr>
        <w:t>diseases</w:t>
      </w:r>
      <w:r>
        <w:rPr>
          <w:spacing w:val="37"/>
          <w:sz w:val="24"/>
        </w:rPr>
        <w:t> </w:t>
      </w:r>
      <w:r>
        <w:rPr>
          <w:sz w:val="24"/>
        </w:rPr>
        <w:t>(LUTD)</w:t>
      </w:r>
      <w:r>
        <w:rPr>
          <w:spacing w:val="36"/>
          <w:sz w:val="24"/>
        </w:rPr>
        <w:t> </w:t>
      </w:r>
      <w:r>
        <w:rPr>
          <w:sz w:val="24"/>
        </w:rPr>
        <w:t>include</w:t>
      </w:r>
      <w:r>
        <w:rPr>
          <w:spacing w:val="37"/>
          <w:sz w:val="24"/>
        </w:rPr>
        <w:t> </w:t>
      </w:r>
      <w:r>
        <w:rPr>
          <w:sz w:val="24"/>
        </w:rPr>
        <w:t>various</w:t>
      </w:r>
      <w:r>
        <w:rPr>
          <w:spacing w:val="37"/>
          <w:sz w:val="24"/>
        </w:rPr>
        <w:t> </w:t>
      </w:r>
      <w:r>
        <w:rPr>
          <w:sz w:val="24"/>
        </w:rPr>
        <w:t>diseases</w:t>
      </w:r>
      <w:r>
        <w:rPr>
          <w:spacing w:val="37"/>
          <w:sz w:val="24"/>
        </w:rPr>
        <w:t> </w:t>
      </w:r>
      <w:r>
        <w:rPr>
          <w:sz w:val="24"/>
        </w:rPr>
        <w:t>that</w:t>
      </w:r>
      <w:r>
        <w:rPr>
          <w:spacing w:val="37"/>
          <w:sz w:val="24"/>
        </w:rPr>
        <w:t> </w:t>
      </w:r>
      <w:r>
        <w:rPr>
          <w:sz w:val="24"/>
        </w:rPr>
        <w:t>affect</w:t>
      </w:r>
      <w:r>
        <w:rPr>
          <w:spacing w:val="37"/>
          <w:sz w:val="24"/>
        </w:rPr>
        <w:t> </w:t>
      </w:r>
      <w:r>
        <w:rPr>
          <w:sz w:val="24"/>
        </w:rPr>
        <w:t>the</w:t>
      </w:r>
      <w:r>
        <w:rPr>
          <w:spacing w:val="37"/>
          <w:sz w:val="24"/>
        </w:rPr>
        <w:t> </w:t>
      </w:r>
      <w:r>
        <w:rPr>
          <w:sz w:val="24"/>
        </w:rPr>
        <w:t>bladder,</w:t>
      </w:r>
    </w:p>
    <w:p>
      <w:pPr>
        <w:pStyle w:val="ListParagraph"/>
        <w:numPr>
          <w:ilvl w:val="0"/>
          <w:numId w:val="13"/>
        </w:numPr>
        <w:tabs>
          <w:tab w:pos="1132" w:val="left" w:leader="none"/>
          <w:tab w:pos="1133" w:val="left" w:leader="none"/>
        </w:tabs>
        <w:spacing w:line="257" w:lineRule="exact" w:before="0" w:after="0"/>
        <w:ind w:left="1132" w:right="0" w:hanging="972"/>
        <w:jc w:val="left"/>
        <w:rPr>
          <w:sz w:val="24"/>
        </w:rPr>
      </w:pPr>
      <w:r>
        <w:rPr>
          <w:sz w:val="24"/>
        </w:rPr>
        <w:t>urethra,</w:t>
      </w:r>
      <w:r>
        <w:rPr>
          <w:spacing w:val="47"/>
          <w:sz w:val="24"/>
        </w:rPr>
        <w:t> </w:t>
      </w:r>
      <w:r>
        <w:rPr>
          <w:sz w:val="24"/>
        </w:rPr>
        <w:t>and</w:t>
      </w:r>
      <w:r>
        <w:rPr>
          <w:spacing w:val="45"/>
          <w:sz w:val="24"/>
        </w:rPr>
        <w:t> </w:t>
      </w:r>
      <w:r>
        <w:rPr>
          <w:sz w:val="24"/>
        </w:rPr>
        <w:t>prostate.</w:t>
      </w:r>
      <w:r>
        <w:rPr>
          <w:spacing w:val="45"/>
          <w:sz w:val="24"/>
        </w:rPr>
        <w:t> </w:t>
      </w:r>
      <w:r>
        <w:rPr>
          <w:sz w:val="24"/>
        </w:rPr>
        <w:t>The</w:t>
      </w:r>
      <w:r>
        <w:rPr>
          <w:spacing w:val="47"/>
          <w:sz w:val="24"/>
        </w:rPr>
        <w:t> </w:t>
      </w:r>
      <w:r>
        <w:rPr>
          <w:sz w:val="24"/>
        </w:rPr>
        <w:t>most</w:t>
      </w:r>
      <w:r>
        <w:rPr>
          <w:spacing w:val="47"/>
          <w:sz w:val="24"/>
        </w:rPr>
        <w:t> </w:t>
      </w:r>
      <w:r>
        <w:rPr>
          <w:sz w:val="24"/>
        </w:rPr>
        <w:t>common</w:t>
      </w:r>
      <w:r>
        <w:rPr>
          <w:spacing w:val="47"/>
          <w:sz w:val="24"/>
        </w:rPr>
        <w:t> </w:t>
      </w:r>
      <w:r>
        <w:rPr>
          <w:sz w:val="24"/>
        </w:rPr>
        <w:t>clinical</w:t>
      </w:r>
      <w:r>
        <w:rPr>
          <w:spacing w:val="46"/>
          <w:sz w:val="24"/>
        </w:rPr>
        <w:t> </w:t>
      </w:r>
      <w:r>
        <w:rPr>
          <w:sz w:val="24"/>
        </w:rPr>
        <w:t>signs</w:t>
      </w:r>
      <w:r>
        <w:rPr>
          <w:spacing w:val="46"/>
          <w:sz w:val="24"/>
        </w:rPr>
        <w:t> </w:t>
      </w:r>
      <w:r>
        <w:rPr>
          <w:sz w:val="24"/>
        </w:rPr>
        <w:t>related</w:t>
      </w:r>
      <w:r>
        <w:rPr>
          <w:spacing w:val="45"/>
          <w:sz w:val="24"/>
        </w:rPr>
        <w:t> </w:t>
      </w:r>
      <w:r>
        <w:rPr>
          <w:sz w:val="24"/>
        </w:rPr>
        <w:t>to</w:t>
      </w:r>
      <w:r>
        <w:rPr>
          <w:spacing w:val="44"/>
          <w:sz w:val="24"/>
        </w:rPr>
        <w:t> </w:t>
      </w:r>
      <w:r>
        <w:rPr>
          <w:sz w:val="24"/>
        </w:rPr>
        <w:t>these</w:t>
      </w:r>
      <w:r>
        <w:rPr>
          <w:spacing w:val="47"/>
          <w:sz w:val="24"/>
        </w:rPr>
        <w:t> </w:t>
      </w:r>
      <w:r>
        <w:rPr>
          <w:sz w:val="24"/>
        </w:rPr>
        <w:t>diseases</w:t>
      </w:r>
      <w:r>
        <w:rPr>
          <w:spacing w:val="46"/>
          <w:sz w:val="24"/>
        </w:rPr>
        <w:t> </w:t>
      </w:r>
      <w:r>
        <w:rPr>
          <w:sz w:val="24"/>
        </w:rPr>
        <w:t>in</w:t>
      </w:r>
      <w:r>
        <w:rPr>
          <w:spacing w:val="47"/>
          <w:sz w:val="24"/>
        </w:rPr>
        <w:t> </w:t>
      </w:r>
      <w:r>
        <w:rPr>
          <w:sz w:val="24"/>
        </w:rPr>
        <w:t>dogs</w:t>
      </w:r>
      <w:r>
        <w:rPr>
          <w:spacing w:val="46"/>
          <w:sz w:val="24"/>
        </w:rPr>
        <w:t> </w:t>
      </w:r>
      <w:r>
        <w:rPr>
          <w:sz w:val="24"/>
        </w:rPr>
        <w:t>are</w:t>
      </w:r>
    </w:p>
    <w:p>
      <w:pPr>
        <w:pStyle w:val="ListParagraph"/>
        <w:numPr>
          <w:ilvl w:val="0"/>
          <w:numId w:val="13"/>
        </w:numPr>
        <w:tabs>
          <w:tab w:pos="1132" w:val="left" w:leader="none"/>
          <w:tab w:pos="1133" w:val="left" w:leader="none"/>
        </w:tabs>
        <w:spacing w:line="342" w:lineRule="exact" w:before="0" w:after="0"/>
        <w:ind w:left="1132" w:right="0" w:hanging="972"/>
        <w:jc w:val="left"/>
        <w:rPr>
          <w:sz w:val="24"/>
        </w:rPr>
      </w:pPr>
      <w:r>
        <w:rPr/>
        <w:pict>
          <v:shape style="position:absolute;margin-left:8pt;margin-top:10.559739pt;width:5.6pt;height:10pt;mso-position-horizontal-relative:page;mso-position-vertical-relative:paragraph;z-index:-93208" type="#_x0000_t202" filled="false" stroked="false">
            <v:textbox inset="0,0,0,0">
              <w:txbxContent>
                <w:p>
                  <w:pPr>
                    <w:spacing w:line="196" w:lineRule="exact" w:before="0"/>
                    <w:ind w:left="0" w:right="0" w:firstLine="0"/>
                    <w:jc w:val="left"/>
                    <w:rPr>
                      <w:sz w:val="20"/>
                    </w:rPr>
                  </w:pPr>
                  <w:r>
                    <w:rPr>
                      <w:sz w:val="20"/>
                    </w:rPr>
                    <w:t>7</w:t>
                  </w:r>
                </w:p>
              </w:txbxContent>
            </v:textbox>
            <w10:wrap type="none"/>
          </v:shape>
        </w:pict>
      </w:r>
      <w:r>
        <w:rPr>
          <w:sz w:val="24"/>
        </w:rPr>
        <w:t>hematuria,</w:t>
      </w:r>
      <w:r>
        <w:rPr>
          <w:spacing w:val="46"/>
          <w:sz w:val="24"/>
        </w:rPr>
        <w:t> </w:t>
      </w:r>
      <w:r>
        <w:rPr>
          <w:sz w:val="24"/>
        </w:rPr>
        <w:t>strangury,</w:t>
      </w:r>
      <w:r>
        <w:rPr>
          <w:spacing w:val="46"/>
          <w:sz w:val="24"/>
        </w:rPr>
        <w:t> </w:t>
      </w:r>
      <w:r>
        <w:rPr>
          <w:sz w:val="24"/>
        </w:rPr>
        <w:t>dysuria,</w:t>
      </w:r>
      <w:r>
        <w:rPr>
          <w:spacing w:val="46"/>
          <w:sz w:val="24"/>
        </w:rPr>
        <w:t> </w:t>
      </w:r>
      <w:r>
        <w:rPr>
          <w:sz w:val="24"/>
        </w:rPr>
        <w:t>pollakiuria,</w:t>
      </w:r>
      <w:r>
        <w:rPr>
          <w:spacing w:val="46"/>
          <w:sz w:val="24"/>
        </w:rPr>
        <w:t> </w:t>
      </w:r>
      <w:r>
        <w:rPr>
          <w:sz w:val="24"/>
        </w:rPr>
        <w:t>urinary</w:t>
      </w:r>
      <w:r>
        <w:rPr>
          <w:spacing w:val="46"/>
          <w:sz w:val="24"/>
        </w:rPr>
        <w:t> </w:t>
      </w:r>
      <w:r>
        <w:rPr>
          <w:sz w:val="24"/>
        </w:rPr>
        <w:t>incontinence,</w:t>
      </w:r>
      <w:r>
        <w:rPr>
          <w:spacing w:val="44"/>
          <w:sz w:val="24"/>
        </w:rPr>
        <w:t> </w:t>
      </w:r>
      <w:r>
        <w:rPr>
          <w:sz w:val="24"/>
        </w:rPr>
        <w:t>or</w:t>
      </w:r>
      <w:r>
        <w:rPr>
          <w:spacing w:val="44"/>
          <w:sz w:val="24"/>
        </w:rPr>
        <w:t> </w:t>
      </w:r>
      <w:r>
        <w:rPr>
          <w:sz w:val="24"/>
        </w:rPr>
        <w:t>urine</w:t>
      </w:r>
      <w:r>
        <w:rPr>
          <w:spacing w:val="46"/>
          <w:sz w:val="24"/>
        </w:rPr>
        <w:t> </w:t>
      </w:r>
      <w:r>
        <w:rPr>
          <w:sz w:val="24"/>
        </w:rPr>
        <w:t>that</w:t>
      </w:r>
      <w:r>
        <w:rPr>
          <w:spacing w:val="45"/>
          <w:sz w:val="24"/>
        </w:rPr>
        <w:t> </w:t>
      </w:r>
      <w:r>
        <w:rPr>
          <w:sz w:val="24"/>
        </w:rPr>
        <w:t>burns</w:t>
      </w:r>
      <w:r>
        <w:rPr>
          <w:spacing w:val="43"/>
          <w:sz w:val="24"/>
        </w:rPr>
        <w:t> </w:t>
      </w:r>
      <w:r>
        <w:rPr>
          <w:sz w:val="24"/>
        </w:rPr>
        <w:t>the</w:t>
      </w:r>
      <w:r>
        <w:rPr>
          <w:spacing w:val="46"/>
          <w:sz w:val="24"/>
        </w:rPr>
        <w:t> </w:t>
      </w:r>
      <w:r>
        <w:rPr>
          <w:sz w:val="24"/>
        </w:rPr>
        <w:t>skin</w:t>
      </w:r>
    </w:p>
    <w:p>
      <w:pPr>
        <w:pStyle w:val="ListParagraph"/>
        <w:numPr>
          <w:ilvl w:val="0"/>
          <w:numId w:val="14"/>
        </w:numPr>
        <w:tabs>
          <w:tab w:pos="1132" w:val="left" w:leader="none"/>
          <w:tab w:pos="1133" w:val="left" w:leader="none"/>
        </w:tabs>
        <w:spacing w:line="290" w:lineRule="exact" w:before="0" w:after="0"/>
        <w:ind w:left="1132" w:right="0" w:hanging="972"/>
        <w:jc w:val="left"/>
        <w:rPr>
          <w:sz w:val="24"/>
        </w:rPr>
      </w:pPr>
      <w:r>
        <w:rPr>
          <w:sz w:val="24"/>
        </w:rPr>
        <w:t>(Bartges 2004). However, none of these signs is indicative of a specific disease, such as  </w:t>
      </w:r>
      <w:r>
        <w:rPr>
          <w:spacing w:val="45"/>
          <w:sz w:val="24"/>
        </w:rPr>
        <w:t> </w:t>
      </w:r>
      <w:r>
        <w:rPr>
          <w:sz w:val="24"/>
        </w:rPr>
        <w:t>bacterial</w:t>
      </w:r>
    </w:p>
    <w:p>
      <w:pPr>
        <w:pStyle w:val="ListParagraph"/>
        <w:numPr>
          <w:ilvl w:val="0"/>
          <w:numId w:val="14"/>
        </w:numPr>
        <w:tabs>
          <w:tab w:pos="1132" w:val="left" w:leader="none"/>
          <w:tab w:pos="1133" w:val="left" w:leader="none"/>
        </w:tabs>
        <w:spacing w:line="259" w:lineRule="exact" w:before="0" w:after="0"/>
        <w:ind w:left="1132" w:right="0" w:hanging="972"/>
        <w:jc w:val="left"/>
        <w:rPr>
          <w:sz w:val="24"/>
        </w:rPr>
      </w:pPr>
      <w:r>
        <w:rPr>
          <w:sz w:val="24"/>
        </w:rPr>
        <w:t>urinary tract infection, urolithiasis, micturition disorders or prostate</w:t>
      </w:r>
      <w:r>
        <w:rPr>
          <w:spacing w:val="-33"/>
          <w:sz w:val="24"/>
        </w:rPr>
        <w:t> </w:t>
      </w:r>
      <w:r>
        <w:rPr>
          <w:sz w:val="24"/>
        </w:rPr>
        <w:t>diseases.</w:t>
      </w:r>
    </w:p>
    <w:p>
      <w:pPr>
        <w:spacing w:line="216" w:lineRule="exact" w:before="0"/>
        <w:ind w:left="160" w:right="0" w:firstLine="0"/>
        <w:jc w:val="left"/>
        <w:rPr>
          <w:sz w:val="20"/>
        </w:rPr>
      </w:pPr>
      <w:r>
        <w:rPr>
          <w:sz w:val="20"/>
        </w:rPr>
        <w:t>10</w:t>
      </w:r>
    </w:p>
    <w:p>
      <w:pPr>
        <w:pStyle w:val="ListParagraph"/>
        <w:numPr>
          <w:ilvl w:val="0"/>
          <w:numId w:val="15"/>
        </w:numPr>
        <w:tabs>
          <w:tab w:pos="1840" w:val="left" w:leader="none"/>
          <w:tab w:pos="1841" w:val="left" w:leader="none"/>
        </w:tabs>
        <w:spacing w:line="260" w:lineRule="exact" w:before="0" w:after="0"/>
        <w:ind w:left="1840" w:right="0" w:hanging="1680"/>
        <w:jc w:val="left"/>
        <w:rPr>
          <w:sz w:val="24"/>
        </w:rPr>
      </w:pPr>
      <w:r>
        <w:rPr>
          <w:sz w:val="24"/>
        </w:rPr>
        <w:t>In  humans,  there  have  been  variations  in  the  reported frequency  of  different</w:t>
      </w:r>
      <w:r>
        <w:rPr>
          <w:spacing w:val="-9"/>
          <w:sz w:val="24"/>
        </w:rPr>
        <w:t> </w:t>
      </w:r>
      <w:r>
        <w:rPr>
          <w:sz w:val="24"/>
        </w:rPr>
        <w:t>diseases</w:t>
      </w:r>
    </w:p>
    <w:p>
      <w:pPr>
        <w:pStyle w:val="ListParagraph"/>
        <w:numPr>
          <w:ilvl w:val="0"/>
          <w:numId w:val="15"/>
        </w:numPr>
        <w:tabs>
          <w:tab w:pos="1132" w:val="left" w:leader="none"/>
          <w:tab w:pos="1133" w:val="left" w:leader="none"/>
        </w:tabs>
        <w:spacing w:line="256" w:lineRule="exact" w:before="0" w:after="0"/>
        <w:ind w:left="1132" w:right="0" w:hanging="972"/>
        <w:jc w:val="left"/>
        <w:rPr>
          <w:sz w:val="24"/>
        </w:rPr>
      </w:pPr>
      <w:r>
        <w:rPr>
          <w:sz w:val="24"/>
        </w:rPr>
        <w:t>affecting the lower urinary tract from one population to another, and hence epidemiological</w:t>
      </w:r>
      <w:r>
        <w:rPr>
          <w:spacing w:val="4"/>
          <w:sz w:val="24"/>
        </w:rPr>
        <w:t> </w:t>
      </w:r>
      <w:r>
        <w:rPr>
          <w:sz w:val="24"/>
        </w:rPr>
        <w:t>data,</w:t>
      </w:r>
    </w:p>
    <w:p>
      <w:pPr>
        <w:pStyle w:val="ListParagraph"/>
        <w:numPr>
          <w:ilvl w:val="0"/>
          <w:numId w:val="15"/>
        </w:numPr>
        <w:tabs>
          <w:tab w:pos="1132" w:val="left" w:leader="none"/>
          <w:tab w:pos="1133" w:val="left" w:leader="none"/>
        </w:tabs>
        <w:spacing w:line="258" w:lineRule="exact" w:before="0" w:after="0"/>
        <w:ind w:left="1132" w:right="0" w:hanging="972"/>
        <w:jc w:val="left"/>
        <w:rPr>
          <w:sz w:val="24"/>
        </w:rPr>
      </w:pPr>
      <w:r>
        <w:rPr>
          <w:sz w:val="24"/>
        </w:rPr>
        <w:t>such as geographical region, age, gender, breed, diet, and genetic predisposition, are   </w:t>
      </w:r>
      <w:r>
        <w:rPr>
          <w:spacing w:val="7"/>
          <w:sz w:val="24"/>
        </w:rPr>
        <w:t> </w:t>
      </w:r>
      <w:r>
        <w:rPr>
          <w:sz w:val="24"/>
        </w:rPr>
        <w:t>considered</w:t>
      </w:r>
    </w:p>
    <w:p>
      <w:pPr>
        <w:spacing w:line="115" w:lineRule="exact" w:before="0"/>
        <w:ind w:left="160" w:right="0" w:firstLine="0"/>
        <w:jc w:val="left"/>
        <w:rPr>
          <w:sz w:val="20"/>
        </w:rPr>
      </w:pPr>
      <w:r>
        <w:rPr/>
        <w:pict>
          <v:shape style="position:absolute;margin-left:116.872412pt;margin-top:167.852003pt;width:376.45pt;height:48pt;mso-position-horizontal-relative:page;mso-position-vertical-relative:paragraph;z-index:-93232;rotation:51" type="#_x0000_t136" fillcolor="#d6f1fe" stroked="f">
            <o:extrusion v:ext="view" autorotationcenter="t"/>
            <v:textpath style="font-family:&amp;quot;Arial&amp;quot;;font-size:48pt;v-text-kern:t;mso-text-shadow:auto;font-weight:bold" string="For Review Only"/>
            <w10:wrap type="none"/>
          </v:shape>
        </w:pict>
      </w:r>
      <w:r>
        <w:rPr>
          <w:sz w:val="20"/>
        </w:rPr>
        <w:t>14</w:t>
      </w:r>
    </w:p>
    <w:p>
      <w:pPr>
        <w:pStyle w:val="ListParagraph"/>
        <w:numPr>
          <w:ilvl w:val="0"/>
          <w:numId w:val="16"/>
        </w:numPr>
        <w:tabs>
          <w:tab w:pos="1132" w:val="left" w:leader="none"/>
          <w:tab w:pos="1133" w:val="left" w:leader="none"/>
        </w:tabs>
        <w:spacing w:line="258" w:lineRule="exact" w:before="0" w:after="0"/>
        <w:ind w:left="1132" w:right="0" w:hanging="972"/>
        <w:jc w:val="left"/>
        <w:rPr>
          <w:sz w:val="24"/>
        </w:rPr>
      </w:pPr>
      <w:r>
        <w:rPr>
          <w:sz w:val="24"/>
        </w:rPr>
        <w:t>as</w:t>
      </w:r>
      <w:r>
        <w:rPr>
          <w:spacing w:val="11"/>
          <w:sz w:val="24"/>
        </w:rPr>
        <w:t> </w:t>
      </w:r>
      <w:r>
        <w:rPr>
          <w:sz w:val="24"/>
        </w:rPr>
        <w:t>risk</w:t>
      </w:r>
      <w:r>
        <w:rPr>
          <w:spacing w:val="10"/>
          <w:sz w:val="24"/>
        </w:rPr>
        <w:t> </w:t>
      </w:r>
      <w:r>
        <w:rPr>
          <w:sz w:val="24"/>
        </w:rPr>
        <w:t>factors</w:t>
      </w:r>
      <w:r>
        <w:rPr>
          <w:spacing w:val="11"/>
          <w:sz w:val="24"/>
        </w:rPr>
        <w:t> </w:t>
      </w:r>
      <w:r>
        <w:rPr>
          <w:sz w:val="24"/>
        </w:rPr>
        <w:t>(Medina</w:t>
      </w:r>
      <w:r>
        <w:rPr>
          <w:spacing w:val="14"/>
          <w:sz w:val="24"/>
        </w:rPr>
        <w:t> </w:t>
      </w:r>
      <w:r>
        <w:rPr>
          <w:sz w:val="24"/>
        </w:rPr>
        <w:t>et</w:t>
      </w:r>
      <w:r>
        <w:rPr>
          <w:spacing w:val="11"/>
          <w:sz w:val="24"/>
        </w:rPr>
        <w:t> </w:t>
      </w:r>
      <w:r>
        <w:rPr>
          <w:sz w:val="24"/>
        </w:rPr>
        <w:t>al.</w:t>
      </w:r>
      <w:r>
        <w:rPr>
          <w:spacing w:val="12"/>
          <w:sz w:val="24"/>
        </w:rPr>
        <w:t> </w:t>
      </w:r>
      <w:r>
        <w:rPr>
          <w:sz w:val="24"/>
        </w:rPr>
        <w:t>2004).</w:t>
      </w:r>
      <w:r>
        <w:rPr>
          <w:spacing w:val="12"/>
          <w:sz w:val="24"/>
        </w:rPr>
        <w:t> </w:t>
      </w:r>
      <w:r>
        <w:rPr>
          <w:sz w:val="24"/>
        </w:rPr>
        <w:t>However,</w:t>
      </w:r>
      <w:r>
        <w:rPr>
          <w:spacing w:val="12"/>
          <w:sz w:val="24"/>
        </w:rPr>
        <w:t> </w:t>
      </w:r>
      <w:r>
        <w:rPr>
          <w:sz w:val="24"/>
        </w:rPr>
        <w:t>there</w:t>
      </w:r>
      <w:r>
        <w:rPr>
          <w:spacing w:val="12"/>
          <w:sz w:val="24"/>
        </w:rPr>
        <w:t> </w:t>
      </w:r>
      <w:r>
        <w:rPr>
          <w:sz w:val="24"/>
        </w:rPr>
        <w:t>is</w:t>
      </w:r>
      <w:r>
        <w:rPr>
          <w:spacing w:val="11"/>
          <w:sz w:val="24"/>
        </w:rPr>
        <w:t> </w:t>
      </w:r>
      <w:r>
        <w:rPr>
          <w:sz w:val="24"/>
        </w:rPr>
        <w:t>little</w:t>
      </w:r>
      <w:r>
        <w:rPr>
          <w:spacing w:val="12"/>
          <w:sz w:val="24"/>
        </w:rPr>
        <w:t> </w:t>
      </w:r>
      <w:r>
        <w:rPr>
          <w:sz w:val="24"/>
        </w:rPr>
        <w:t>data</w:t>
      </w:r>
      <w:r>
        <w:rPr>
          <w:spacing w:val="11"/>
          <w:sz w:val="24"/>
        </w:rPr>
        <w:t> </w:t>
      </w:r>
      <w:r>
        <w:rPr>
          <w:sz w:val="24"/>
        </w:rPr>
        <w:t>regarding</w:t>
      </w:r>
      <w:r>
        <w:rPr>
          <w:spacing w:val="10"/>
          <w:sz w:val="24"/>
        </w:rPr>
        <w:t> </w:t>
      </w:r>
      <w:r>
        <w:rPr>
          <w:sz w:val="24"/>
        </w:rPr>
        <w:t>risk</w:t>
      </w:r>
      <w:r>
        <w:rPr>
          <w:spacing w:val="12"/>
          <w:sz w:val="24"/>
        </w:rPr>
        <w:t> </w:t>
      </w:r>
      <w:r>
        <w:rPr>
          <w:sz w:val="24"/>
        </w:rPr>
        <w:t>factors</w:t>
      </w:r>
      <w:r>
        <w:rPr>
          <w:spacing w:val="11"/>
          <w:sz w:val="24"/>
        </w:rPr>
        <w:t> </w:t>
      </w:r>
      <w:r>
        <w:rPr>
          <w:sz w:val="24"/>
        </w:rPr>
        <w:t>for</w:t>
      </w:r>
      <w:r>
        <w:rPr>
          <w:spacing w:val="10"/>
          <w:sz w:val="24"/>
        </w:rPr>
        <w:t> </w:t>
      </w:r>
      <w:r>
        <w:rPr>
          <w:sz w:val="24"/>
        </w:rPr>
        <w:t>LUTD</w:t>
      </w:r>
    </w:p>
    <w:p>
      <w:pPr>
        <w:pStyle w:val="ListParagraph"/>
        <w:numPr>
          <w:ilvl w:val="0"/>
          <w:numId w:val="16"/>
        </w:numPr>
        <w:tabs>
          <w:tab w:pos="1132" w:val="left" w:leader="none"/>
          <w:tab w:pos="1133" w:val="left" w:leader="none"/>
        </w:tabs>
        <w:spacing w:line="256" w:lineRule="exact" w:before="0" w:after="0"/>
        <w:ind w:left="1132" w:right="0" w:hanging="972"/>
        <w:jc w:val="left"/>
        <w:rPr>
          <w:sz w:val="24"/>
        </w:rPr>
      </w:pPr>
      <w:r>
        <w:rPr>
          <w:position w:val="1"/>
          <w:sz w:val="24"/>
        </w:rPr>
        <w:t>in humans in</w:t>
      </w:r>
      <w:r>
        <w:rPr>
          <w:spacing w:val="-7"/>
          <w:position w:val="1"/>
          <w:sz w:val="24"/>
        </w:rPr>
        <w:t> </w:t>
      </w:r>
      <w:r>
        <w:rPr>
          <w:position w:val="1"/>
          <w:sz w:val="24"/>
        </w:rPr>
        <w:t>Mexico.</w:t>
      </w:r>
    </w:p>
    <w:p>
      <w:pPr>
        <w:spacing w:line="215" w:lineRule="exact" w:before="2"/>
        <w:ind w:left="160" w:right="0" w:firstLine="0"/>
        <w:jc w:val="left"/>
        <w:rPr>
          <w:sz w:val="20"/>
        </w:rPr>
      </w:pPr>
      <w:r>
        <w:rPr>
          <w:sz w:val="20"/>
        </w:rPr>
        <w:t>17</w:t>
      </w:r>
    </w:p>
    <w:p>
      <w:pPr>
        <w:pStyle w:val="ListParagraph"/>
        <w:numPr>
          <w:ilvl w:val="0"/>
          <w:numId w:val="17"/>
        </w:numPr>
        <w:tabs>
          <w:tab w:pos="1840" w:val="left" w:leader="none"/>
          <w:tab w:pos="1841" w:val="left" w:leader="none"/>
        </w:tabs>
        <w:spacing w:line="261" w:lineRule="exact" w:before="0" w:after="0"/>
        <w:ind w:left="1840" w:right="0" w:hanging="1680"/>
        <w:jc w:val="left"/>
        <w:rPr>
          <w:sz w:val="24"/>
        </w:rPr>
      </w:pPr>
      <w:r>
        <w:rPr>
          <w:sz w:val="24"/>
        </w:rPr>
        <w:t>In</w:t>
      </w:r>
      <w:r>
        <w:rPr>
          <w:spacing w:val="-4"/>
          <w:sz w:val="24"/>
        </w:rPr>
        <w:t> </w:t>
      </w:r>
      <w:r>
        <w:rPr>
          <w:sz w:val="24"/>
        </w:rPr>
        <w:t>small</w:t>
      </w:r>
      <w:r>
        <w:rPr>
          <w:spacing w:val="-5"/>
          <w:sz w:val="24"/>
        </w:rPr>
        <w:t> </w:t>
      </w:r>
      <w:r>
        <w:rPr>
          <w:sz w:val="24"/>
        </w:rPr>
        <w:t>animal</w:t>
      </w:r>
      <w:r>
        <w:rPr>
          <w:spacing w:val="-5"/>
          <w:sz w:val="24"/>
        </w:rPr>
        <w:t> </w:t>
      </w:r>
      <w:r>
        <w:rPr>
          <w:sz w:val="24"/>
        </w:rPr>
        <w:t>veterinary</w:t>
      </w:r>
      <w:r>
        <w:rPr>
          <w:spacing w:val="-5"/>
          <w:sz w:val="24"/>
        </w:rPr>
        <w:t> </w:t>
      </w:r>
      <w:r>
        <w:rPr>
          <w:sz w:val="24"/>
        </w:rPr>
        <w:t>medicine,</w:t>
      </w:r>
      <w:r>
        <w:rPr>
          <w:spacing w:val="-3"/>
          <w:sz w:val="24"/>
        </w:rPr>
        <w:t> </w:t>
      </w:r>
      <w:r>
        <w:rPr>
          <w:sz w:val="24"/>
        </w:rPr>
        <w:t>few</w:t>
      </w:r>
      <w:r>
        <w:rPr>
          <w:spacing w:val="-5"/>
          <w:sz w:val="24"/>
        </w:rPr>
        <w:t> </w:t>
      </w:r>
      <w:r>
        <w:rPr>
          <w:sz w:val="24"/>
        </w:rPr>
        <w:t>epidemiological</w:t>
      </w:r>
      <w:r>
        <w:rPr>
          <w:spacing w:val="-5"/>
          <w:sz w:val="24"/>
        </w:rPr>
        <w:t> </w:t>
      </w:r>
      <w:r>
        <w:rPr>
          <w:sz w:val="24"/>
        </w:rPr>
        <w:t>studies</w:t>
      </w:r>
      <w:r>
        <w:rPr>
          <w:spacing w:val="-4"/>
          <w:sz w:val="24"/>
        </w:rPr>
        <w:t> </w:t>
      </w:r>
      <w:r>
        <w:rPr>
          <w:sz w:val="24"/>
        </w:rPr>
        <w:t>have</w:t>
      </w:r>
      <w:r>
        <w:rPr>
          <w:spacing w:val="-2"/>
          <w:sz w:val="24"/>
        </w:rPr>
        <w:t> </w:t>
      </w:r>
      <w:r>
        <w:rPr>
          <w:sz w:val="24"/>
        </w:rPr>
        <w:t>been</w:t>
      </w:r>
      <w:r>
        <w:rPr>
          <w:spacing w:val="-4"/>
          <w:sz w:val="24"/>
        </w:rPr>
        <w:t> </w:t>
      </w:r>
      <w:r>
        <w:rPr>
          <w:sz w:val="24"/>
        </w:rPr>
        <w:t>published</w:t>
      </w:r>
      <w:r>
        <w:rPr>
          <w:spacing w:val="-5"/>
          <w:sz w:val="24"/>
        </w:rPr>
        <w:t> </w:t>
      </w:r>
      <w:r>
        <w:rPr>
          <w:sz w:val="24"/>
        </w:rPr>
        <w:t>that</w:t>
      </w:r>
    </w:p>
    <w:p>
      <w:pPr>
        <w:pStyle w:val="ListParagraph"/>
        <w:numPr>
          <w:ilvl w:val="0"/>
          <w:numId w:val="17"/>
        </w:numPr>
        <w:tabs>
          <w:tab w:pos="1132" w:val="left" w:leader="none"/>
          <w:tab w:pos="1133" w:val="left" w:leader="none"/>
        </w:tabs>
        <w:spacing w:line="257" w:lineRule="exact" w:before="0" w:after="0"/>
        <w:ind w:left="1132" w:right="0" w:hanging="972"/>
        <w:jc w:val="left"/>
        <w:rPr>
          <w:sz w:val="24"/>
        </w:rPr>
      </w:pPr>
      <w:r>
        <w:rPr>
          <w:sz w:val="24"/>
        </w:rPr>
        <w:t>have  studied  these  pathologies.  Bartges  (2004)  in  USA  reported  that  LUTD  occurred   </w:t>
      </w:r>
      <w:r>
        <w:rPr>
          <w:spacing w:val="25"/>
          <w:sz w:val="24"/>
        </w:rPr>
        <w:t> </w:t>
      </w:r>
      <w:r>
        <w:rPr>
          <w:sz w:val="24"/>
        </w:rPr>
        <w:t>more</w:t>
      </w:r>
    </w:p>
    <w:p>
      <w:pPr>
        <w:pStyle w:val="ListParagraph"/>
        <w:numPr>
          <w:ilvl w:val="0"/>
          <w:numId w:val="17"/>
        </w:numPr>
        <w:tabs>
          <w:tab w:pos="1132" w:val="left" w:leader="none"/>
          <w:tab w:pos="1133" w:val="left" w:leader="none"/>
        </w:tabs>
        <w:spacing w:line="257" w:lineRule="exact" w:before="0" w:after="0"/>
        <w:ind w:left="1132" w:right="0" w:hanging="972"/>
        <w:jc w:val="left"/>
        <w:rPr>
          <w:sz w:val="24"/>
        </w:rPr>
      </w:pPr>
      <w:r>
        <w:rPr>
          <w:sz w:val="24"/>
        </w:rPr>
        <w:t>frequently</w:t>
      </w:r>
      <w:r>
        <w:rPr>
          <w:spacing w:val="28"/>
          <w:sz w:val="24"/>
        </w:rPr>
        <w:t> </w:t>
      </w:r>
      <w:r>
        <w:rPr>
          <w:sz w:val="24"/>
        </w:rPr>
        <w:t>in</w:t>
      </w:r>
      <w:r>
        <w:rPr>
          <w:spacing w:val="30"/>
          <w:sz w:val="24"/>
        </w:rPr>
        <w:t> </w:t>
      </w:r>
      <w:r>
        <w:rPr>
          <w:sz w:val="24"/>
        </w:rPr>
        <w:t>cats</w:t>
      </w:r>
      <w:r>
        <w:rPr>
          <w:spacing w:val="30"/>
          <w:sz w:val="24"/>
        </w:rPr>
        <w:t> </w:t>
      </w:r>
      <w:r>
        <w:rPr>
          <w:sz w:val="24"/>
        </w:rPr>
        <w:t>(7.3%)</w:t>
      </w:r>
      <w:r>
        <w:rPr>
          <w:spacing w:val="29"/>
          <w:sz w:val="24"/>
        </w:rPr>
        <w:t> </w:t>
      </w:r>
      <w:r>
        <w:rPr>
          <w:sz w:val="24"/>
        </w:rPr>
        <w:t>than</w:t>
      </w:r>
      <w:r>
        <w:rPr>
          <w:spacing w:val="30"/>
          <w:sz w:val="24"/>
        </w:rPr>
        <w:t> </w:t>
      </w:r>
      <w:r>
        <w:rPr>
          <w:sz w:val="24"/>
        </w:rPr>
        <w:t>in</w:t>
      </w:r>
      <w:r>
        <w:rPr>
          <w:spacing w:val="30"/>
          <w:sz w:val="24"/>
        </w:rPr>
        <w:t> </w:t>
      </w:r>
      <w:r>
        <w:rPr>
          <w:sz w:val="24"/>
        </w:rPr>
        <w:t>dogs</w:t>
      </w:r>
      <w:r>
        <w:rPr>
          <w:spacing w:val="30"/>
          <w:sz w:val="24"/>
        </w:rPr>
        <w:t> </w:t>
      </w:r>
      <w:r>
        <w:rPr>
          <w:sz w:val="24"/>
        </w:rPr>
        <w:t>(3%),</w:t>
      </w:r>
      <w:r>
        <w:rPr>
          <w:spacing w:val="31"/>
          <w:sz w:val="24"/>
        </w:rPr>
        <w:t> </w:t>
      </w:r>
      <w:r>
        <w:rPr>
          <w:sz w:val="24"/>
        </w:rPr>
        <w:t>in</w:t>
      </w:r>
      <w:r>
        <w:rPr>
          <w:spacing w:val="30"/>
          <w:sz w:val="24"/>
        </w:rPr>
        <w:t> </w:t>
      </w:r>
      <w:r>
        <w:rPr>
          <w:sz w:val="24"/>
        </w:rPr>
        <w:t>dogs</w:t>
      </w:r>
      <w:r>
        <w:rPr>
          <w:spacing w:val="29"/>
          <w:sz w:val="24"/>
        </w:rPr>
        <w:t> </w:t>
      </w:r>
      <w:r>
        <w:rPr>
          <w:sz w:val="24"/>
        </w:rPr>
        <w:t>the</w:t>
      </w:r>
      <w:r>
        <w:rPr>
          <w:spacing w:val="30"/>
          <w:sz w:val="24"/>
        </w:rPr>
        <w:t> </w:t>
      </w:r>
      <w:r>
        <w:rPr>
          <w:sz w:val="24"/>
        </w:rPr>
        <w:t>most</w:t>
      </w:r>
      <w:r>
        <w:rPr>
          <w:spacing w:val="29"/>
          <w:sz w:val="24"/>
        </w:rPr>
        <w:t> </w:t>
      </w:r>
      <w:r>
        <w:rPr>
          <w:sz w:val="24"/>
        </w:rPr>
        <w:t>common</w:t>
      </w:r>
      <w:r>
        <w:rPr>
          <w:spacing w:val="30"/>
          <w:sz w:val="24"/>
        </w:rPr>
        <w:t> </w:t>
      </w:r>
      <w:r>
        <w:rPr>
          <w:sz w:val="24"/>
        </w:rPr>
        <w:t>diseases</w:t>
      </w:r>
      <w:r>
        <w:rPr>
          <w:spacing w:val="29"/>
          <w:sz w:val="24"/>
        </w:rPr>
        <w:t> </w:t>
      </w:r>
      <w:r>
        <w:rPr>
          <w:sz w:val="24"/>
        </w:rPr>
        <w:t>were</w:t>
      </w:r>
      <w:r>
        <w:rPr>
          <w:spacing w:val="30"/>
          <w:sz w:val="24"/>
        </w:rPr>
        <w:t> </w:t>
      </w:r>
      <w:r>
        <w:rPr>
          <w:sz w:val="24"/>
        </w:rPr>
        <w:t>urinary</w:t>
      </w:r>
    </w:p>
    <w:p>
      <w:pPr>
        <w:pStyle w:val="ListParagraph"/>
        <w:numPr>
          <w:ilvl w:val="0"/>
          <w:numId w:val="17"/>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53474pt;width:11.15pt;height:10pt;mso-position-horizontal-relative:page;mso-position-vertical-relative:paragraph;z-index:-93184" type="#_x0000_t202" filled="false" stroked="false">
            <v:textbox inset="0,0,0,0">
              <w:txbxContent>
                <w:p>
                  <w:pPr>
                    <w:spacing w:line="196" w:lineRule="exact" w:before="0"/>
                    <w:ind w:left="0" w:right="-20" w:firstLine="0"/>
                    <w:jc w:val="left"/>
                    <w:rPr>
                      <w:sz w:val="20"/>
                    </w:rPr>
                  </w:pPr>
                  <w:r>
                    <w:rPr>
                      <w:sz w:val="20"/>
                    </w:rPr>
                    <w:t>22</w:t>
                  </w:r>
                </w:p>
              </w:txbxContent>
            </v:textbox>
            <w10:wrap type="none"/>
          </v:shape>
        </w:pict>
      </w:r>
      <w:r>
        <w:rPr>
          <w:sz w:val="24"/>
        </w:rPr>
        <w:t>tract infection (14%) and urolithiasis (3%). Inkelmann et al. (2012a) in Brazil studied</w:t>
      </w:r>
      <w:r>
        <w:rPr>
          <w:spacing w:val="-12"/>
          <w:sz w:val="24"/>
        </w:rPr>
        <w:t> </w:t>
      </w:r>
      <w:r>
        <w:rPr>
          <w:sz w:val="24"/>
        </w:rPr>
        <w:t>necropsied</w:t>
      </w:r>
    </w:p>
    <w:p>
      <w:pPr>
        <w:pStyle w:val="ListParagraph"/>
        <w:numPr>
          <w:ilvl w:val="0"/>
          <w:numId w:val="18"/>
        </w:numPr>
        <w:tabs>
          <w:tab w:pos="1132" w:val="left" w:leader="none"/>
          <w:tab w:pos="1133" w:val="left" w:leader="none"/>
        </w:tabs>
        <w:spacing w:line="290" w:lineRule="exact" w:before="0" w:after="0"/>
        <w:ind w:left="1132" w:right="0" w:hanging="972"/>
        <w:jc w:val="left"/>
        <w:rPr>
          <w:sz w:val="24"/>
        </w:rPr>
      </w:pPr>
      <w:r>
        <w:rPr>
          <w:sz w:val="24"/>
        </w:rPr>
        <w:t>dogs</w:t>
      </w:r>
      <w:r>
        <w:rPr>
          <w:spacing w:val="31"/>
          <w:sz w:val="24"/>
        </w:rPr>
        <w:t> </w:t>
      </w:r>
      <w:r>
        <w:rPr>
          <w:sz w:val="24"/>
        </w:rPr>
        <w:t>with</w:t>
      </w:r>
      <w:r>
        <w:rPr>
          <w:spacing w:val="30"/>
          <w:sz w:val="24"/>
        </w:rPr>
        <w:t> </w:t>
      </w:r>
      <w:r>
        <w:rPr>
          <w:sz w:val="24"/>
        </w:rPr>
        <w:t>lesion</w:t>
      </w:r>
      <w:r>
        <w:rPr>
          <w:spacing w:val="31"/>
          <w:sz w:val="24"/>
        </w:rPr>
        <w:t> </w:t>
      </w:r>
      <w:r>
        <w:rPr>
          <w:sz w:val="24"/>
        </w:rPr>
        <w:t>in</w:t>
      </w:r>
      <w:r>
        <w:rPr>
          <w:spacing w:val="31"/>
          <w:sz w:val="24"/>
        </w:rPr>
        <w:t> </w:t>
      </w:r>
      <w:r>
        <w:rPr>
          <w:sz w:val="24"/>
        </w:rPr>
        <w:t>the</w:t>
      </w:r>
      <w:r>
        <w:rPr>
          <w:spacing w:val="29"/>
          <w:sz w:val="24"/>
        </w:rPr>
        <w:t> </w:t>
      </w:r>
      <w:r>
        <w:rPr>
          <w:sz w:val="24"/>
        </w:rPr>
        <w:t>urinary</w:t>
      </w:r>
      <w:r>
        <w:rPr>
          <w:spacing w:val="30"/>
          <w:sz w:val="24"/>
        </w:rPr>
        <w:t> </w:t>
      </w:r>
      <w:r>
        <w:rPr>
          <w:sz w:val="24"/>
        </w:rPr>
        <w:t>tract</w:t>
      </w:r>
      <w:r>
        <w:rPr>
          <w:spacing w:val="31"/>
          <w:sz w:val="24"/>
        </w:rPr>
        <w:t> </w:t>
      </w:r>
      <w:r>
        <w:rPr>
          <w:sz w:val="24"/>
        </w:rPr>
        <w:t>system,</w:t>
      </w:r>
      <w:r>
        <w:rPr>
          <w:spacing w:val="29"/>
          <w:sz w:val="24"/>
        </w:rPr>
        <w:t> </w:t>
      </w:r>
      <w:r>
        <w:rPr>
          <w:sz w:val="24"/>
        </w:rPr>
        <w:t>and</w:t>
      </w:r>
      <w:r>
        <w:rPr>
          <w:spacing w:val="29"/>
          <w:sz w:val="24"/>
        </w:rPr>
        <w:t> </w:t>
      </w:r>
      <w:r>
        <w:rPr>
          <w:sz w:val="24"/>
        </w:rPr>
        <w:t>reported</w:t>
      </w:r>
      <w:r>
        <w:rPr>
          <w:spacing w:val="29"/>
          <w:sz w:val="24"/>
        </w:rPr>
        <w:t> </w:t>
      </w:r>
      <w:r>
        <w:rPr>
          <w:sz w:val="24"/>
        </w:rPr>
        <w:t>26.2%</w:t>
      </w:r>
      <w:r>
        <w:rPr>
          <w:spacing w:val="31"/>
          <w:sz w:val="24"/>
        </w:rPr>
        <w:t> </w:t>
      </w:r>
      <w:r>
        <w:rPr>
          <w:sz w:val="24"/>
        </w:rPr>
        <w:t>lesions</w:t>
      </w:r>
      <w:r>
        <w:rPr>
          <w:spacing w:val="30"/>
          <w:sz w:val="24"/>
        </w:rPr>
        <w:t> </w:t>
      </w:r>
      <w:r>
        <w:rPr>
          <w:sz w:val="24"/>
        </w:rPr>
        <w:t>of</w:t>
      </w:r>
      <w:r>
        <w:rPr>
          <w:spacing w:val="30"/>
          <w:sz w:val="24"/>
        </w:rPr>
        <w:t> </w:t>
      </w:r>
      <w:r>
        <w:rPr>
          <w:sz w:val="24"/>
        </w:rPr>
        <w:t>the</w:t>
      </w:r>
      <w:r>
        <w:rPr>
          <w:spacing w:val="31"/>
          <w:sz w:val="24"/>
        </w:rPr>
        <w:t> </w:t>
      </w:r>
      <w:r>
        <w:rPr>
          <w:sz w:val="24"/>
        </w:rPr>
        <w:t>lower</w:t>
      </w:r>
      <w:r>
        <w:rPr>
          <w:spacing w:val="29"/>
          <w:sz w:val="24"/>
        </w:rPr>
        <w:t> </w:t>
      </w:r>
      <w:r>
        <w:rPr>
          <w:sz w:val="24"/>
        </w:rPr>
        <w:t>urinary</w:t>
      </w:r>
    </w:p>
    <w:p>
      <w:pPr>
        <w:pStyle w:val="ListParagraph"/>
        <w:numPr>
          <w:ilvl w:val="0"/>
          <w:numId w:val="18"/>
        </w:numPr>
        <w:tabs>
          <w:tab w:pos="1132" w:val="left" w:leader="none"/>
          <w:tab w:pos="1133" w:val="left" w:leader="none"/>
        </w:tabs>
        <w:spacing w:line="263" w:lineRule="exact" w:before="0" w:after="0"/>
        <w:ind w:left="1132" w:right="0" w:hanging="972"/>
        <w:jc w:val="left"/>
        <w:rPr>
          <w:sz w:val="24"/>
        </w:rPr>
      </w:pPr>
      <w:r>
        <w:rPr>
          <w:sz w:val="24"/>
        </w:rPr>
        <w:t>tract</w:t>
      </w:r>
      <w:r>
        <w:rPr>
          <w:spacing w:val="18"/>
          <w:sz w:val="24"/>
        </w:rPr>
        <w:t> </w:t>
      </w:r>
      <w:r>
        <w:rPr>
          <w:sz w:val="24"/>
        </w:rPr>
        <w:t>and</w:t>
      </w:r>
      <w:r>
        <w:rPr>
          <w:spacing w:val="17"/>
          <w:sz w:val="24"/>
        </w:rPr>
        <w:t> </w:t>
      </w:r>
      <w:r>
        <w:rPr>
          <w:sz w:val="24"/>
        </w:rPr>
        <w:t>the</w:t>
      </w:r>
      <w:r>
        <w:rPr>
          <w:spacing w:val="19"/>
          <w:sz w:val="24"/>
        </w:rPr>
        <w:t> </w:t>
      </w:r>
      <w:r>
        <w:rPr>
          <w:sz w:val="24"/>
        </w:rPr>
        <w:t>nonspecific</w:t>
      </w:r>
      <w:r>
        <w:rPr>
          <w:spacing w:val="18"/>
          <w:sz w:val="24"/>
        </w:rPr>
        <w:t> </w:t>
      </w:r>
      <w:r>
        <w:rPr>
          <w:sz w:val="24"/>
        </w:rPr>
        <w:t>inflammatory</w:t>
      </w:r>
      <w:r>
        <w:rPr>
          <w:spacing w:val="20"/>
          <w:sz w:val="24"/>
        </w:rPr>
        <w:t> </w:t>
      </w:r>
      <w:r>
        <w:rPr>
          <w:sz w:val="24"/>
        </w:rPr>
        <w:t>lesions,</w:t>
      </w:r>
      <w:r>
        <w:rPr>
          <w:spacing w:val="19"/>
          <w:sz w:val="24"/>
        </w:rPr>
        <w:t> </w:t>
      </w:r>
      <w:r>
        <w:rPr>
          <w:sz w:val="24"/>
        </w:rPr>
        <w:t>obstructive</w:t>
      </w:r>
      <w:r>
        <w:rPr>
          <w:spacing w:val="19"/>
          <w:sz w:val="24"/>
        </w:rPr>
        <w:t> </w:t>
      </w:r>
      <w:r>
        <w:rPr>
          <w:sz w:val="24"/>
        </w:rPr>
        <w:t>and</w:t>
      </w:r>
      <w:r>
        <w:rPr>
          <w:spacing w:val="17"/>
          <w:sz w:val="24"/>
        </w:rPr>
        <w:t> </w:t>
      </w:r>
      <w:r>
        <w:rPr>
          <w:sz w:val="24"/>
        </w:rPr>
        <w:t>acquired</w:t>
      </w:r>
      <w:r>
        <w:rPr>
          <w:spacing w:val="17"/>
          <w:sz w:val="24"/>
        </w:rPr>
        <w:t> </w:t>
      </w:r>
      <w:r>
        <w:rPr>
          <w:sz w:val="24"/>
        </w:rPr>
        <w:t>anatomic</w:t>
      </w:r>
      <w:r>
        <w:rPr>
          <w:spacing w:val="18"/>
          <w:sz w:val="24"/>
        </w:rPr>
        <w:t> </w:t>
      </w:r>
      <w:r>
        <w:rPr>
          <w:sz w:val="24"/>
        </w:rPr>
        <w:t>alteration</w:t>
      </w:r>
      <w:r>
        <w:rPr>
          <w:spacing w:val="19"/>
          <w:sz w:val="24"/>
        </w:rPr>
        <w:t> </w:t>
      </w:r>
      <w:r>
        <w:rPr>
          <w:sz w:val="24"/>
        </w:rPr>
        <w:t>at</w:t>
      </w:r>
    </w:p>
    <w:p>
      <w:pPr>
        <w:pStyle w:val="ListParagraph"/>
        <w:numPr>
          <w:ilvl w:val="0"/>
          <w:numId w:val="18"/>
        </w:numPr>
        <w:tabs>
          <w:tab w:pos="1132" w:val="left" w:leader="none"/>
          <w:tab w:pos="1133" w:val="left" w:leader="none"/>
          <w:tab w:pos="4223" w:val="left" w:leader="none"/>
        </w:tabs>
        <w:spacing w:line="257" w:lineRule="exact" w:before="0" w:after="0"/>
        <w:ind w:left="1132" w:right="0" w:hanging="972"/>
        <w:jc w:val="left"/>
        <w:rPr>
          <w:sz w:val="24"/>
        </w:rPr>
      </w:pPr>
      <w:r>
        <w:rPr>
          <w:sz w:val="24"/>
        </w:rPr>
        <w:t>the  most </w:t>
      </w:r>
      <w:r>
        <w:rPr>
          <w:spacing w:val="19"/>
          <w:sz w:val="24"/>
        </w:rPr>
        <w:t> </w:t>
      </w:r>
      <w:r>
        <w:rPr>
          <w:sz w:val="24"/>
        </w:rPr>
        <w:t>common </w:t>
      </w:r>
      <w:r>
        <w:rPr>
          <w:spacing w:val="9"/>
          <w:sz w:val="24"/>
        </w:rPr>
        <w:t> </w:t>
      </w:r>
      <w:r>
        <w:rPr>
          <w:sz w:val="24"/>
        </w:rPr>
        <w:t>lesions.</w:t>
        <w:tab/>
        <w:t>In  other  scientific  reports,  each  of  the  LUTD  has  been  </w:t>
      </w:r>
      <w:r>
        <w:rPr>
          <w:spacing w:val="38"/>
          <w:sz w:val="24"/>
        </w:rPr>
        <w:t> </w:t>
      </w:r>
      <w:r>
        <w:rPr>
          <w:sz w:val="24"/>
        </w:rPr>
        <w:t>studied</w:t>
      </w:r>
    </w:p>
    <w:p>
      <w:pPr>
        <w:pStyle w:val="ListParagraph"/>
        <w:numPr>
          <w:ilvl w:val="0"/>
          <w:numId w:val="18"/>
        </w:numPr>
        <w:tabs>
          <w:tab w:pos="1132" w:val="left" w:leader="none"/>
          <w:tab w:pos="1133" w:val="left" w:leader="none"/>
        </w:tabs>
        <w:spacing w:line="257" w:lineRule="exact" w:before="0" w:after="0"/>
        <w:ind w:left="1132" w:right="0" w:hanging="972"/>
        <w:jc w:val="left"/>
        <w:rPr>
          <w:sz w:val="24"/>
        </w:rPr>
      </w:pPr>
      <w:r>
        <w:rPr>
          <w:sz w:val="24"/>
        </w:rPr>
        <w:t>independently.</w:t>
      </w:r>
    </w:p>
    <w:p>
      <w:pPr>
        <w:spacing w:line="171" w:lineRule="exact" w:before="0"/>
        <w:ind w:left="160" w:right="0" w:firstLine="0"/>
        <w:jc w:val="left"/>
        <w:rPr>
          <w:sz w:val="20"/>
        </w:rPr>
      </w:pPr>
      <w:r>
        <w:rPr>
          <w:sz w:val="20"/>
        </w:rPr>
        <w:t>27</w:t>
      </w:r>
    </w:p>
    <w:p>
      <w:pPr>
        <w:pStyle w:val="BodyText"/>
        <w:tabs>
          <w:tab w:pos="1840" w:val="left" w:leader="none"/>
        </w:tabs>
        <w:spacing w:line="295" w:lineRule="exact" w:before="6"/>
        <w:ind w:left="160"/>
        <w:rPr>
          <w:rFonts w:ascii="Cambria"/>
        </w:rPr>
      </w:pPr>
      <w:r>
        <w:rPr>
          <w:position w:val="12"/>
          <w:sz w:val="20"/>
        </w:rPr>
        <w:t>28</w:t>
        <w:tab/>
      </w:r>
      <w:r>
        <w:rPr>
          <w:rFonts w:ascii="Cambria"/>
        </w:rPr>
        <w:t>In  Mexico,  LUTD  in  dogs  occur  regularly  in  daily  practice,  but  there  are  no  scientific</w:t>
      </w:r>
    </w:p>
    <w:p>
      <w:pPr>
        <w:spacing w:line="116" w:lineRule="exact" w:before="0"/>
        <w:ind w:left="160" w:right="0" w:firstLine="0"/>
        <w:jc w:val="left"/>
        <w:rPr>
          <w:sz w:val="20"/>
        </w:rPr>
      </w:pPr>
      <w:r>
        <w:rPr>
          <w:sz w:val="20"/>
        </w:rPr>
        <w:t>29</w:t>
      </w:r>
    </w:p>
    <w:p>
      <w:pPr>
        <w:pStyle w:val="ListParagraph"/>
        <w:numPr>
          <w:ilvl w:val="0"/>
          <w:numId w:val="19"/>
        </w:numPr>
        <w:tabs>
          <w:tab w:pos="1132" w:val="left" w:leader="none"/>
          <w:tab w:pos="1133" w:val="left" w:leader="none"/>
        </w:tabs>
        <w:spacing w:line="258" w:lineRule="exact" w:before="0" w:after="0"/>
        <w:ind w:left="1132" w:right="0" w:hanging="972"/>
        <w:jc w:val="left"/>
        <w:rPr>
          <w:sz w:val="24"/>
        </w:rPr>
      </w:pPr>
      <w:r>
        <w:rPr>
          <w:sz w:val="24"/>
        </w:rPr>
        <w:t>reports on the characteristics of the dog population affected or their risk factors. The  </w:t>
      </w:r>
      <w:r>
        <w:rPr>
          <w:spacing w:val="50"/>
          <w:sz w:val="24"/>
        </w:rPr>
        <w:t> </w:t>
      </w:r>
      <w:r>
        <w:rPr>
          <w:sz w:val="24"/>
        </w:rPr>
        <w:t>aim of this</w:t>
      </w:r>
    </w:p>
    <w:p>
      <w:pPr>
        <w:pStyle w:val="ListParagraph"/>
        <w:numPr>
          <w:ilvl w:val="0"/>
          <w:numId w:val="19"/>
        </w:numPr>
        <w:tabs>
          <w:tab w:pos="1132" w:val="left" w:leader="none"/>
          <w:tab w:pos="1133" w:val="left" w:leader="none"/>
        </w:tabs>
        <w:spacing w:line="256" w:lineRule="exact" w:before="0" w:after="0"/>
        <w:ind w:left="1132" w:right="0" w:hanging="972"/>
        <w:jc w:val="left"/>
        <w:rPr>
          <w:sz w:val="24"/>
        </w:rPr>
      </w:pPr>
      <w:r>
        <w:rPr>
          <w:position w:val="1"/>
          <w:sz w:val="24"/>
        </w:rPr>
        <w:t>study</w:t>
      </w:r>
      <w:r>
        <w:rPr>
          <w:spacing w:val="12"/>
          <w:position w:val="1"/>
          <w:sz w:val="24"/>
        </w:rPr>
        <w:t> </w:t>
      </w:r>
      <w:r>
        <w:rPr>
          <w:position w:val="1"/>
          <w:sz w:val="24"/>
        </w:rPr>
        <w:t>was</w:t>
      </w:r>
      <w:r>
        <w:rPr>
          <w:spacing w:val="13"/>
          <w:position w:val="1"/>
          <w:sz w:val="24"/>
        </w:rPr>
        <w:t> </w:t>
      </w:r>
      <w:r>
        <w:rPr>
          <w:position w:val="1"/>
          <w:sz w:val="24"/>
        </w:rPr>
        <w:t>to</w:t>
      </w:r>
      <w:r>
        <w:rPr>
          <w:spacing w:val="16"/>
          <w:position w:val="1"/>
          <w:sz w:val="24"/>
        </w:rPr>
        <w:t> </w:t>
      </w:r>
      <w:r>
        <w:rPr>
          <w:position w:val="1"/>
          <w:sz w:val="24"/>
        </w:rPr>
        <w:t>determine</w:t>
      </w:r>
      <w:r>
        <w:rPr>
          <w:spacing w:val="14"/>
          <w:position w:val="1"/>
          <w:sz w:val="24"/>
        </w:rPr>
        <w:t> </w:t>
      </w:r>
      <w:r>
        <w:rPr>
          <w:position w:val="1"/>
          <w:sz w:val="24"/>
        </w:rPr>
        <w:t>the</w:t>
      </w:r>
      <w:r>
        <w:rPr>
          <w:spacing w:val="14"/>
          <w:position w:val="1"/>
          <w:sz w:val="24"/>
        </w:rPr>
        <w:t> </w:t>
      </w:r>
      <w:r>
        <w:rPr>
          <w:position w:val="1"/>
          <w:sz w:val="24"/>
        </w:rPr>
        <w:t>frequency</w:t>
      </w:r>
      <w:r>
        <w:rPr>
          <w:spacing w:val="12"/>
          <w:position w:val="1"/>
          <w:sz w:val="24"/>
        </w:rPr>
        <w:t> </w:t>
      </w:r>
      <w:r>
        <w:rPr>
          <w:position w:val="1"/>
          <w:sz w:val="24"/>
        </w:rPr>
        <w:t>of</w:t>
      </w:r>
      <w:r>
        <w:rPr>
          <w:spacing w:val="13"/>
          <w:position w:val="1"/>
          <w:sz w:val="24"/>
        </w:rPr>
        <w:t> </w:t>
      </w:r>
      <w:r>
        <w:rPr>
          <w:position w:val="1"/>
          <w:sz w:val="24"/>
        </w:rPr>
        <w:t>different</w:t>
      </w:r>
      <w:r>
        <w:rPr>
          <w:spacing w:val="14"/>
          <w:position w:val="1"/>
          <w:sz w:val="24"/>
        </w:rPr>
        <w:t> </w:t>
      </w:r>
      <w:r>
        <w:rPr>
          <w:position w:val="1"/>
          <w:sz w:val="24"/>
        </w:rPr>
        <w:t>LUTD</w:t>
      </w:r>
      <w:r>
        <w:rPr>
          <w:spacing w:val="13"/>
          <w:position w:val="1"/>
          <w:sz w:val="24"/>
        </w:rPr>
        <w:t> </w:t>
      </w:r>
      <w:r>
        <w:rPr>
          <w:position w:val="1"/>
          <w:sz w:val="24"/>
        </w:rPr>
        <w:t>in</w:t>
      </w:r>
      <w:r>
        <w:rPr>
          <w:spacing w:val="14"/>
          <w:position w:val="1"/>
          <w:sz w:val="24"/>
        </w:rPr>
        <w:t> </w:t>
      </w:r>
      <w:r>
        <w:rPr>
          <w:position w:val="1"/>
          <w:sz w:val="24"/>
        </w:rPr>
        <w:t>dogs,</w:t>
      </w:r>
      <w:r>
        <w:rPr>
          <w:spacing w:val="14"/>
          <w:position w:val="1"/>
          <w:sz w:val="24"/>
        </w:rPr>
        <w:t> </w:t>
      </w:r>
      <w:r>
        <w:rPr>
          <w:position w:val="1"/>
          <w:sz w:val="24"/>
        </w:rPr>
        <w:t>to</w:t>
      </w:r>
      <w:r>
        <w:rPr>
          <w:spacing w:val="13"/>
          <w:position w:val="1"/>
          <w:sz w:val="24"/>
        </w:rPr>
        <w:t> </w:t>
      </w:r>
      <w:r>
        <w:rPr>
          <w:position w:val="1"/>
          <w:sz w:val="24"/>
        </w:rPr>
        <w:t>characterize</w:t>
      </w:r>
      <w:r>
        <w:rPr>
          <w:spacing w:val="14"/>
          <w:position w:val="1"/>
          <w:sz w:val="24"/>
        </w:rPr>
        <w:t> </w:t>
      </w:r>
      <w:r>
        <w:rPr>
          <w:position w:val="1"/>
          <w:sz w:val="24"/>
        </w:rPr>
        <w:t>the</w:t>
      </w:r>
      <w:r>
        <w:rPr>
          <w:spacing w:val="14"/>
          <w:position w:val="1"/>
          <w:sz w:val="24"/>
        </w:rPr>
        <w:t> </w:t>
      </w:r>
      <w:r>
        <w:rPr>
          <w:position w:val="1"/>
          <w:sz w:val="24"/>
        </w:rPr>
        <w:t>population,</w:t>
      </w:r>
    </w:p>
    <w:p>
      <w:pPr>
        <w:pStyle w:val="ListParagraph"/>
        <w:numPr>
          <w:ilvl w:val="0"/>
          <w:numId w:val="19"/>
        </w:numPr>
        <w:tabs>
          <w:tab w:pos="1132" w:val="left" w:leader="none"/>
          <w:tab w:pos="1133" w:val="left" w:leader="none"/>
        </w:tabs>
        <w:spacing w:line="260" w:lineRule="exact" w:before="0" w:after="0"/>
        <w:ind w:left="1132" w:right="0" w:hanging="972"/>
        <w:jc w:val="left"/>
        <w:rPr>
          <w:sz w:val="24"/>
        </w:rPr>
      </w:pPr>
      <w:r>
        <w:rPr>
          <w:sz w:val="24"/>
        </w:rPr>
        <w:t>and  to  determine  the  risk  factors  in  dogs  that  were  treated  by  the  medical  services  in </w:t>
      </w:r>
      <w:r>
        <w:rPr>
          <w:spacing w:val="7"/>
          <w:sz w:val="24"/>
        </w:rPr>
        <w:t> </w:t>
      </w:r>
      <w:r>
        <w:rPr>
          <w:sz w:val="24"/>
        </w:rPr>
        <w:t>our</w:t>
      </w:r>
    </w:p>
    <w:p>
      <w:pPr>
        <w:pStyle w:val="ListParagraph"/>
        <w:numPr>
          <w:ilvl w:val="0"/>
          <w:numId w:val="19"/>
        </w:numPr>
        <w:tabs>
          <w:tab w:pos="1132" w:val="left" w:leader="none"/>
          <w:tab w:pos="1133" w:val="left" w:leader="none"/>
        </w:tabs>
        <w:spacing w:line="256" w:lineRule="exact" w:before="0" w:after="0"/>
        <w:ind w:left="1132" w:right="0" w:hanging="972"/>
        <w:jc w:val="left"/>
        <w:rPr>
          <w:sz w:val="24"/>
        </w:rPr>
      </w:pPr>
      <w:r>
        <w:rPr>
          <w:sz w:val="24"/>
        </w:rPr>
        <w:t>hospital.</w:t>
      </w:r>
    </w:p>
    <w:p>
      <w:pPr>
        <w:spacing w:line="185" w:lineRule="exact" w:before="0"/>
        <w:ind w:left="160" w:right="0" w:firstLine="0"/>
        <w:jc w:val="left"/>
        <w:rPr>
          <w:sz w:val="20"/>
        </w:rPr>
      </w:pPr>
      <w:r>
        <w:rPr>
          <w:sz w:val="20"/>
        </w:rPr>
        <w:t>34</w:t>
      </w:r>
    </w:p>
    <w:p>
      <w:pPr>
        <w:spacing w:before="3"/>
        <w:ind w:left="160" w:right="0" w:firstLine="0"/>
        <w:jc w:val="left"/>
        <w:rPr>
          <w:sz w:val="20"/>
        </w:rPr>
      </w:pPr>
      <w:r>
        <w:rPr>
          <w:sz w:val="20"/>
        </w:rPr>
        <w:t>35</w:t>
      </w:r>
    </w:p>
    <w:p>
      <w:pPr>
        <w:spacing w:before="3"/>
        <w:ind w:left="160" w:right="0" w:firstLine="0"/>
        <w:jc w:val="left"/>
        <w:rPr>
          <w:sz w:val="20"/>
        </w:rPr>
      </w:pPr>
      <w:r>
        <w:rPr>
          <w:sz w:val="20"/>
        </w:rPr>
        <w:t>36</w:t>
      </w:r>
    </w:p>
    <w:p>
      <w:pPr>
        <w:pStyle w:val="Heading3"/>
        <w:tabs>
          <w:tab w:pos="4665" w:val="left" w:leader="none"/>
        </w:tabs>
        <w:spacing w:line="291" w:lineRule="exact" w:before="4"/>
        <w:ind w:left="160" w:right="0"/>
        <w:rPr>
          <w:rFonts w:ascii="Cambria"/>
        </w:rPr>
      </w:pPr>
      <w:r>
        <w:rPr>
          <w:b w:val="0"/>
          <w:position w:val="11"/>
          <w:sz w:val="20"/>
        </w:rPr>
        <w:t>37</w:t>
        <w:tab/>
      </w:r>
      <w:r>
        <w:rPr>
          <w:rFonts w:ascii="Cambria"/>
        </w:rPr>
        <w:t>MATERIAL AND</w:t>
      </w:r>
      <w:r>
        <w:rPr>
          <w:rFonts w:ascii="Cambria"/>
          <w:spacing w:val="-4"/>
        </w:rPr>
        <w:t> </w:t>
      </w:r>
      <w:r>
        <w:rPr>
          <w:rFonts w:ascii="Cambria"/>
        </w:rPr>
        <w:t>METHODS</w:t>
      </w:r>
    </w:p>
    <w:p>
      <w:pPr>
        <w:spacing w:line="171" w:lineRule="exact" w:before="0"/>
        <w:ind w:left="160" w:right="0" w:firstLine="0"/>
        <w:jc w:val="left"/>
        <w:rPr>
          <w:sz w:val="20"/>
        </w:rPr>
      </w:pPr>
      <w:r>
        <w:rPr>
          <w:sz w:val="20"/>
        </w:rPr>
        <w:t>38</w:t>
      </w:r>
    </w:p>
    <w:p>
      <w:pPr>
        <w:tabs>
          <w:tab w:pos="1132" w:val="left" w:leader="none"/>
        </w:tabs>
        <w:spacing w:line="304" w:lineRule="exact" w:before="0"/>
        <w:ind w:left="160" w:right="0" w:firstLine="0"/>
        <w:jc w:val="left"/>
        <w:rPr>
          <w:rFonts w:ascii="Cambria"/>
          <w:sz w:val="24"/>
        </w:rPr>
      </w:pPr>
      <w:r>
        <w:rPr>
          <w:position w:val="13"/>
          <w:sz w:val="20"/>
        </w:rPr>
        <w:t>39</w:t>
        <w:tab/>
      </w:r>
      <w:r>
        <w:rPr>
          <w:rFonts w:ascii="Cambria"/>
          <w:b/>
          <w:sz w:val="24"/>
        </w:rPr>
        <w:t>Period study and location. </w:t>
      </w:r>
      <w:r>
        <w:rPr>
          <w:rFonts w:ascii="Cambria"/>
          <w:sz w:val="24"/>
        </w:rPr>
        <w:t>This study was conducted between August 2012 to January 2014; </w:t>
      </w:r>
      <w:r>
        <w:rPr>
          <w:rFonts w:ascii="Cambria"/>
          <w:spacing w:val="3"/>
          <w:sz w:val="24"/>
        </w:rPr>
        <w:t> </w:t>
      </w:r>
      <w:r>
        <w:rPr>
          <w:rFonts w:ascii="Cambria"/>
          <w:sz w:val="24"/>
        </w:rPr>
        <w:t>at</w:t>
      </w:r>
    </w:p>
    <w:p>
      <w:pPr>
        <w:spacing w:line="115" w:lineRule="exact" w:before="0"/>
        <w:ind w:left="160" w:right="0" w:firstLine="0"/>
        <w:jc w:val="left"/>
        <w:rPr>
          <w:sz w:val="20"/>
        </w:rPr>
      </w:pPr>
      <w:r>
        <w:rPr>
          <w:sz w:val="20"/>
        </w:rPr>
        <w:t>40</w:t>
      </w:r>
    </w:p>
    <w:p>
      <w:pPr>
        <w:pStyle w:val="ListParagraph"/>
        <w:numPr>
          <w:ilvl w:val="0"/>
          <w:numId w:val="20"/>
        </w:numPr>
        <w:tabs>
          <w:tab w:pos="1132" w:val="left" w:leader="none"/>
          <w:tab w:pos="1133" w:val="left" w:leader="none"/>
        </w:tabs>
        <w:spacing w:line="258" w:lineRule="exact" w:before="0" w:after="0"/>
        <w:ind w:left="1132" w:right="0" w:hanging="972"/>
        <w:jc w:val="left"/>
        <w:rPr>
          <w:sz w:val="24"/>
        </w:rPr>
      </w:pPr>
      <w:r>
        <w:rPr>
          <w:sz w:val="24"/>
        </w:rPr>
        <w:t>the  Hospital  Veterinario  para  Pequeñas  Especies  (Small  Animal  Teaching  Hospital)  of      </w:t>
      </w:r>
      <w:r>
        <w:rPr>
          <w:spacing w:val="4"/>
          <w:sz w:val="24"/>
        </w:rPr>
        <w:t> </w:t>
      </w:r>
      <w:r>
        <w:rPr>
          <w:sz w:val="24"/>
        </w:rPr>
        <w:t>the</w:t>
      </w:r>
    </w:p>
    <w:p>
      <w:pPr>
        <w:pStyle w:val="ListParagraph"/>
        <w:numPr>
          <w:ilvl w:val="0"/>
          <w:numId w:val="20"/>
        </w:numPr>
        <w:tabs>
          <w:tab w:pos="1132" w:val="left" w:leader="none"/>
          <w:tab w:pos="1133" w:val="left" w:leader="none"/>
        </w:tabs>
        <w:spacing w:line="257" w:lineRule="exact" w:before="0" w:after="0"/>
        <w:ind w:left="1132" w:right="0" w:hanging="972"/>
        <w:jc w:val="left"/>
        <w:rPr>
          <w:sz w:val="24"/>
        </w:rPr>
      </w:pPr>
      <w:r>
        <w:rPr>
          <w:position w:val="1"/>
          <w:sz w:val="24"/>
        </w:rPr>
        <w:t>Veterinary</w:t>
      </w:r>
      <w:r>
        <w:rPr>
          <w:spacing w:val="26"/>
          <w:position w:val="1"/>
          <w:sz w:val="24"/>
        </w:rPr>
        <w:t> </w:t>
      </w:r>
      <w:r>
        <w:rPr>
          <w:position w:val="1"/>
          <w:sz w:val="24"/>
        </w:rPr>
        <w:t>Faculty</w:t>
      </w:r>
      <w:r>
        <w:rPr>
          <w:spacing w:val="26"/>
          <w:position w:val="1"/>
          <w:sz w:val="24"/>
        </w:rPr>
        <w:t> </w:t>
      </w:r>
      <w:r>
        <w:rPr>
          <w:position w:val="1"/>
          <w:sz w:val="24"/>
        </w:rPr>
        <w:t>of</w:t>
      </w:r>
      <w:r>
        <w:rPr>
          <w:spacing w:val="29"/>
          <w:position w:val="1"/>
          <w:sz w:val="24"/>
        </w:rPr>
        <w:t> </w:t>
      </w:r>
      <w:r>
        <w:rPr>
          <w:position w:val="1"/>
          <w:sz w:val="24"/>
        </w:rPr>
        <w:t>Universidad</w:t>
      </w:r>
      <w:r>
        <w:rPr>
          <w:spacing w:val="26"/>
          <w:position w:val="1"/>
          <w:sz w:val="24"/>
        </w:rPr>
        <w:t> </w:t>
      </w:r>
      <w:r>
        <w:rPr>
          <w:position w:val="1"/>
          <w:sz w:val="24"/>
        </w:rPr>
        <w:t>Autonoma</w:t>
      </w:r>
      <w:r>
        <w:rPr>
          <w:spacing w:val="30"/>
          <w:position w:val="1"/>
          <w:sz w:val="24"/>
        </w:rPr>
        <w:t> </w:t>
      </w:r>
      <w:r>
        <w:rPr>
          <w:position w:val="1"/>
          <w:sz w:val="24"/>
        </w:rPr>
        <w:t>del</w:t>
      </w:r>
      <w:r>
        <w:rPr>
          <w:spacing w:val="26"/>
          <w:position w:val="1"/>
          <w:sz w:val="24"/>
        </w:rPr>
        <w:t> </w:t>
      </w:r>
      <w:r>
        <w:rPr>
          <w:position w:val="1"/>
          <w:sz w:val="24"/>
        </w:rPr>
        <w:t>Estado</w:t>
      </w:r>
      <w:r>
        <w:rPr>
          <w:spacing w:val="27"/>
          <w:position w:val="1"/>
          <w:sz w:val="24"/>
        </w:rPr>
        <w:t> </w:t>
      </w:r>
      <w:r>
        <w:rPr>
          <w:position w:val="1"/>
          <w:sz w:val="24"/>
        </w:rPr>
        <w:t>de</w:t>
      </w:r>
      <w:r>
        <w:rPr>
          <w:spacing w:val="28"/>
          <w:position w:val="1"/>
          <w:sz w:val="24"/>
        </w:rPr>
        <w:t> </w:t>
      </w:r>
      <w:r>
        <w:rPr>
          <w:position w:val="1"/>
          <w:sz w:val="24"/>
        </w:rPr>
        <w:t>Mexico,</w:t>
      </w:r>
      <w:r>
        <w:rPr>
          <w:spacing w:val="28"/>
          <w:position w:val="1"/>
          <w:sz w:val="24"/>
        </w:rPr>
        <w:t> </w:t>
      </w:r>
      <w:r>
        <w:rPr>
          <w:position w:val="1"/>
          <w:sz w:val="24"/>
        </w:rPr>
        <w:t>in</w:t>
      </w:r>
      <w:r>
        <w:rPr>
          <w:spacing w:val="28"/>
          <w:position w:val="1"/>
          <w:sz w:val="24"/>
        </w:rPr>
        <w:t> </w:t>
      </w:r>
      <w:r>
        <w:rPr>
          <w:position w:val="1"/>
          <w:sz w:val="24"/>
        </w:rPr>
        <w:t>Toluca,</w:t>
      </w:r>
      <w:r>
        <w:rPr>
          <w:spacing w:val="28"/>
          <w:position w:val="1"/>
          <w:sz w:val="24"/>
        </w:rPr>
        <w:t> </w:t>
      </w:r>
      <w:r>
        <w:rPr>
          <w:position w:val="1"/>
          <w:sz w:val="24"/>
        </w:rPr>
        <w:t>Mexico</w:t>
      </w:r>
      <w:r>
        <w:rPr>
          <w:spacing w:val="27"/>
          <w:position w:val="1"/>
          <w:sz w:val="24"/>
        </w:rPr>
        <w:t> </w:t>
      </w:r>
      <w:r>
        <w:rPr>
          <w:position w:val="1"/>
          <w:sz w:val="24"/>
        </w:rPr>
        <w:t>(latitude</w:t>
      </w:r>
    </w:p>
    <w:p>
      <w:pPr>
        <w:pStyle w:val="ListParagraph"/>
        <w:numPr>
          <w:ilvl w:val="0"/>
          <w:numId w:val="20"/>
        </w:numPr>
        <w:tabs>
          <w:tab w:pos="1132" w:val="left" w:leader="none"/>
          <w:tab w:pos="1133" w:val="left" w:leader="none"/>
        </w:tabs>
        <w:spacing w:line="256" w:lineRule="exact" w:before="0" w:after="0"/>
        <w:ind w:left="1132" w:right="0" w:hanging="972"/>
        <w:jc w:val="left"/>
        <w:rPr>
          <w:sz w:val="24"/>
        </w:rPr>
      </w:pPr>
      <w:r>
        <w:rPr>
          <w:sz w:val="24"/>
        </w:rPr>
        <w:t>19º37'32''N</w:t>
      </w:r>
      <w:r>
        <w:rPr>
          <w:spacing w:val="15"/>
          <w:sz w:val="24"/>
        </w:rPr>
        <w:t> </w:t>
      </w:r>
      <w:r>
        <w:rPr>
          <w:sz w:val="24"/>
        </w:rPr>
        <w:t>and</w:t>
      </w:r>
      <w:r>
        <w:rPr>
          <w:spacing w:val="14"/>
          <w:sz w:val="24"/>
        </w:rPr>
        <w:t> </w:t>
      </w:r>
      <w:r>
        <w:rPr>
          <w:sz w:val="24"/>
        </w:rPr>
        <w:t>longitude</w:t>
      </w:r>
      <w:r>
        <w:rPr>
          <w:spacing w:val="15"/>
          <w:sz w:val="24"/>
        </w:rPr>
        <w:t> </w:t>
      </w:r>
      <w:r>
        <w:rPr>
          <w:sz w:val="24"/>
        </w:rPr>
        <w:t>99º39'14′′W,</w:t>
      </w:r>
      <w:r>
        <w:rPr>
          <w:spacing w:val="16"/>
          <w:sz w:val="24"/>
        </w:rPr>
        <w:t> </w:t>
      </w:r>
      <w:r>
        <w:rPr>
          <w:sz w:val="24"/>
        </w:rPr>
        <w:t>with</w:t>
      </w:r>
      <w:r>
        <w:rPr>
          <w:spacing w:val="14"/>
          <w:sz w:val="24"/>
        </w:rPr>
        <w:t> </w:t>
      </w:r>
      <w:r>
        <w:rPr>
          <w:sz w:val="24"/>
        </w:rPr>
        <w:t>an</w:t>
      </w:r>
      <w:r>
        <w:rPr>
          <w:spacing w:val="15"/>
          <w:sz w:val="24"/>
        </w:rPr>
        <w:t> </w:t>
      </w:r>
      <w:r>
        <w:rPr>
          <w:sz w:val="24"/>
        </w:rPr>
        <w:t>altitude</w:t>
      </w:r>
      <w:r>
        <w:rPr>
          <w:spacing w:val="15"/>
          <w:sz w:val="24"/>
        </w:rPr>
        <w:t> </w:t>
      </w:r>
      <w:r>
        <w:rPr>
          <w:sz w:val="24"/>
        </w:rPr>
        <w:t>of</w:t>
      </w:r>
      <w:r>
        <w:rPr>
          <w:spacing w:val="14"/>
          <w:sz w:val="24"/>
        </w:rPr>
        <w:t> </w:t>
      </w:r>
      <w:r>
        <w:rPr>
          <w:sz w:val="24"/>
        </w:rPr>
        <w:t>2640</w:t>
      </w:r>
      <w:r>
        <w:rPr>
          <w:spacing w:val="14"/>
          <w:sz w:val="24"/>
        </w:rPr>
        <w:t> </w:t>
      </w:r>
      <w:r>
        <w:rPr>
          <w:sz w:val="24"/>
        </w:rPr>
        <w:t>meters</w:t>
      </w:r>
      <w:r>
        <w:rPr>
          <w:spacing w:val="15"/>
          <w:sz w:val="24"/>
        </w:rPr>
        <w:t> </w:t>
      </w:r>
      <w:r>
        <w:rPr>
          <w:sz w:val="24"/>
        </w:rPr>
        <w:t>above</w:t>
      </w:r>
      <w:r>
        <w:rPr>
          <w:spacing w:val="15"/>
          <w:sz w:val="24"/>
        </w:rPr>
        <w:t> </w:t>
      </w:r>
      <w:r>
        <w:rPr>
          <w:sz w:val="24"/>
        </w:rPr>
        <w:t>sea</w:t>
      </w:r>
      <w:r>
        <w:rPr>
          <w:spacing w:val="13"/>
          <w:sz w:val="24"/>
        </w:rPr>
        <w:t> </w:t>
      </w:r>
      <w:r>
        <w:rPr>
          <w:sz w:val="24"/>
        </w:rPr>
        <w:t>level,</w:t>
      </w:r>
      <w:r>
        <w:rPr>
          <w:spacing w:val="16"/>
          <w:sz w:val="24"/>
        </w:rPr>
        <w:t> </w:t>
      </w:r>
      <w:r>
        <w:rPr>
          <w:sz w:val="24"/>
        </w:rPr>
        <w:t>with</w:t>
      </w:r>
      <w:r>
        <w:rPr>
          <w:spacing w:val="14"/>
          <w:sz w:val="24"/>
        </w:rPr>
        <w:t> </w:t>
      </w:r>
      <w:r>
        <w:rPr>
          <w:sz w:val="24"/>
        </w:rPr>
        <w:t>a</w:t>
      </w:r>
    </w:p>
    <w:p>
      <w:pPr>
        <w:pStyle w:val="ListParagraph"/>
        <w:numPr>
          <w:ilvl w:val="0"/>
          <w:numId w:val="20"/>
        </w:numPr>
        <w:tabs>
          <w:tab w:pos="1132" w:val="left" w:leader="none"/>
          <w:tab w:pos="1133" w:val="left" w:leader="none"/>
        </w:tabs>
        <w:spacing w:line="259" w:lineRule="exact" w:before="0" w:after="0"/>
        <w:ind w:left="1132" w:right="0" w:hanging="972"/>
        <w:jc w:val="left"/>
        <w:rPr>
          <w:sz w:val="24"/>
        </w:rPr>
      </w:pPr>
      <w:r>
        <w:rPr>
          <w:sz w:val="24"/>
        </w:rPr>
        <w:t>subtropical</w:t>
      </w:r>
      <w:r>
        <w:rPr>
          <w:spacing w:val="-9"/>
          <w:sz w:val="24"/>
        </w:rPr>
        <w:t> </w:t>
      </w:r>
      <w:r>
        <w:rPr>
          <w:sz w:val="24"/>
        </w:rPr>
        <w:t>climate).</w:t>
      </w:r>
    </w:p>
    <w:p>
      <w:pPr>
        <w:spacing w:line="183" w:lineRule="exact" w:before="0"/>
        <w:ind w:left="160" w:right="0" w:firstLine="0"/>
        <w:jc w:val="left"/>
        <w:rPr>
          <w:sz w:val="20"/>
        </w:rPr>
      </w:pPr>
      <w:r>
        <w:rPr>
          <w:sz w:val="20"/>
        </w:rPr>
        <w:t>45</w:t>
      </w:r>
    </w:p>
    <w:p>
      <w:pPr>
        <w:pStyle w:val="ListParagraph"/>
        <w:numPr>
          <w:ilvl w:val="0"/>
          <w:numId w:val="21"/>
        </w:numPr>
        <w:tabs>
          <w:tab w:pos="1840" w:val="left" w:leader="none"/>
          <w:tab w:pos="1841" w:val="left" w:leader="none"/>
        </w:tabs>
        <w:spacing w:line="287" w:lineRule="exact" w:before="2" w:after="0"/>
        <w:ind w:left="1840" w:right="0" w:hanging="1680"/>
        <w:jc w:val="left"/>
        <w:rPr>
          <w:sz w:val="24"/>
        </w:rPr>
      </w:pPr>
      <w:r>
        <w:rPr>
          <w:b/>
          <w:sz w:val="24"/>
        </w:rPr>
        <w:t>Case selection.       </w:t>
      </w:r>
      <w:r>
        <w:rPr>
          <w:b/>
          <w:spacing w:val="19"/>
          <w:sz w:val="24"/>
        </w:rPr>
        <w:t> </w:t>
      </w:r>
      <w:r>
        <w:rPr>
          <w:sz w:val="24"/>
        </w:rPr>
        <w:t>Cases included dogs that were consulted for the first time with related</w:t>
      </w:r>
    </w:p>
    <w:p>
      <w:pPr>
        <w:pStyle w:val="ListParagraph"/>
        <w:numPr>
          <w:ilvl w:val="0"/>
          <w:numId w:val="21"/>
        </w:numPr>
        <w:tabs>
          <w:tab w:pos="1132" w:val="left" w:leader="none"/>
          <w:tab w:pos="1133" w:val="left" w:leader="none"/>
        </w:tabs>
        <w:spacing w:line="337" w:lineRule="exact" w:before="0" w:after="0"/>
        <w:ind w:left="1132" w:right="0" w:hanging="972"/>
        <w:jc w:val="left"/>
        <w:rPr>
          <w:sz w:val="24"/>
        </w:rPr>
      </w:pPr>
      <w:r>
        <w:rPr/>
        <w:pict>
          <v:shape style="position:absolute;margin-left:8pt;margin-top:10.696733pt;width:11.15pt;height:10pt;mso-position-horizontal-relative:page;mso-position-vertical-relative:paragraph;z-index:-93160" type="#_x0000_t202" filled="false" stroked="false">
            <v:textbox inset="0,0,0,0">
              <w:txbxContent>
                <w:p>
                  <w:pPr>
                    <w:spacing w:line="196" w:lineRule="exact" w:before="0"/>
                    <w:ind w:left="0" w:right="-20" w:firstLine="0"/>
                    <w:jc w:val="left"/>
                    <w:rPr>
                      <w:sz w:val="20"/>
                    </w:rPr>
                  </w:pPr>
                  <w:r>
                    <w:rPr>
                      <w:sz w:val="20"/>
                    </w:rPr>
                    <w:t>48</w:t>
                  </w:r>
                </w:p>
              </w:txbxContent>
            </v:textbox>
            <w10:wrap type="none"/>
          </v:shape>
        </w:pict>
      </w:r>
      <w:r>
        <w:rPr>
          <w:sz w:val="24"/>
        </w:rPr>
        <w:t>clinical   signs   of   a   LUTD,   such   as   hematuria,   strangury,   dysuria,   pollakiuria,   or </w:t>
      </w:r>
      <w:r>
        <w:rPr>
          <w:spacing w:val="32"/>
          <w:sz w:val="24"/>
        </w:rPr>
        <w:t> </w:t>
      </w:r>
      <w:r>
        <w:rPr>
          <w:sz w:val="24"/>
        </w:rPr>
        <w:t>urinary</w:t>
      </w:r>
    </w:p>
    <w:p>
      <w:pPr>
        <w:pStyle w:val="ListParagraph"/>
        <w:numPr>
          <w:ilvl w:val="0"/>
          <w:numId w:val="22"/>
        </w:numPr>
        <w:tabs>
          <w:tab w:pos="1132" w:val="left" w:leader="none"/>
          <w:tab w:pos="1133" w:val="left" w:leader="none"/>
        </w:tabs>
        <w:spacing w:line="295" w:lineRule="exact" w:before="0" w:after="0"/>
        <w:ind w:left="1132" w:right="0" w:hanging="972"/>
        <w:jc w:val="left"/>
        <w:rPr>
          <w:sz w:val="24"/>
        </w:rPr>
      </w:pPr>
      <w:r>
        <w:rPr>
          <w:sz w:val="24"/>
        </w:rPr>
        <w:t>incontinence.  To  establish a  definitive  diagnosis,  different  laboratory studies  were</w:t>
      </w:r>
      <w:r>
        <w:rPr>
          <w:spacing w:val="4"/>
          <w:sz w:val="24"/>
        </w:rPr>
        <w:t> </w:t>
      </w:r>
      <w:r>
        <w:rPr>
          <w:sz w:val="24"/>
        </w:rPr>
        <w:t>conducted,</w:t>
      </w:r>
    </w:p>
    <w:p>
      <w:pPr>
        <w:pStyle w:val="ListParagraph"/>
        <w:numPr>
          <w:ilvl w:val="0"/>
          <w:numId w:val="22"/>
        </w:numPr>
        <w:tabs>
          <w:tab w:pos="1132" w:val="left" w:leader="none"/>
          <w:tab w:pos="1133" w:val="left" w:leader="none"/>
        </w:tabs>
        <w:spacing w:line="256" w:lineRule="exact" w:before="0" w:after="0"/>
        <w:ind w:left="1132" w:right="0" w:hanging="972"/>
        <w:jc w:val="left"/>
        <w:rPr>
          <w:sz w:val="24"/>
        </w:rPr>
      </w:pPr>
      <w:r>
        <w:rPr>
          <w:sz w:val="24"/>
        </w:rPr>
        <w:t>including</w:t>
      </w:r>
      <w:r>
        <w:rPr>
          <w:spacing w:val="22"/>
          <w:sz w:val="24"/>
        </w:rPr>
        <w:t> </w:t>
      </w:r>
      <w:r>
        <w:rPr>
          <w:sz w:val="24"/>
        </w:rPr>
        <w:t>complete</w:t>
      </w:r>
      <w:r>
        <w:rPr>
          <w:spacing w:val="22"/>
          <w:sz w:val="24"/>
        </w:rPr>
        <w:t> </w:t>
      </w:r>
      <w:r>
        <w:rPr>
          <w:sz w:val="24"/>
        </w:rPr>
        <w:t>blood</w:t>
      </w:r>
      <w:r>
        <w:rPr>
          <w:spacing w:val="22"/>
          <w:sz w:val="24"/>
        </w:rPr>
        <w:t> </w:t>
      </w:r>
      <w:r>
        <w:rPr>
          <w:sz w:val="24"/>
        </w:rPr>
        <w:t>count,</w:t>
      </w:r>
      <w:r>
        <w:rPr>
          <w:spacing w:val="23"/>
          <w:sz w:val="24"/>
        </w:rPr>
        <w:t> </w:t>
      </w:r>
      <w:r>
        <w:rPr>
          <w:sz w:val="24"/>
        </w:rPr>
        <w:t>biochemical</w:t>
      </w:r>
      <w:r>
        <w:rPr>
          <w:spacing w:val="24"/>
          <w:sz w:val="24"/>
        </w:rPr>
        <w:t> </w:t>
      </w:r>
      <w:r>
        <w:rPr>
          <w:sz w:val="24"/>
        </w:rPr>
        <w:t>profile,</w:t>
      </w:r>
      <w:r>
        <w:rPr>
          <w:spacing w:val="23"/>
          <w:sz w:val="24"/>
        </w:rPr>
        <w:t> </w:t>
      </w:r>
      <w:r>
        <w:rPr>
          <w:sz w:val="24"/>
        </w:rPr>
        <w:t>and</w:t>
      </w:r>
      <w:r>
        <w:rPr>
          <w:spacing w:val="22"/>
          <w:sz w:val="24"/>
        </w:rPr>
        <w:t> </w:t>
      </w:r>
      <w:r>
        <w:rPr>
          <w:sz w:val="24"/>
        </w:rPr>
        <w:t>urinalysis,</w:t>
      </w:r>
      <w:r>
        <w:rPr>
          <w:spacing w:val="26"/>
          <w:sz w:val="24"/>
        </w:rPr>
        <w:t> </w:t>
      </w:r>
      <w:r>
        <w:rPr>
          <w:sz w:val="24"/>
        </w:rPr>
        <w:t>as</w:t>
      </w:r>
      <w:r>
        <w:rPr>
          <w:spacing w:val="22"/>
          <w:sz w:val="24"/>
        </w:rPr>
        <w:t> </w:t>
      </w:r>
      <w:r>
        <w:rPr>
          <w:sz w:val="24"/>
        </w:rPr>
        <w:t>well</w:t>
      </w:r>
      <w:r>
        <w:rPr>
          <w:spacing w:val="23"/>
          <w:sz w:val="24"/>
        </w:rPr>
        <w:t> </w:t>
      </w:r>
      <w:r>
        <w:rPr>
          <w:sz w:val="24"/>
        </w:rPr>
        <w:t>as</w:t>
      </w:r>
      <w:r>
        <w:rPr>
          <w:spacing w:val="25"/>
          <w:sz w:val="24"/>
        </w:rPr>
        <w:t> </w:t>
      </w:r>
      <w:r>
        <w:rPr>
          <w:sz w:val="24"/>
        </w:rPr>
        <w:t>imaging</w:t>
      </w:r>
      <w:r>
        <w:rPr>
          <w:spacing w:val="22"/>
          <w:sz w:val="24"/>
        </w:rPr>
        <w:t> </w:t>
      </w:r>
      <w:r>
        <w:rPr>
          <w:sz w:val="24"/>
        </w:rPr>
        <w:t>studies,</w:t>
      </w:r>
    </w:p>
    <w:p>
      <w:pPr>
        <w:pStyle w:val="ListParagraph"/>
        <w:numPr>
          <w:ilvl w:val="0"/>
          <w:numId w:val="22"/>
        </w:numPr>
        <w:tabs>
          <w:tab w:pos="1132" w:val="left" w:leader="none"/>
          <w:tab w:pos="1133" w:val="left" w:leader="none"/>
        </w:tabs>
        <w:spacing w:line="257" w:lineRule="exact" w:before="0" w:after="0"/>
        <w:ind w:left="1132" w:right="0" w:hanging="972"/>
        <w:jc w:val="left"/>
        <w:rPr>
          <w:sz w:val="24"/>
        </w:rPr>
      </w:pPr>
      <w:r>
        <w:rPr>
          <w:sz w:val="24"/>
        </w:rPr>
        <w:t>such  as  radiology  and  ultrasonography  of  the  urinary  tract.  In  almost  all  patients,  the</w:t>
      </w:r>
      <w:r>
        <w:rPr>
          <w:spacing w:val="-8"/>
          <w:sz w:val="24"/>
        </w:rPr>
        <w:t> </w:t>
      </w:r>
      <w:r>
        <w:rPr>
          <w:sz w:val="24"/>
        </w:rPr>
        <w:t>urine</w:t>
      </w:r>
    </w:p>
    <w:p>
      <w:pPr>
        <w:pStyle w:val="ListParagraph"/>
        <w:numPr>
          <w:ilvl w:val="0"/>
          <w:numId w:val="22"/>
        </w:numPr>
        <w:tabs>
          <w:tab w:pos="1132" w:val="left" w:leader="none"/>
          <w:tab w:pos="1133" w:val="left" w:leader="none"/>
        </w:tabs>
        <w:spacing w:line="257" w:lineRule="exact" w:before="0" w:after="0"/>
        <w:ind w:left="1132" w:right="0" w:hanging="972"/>
        <w:jc w:val="left"/>
        <w:rPr>
          <w:sz w:val="24"/>
        </w:rPr>
      </w:pPr>
      <w:r>
        <w:rPr>
          <w:sz w:val="24"/>
        </w:rPr>
        <w:t>samples</w:t>
      </w:r>
      <w:r>
        <w:rPr>
          <w:spacing w:val="45"/>
          <w:sz w:val="24"/>
        </w:rPr>
        <w:t> </w:t>
      </w:r>
      <w:r>
        <w:rPr>
          <w:sz w:val="24"/>
        </w:rPr>
        <w:t>were</w:t>
      </w:r>
      <w:r>
        <w:rPr>
          <w:spacing w:val="45"/>
          <w:sz w:val="24"/>
        </w:rPr>
        <w:t> </w:t>
      </w:r>
      <w:r>
        <w:rPr>
          <w:sz w:val="24"/>
        </w:rPr>
        <w:t>obtained</w:t>
      </w:r>
      <w:r>
        <w:rPr>
          <w:spacing w:val="44"/>
          <w:sz w:val="24"/>
        </w:rPr>
        <w:t> </w:t>
      </w:r>
      <w:r>
        <w:rPr>
          <w:sz w:val="24"/>
        </w:rPr>
        <w:t>by</w:t>
      </w:r>
      <w:r>
        <w:rPr>
          <w:spacing w:val="44"/>
          <w:sz w:val="24"/>
        </w:rPr>
        <w:t> </w:t>
      </w:r>
      <w:r>
        <w:rPr>
          <w:sz w:val="24"/>
        </w:rPr>
        <w:t>cystocentesis</w:t>
      </w:r>
      <w:r>
        <w:rPr>
          <w:spacing w:val="45"/>
          <w:sz w:val="24"/>
        </w:rPr>
        <w:t> </w:t>
      </w:r>
      <w:r>
        <w:rPr>
          <w:sz w:val="24"/>
        </w:rPr>
        <w:t>except</w:t>
      </w:r>
      <w:r>
        <w:rPr>
          <w:spacing w:val="45"/>
          <w:sz w:val="24"/>
        </w:rPr>
        <w:t> </w:t>
      </w:r>
      <w:r>
        <w:rPr>
          <w:sz w:val="24"/>
        </w:rPr>
        <w:t>in</w:t>
      </w:r>
      <w:r>
        <w:rPr>
          <w:spacing w:val="45"/>
          <w:sz w:val="24"/>
        </w:rPr>
        <w:t> </w:t>
      </w:r>
      <w:r>
        <w:rPr>
          <w:sz w:val="24"/>
        </w:rPr>
        <w:t>those</w:t>
      </w:r>
      <w:r>
        <w:rPr>
          <w:spacing w:val="45"/>
          <w:sz w:val="24"/>
        </w:rPr>
        <w:t> </w:t>
      </w:r>
      <w:r>
        <w:rPr>
          <w:sz w:val="24"/>
        </w:rPr>
        <w:t>animals</w:t>
      </w:r>
      <w:r>
        <w:rPr>
          <w:spacing w:val="45"/>
          <w:sz w:val="24"/>
        </w:rPr>
        <w:t> </w:t>
      </w:r>
      <w:r>
        <w:rPr>
          <w:sz w:val="24"/>
        </w:rPr>
        <w:t>that</w:t>
      </w:r>
      <w:r>
        <w:rPr>
          <w:spacing w:val="45"/>
          <w:sz w:val="24"/>
        </w:rPr>
        <w:t> </w:t>
      </w:r>
      <w:r>
        <w:rPr>
          <w:sz w:val="24"/>
        </w:rPr>
        <w:t>showed</w:t>
      </w:r>
      <w:r>
        <w:rPr>
          <w:spacing w:val="44"/>
          <w:sz w:val="24"/>
        </w:rPr>
        <w:t> </w:t>
      </w:r>
      <w:r>
        <w:rPr>
          <w:sz w:val="24"/>
        </w:rPr>
        <w:t>rupture</w:t>
      </w:r>
      <w:r>
        <w:rPr>
          <w:spacing w:val="45"/>
          <w:sz w:val="24"/>
        </w:rPr>
        <w:t> </w:t>
      </w:r>
      <w:r>
        <w:rPr>
          <w:sz w:val="24"/>
        </w:rPr>
        <w:t>of</w:t>
      </w:r>
      <w:r>
        <w:rPr>
          <w:spacing w:val="47"/>
          <w:sz w:val="24"/>
        </w:rPr>
        <w:t> </w:t>
      </w:r>
      <w:r>
        <w:rPr>
          <w:sz w:val="24"/>
        </w:rPr>
        <w:t>the</w:t>
      </w:r>
    </w:p>
    <w:p>
      <w:pPr>
        <w:pStyle w:val="ListParagraph"/>
        <w:numPr>
          <w:ilvl w:val="0"/>
          <w:numId w:val="22"/>
        </w:numPr>
        <w:tabs>
          <w:tab w:pos="1132" w:val="left" w:leader="none"/>
          <w:tab w:pos="1133" w:val="left" w:leader="none"/>
        </w:tabs>
        <w:spacing w:line="341" w:lineRule="exact" w:before="0" w:after="0"/>
        <w:ind w:left="1132" w:right="0" w:hanging="972"/>
        <w:jc w:val="left"/>
        <w:rPr>
          <w:sz w:val="24"/>
        </w:rPr>
      </w:pPr>
      <w:r>
        <w:rPr/>
        <w:pict>
          <v:shape style="position:absolute;margin-left:8pt;margin-top:10.568735pt;width:11.15pt;height:10pt;mso-position-horizontal-relative:page;mso-position-vertical-relative:paragraph;z-index:-93136" type="#_x0000_t202" filled="false" stroked="false">
            <v:textbox inset="0,0,0,0">
              <w:txbxContent>
                <w:p>
                  <w:pPr>
                    <w:spacing w:line="196" w:lineRule="exact" w:before="0"/>
                    <w:ind w:left="0" w:right="-20" w:firstLine="0"/>
                    <w:jc w:val="left"/>
                    <w:rPr>
                      <w:sz w:val="20"/>
                    </w:rPr>
                  </w:pPr>
                  <w:r>
                    <w:rPr>
                      <w:sz w:val="20"/>
                    </w:rPr>
                    <w:t>54</w:t>
                  </w:r>
                </w:p>
              </w:txbxContent>
            </v:textbox>
            <w10:wrap type="none"/>
          </v:shape>
        </w:pict>
      </w:r>
      <w:r>
        <w:rPr>
          <w:sz w:val="24"/>
        </w:rPr>
        <w:t>urinary</w:t>
      </w:r>
      <w:r>
        <w:rPr>
          <w:spacing w:val="22"/>
          <w:sz w:val="24"/>
        </w:rPr>
        <w:t> </w:t>
      </w:r>
      <w:r>
        <w:rPr>
          <w:sz w:val="24"/>
        </w:rPr>
        <w:t>bladder.</w:t>
      </w:r>
      <w:r>
        <w:rPr>
          <w:spacing w:val="24"/>
          <w:sz w:val="24"/>
        </w:rPr>
        <w:t> </w:t>
      </w:r>
      <w:r>
        <w:rPr>
          <w:sz w:val="24"/>
        </w:rPr>
        <w:t>Chronic</w:t>
      </w:r>
      <w:r>
        <w:rPr>
          <w:spacing w:val="23"/>
          <w:sz w:val="24"/>
        </w:rPr>
        <w:t> </w:t>
      </w:r>
      <w:r>
        <w:rPr>
          <w:sz w:val="24"/>
        </w:rPr>
        <w:t>cases</w:t>
      </w:r>
      <w:r>
        <w:rPr>
          <w:spacing w:val="23"/>
          <w:sz w:val="24"/>
        </w:rPr>
        <w:t> </w:t>
      </w:r>
      <w:r>
        <w:rPr>
          <w:sz w:val="24"/>
        </w:rPr>
        <w:t>of</w:t>
      </w:r>
      <w:r>
        <w:rPr>
          <w:spacing w:val="22"/>
          <w:sz w:val="24"/>
        </w:rPr>
        <w:t> </w:t>
      </w:r>
      <w:r>
        <w:rPr>
          <w:sz w:val="24"/>
        </w:rPr>
        <w:t>LUTD</w:t>
      </w:r>
      <w:r>
        <w:rPr>
          <w:spacing w:val="23"/>
          <w:sz w:val="24"/>
        </w:rPr>
        <w:t> </w:t>
      </w:r>
      <w:r>
        <w:rPr>
          <w:sz w:val="24"/>
        </w:rPr>
        <w:t>were</w:t>
      </w:r>
      <w:r>
        <w:rPr>
          <w:spacing w:val="24"/>
          <w:sz w:val="24"/>
        </w:rPr>
        <w:t> </w:t>
      </w:r>
      <w:r>
        <w:rPr>
          <w:sz w:val="24"/>
        </w:rPr>
        <w:t>discarded</w:t>
      </w:r>
      <w:r>
        <w:rPr>
          <w:spacing w:val="22"/>
          <w:sz w:val="24"/>
        </w:rPr>
        <w:t> </w:t>
      </w:r>
      <w:r>
        <w:rPr>
          <w:sz w:val="24"/>
        </w:rPr>
        <w:t>in</w:t>
      </w:r>
      <w:r>
        <w:rPr>
          <w:spacing w:val="24"/>
          <w:sz w:val="24"/>
        </w:rPr>
        <w:t> </w:t>
      </w:r>
      <w:r>
        <w:rPr>
          <w:sz w:val="24"/>
        </w:rPr>
        <w:t>order</w:t>
      </w:r>
      <w:r>
        <w:rPr>
          <w:spacing w:val="22"/>
          <w:sz w:val="24"/>
        </w:rPr>
        <w:t> </w:t>
      </w:r>
      <w:r>
        <w:rPr>
          <w:sz w:val="24"/>
        </w:rPr>
        <w:t>to</w:t>
      </w:r>
      <w:r>
        <w:rPr>
          <w:spacing w:val="23"/>
          <w:sz w:val="24"/>
        </w:rPr>
        <w:t> </w:t>
      </w:r>
      <w:r>
        <w:rPr>
          <w:sz w:val="24"/>
        </w:rPr>
        <w:t>rule</w:t>
      </w:r>
      <w:r>
        <w:rPr>
          <w:spacing w:val="24"/>
          <w:sz w:val="24"/>
        </w:rPr>
        <w:t> </w:t>
      </w:r>
      <w:r>
        <w:rPr>
          <w:sz w:val="24"/>
        </w:rPr>
        <w:t>out</w:t>
      </w:r>
      <w:r>
        <w:rPr>
          <w:spacing w:val="23"/>
          <w:sz w:val="24"/>
        </w:rPr>
        <w:t> </w:t>
      </w:r>
      <w:r>
        <w:rPr>
          <w:sz w:val="24"/>
        </w:rPr>
        <w:t>a</w:t>
      </w:r>
      <w:r>
        <w:rPr>
          <w:spacing w:val="24"/>
          <w:sz w:val="24"/>
        </w:rPr>
        <w:t> </w:t>
      </w:r>
      <w:r>
        <w:rPr>
          <w:sz w:val="24"/>
        </w:rPr>
        <w:t>late</w:t>
      </w:r>
      <w:r>
        <w:rPr>
          <w:spacing w:val="24"/>
          <w:sz w:val="24"/>
        </w:rPr>
        <w:t> </w:t>
      </w:r>
      <w:r>
        <w:rPr>
          <w:sz w:val="24"/>
        </w:rPr>
        <w:t>diagnosis</w:t>
      </w:r>
      <w:r>
        <w:rPr>
          <w:spacing w:val="21"/>
          <w:sz w:val="24"/>
        </w:rPr>
        <w:t> </w:t>
      </w:r>
      <w:r>
        <w:rPr>
          <w:sz w:val="24"/>
        </w:rPr>
        <w:t>or</w:t>
      </w:r>
    </w:p>
    <w:p>
      <w:pPr>
        <w:pStyle w:val="BodyText"/>
        <w:tabs>
          <w:tab w:pos="1132" w:val="left" w:leader="none"/>
        </w:tabs>
        <w:spacing w:line="300" w:lineRule="exact"/>
        <w:ind w:left="160"/>
        <w:rPr>
          <w:rFonts w:ascii="Cambria"/>
        </w:rPr>
      </w:pPr>
      <w:r>
        <w:rPr>
          <w:position w:val="-2"/>
          <w:sz w:val="20"/>
        </w:rPr>
        <w:t>55</w:t>
        <w:tab/>
      </w:r>
      <w:r>
        <w:rPr>
          <w:rFonts w:ascii="Cambria"/>
        </w:rPr>
        <w:t>therapeutic</w:t>
      </w:r>
      <w:r>
        <w:rPr>
          <w:rFonts w:ascii="Cambria"/>
          <w:spacing w:val="-9"/>
        </w:rPr>
        <w:t> </w:t>
      </w:r>
      <w:r>
        <w:rPr>
          <w:rFonts w:ascii="Cambria"/>
        </w:rPr>
        <w:t>errors.</w:t>
      </w:r>
    </w:p>
    <w:p>
      <w:pPr>
        <w:spacing w:line="206" w:lineRule="exact" w:before="3"/>
        <w:ind w:left="160" w:right="0" w:firstLine="0"/>
        <w:jc w:val="left"/>
        <w:rPr>
          <w:sz w:val="20"/>
        </w:rPr>
      </w:pPr>
      <w:r>
        <w:rPr>
          <w:sz w:val="20"/>
        </w:rPr>
        <w:t>56</w:t>
      </w:r>
    </w:p>
    <w:p>
      <w:pPr>
        <w:pStyle w:val="ListParagraph"/>
        <w:numPr>
          <w:ilvl w:val="0"/>
          <w:numId w:val="23"/>
        </w:numPr>
        <w:tabs>
          <w:tab w:pos="1840" w:val="left" w:leader="none"/>
          <w:tab w:pos="1841" w:val="left" w:leader="none"/>
        </w:tabs>
        <w:spacing w:line="255" w:lineRule="exact" w:before="0" w:after="0"/>
        <w:ind w:left="1840" w:right="0" w:hanging="1680"/>
        <w:jc w:val="left"/>
        <w:rPr>
          <w:sz w:val="24"/>
        </w:rPr>
      </w:pPr>
      <w:r>
        <w:rPr>
          <w:position w:val="1"/>
          <w:sz w:val="24"/>
        </w:rPr>
        <w:t>Variables including age, gender, breed, diagnosis, and the gonadal state in male dogs   with</w:t>
      </w:r>
    </w:p>
    <w:p>
      <w:pPr>
        <w:pStyle w:val="ListParagraph"/>
        <w:numPr>
          <w:ilvl w:val="0"/>
          <w:numId w:val="23"/>
        </w:numPr>
        <w:tabs>
          <w:tab w:pos="1132" w:val="left" w:leader="none"/>
          <w:tab w:pos="1133" w:val="left" w:leader="none"/>
        </w:tabs>
        <w:spacing w:line="279" w:lineRule="exact" w:before="0" w:after="0"/>
        <w:ind w:left="1132" w:right="0" w:hanging="972"/>
        <w:jc w:val="left"/>
        <w:rPr>
          <w:sz w:val="24"/>
        </w:rPr>
      </w:pPr>
      <w:r>
        <w:rPr>
          <w:sz w:val="24"/>
        </w:rPr>
        <w:t>some prostatic disease or urinary incontinence in female dogs were</w:t>
      </w:r>
      <w:r>
        <w:rPr>
          <w:spacing w:val="-33"/>
          <w:sz w:val="24"/>
        </w:rPr>
        <w:t> </w:t>
      </w:r>
      <w:r>
        <w:rPr>
          <w:sz w:val="24"/>
        </w:rPr>
        <w:t>studied.</w:t>
      </w:r>
    </w:p>
    <w:p>
      <w:pPr>
        <w:spacing w:after="0" w:line="279" w:lineRule="exact"/>
        <w:jc w:val="left"/>
        <w:rPr>
          <w:sz w:val="24"/>
        </w:rPr>
        <w:sectPr>
          <w:headerReference w:type="default" r:id="rId55"/>
          <w:footerReference w:type="default" r:id="rId56"/>
          <w:pgSz w:w="12240" w:h="15840"/>
          <w:pgMar w:header="0" w:footer="1118" w:top="140" w:bottom="1300" w:left="0" w:right="40"/>
        </w:sectPr>
      </w:pPr>
    </w:p>
    <w:p>
      <w:pPr>
        <w:tabs>
          <w:tab w:pos="4652" w:val="left" w:leader="none"/>
        </w:tabs>
        <w:spacing w:before="56"/>
        <w:ind w:left="160" w:right="0" w:firstLine="0"/>
        <w:jc w:val="left"/>
        <w:rPr>
          <w:b/>
          <w:sz w:val="20"/>
        </w:rPr>
      </w:pPr>
      <w:r>
        <w:rPr>
          <w:b/>
          <w:sz w:val="20"/>
        </w:rPr>
        <w:t>Page 3</w:t>
      </w:r>
      <w:r>
        <w:rPr>
          <w:b/>
          <w:spacing w:val="-1"/>
          <w:sz w:val="20"/>
        </w:rPr>
        <w:t> </w:t>
      </w:r>
      <w:r>
        <w:rPr>
          <w:b/>
          <w:sz w:val="20"/>
        </w:rPr>
        <w:t>of</w:t>
      </w:r>
      <w:r>
        <w:rPr>
          <w:b/>
          <w:spacing w:val="-1"/>
          <w:sz w:val="20"/>
        </w:rPr>
        <w:t> </w:t>
      </w:r>
      <w:r>
        <w:rPr>
          <w:b/>
          <w:sz w:val="20"/>
        </w:rPr>
        <w:t>13</w:t>
        <w:tab/>
        <w:t>Pesquisa Veterinária</w:t>
      </w:r>
      <w:r>
        <w:rPr>
          <w:b/>
          <w:spacing w:val="-11"/>
          <w:sz w:val="20"/>
        </w:rPr>
        <w:t> </w:t>
      </w:r>
      <w:r>
        <w:rPr>
          <w:b/>
          <w:sz w:val="20"/>
        </w:rPr>
        <w:t>Brasileira</w:t>
      </w:r>
    </w:p>
    <w:p>
      <w:pPr>
        <w:pStyle w:val="BodyText"/>
        <w:spacing w:before="4"/>
        <w:rPr>
          <w:b/>
          <w:sz w:val="19"/>
        </w:rPr>
      </w:pPr>
    </w:p>
    <w:p>
      <w:pPr>
        <w:spacing w:line="230" w:lineRule="exact" w:before="56"/>
        <w:ind w:left="0" w:right="111" w:firstLine="0"/>
        <w:jc w:val="right"/>
        <w:rPr>
          <w:rFonts w:ascii="Calibri"/>
          <w:sz w:val="22"/>
        </w:rPr>
      </w:pPr>
      <w:r>
        <w:rPr>
          <w:rFonts w:ascii="Calibri"/>
          <w:w w:val="100"/>
          <w:sz w:val="22"/>
        </w:rPr>
        <w:t>3</w:t>
      </w:r>
    </w:p>
    <w:p>
      <w:pPr>
        <w:spacing w:line="191" w:lineRule="exact" w:before="0"/>
        <w:ind w:left="160" w:right="0" w:firstLine="0"/>
        <w:jc w:val="left"/>
        <w:rPr>
          <w:sz w:val="20"/>
        </w:rPr>
      </w:pPr>
      <w:r>
        <w:rPr>
          <w:sz w:val="20"/>
        </w:rPr>
        <w:t>1</w:t>
      </w:r>
    </w:p>
    <w:p>
      <w:pPr>
        <w:pStyle w:val="ListParagraph"/>
        <w:numPr>
          <w:ilvl w:val="0"/>
          <w:numId w:val="24"/>
        </w:numPr>
        <w:tabs>
          <w:tab w:pos="1840" w:val="left" w:leader="none"/>
          <w:tab w:pos="1841" w:val="left" w:leader="none"/>
        </w:tabs>
        <w:spacing w:line="258" w:lineRule="exact" w:before="6" w:after="0"/>
        <w:ind w:left="1840" w:right="0" w:hanging="1680"/>
        <w:jc w:val="left"/>
        <w:rPr>
          <w:sz w:val="24"/>
        </w:rPr>
      </w:pPr>
      <w:r>
        <w:rPr>
          <w:sz w:val="24"/>
        </w:rPr>
        <w:t>Bacterial urinary tract  infection  (BUTI) was  diagnosed in  the  light  of clinical signs,  </w:t>
      </w:r>
      <w:r>
        <w:rPr>
          <w:spacing w:val="47"/>
          <w:sz w:val="24"/>
        </w:rPr>
        <w:t> </w:t>
      </w:r>
      <w:r>
        <w:rPr>
          <w:sz w:val="24"/>
        </w:rPr>
        <w:t>the</w:t>
      </w:r>
    </w:p>
    <w:p>
      <w:pPr>
        <w:pStyle w:val="ListParagraph"/>
        <w:numPr>
          <w:ilvl w:val="0"/>
          <w:numId w:val="24"/>
        </w:numPr>
        <w:tabs>
          <w:tab w:pos="1132" w:val="left" w:leader="none"/>
          <w:tab w:pos="1133" w:val="left" w:leader="none"/>
        </w:tabs>
        <w:spacing w:line="257" w:lineRule="exact" w:before="0" w:after="0"/>
        <w:ind w:left="1132" w:right="0" w:hanging="972"/>
        <w:jc w:val="left"/>
        <w:rPr>
          <w:sz w:val="24"/>
        </w:rPr>
      </w:pPr>
      <w:r>
        <w:rPr>
          <w:sz w:val="24"/>
        </w:rPr>
        <w:t>presence</w:t>
      </w:r>
      <w:r>
        <w:rPr>
          <w:spacing w:val="19"/>
          <w:sz w:val="24"/>
        </w:rPr>
        <w:t> </w:t>
      </w:r>
      <w:r>
        <w:rPr>
          <w:sz w:val="24"/>
        </w:rPr>
        <w:t>of</w:t>
      </w:r>
      <w:r>
        <w:rPr>
          <w:spacing w:val="18"/>
          <w:sz w:val="24"/>
        </w:rPr>
        <w:t> </w:t>
      </w:r>
      <w:r>
        <w:rPr>
          <w:sz w:val="24"/>
        </w:rPr>
        <w:t>other</w:t>
      </w:r>
      <w:r>
        <w:rPr>
          <w:spacing w:val="18"/>
          <w:sz w:val="24"/>
        </w:rPr>
        <w:t> </w:t>
      </w:r>
      <w:r>
        <w:rPr>
          <w:sz w:val="24"/>
        </w:rPr>
        <w:t>urinary</w:t>
      </w:r>
      <w:r>
        <w:rPr>
          <w:spacing w:val="17"/>
          <w:sz w:val="24"/>
        </w:rPr>
        <w:t> </w:t>
      </w:r>
      <w:r>
        <w:rPr>
          <w:sz w:val="24"/>
        </w:rPr>
        <w:t>or</w:t>
      </w:r>
      <w:r>
        <w:rPr>
          <w:spacing w:val="20"/>
          <w:sz w:val="24"/>
        </w:rPr>
        <w:t> </w:t>
      </w:r>
      <w:r>
        <w:rPr>
          <w:sz w:val="24"/>
        </w:rPr>
        <w:t>systemic</w:t>
      </w:r>
      <w:r>
        <w:rPr>
          <w:spacing w:val="21"/>
          <w:sz w:val="24"/>
        </w:rPr>
        <w:t> </w:t>
      </w:r>
      <w:r>
        <w:rPr>
          <w:sz w:val="24"/>
        </w:rPr>
        <w:t>diseases,</w:t>
      </w:r>
      <w:r>
        <w:rPr>
          <w:spacing w:val="19"/>
          <w:sz w:val="24"/>
        </w:rPr>
        <w:t> </w:t>
      </w:r>
      <w:r>
        <w:rPr>
          <w:sz w:val="24"/>
        </w:rPr>
        <w:t>and</w:t>
      </w:r>
      <w:r>
        <w:rPr>
          <w:spacing w:val="17"/>
          <w:sz w:val="24"/>
        </w:rPr>
        <w:t> </w:t>
      </w:r>
      <w:r>
        <w:rPr>
          <w:sz w:val="24"/>
        </w:rPr>
        <w:t>complete</w:t>
      </w:r>
      <w:r>
        <w:rPr>
          <w:spacing w:val="19"/>
          <w:sz w:val="24"/>
        </w:rPr>
        <w:t> </w:t>
      </w:r>
      <w:r>
        <w:rPr>
          <w:sz w:val="24"/>
        </w:rPr>
        <w:t>urinalysis</w:t>
      </w:r>
      <w:r>
        <w:rPr>
          <w:spacing w:val="18"/>
          <w:sz w:val="24"/>
        </w:rPr>
        <w:t> </w:t>
      </w:r>
      <w:r>
        <w:rPr>
          <w:sz w:val="24"/>
        </w:rPr>
        <w:t>(Weese</w:t>
      </w:r>
      <w:r>
        <w:rPr>
          <w:spacing w:val="19"/>
          <w:sz w:val="24"/>
        </w:rPr>
        <w:t> </w:t>
      </w:r>
      <w:r>
        <w:rPr>
          <w:sz w:val="24"/>
        </w:rPr>
        <w:t>et</w:t>
      </w:r>
      <w:r>
        <w:rPr>
          <w:spacing w:val="19"/>
          <w:sz w:val="24"/>
        </w:rPr>
        <w:t> </w:t>
      </w:r>
      <w:r>
        <w:rPr>
          <w:sz w:val="24"/>
        </w:rPr>
        <w:t>al.</w:t>
      </w:r>
      <w:r>
        <w:rPr>
          <w:spacing w:val="19"/>
          <w:sz w:val="24"/>
        </w:rPr>
        <w:t> </w:t>
      </w:r>
      <w:r>
        <w:rPr>
          <w:sz w:val="24"/>
        </w:rPr>
        <w:t>2011),</w:t>
      </w:r>
      <w:r>
        <w:rPr>
          <w:spacing w:val="19"/>
          <w:sz w:val="24"/>
        </w:rPr>
        <w:t> </w:t>
      </w:r>
      <w:r>
        <w:rPr>
          <w:sz w:val="24"/>
        </w:rPr>
        <w:t>as</w:t>
      </w:r>
    </w:p>
    <w:p>
      <w:pPr>
        <w:pStyle w:val="ListParagraph"/>
        <w:numPr>
          <w:ilvl w:val="0"/>
          <w:numId w:val="24"/>
        </w:numPr>
        <w:tabs>
          <w:tab w:pos="1132" w:val="left" w:leader="none"/>
          <w:tab w:pos="1133" w:val="left" w:leader="none"/>
        </w:tabs>
        <w:spacing w:line="331" w:lineRule="exact" w:before="0" w:after="0"/>
        <w:ind w:left="1132" w:right="0" w:hanging="972"/>
        <w:jc w:val="left"/>
        <w:rPr>
          <w:sz w:val="24"/>
        </w:rPr>
      </w:pPr>
      <w:r>
        <w:rPr/>
        <w:pict>
          <v:shape style="position:absolute;margin-left:8pt;margin-top:10.785737pt;width:5.6pt;height:10pt;mso-position-horizontal-relative:page;mso-position-vertical-relative:paragraph;z-index:-93088" type="#_x0000_t202" filled="false" stroked="false">
            <v:textbox inset="0,0,0,0">
              <w:txbxContent>
                <w:p>
                  <w:pPr>
                    <w:spacing w:line="196" w:lineRule="exact" w:before="0"/>
                    <w:ind w:left="0" w:right="0" w:firstLine="0"/>
                    <w:jc w:val="left"/>
                    <w:rPr>
                      <w:sz w:val="20"/>
                    </w:rPr>
                  </w:pPr>
                  <w:r>
                    <w:rPr>
                      <w:sz w:val="20"/>
                    </w:rPr>
                    <w:t>5</w:t>
                  </w:r>
                </w:p>
              </w:txbxContent>
            </v:textbox>
            <w10:wrap type="none"/>
          </v:shape>
        </w:pict>
      </w:r>
      <w:r>
        <w:rPr>
          <w:sz w:val="24"/>
        </w:rPr>
        <w:t>well  as  when  microscopic  examination  of  urinary  sediment  showed  &gt;5  erythrocytes </w:t>
      </w:r>
      <w:r>
        <w:rPr>
          <w:spacing w:val="14"/>
          <w:sz w:val="24"/>
        </w:rPr>
        <w:t> </w:t>
      </w:r>
      <w:r>
        <w:rPr>
          <w:sz w:val="24"/>
        </w:rPr>
        <w:t>and/or</w:t>
      </w:r>
    </w:p>
    <w:p>
      <w:pPr>
        <w:pStyle w:val="ListParagraph"/>
        <w:numPr>
          <w:ilvl w:val="0"/>
          <w:numId w:val="25"/>
        </w:numPr>
        <w:tabs>
          <w:tab w:pos="1132" w:val="left" w:leader="none"/>
          <w:tab w:pos="1133" w:val="left" w:leader="none"/>
        </w:tabs>
        <w:spacing w:line="295" w:lineRule="exact" w:before="0" w:after="0"/>
        <w:ind w:left="1132" w:right="0" w:hanging="972"/>
        <w:jc w:val="left"/>
        <w:rPr>
          <w:sz w:val="24"/>
        </w:rPr>
      </w:pPr>
      <w:r>
        <w:rPr>
          <w:sz w:val="24"/>
        </w:rPr>
        <w:t>leukocytes (pyuria) per field (400x), with the presence of bacteria and epithelial cells</w:t>
      </w:r>
      <w:r>
        <w:rPr>
          <w:spacing w:val="-29"/>
          <w:sz w:val="24"/>
        </w:rPr>
        <w:t> </w:t>
      </w:r>
      <w:r>
        <w:rPr>
          <w:sz w:val="24"/>
        </w:rPr>
        <w:t>considering</w:t>
      </w:r>
    </w:p>
    <w:p>
      <w:pPr>
        <w:pStyle w:val="ListParagraph"/>
        <w:numPr>
          <w:ilvl w:val="0"/>
          <w:numId w:val="25"/>
        </w:numPr>
        <w:tabs>
          <w:tab w:pos="1132" w:val="left" w:leader="none"/>
          <w:tab w:pos="1133" w:val="left" w:leader="none"/>
        </w:tabs>
        <w:spacing w:line="263" w:lineRule="exact" w:before="0" w:after="0"/>
        <w:ind w:left="1132" w:right="0" w:hanging="972"/>
        <w:jc w:val="left"/>
        <w:rPr>
          <w:sz w:val="24"/>
        </w:rPr>
      </w:pPr>
      <w:r>
        <w:rPr>
          <w:sz w:val="24"/>
        </w:rPr>
        <w:t>an active inflammation of septic origin (Pressler et al. 2003). BUTI cases with other</w:t>
      </w:r>
      <w:r>
        <w:rPr>
          <w:spacing w:val="-23"/>
          <w:sz w:val="24"/>
        </w:rPr>
        <w:t> </w:t>
      </w:r>
      <w:r>
        <w:rPr>
          <w:sz w:val="24"/>
        </w:rPr>
        <w:t>comorbidities</w:t>
      </w:r>
    </w:p>
    <w:p>
      <w:pPr>
        <w:pStyle w:val="ListParagraph"/>
        <w:numPr>
          <w:ilvl w:val="0"/>
          <w:numId w:val="25"/>
        </w:numPr>
        <w:tabs>
          <w:tab w:pos="1132" w:val="left" w:leader="none"/>
          <w:tab w:pos="1133" w:val="left" w:leader="none"/>
        </w:tabs>
        <w:spacing w:line="257" w:lineRule="exact" w:before="0" w:after="0"/>
        <w:ind w:left="1132" w:right="0" w:hanging="972"/>
        <w:jc w:val="left"/>
        <w:rPr>
          <w:sz w:val="24"/>
        </w:rPr>
      </w:pPr>
      <w:r>
        <w:rPr>
          <w:sz w:val="24"/>
        </w:rPr>
        <w:t>were considered as complicated BUTI, and clinical cases with no association with other  </w:t>
      </w:r>
      <w:r>
        <w:rPr>
          <w:spacing w:val="24"/>
          <w:sz w:val="24"/>
        </w:rPr>
        <w:t> </w:t>
      </w:r>
      <w:r>
        <w:rPr>
          <w:sz w:val="24"/>
        </w:rPr>
        <w:t>diseases</w:t>
      </w:r>
    </w:p>
    <w:p>
      <w:pPr>
        <w:pStyle w:val="ListParagraph"/>
        <w:numPr>
          <w:ilvl w:val="0"/>
          <w:numId w:val="25"/>
        </w:numPr>
        <w:tabs>
          <w:tab w:pos="1132" w:val="left" w:leader="none"/>
          <w:tab w:pos="1133" w:val="left" w:leader="none"/>
        </w:tabs>
        <w:spacing w:line="256" w:lineRule="exact" w:before="0" w:after="0"/>
        <w:ind w:left="1132" w:right="0" w:hanging="972"/>
        <w:jc w:val="left"/>
        <w:rPr>
          <w:sz w:val="24"/>
        </w:rPr>
      </w:pPr>
      <w:r>
        <w:rPr>
          <w:sz w:val="24"/>
        </w:rPr>
        <w:t>were</w:t>
      </w:r>
      <w:r>
        <w:rPr>
          <w:spacing w:val="14"/>
          <w:sz w:val="24"/>
        </w:rPr>
        <w:t> </w:t>
      </w:r>
      <w:r>
        <w:rPr>
          <w:sz w:val="24"/>
        </w:rPr>
        <w:t>considered</w:t>
      </w:r>
      <w:r>
        <w:rPr>
          <w:spacing w:val="12"/>
          <w:sz w:val="24"/>
        </w:rPr>
        <w:t> </w:t>
      </w:r>
      <w:r>
        <w:rPr>
          <w:sz w:val="24"/>
        </w:rPr>
        <w:t>as</w:t>
      </w:r>
      <w:r>
        <w:rPr>
          <w:spacing w:val="13"/>
          <w:sz w:val="24"/>
        </w:rPr>
        <w:t> </w:t>
      </w:r>
      <w:r>
        <w:rPr>
          <w:sz w:val="24"/>
        </w:rPr>
        <w:t>single</w:t>
      </w:r>
      <w:r>
        <w:rPr>
          <w:spacing w:val="14"/>
          <w:sz w:val="24"/>
        </w:rPr>
        <w:t> </w:t>
      </w:r>
      <w:r>
        <w:rPr>
          <w:sz w:val="24"/>
        </w:rPr>
        <w:t>or</w:t>
      </w:r>
      <w:r>
        <w:rPr>
          <w:spacing w:val="13"/>
          <w:sz w:val="24"/>
        </w:rPr>
        <w:t> </w:t>
      </w:r>
      <w:r>
        <w:rPr>
          <w:sz w:val="24"/>
        </w:rPr>
        <w:t>uncomplicated</w:t>
      </w:r>
      <w:r>
        <w:rPr>
          <w:spacing w:val="12"/>
          <w:sz w:val="24"/>
        </w:rPr>
        <w:t> </w:t>
      </w:r>
      <w:r>
        <w:rPr>
          <w:sz w:val="24"/>
        </w:rPr>
        <w:t>BUTI.</w:t>
      </w:r>
      <w:r>
        <w:rPr>
          <w:spacing w:val="14"/>
          <w:sz w:val="24"/>
        </w:rPr>
        <w:t> </w:t>
      </w:r>
      <w:r>
        <w:rPr>
          <w:sz w:val="24"/>
        </w:rPr>
        <w:t>Urinary</w:t>
      </w:r>
      <w:r>
        <w:rPr>
          <w:spacing w:val="13"/>
          <w:sz w:val="24"/>
        </w:rPr>
        <w:t> </w:t>
      </w:r>
      <w:r>
        <w:rPr>
          <w:sz w:val="24"/>
        </w:rPr>
        <w:t>culture</w:t>
      </w:r>
      <w:r>
        <w:rPr>
          <w:spacing w:val="14"/>
          <w:sz w:val="24"/>
        </w:rPr>
        <w:t> </w:t>
      </w:r>
      <w:r>
        <w:rPr>
          <w:sz w:val="24"/>
        </w:rPr>
        <w:t>was</w:t>
      </w:r>
      <w:r>
        <w:rPr>
          <w:spacing w:val="14"/>
          <w:sz w:val="24"/>
        </w:rPr>
        <w:t> </w:t>
      </w:r>
      <w:r>
        <w:rPr>
          <w:sz w:val="24"/>
        </w:rPr>
        <w:t>considered</w:t>
      </w:r>
      <w:r>
        <w:rPr>
          <w:spacing w:val="13"/>
          <w:sz w:val="24"/>
        </w:rPr>
        <w:t> </w:t>
      </w:r>
      <w:r>
        <w:rPr>
          <w:sz w:val="24"/>
        </w:rPr>
        <w:t>only</w:t>
      </w:r>
      <w:r>
        <w:rPr>
          <w:spacing w:val="13"/>
          <w:sz w:val="24"/>
        </w:rPr>
        <w:t> </w:t>
      </w:r>
      <w:r>
        <w:rPr>
          <w:sz w:val="24"/>
        </w:rPr>
        <w:t>in</w:t>
      </w:r>
      <w:r>
        <w:rPr>
          <w:spacing w:val="14"/>
          <w:sz w:val="24"/>
        </w:rPr>
        <w:t> </w:t>
      </w:r>
      <w:r>
        <w:rPr>
          <w:sz w:val="24"/>
        </w:rPr>
        <w:t>cases</w:t>
      </w:r>
    </w:p>
    <w:p>
      <w:pPr>
        <w:pStyle w:val="ListParagraph"/>
        <w:numPr>
          <w:ilvl w:val="0"/>
          <w:numId w:val="25"/>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71773pt;width:11.15pt;height:10pt;mso-position-horizontal-relative:page;mso-position-vertical-relative:paragraph;z-index:-93064" type="#_x0000_t202" filled="false" stroked="false">
            <v:textbox inset="0,0,0,0">
              <w:txbxContent>
                <w:p>
                  <w:pPr>
                    <w:spacing w:line="196" w:lineRule="exact" w:before="0"/>
                    <w:ind w:left="0" w:right="-20" w:firstLine="0"/>
                    <w:jc w:val="left"/>
                    <w:rPr>
                      <w:sz w:val="20"/>
                    </w:rPr>
                  </w:pPr>
                  <w:r>
                    <w:rPr>
                      <w:sz w:val="20"/>
                    </w:rPr>
                    <w:t>11</w:t>
                  </w:r>
                </w:p>
              </w:txbxContent>
            </v:textbox>
            <w10:wrap type="none"/>
          </v:shape>
        </w:pict>
      </w:r>
      <w:r>
        <w:rPr>
          <w:sz w:val="24"/>
        </w:rPr>
        <w:t>in</w:t>
      </w:r>
      <w:r>
        <w:rPr>
          <w:spacing w:val="12"/>
          <w:sz w:val="24"/>
        </w:rPr>
        <w:t> </w:t>
      </w:r>
      <w:r>
        <w:rPr>
          <w:sz w:val="24"/>
        </w:rPr>
        <w:t>which</w:t>
      </w:r>
      <w:r>
        <w:rPr>
          <w:spacing w:val="12"/>
          <w:sz w:val="24"/>
        </w:rPr>
        <w:t> </w:t>
      </w:r>
      <w:r>
        <w:rPr>
          <w:sz w:val="24"/>
        </w:rPr>
        <w:t>the</w:t>
      </w:r>
      <w:r>
        <w:rPr>
          <w:spacing w:val="13"/>
          <w:sz w:val="24"/>
        </w:rPr>
        <w:t> </w:t>
      </w:r>
      <w:r>
        <w:rPr>
          <w:sz w:val="24"/>
        </w:rPr>
        <w:t>infection</w:t>
      </w:r>
      <w:r>
        <w:rPr>
          <w:spacing w:val="13"/>
          <w:sz w:val="24"/>
        </w:rPr>
        <w:t> </w:t>
      </w:r>
      <w:r>
        <w:rPr>
          <w:sz w:val="24"/>
        </w:rPr>
        <w:t>did</w:t>
      </w:r>
      <w:r>
        <w:rPr>
          <w:spacing w:val="11"/>
          <w:sz w:val="24"/>
        </w:rPr>
        <w:t> </w:t>
      </w:r>
      <w:r>
        <w:rPr>
          <w:sz w:val="24"/>
        </w:rPr>
        <w:t>not</w:t>
      </w:r>
      <w:r>
        <w:rPr>
          <w:spacing w:val="12"/>
          <w:sz w:val="24"/>
        </w:rPr>
        <w:t> </w:t>
      </w:r>
      <w:r>
        <w:rPr>
          <w:sz w:val="24"/>
        </w:rPr>
        <w:t>respond</w:t>
      </w:r>
      <w:r>
        <w:rPr>
          <w:spacing w:val="11"/>
          <w:sz w:val="24"/>
        </w:rPr>
        <w:t> </w:t>
      </w:r>
      <w:r>
        <w:rPr>
          <w:sz w:val="24"/>
        </w:rPr>
        <w:t>to</w:t>
      </w:r>
      <w:r>
        <w:rPr>
          <w:spacing w:val="14"/>
          <w:sz w:val="24"/>
        </w:rPr>
        <w:t> </w:t>
      </w:r>
      <w:r>
        <w:rPr>
          <w:sz w:val="24"/>
        </w:rPr>
        <w:t>initial</w:t>
      </w:r>
      <w:r>
        <w:rPr>
          <w:spacing w:val="11"/>
          <w:sz w:val="24"/>
        </w:rPr>
        <w:t> </w:t>
      </w:r>
      <w:r>
        <w:rPr>
          <w:sz w:val="24"/>
        </w:rPr>
        <w:t>antibiotic</w:t>
      </w:r>
      <w:r>
        <w:rPr>
          <w:spacing w:val="12"/>
          <w:sz w:val="24"/>
        </w:rPr>
        <w:t> </w:t>
      </w:r>
      <w:r>
        <w:rPr>
          <w:sz w:val="24"/>
        </w:rPr>
        <w:t>therapy,</w:t>
      </w:r>
      <w:r>
        <w:rPr>
          <w:spacing w:val="13"/>
          <w:sz w:val="24"/>
        </w:rPr>
        <w:t> </w:t>
      </w:r>
      <w:r>
        <w:rPr>
          <w:sz w:val="24"/>
        </w:rPr>
        <w:t>which</w:t>
      </w:r>
      <w:r>
        <w:rPr>
          <w:spacing w:val="12"/>
          <w:sz w:val="24"/>
        </w:rPr>
        <w:t> </w:t>
      </w:r>
      <w:r>
        <w:rPr>
          <w:sz w:val="24"/>
        </w:rPr>
        <w:t>were</w:t>
      </w:r>
      <w:r>
        <w:rPr>
          <w:spacing w:val="13"/>
          <w:sz w:val="24"/>
        </w:rPr>
        <w:t> </w:t>
      </w:r>
      <w:r>
        <w:rPr>
          <w:sz w:val="24"/>
        </w:rPr>
        <w:t>considered</w:t>
      </w:r>
      <w:r>
        <w:rPr>
          <w:spacing w:val="11"/>
          <w:sz w:val="24"/>
        </w:rPr>
        <w:t> </w:t>
      </w:r>
      <w:r>
        <w:rPr>
          <w:sz w:val="24"/>
        </w:rPr>
        <w:t>to</w:t>
      </w:r>
      <w:r>
        <w:rPr>
          <w:spacing w:val="12"/>
          <w:sz w:val="24"/>
        </w:rPr>
        <w:t> </w:t>
      </w:r>
      <w:r>
        <w:rPr>
          <w:sz w:val="24"/>
        </w:rPr>
        <w:t>be</w:t>
      </w:r>
    </w:p>
    <w:p>
      <w:pPr>
        <w:pStyle w:val="BodyText"/>
        <w:tabs>
          <w:tab w:pos="1132" w:val="left" w:leader="none"/>
        </w:tabs>
        <w:spacing w:line="310" w:lineRule="exact"/>
        <w:ind w:left="160"/>
        <w:rPr>
          <w:rFonts w:ascii="Cambria"/>
        </w:rPr>
      </w:pPr>
      <w:r>
        <w:rPr>
          <w:position w:val="-3"/>
          <w:sz w:val="20"/>
        </w:rPr>
        <w:t>12</w:t>
        <w:tab/>
      </w:r>
      <w:r>
        <w:rPr>
          <w:rFonts w:ascii="Cambria"/>
        </w:rPr>
        <w:t>recurrent BUTI (relapses, reinfections, or</w:t>
      </w:r>
      <w:r>
        <w:rPr>
          <w:rFonts w:ascii="Cambria"/>
          <w:spacing w:val="-29"/>
        </w:rPr>
        <w:t> </w:t>
      </w:r>
      <w:r>
        <w:rPr>
          <w:rFonts w:ascii="Cambria"/>
        </w:rPr>
        <w:t>superinfections).</w:t>
      </w:r>
    </w:p>
    <w:p>
      <w:pPr>
        <w:spacing w:line="200" w:lineRule="exact" w:before="1"/>
        <w:ind w:left="160" w:right="0" w:firstLine="0"/>
        <w:jc w:val="left"/>
        <w:rPr>
          <w:sz w:val="20"/>
        </w:rPr>
      </w:pPr>
      <w:r>
        <w:rPr>
          <w:sz w:val="20"/>
        </w:rPr>
        <w:t>13</w:t>
      </w:r>
    </w:p>
    <w:p>
      <w:pPr>
        <w:pStyle w:val="ListParagraph"/>
        <w:numPr>
          <w:ilvl w:val="0"/>
          <w:numId w:val="26"/>
        </w:numPr>
        <w:tabs>
          <w:tab w:pos="1840" w:val="left" w:leader="none"/>
          <w:tab w:pos="1841" w:val="left" w:leader="none"/>
          <w:tab w:pos="3227" w:val="left" w:leader="none"/>
          <w:tab w:pos="3834" w:val="left" w:leader="none"/>
          <w:tab w:pos="5087" w:val="left" w:leader="none"/>
          <w:tab w:pos="5774" w:val="left" w:leader="none"/>
          <w:tab w:pos="6784" w:val="left" w:leader="none"/>
          <w:tab w:pos="7505" w:val="left" w:leader="none"/>
          <w:tab w:pos="8452" w:val="left" w:leader="none"/>
          <w:tab w:pos="8908" w:val="left" w:leader="none"/>
          <w:tab w:pos="10375" w:val="left" w:leader="none"/>
        </w:tabs>
        <w:spacing w:line="256" w:lineRule="exact" w:before="0" w:after="0"/>
        <w:ind w:left="1840" w:right="0" w:hanging="1680"/>
        <w:jc w:val="left"/>
        <w:rPr>
          <w:sz w:val="24"/>
        </w:rPr>
      </w:pPr>
      <w:r>
        <w:rPr/>
        <w:pict>
          <v:shape style="position:absolute;margin-left:116.872412pt;margin-top:172.930189pt;width:376.45pt;height:48pt;mso-position-horizontal-relative:page;mso-position-vertical-relative:paragraph;z-index:-93112;rotation:51" type="#_x0000_t136" fillcolor="#d6f1fe" stroked="f">
            <o:extrusion v:ext="view" autorotationcenter="t"/>
            <v:textpath style="font-family:&amp;quot;Arial&amp;quot;;font-size:48pt;v-text-kern:t;mso-text-shadow:auto;font-weight:bold" string="For Review Only"/>
            <w10:wrap type="none"/>
          </v:shape>
        </w:pict>
      </w:r>
      <w:r>
        <w:rPr>
          <w:sz w:val="24"/>
        </w:rPr>
        <w:t>Urolithiasis</w:t>
        <w:tab/>
        <w:t>was</w:t>
        <w:tab/>
        <w:t>diagnosed</w:t>
        <w:tab/>
        <w:t>once</w:t>
        <w:tab/>
        <w:t>uroliths</w:t>
        <w:tab/>
        <w:t>were</w:t>
        <w:tab/>
        <w:t>located</w:t>
        <w:tab/>
        <w:t>by</w:t>
        <w:tab/>
        <w:t>radiography</w:t>
        <w:tab/>
        <w:t>and/or</w:t>
      </w:r>
    </w:p>
    <w:p>
      <w:pPr>
        <w:pStyle w:val="ListParagraph"/>
        <w:numPr>
          <w:ilvl w:val="0"/>
          <w:numId w:val="26"/>
        </w:numPr>
        <w:tabs>
          <w:tab w:pos="1132" w:val="left" w:leader="none"/>
          <w:tab w:pos="1133" w:val="left" w:leader="none"/>
        </w:tabs>
        <w:spacing w:line="261" w:lineRule="exact" w:before="0" w:after="0"/>
        <w:ind w:left="1132" w:right="0" w:hanging="972"/>
        <w:jc w:val="left"/>
        <w:rPr>
          <w:sz w:val="24"/>
        </w:rPr>
      </w:pPr>
      <w:r>
        <w:rPr>
          <w:sz w:val="24"/>
        </w:rPr>
        <w:t>ultrasonography,</w:t>
      </w:r>
      <w:r>
        <w:rPr>
          <w:spacing w:val="45"/>
          <w:sz w:val="24"/>
        </w:rPr>
        <w:t> </w:t>
      </w:r>
      <w:r>
        <w:rPr>
          <w:sz w:val="24"/>
        </w:rPr>
        <w:t>and</w:t>
      </w:r>
      <w:r>
        <w:rPr>
          <w:spacing w:val="43"/>
          <w:sz w:val="24"/>
        </w:rPr>
        <w:t> </w:t>
      </w:r>
      <w:r>
        <w:rPr>
          <w:sz w:val="24"/>
        </w:rPr>
        <w:t>these</w:t>
      </w:r>
      <w:r>
        <w:rPr>
          <w:spacing w:val="44"/>
          <w:sz w:val="24"/>
        </w:rPr>
        <w:t> </w:t>
      </w:r>
      <w:r>
        <w:rPr>
          <w:sz w:val="24"/>
        </w:rPr>
        <w:t>were</w:t>
      </w:r>
      <w:r>
        <w:rPr>
          <w:spacing w:val="44"/>
          <w:sz w:val="24"/>
        </w:rPr>
        <w:t> </w:t>
      </w:r>
      <w:r>
        <w:rPr>
          <w:sz w:val="24"/>
        </w:rPr>
        <w:t>surgically</w:t>
      </w:r>
      <w:r>
        <w:rPr>
          <w:spacing w:val="43"/>
          <w:sz w:val="24"/>
        </w:rPr>
        <w:t> </w:t>
      </w:r>
      <w:r>
        <w:rPr>
          <w:sz w:val="24"/>
        </w:rPr>
        <w:t>removed</w:t>
      </w:r>
      <w:r>
        <w:rPr>
          <w:spacing w:val="43"/>
          <w:sz w:val="24"/>
        </w:rPr>
        <w:t> </w:t>
      </w:r>
      <w:r>
        <w:rPr>
          <w:sz w:val="24"/>
        </w:rPr>
        <w:t>or</w:t>
      </w:r>
      <w:r>
        <w:rPr>
          <w:spacing w:val="45"/>
          <w:sz w:val="24"/>
        </w:rPr>
        <w:t> </w:t>
      </w:r>
      <w:r>
        <w:rPr>
          <w:sz w:val="24"/>
        </w:rPr>
        <w:t>with</w:t>
      </w:r>
      <w:r>
        <w:rPr>
          <w:spacing w:val="43"/>
          <w:sz w:val="24"/>
        </w:rPr>
        <w:t> </w:t>
      </w:r>
      <w:r>
        <w:rPr>
          <w:sz w:val="24"/>
        </w:rPr>
        <w:t>urohidropropulsion,</w:t>
      </w:r>
      <w:r>
        <w:rPr>
          <w:spacing w:val="45"/>
          <w:sz w:val="24"/>
        </w:rPr>
        <w:t> </w:t>
      </w:r>
      <w:r>
        <w:rPr>
          <w:sz w:val="24"/>
        </w:rPr>
        <w:t>all</w:t>
      </w:r>
      <w:r>
        <w:rPr>
          <w:spacing w:val="43"/>
          <w:sz w:val="24"/>
        </w:rPr>
        <w:t> </w:t>
      </w:r>
      <w:r>
        <w:rPr>
          <w:sz w:val="24"/>
        </w:rPr>
        <w:t>uroliths</w:t>
      </w:r>
    </w:p>
    <w:p>
      <w:pPr>
        <w:pStyle w:val="ListParagraph"/>
        <w:numPr>
          <w:ilvl w:val="0"/>
          <w:numId w:val="26"/>
        </w:numPr>
        <w:tabs>
          <w:tab w:pos="1132" w:val="left" w:leader="none"/>
          <w:tab w:pos="1133" w:val="left" w:leader="none"/>
        </w:tabs>
        <w:spacing w:line="257" w:lineRule="exact" w:before="0" w:after="0"/>
        <w:ind w:left="1132" w:right="0" w:hanging="972"/>
        <w:jc w:val="left"/>
        <w:rPr>
          <w:sz w:val="24"/>
        </w:rPr>
      </w:pPr>
      <w:r>
        <w:rPr>
          <w:sz w:val="24"/>
        </w:rPr>
        <w:t>were  analyzed  with  a   physicochemical  quantitative  method,  stereoscopic  microscopy,     </w:t>
      </w:r>
      <w:r>
        <w:rPr>
          <w:spacing w:val="10"/>
          <w:sz w:val="24"/>
        </w:rPr>
        <w:t> </w:t>
      </w:r>
      <w:r>
        <w:rPr>
          <w:sz w:val="24"/>
        </w:rPr>
        <w:t>and</w:t>
      </w:r>
    </w:p>
    <w:p>
      <w:pPr>
        <w:pStyle w:val="ListParagraph"/>
        <w:numPr>
          <w:ilvl w:val="0"/>
          <w:numId w:val="26"/>
        </w:numPr>
        <w:tabs>
          <w:tab w:pos="1132" w:val="left" w:leader="none"/>
          <w:tab w:pos="1133" w:val="left" w:leader="none"/>
        </w:tabs>
        <w:spacing w:line="257" w:lineRule="exact" w:before="0" w:after="0"/>
        <w:ind w:left="1132" w:right="0" w:hanging="972"/>
        <w:jc w:val="left"/>
        <w:rPr>
          <w:sz w:val="24"/>
        </w:rPr>
      </w:pPr>
      <w:r>
        <w:rPr>
          <w:sz w:val="24"/>
        </w:rPr>
        <w:t>infrared</w:t>
      </w:r>
      <w:r>
        <w:rPr>
          <w:spacing w:val="35"/>
          <w:sz w:val="24"/>
        </w:rPr>
        <w:t> </w:t>
      </w:r>
      <w:r>
        <w:rPr>
          <w:sz w:val="24"/>
        </w:rPr>
        <w:t>spectroscopy</w:t>
      </w:r>
      <w:r>
        <w:rPr>
          <w:spacing w:val="35"/>
          <w:sz w:val="24"/>
        </w:rPr>
        <w:t> </w:t>
      </w:r>
      <w:r>
        <w:rPr>
          <w:sz w:val="24"/>
        </w:rPr>
        <w:t>in</w:t>
      </w:r>
      <w:r>
        <w:rPr>
          <w:spacing w:val="36"/>
          <w:sz w:val="24"/>
        </w:rPr>
        <w:t> </w:t>
      </w:r>
      <w:r>
        <w:rPr>
          <w:sz w:val="24"/>
        </w:rPr>
        <w:t>order</w:t>
      </w:r>
      <w:r>
        <w:rPr>
          <w:spacing w:val="35"/>
          <w:sz w:val="24"/>
        </w:rPr>
        <w:t> </w:t>
      </w:r>
      <w:r>
        <w:rPr>
          <w:sz w:val="24"/>
        </w:rPr>
        <w:t>to</w:t>
      </w:r>
      <w:r>
        <w:rPr>
          <w:spacing w:val="36"/>
          <w:sz w:val="24"/>
        </w:rPr>
        <w:t> </w:t>
      </w:r>
      <w:r>
        <w:rPr>
          <w:sz w:val="24"/>
        </w:rPr>
        <w:t>determine</w:t>
      </w:r>
      <w:r>
        <w:rPr>
          <w:spacing w:val="36"/>
          <w:sz w:val="24"/>
        </w:rPr>
        <w:t> </w:t>
      </w:r>
      <w:r>
        <w:rPr>
          <w:sz w:val="24"/>
        </w:rPr>
        <w:t>the</w:t>
      </w:r>
      <w:r>
        <w:rPr>
          <w:spacing w:val="36"/>
          <w:sz w:val="24"/>
        </w:rPr>
        <w:t> </w:t>
      </w:r>
      <w:r>
        <w:rPr>
          <w:sz w:val="24"/>
        </w:rPr>
        <w:t>mineral</w:t>
      </w:r>
      <w:r>
        <w:rPr>
          <w:spacing w:val="35"/>
          <w:sz w:val="24"/>
        </w:rPr>
        <w:t> </w:t>
      </w:r>
      <w:r>
        <w:rPr>
          <w:sz w:val="24"/>
        </w:rPr>
        <w:t>composition</w:t>
      </w:r>
      <w:r>
        <w:rPr>
          <w:spacing w:val="36"/>
          <w:sz w:val="24"/>
        </w:rPr>
        <w:t> </w:t>
      </w:r>
      <w:r>
        <w:rPr>
          <w:sz w:val="24"/>
        </w:rPr>
        <w:t>(Del-Angel-Caraza</w:t>
      </w:r>
      <w:r>
        <w:rPr>
          <w:spacing w:val="36"/>
          <w:sz w:val="24"/>
        </w:rPr>
        <w:t> </w:t>
      </w:r>
      <w:r>
        <w:rPr>
          <w:sz w:val="24"/>
        </w:rPr>
        <w:t>et</w:t>
      </w:r>
      <w:r>
        <w:rPr>
          <w:spacing w:val="38"/>
          <w:sz w:val="24"/>
        </w:rPr>
        <w:t> </w:t>
      </w:r>
      <w:r>
        <w:rPr>
          <w:sz w:val="24"/>
        </w:rPr>
        <w:t>al.</w:t>
      </w:r>
    </w:p>
    <w:p>
      <w:pPr>
        <w:spacing w:line="115" w:lineRule="exact" w:before="0"/>
        <w:ind w:left="160" w:right="0" w:firstLine="0"/>
        <w:jc w:val="left"/>
        <w:rPr>
          <w:sz w:val="20"/>
        </w:rPr>
      </w:pPr>
      <w:r>
        <w:rPr>
          <w:sz w:val="20"/>
        </w:rPr>
        <w:t>18</w:t>
      </w:r>
    </w:p>
    <w:p>
      <w:pPr>
        <w:tabs>
          <w:tab w:pos="1132" w:val="left" w:leader="none"/>
        </w:tabs>
        <w:spacing w:line="280" w:lineRule="exact" w:before="0"/>
        <w:ind w:left="160" w:right="0" w:firstLine="0"/>
        <w:jc w:val="left"/>
        <w:rPr>
          <w:rFonts w:ascii="Cambria"/>
          <w:sz w:val="24"/>
        </w:rPr>
      </w:pPr>
      <w:r>
        <w:rPr>
          <w:position w:val="-5"/>
          <w:sz w:val="20"/>
        </w:rPr>
        <w:t>19</w:t>
        <w:tab/>
      </w:r>
      <w:r>
        <w:rPr>
          <w:rFonts w:ascii="Cambria"/>
          <w:sz w:val="24"/>
        </w:rPr>
        <w:t>2010).</w:t>
      </w:r>
    </w:p>
    <w:p>
      <w:pPr>
        <w:spacing w:line="186" w:lineRule="exact" w:before="7"/>
        <w:ind w:left="160" w:right="0" w:firstLine="0"/>
        <w:jc w:val="left"/>
        <w:rPr>
          <w:sz w:val="20"/>
        </w:rPr>
      </w:pPr>
      <w:r>
        <w:rPr>
          <w:sz w:val="20"/>
        </w:rPr>
        <w:t>20</w:t>
      </w:r>
    </w:p>
    <w:p>
      <w:pPr>
        <w:pStyle w:val="ListParagraph"/>
        <w:numPr>
          <w:ilvl w:val="0"/>
          <w:numId w:val="27"/>
        </w:numPr>
        <w:tabs>
          <w:tab w:pos="1840" w:val="left" w:leader="none"/>
          <w:tab w:pos="1841" w:val="left" w:leader="none"/>
        </w:tabs>
        <w:spacing w:line="258" w:lineRule="exact" w:before="0" w:after="0"/>
        <w:ind w:left="1840" w:right="0" w:hanging="1680"/>
        <w:jc w:val="left"/>
        <w:rPr>
          <w:sz w:val="24"/>
        </w:rPr>
      </w:pPr>
      <w:r>
        <w:rPr>
          <w:sz w:val="24"/>
        </w:rPr>
        <w:t>For</w:t>
      </w:r>
      <w:r>
        <w:rPr>
          <w:spacing w:val="44"/>
          <w:sz w:val="24"/>
        </w:rPr>
        <w:t> </w:t>
      </w:r>
      <w:r>
        <w:rPr>
          <w:sz w:val="24"/>
        </w:rPr>
        <w:t>micturition</w:t>
      </w:r>
      <w:r>
        <w:rPr>
          <w:spacing w:val="45"/>
          <w:sz w:val="24"/>
        </w:rPr>
        <w:t> </w:t>
      </w:r>
      <w:r>
        <w:rPr>
          <w:sz w:val="24"/>
        </w:rPr>
        <w:t>disorders,</w:t>
      </w:r>
      <w:r>
        <w:rPr>
          <w:spacing w:val="46"/>
          <w:sz w:val="24"/>
        </w:rPr>
        <w:t> </w:t>
      </w:r>
      <w:r>
        <w:rPr>
          <w:sz w:val="24"/>
        </w:rPr>
        <w:t>cases</w:t>
      </w:r>
      <w:r>
        <w:rPr>
          <w:spacing w:val="45"/>
          <w:sz w:val="24"/>
        </w:rPr>
        <w:t> </w:t>
      </w:r>
      <w:r>
        <w:rPr>
          <w:sz w:val="24"/>
        </w:rPr>
        <w:t>of</w:t>
      </w:r>
      <w:r>
        <w:rPr>
          <w:spacing w:val="44"/>
          <w:sz w:val="24"/>
        </w:rPr>
        <w:t> </w:t>
      </w:r>
      <w:r>
        <w:rPr>
          <w:sz w:val="24"/>
        </w:rPr>
        <w:t>urinary</w:t>
      </w:r>
      <w:r>
        <w:rPr>
          <w:spacing w:val="44"/>
          <w:sz w:val="24"/>
        </w:rPr>
        <w:t> </w:t>
      </w:r>
      <w:r>
        <w:rPr>
          <w:sz w:val="24"/>
        </w:rPr>
        <w:t>incontinence</w:t>
      </w:r>
      <w:r>
        <w:rPr>
          <w:spacing w:val="45"/>
          <w:sz w:val="24"/>
        </w:rPr>
        <w:t> </w:t>
      </w:r>
      <w:r>
        <w:rPr>
          <w:sz w:val="24"/>
        </w:rPr>
        <w:t>were</w:t>
      </w:r>
      <w:r>
        <w:rPr>
          <w:spacing w:val="45"/>
          <w:sz w:val="24"/>
        </w:rPr>
        <w:t> </w:t>
      </w:r>
      <w:r>
        <w:rPr>
          <w:sz w:val="24"/>
        </w:rPr>
        <w:t>diagnosed</w:t>
      </w:r>
      <w:r>
        <w:rPr>
          <w:spacing w:val="44"/>
          <w:sz w:val="24"/>
        </w:rPr>
        <w:t> </w:t>
      </w:r>
      <w:r>
        <w:rPr>
          <w:sz w:val="24"/>
        </w:rPr>
        <w:t>based</w:t>
      </w:r>
      <w:r>
        <w:rPr>
          <w:spacing w:val="44"/>
          <w:sz w:val="24"/>
        </w:rPr>
        <w:t> </w:t>
      </w:r>
      <w:r>
        <w:rPr>
          <w:sz w:val="24"/>
        </w:rPr>
        <w:t>on</w:t>
      </w:r>
      <w:r>
        <w:rPr>
          <w:spacing w:val="45"/>
          <w:sz w:val="24"/>
        </w:rPr>
        <w:t> </w:t>
      </w:r>
      <w:r>
        <w:rPr>
          <w:sz w:val="24"/>
        </w:rPr>
        <w:t>the</w:t>
      </w:r>
    </w:p>
    <w:p>
      <w:pPr>
        <w:pStyle w:val="ListParagraph"/>
        <w:numPr>
          <w:ilvl w:val="0"/>
          <w:numId w:val="27"/>
        </w:numPr>
        <w:tabs>
          <w:tab w:pos="1132" w:val="left" w:leader="none"/>
          <w:tab w:pos="1133" w:val="left" w:leader="none"/>
        </w:tabs>
        <w:spacing w:line="258" w:lineRule="exact" w:before="0" w:after="0"/>
        <w:ind w:left="1132" w:right="0" w:hanging="972"/>
        <w:jc w:val="left"/>
        <w:rPr>
          <w:sz w:val="24"/>
        </w:rPr>
      </w:pPr>
      <w:r>
        <w:rPr>
          <w:sz w:val="24"/>
        </w:rPr>
        <w:t>urine</w:t>
      </w:r>
      <w:r>
        <w:rPr>
          <w:spacing w:val="19"/>
          <w:sz w:val="24"/>
        </w:rPr>
        <w:t> </w:t>
      </w:r>
      <w:r>
        <w:rPr>
          <w:sz w:val="24"/>
        </w:rPr>
        <w:t>leakage</w:t>
      </w:r>
      <w:r>
        <w:rPr>
          <w:spacing w:val="19"/>
          <w:sz w:val="24"/>
        </w:rPr>
        <w:t> </w:t>
      </w:r>
      <w:r>
        <w:rPr>
          <w:sz w:val="24"/>
        </w:rPr>
        <w:t>between</w:t>
      </w:r>
      <w:r>
        <w:rPr>
          <w:spacing w:val="19"/>
          <w:sz w:val="24"/>
        </w:rPr>
        <w:t> </w:t>
      </w:r>
      <w:r>
        <w:rPr>
          <w:sz w:val="24"/>
        </w:rPr>
        <w:t>micturition</w:t>
      </w:r>
      <w:r>
        <w:rPr>
          <w:spacing w:val="19"/>
          <w:sz w:val="24"/>
        </w:rPr>
        <w:t> </w:t>
      </w:r>
      <w:r>
        <w:rPr>
          <w:sz w:val="24"/>
        </w:rPr>
        <w:t>periods</w:t>
      </w:r>
      <w:r>
        <w:rPr>
          <w:spacing w:val="18"/>
          <w:sz w:val="24"/>
        </w:rPr>
        <w:t> </w:t>
      </w:r>
      <w:r>
        <w:rPr>
          <w:sz w:val="24"/>
        </w:rPr>
        <w:t>and</w:t>
      </w:r>
      <w:r>
        <w:rPr>
          <w:spacing w:val="17"/>
          <w:sz w:val="24"/>
        </w:rPr>
        <w:t> </w:t>
      </w:r>
      <w:r>
        <w:rPr>
          <w:sz w:val="24"/>
        </w:rPr>
        <w:t>the</w:t>
      </w:r>
      <w:r>
        <w:rPr>
          <w:spacing w:val="19"/>
          <w:sz w:val="24"/>
        </w:rPr>
        <w:t> </w:t>
      </w:r>
      <w:r>
        <w:rPr>
          <w:sz w:val="24"/>
        </w:rPr>
        <w:t>presence</w:t>
      </w:r>
      <w:r>
        <w:rPr>
          <w:spacing w:val="19"/>
          <w:sz w:val="24"/>
        </w:rPr>
        <w:t> </w:t>
      </w:r>
      <w:r>
        <w:rPr>
          <w:sz w:val="24"/>
        </w:rPr>
        <w:t>of</w:t>
      </w:r>
      <w:r>
        <w:rPr>
          <w:spacing w:val="18"/>
          <w:sz w:val="24"/>
        </w:rPr>
        <w:t> </w:t>
      </w:r>
      <w:r>
        <w:rPr>
          <w:sz w:val="24"/>
        </w:rPr>
        <w:t>urine</w:t>
      </w:r>
      <w:r>
        <w:rPr>
          <w:spacing w:val="21"/>
          <w:sz w:val="24"/>
        </w:rPr>
        <w:t> </w:t>
      </w:r>
      <w:r>
        <w:rPr>
          <w:sz w:val="24"/>
        </w:rPr>
        <w:t>that</w:t>
      </w:r>
      <w:r>
        <w:rPr>
          <w:spacing w:val="18"/>
          <w:sz w:val="24"/>
        </w:rPr>
        <w:t> </w:t>
      </w:r>
      <w:r>
        <w:rPr>
          <w:sz w:val="24"/>
        </w:rPr>
        <w:t>burns</w:t>
      </w:r>
      <w:r>
        <w:rPr>
          <w:spacing w:val="18"/>
          <w:sz w:val="24"/>
        </w:rPr>
        <w:t> </w:t>
      </w:r>
      <w:r>
        <w:rPr>
          <w:sz w:val="24"/>
        </w:rPr>
        <w:t>the</w:t>
      </w:r>
      <w:r>
        <w:rPr>
          <w:spacing w:val="19"/>
          <w:sz w:val="24"/>
        </w:rPr>
        <w:t> </w:t>
      </w:r>
      <w:r>
        <w:rPr>
          <w:sz w:val="24"/>
        </w:rPr>
        <w:t>skin</w:t>
      </w:r>
      <w:r>
        <w:rPr>
          <w:spacing w:val="19"/>
          <w:sz w:val="24"/>
        </w:rPr>
        <w:t> </w:t>
      </w:r>
      <w:r>
        <w:rPr>
          <w:sz w:val="24"/>
        </w:rPr>
        <w:t>in</w:t>
      </w:r>
      <w:r>
        <w:rPr>
          <w:spacing w:val="21"/>
          <w:sz w:val="24"/>
        </w:rPr>
        <w:t> </w:t>
      </w:r>
      <w:r>
        <w:rPr>
          <w:sz w:val="24"/>
        </w:rPr>
        <w:t>the</w:t>
      </w:r>
    </w:p>
    <w:p>
      <w:pPr>
        <w:pStyle w:val="ListParagraph"/>
        <w:numPr>
          <w:ilvl w:val="0"/>
          <w:numId w:val="27"/>
        </w:numPr>
        <w:tabs>
          <w:tab w:pos="1132" w:val="left" w:leader="none"/>
          <w:tab w:pos="1133" w:val="left" w:leader="none"/>
        </w:tabs>
        <w:spacing w:line="261" w:lineRule="exact" w:before="0" w:after="0"/>
        <w:ind w:left="1132" w:right="0" w:hanging="972"/>
        <w:jc w:val="left"/>
        <w:rPr>
          <w:sz w:val="24"/>
        </w:rPr>
      </w:pPr>
      <w:r>
        <w:rPr>
          <w:sz w:val="24"/>
        </w:rPr>
        <w:t>perineal</w:t>
      </w:r>
      <w:r>
        <w:rPr>
          <w:spacing w:val="39"/>
          <w:sz w:val="24"/>
        </w:rPr>
        <w:t> </w:t>
      </w:r>
      <w:r>
        <w:rPr>
          <w:sz w:val="24"/>
        </w:rPr>
        <w:t>region.</w:t>
      </w:r>
      <w:r>
        <w:rPr>
          <w:spacing w:val="41"/>
          <w:sz w:val="24"/>
        </w:rPr>
        <w:t> </w:t>
      </w:r>
      <w:r>
        <w:rPr>
          <w:sz w:val="24"/>
        </w:rPr>
        <w:t>Urinary</w:t>
      </w:r>
      <w:r>
        <w:rPr>
          <w:spacing w:val="39"/>
          <w:sz w:val="24"/>
        </w:rPr>
        <w:t> </w:t>
      </w:r>
      <w:r>
        <w:rPr>
          <w:sz w:val="24"/>
        </w:rPr>
        <w:t>retention</w:t>
      </w:r>
      <w:r>
        <w:rPr>
          <w:spacing w:val="41"/>
          <w:sz w:val="24"/>
        </w:rPr>
        <w:t> </w:t>
      </w:r>
      <w:r>
        <w:rPr>
          <w:sz w:val="24"/>
        </w:rPr>
        <w:t>cases</w:t>
      </w:r>
      <w:r>
        <w:rPr>
          <w:spacing w:val="40"/>
          <w:sz w:val="24"/>
        </w:rPr>
        <w:t> </w:t>
      </w:r>
      <w:r>
        <w:rPr>
          <w:sz w:val="24"/>
        </w:rPr>
        <w:t>were</w:t>
      </w:r>
      <w:r>
        <w:rPr>
          <w:spacing w:val="43"/>
          <w:sz w:val="24"/>
        </w:rPr>
        <w:t> </w:t>
      </w:r>
      <w:r>
        <w:rPr>
          <w:sz w:val="24"/>
        </w:rPr>
        <w:t>diagnosed</w:t>
      </w:r>
      <w:r>
        <w:rPr>
          <w:spacing w:val="39"/>
          <w:sz w:val="24"/>
        </w:rPr>
        <w:t> </w:t>
      </w:r>
      <w:r>
        <w:rPr>
          <w:sz w:val="24"/>
        </w:rPr>
        <w:t>by</w:t>
      </w:r>
      <w:r>
        <w:rPr>
          <w:spacing w:val="41"/>
          <w:sz w:val="24"/>
        </w:rPr>
        <w:t> </w:t>
      </w:r>
      <w:r>
        <w:rPr>
          <w:sz w:val="24"/>
        </w:rPr>
        <w:t>measuring</w:t>
      </w:r>
      <w:r>
        <w:rPr>
          <w:spacing w:val="39"/>
          <w:sz w:val="24"/>
        </w:rPr>
        <w:t> </w:t>
      </w:r>
      <w:r>
        <w:rPr>
          <w:sz w:val="24"/>
        </w:rPr>
        <w:t>the</w:t>
      </w:r>
      <w:r>
        <w:rPr>
          <w:spacing w:val="41"/>
          <w:sz w:val="24"/>
        </w:rPr>
        <w:t> </w:t>
      </w:r>
      <w:r>
        <w:rPr>
          <w:sz w:val="24"/>
        </w:rPr>
        <w:t>post-void</w:t>
      </w:r>
      <w:r>
        <w:rPr>
          <w:spacing w:val="41"/>
          <w:sz w:val="24"/>
        </w:rPr>
        <w:t> </w:t>
      </w:r>
      <w:r>
        <w:rPr>
          <w:sz w:val="24"/>
        </w:rPr>
        <w:t>residual</w:t>
      </w:r>
    </w:p>
    <w:p>
      <w:pPr>
        <w:pStyle w:val="ListParagraph"/>
        <w:numPr>
          <w:ilvl w:val="0"/>
          <w:numId w:val="27"/>
        </w:numPr>
        <w:tabs>
          <w:tab w:pos="1132" w:val="left" w:leader="none"/>
          <w:tab w:pos="1133" w:val="left" w:leader="none"/>
        </w:tabs>
        <w:spacing w:line="256" w:lineRule="exact" w:before="0" w:after="0"/>
        <w:ind w:left="1132" w:right="0" w:hanging="972"/>
        <w:jc w:val="left"/>
        <w:rPr>
          <w:sz w:val="24"/>
        </w:rPr>
      </w:pPr>
      <w:r>
        <w:rPr>
          <w:sz w:val="24"/>
        </w:rPr>
        <w:t>urine above 0.4 ml kg</w:t>
      </w:r>
      <w:r>
        <w:rPr>
          <w:position w:val="6"/>
          <w:sz w:val="16"/>
        </w:rPr>
        <w:t>-1  </w:t>
      </w:r>
      <w:r>
        <w:rPr>
          <w:sz w:val="24"/>
        </w:rPr>
        <w:t>(Fischer &amp; Lane 2007) and in both cases a detailed neurological exam</w:t>
      </w:r>
      <w:r>
        <w:rPr>
          <w:spacing w:val="-2"/>
          <w:sz w:val="24"/>
        </w:rPr>
        <w:t> </w:t>
      </w:r>
      <w:r>
        <w:rPr>
          <w:sz w:val="24"/>
        </w:rPr>
        <w:t>and</w:t>
      </w:r>
    </w:p>
    <w:p>
      <w:pPr>
        <w:pStyle w:val="ListParagraph"/>
        <w:numPr>
          <w:ilvl w:val="0"/>
          <w:numId w:val="27"/>
        </w:numPr>
        <w:tabs>
          <w:tab w:pos="1132" w:val="left" w:leader="none"/>
          <w:tab w:pos="1133" w:val="left" w:leader="none"/>
        </w:tabs>
        <w:spacing w:line="331" w:lineRule="exact" w:before="0" w:after="0"/>
        <w:ind w:left="1132" w:right="0" w:hanging="972"/>
        <w:jc w:val="left"/>
        <w:rPr>
          <w:sz w:val="24"/>
        </w:rPr>
      </w:pPr>
      <w:r>
        <w:rPr/>
        <w:pict>
          <v:shape style="position:absolute;margin-left:8pt;margin-top:10.752744pt;width:11.15pt;height:10pt;mso-position-horizontal-relative:page;mso-position-vertical-relative:paragraph;z-index:-93040" type="#_x0000_t202" filled="false" stroked="false">
            <v:textbox inset="0,0,0,0">
              <w:txbxContent>
                <w:p>
                  <w:pPr>
                    <w:spacing w:line="196" w:lineRule="exact" w:before="0"/>
                    <w:ind w:left="0" w:right="-20" w:firstLine="0"/>
                    <w:jc w:val="left"/>
                    <w:rPr>
                      <w:sz w:val="20"/>
                    </w:rPr>
                  </w:pPr>
                  <w:r>
                    <w:rPr>
                      <w:sz w:val="20"/>
                    </w:rPr>
                    <w:t>26</w:t>
                  </w:r>
                </w:p>
              </w:txbxContent>
            </v:textbox>
            <w10:wrap type="none"/>
          </v:shape>
        </w:pict>
      </w:r>
      <w:r>
        <w:rPr>
          <w:sz w:val="24"/>
        </w:rPr>
        <w:t>the gonadal state</w:t>
      </w:r>
      <w:r>
        <w:rPr>
          <w:spacing w:val="-13"/>
          <w:sz w:val="24"/>
        </w:rPr>
        <w:t> </w:t>
      </w:r>
      <w:r>
        <w:rPr>
          <w:sz w:val="24"/>
        </w:rPr>
        <w:t>relation.</w:t>
      </w:r>
    </w:p>
    <w:p>
      <w:pPr>
        <w:pStyle w:val="BodyText"/>
        <w:tabs>
          <w:tab w:pos="1840" w:val="left" w:leader="none"/>
        </w:tabs>
        <w:spacing w:line="401" w:lineRule="exact" w:before="81"/>
        <w:ind w:left="160"/>
        <w:rPr>
          <w:rFonts w:ascii="Cambria"/>
        </w:rPr>
      </w:pPr>
      <w:r>
        <w:rPr/>
        <w:pict>
          <v:shape style="position:absolute;margin-left:8pt;margin-top:17.519693pt;width:11.15pt;height:10pt;mso-position-horizontal-relative:page;mso-position-vertical-relative:paragraph;z-index:-93016" type="#_x0000_t202" filled="false" stroked="false">
            <v:textbox inset="0,0,0,0">
              <w:txbxContent>
                <w:p>
                  <w:pPr>
                    <w:spacing w:line="196" w:lineRule="exact" w:before="0"/>
                    <w:ind w:left="0" w:right="-20" w:firstLine="0"/>
                    <w:jc w:val="left"/>
                    <w:rPr>
                      <w:sz w:val="20"/>
                    </w:rPr>
                  </w:pPr>
                  <w:r>
                    <w:rPr>
                      <w:sz w:val="20"/>
                    </w:rPr>
                    <w:t>28</w:t>
                  </w:r>
                </w:p>
              </w:txbxContent>
            </v:textbox>
            <w10:wrap type="none"/>
          </v:shape>
        </w:pict>
      </w:r>
      <w:r>
        <w:rPr>
          <w:position w:val="16"/>
          <w:sz w:val="20"/>
        </w:rPr>
        <w:t>27</w:t>
        <w:tab/>
      </w:r>
      <w:r>
        <w:rPr>
          <w:rFonts w:ascii="Cambria"/>
        </w:rPr>
        <w:t>For  prostate  diseases,  a  combination  of  various  techniques,  such  as  rectal  </w:t>
      </w:r>
      <w:r>
        <w:rPr>
          <w:rFonts w:ascii="Cambria"/>
          <w:spacing w:val="38"/>
        </w:rPr>
        <w:t> </w:t>
      </w:r>
      <w:r>
        <w:rPr>
          <w:rFonts w:ascii="Cambria"/>
        </w:rPr>
        <w:t>palpation,</w:t>
      </w:r>
    </w:p>
    <w:p>
      <w:pPr>
        <w:pStyle w:val="BodyText"/>
        <w:tabs>
          <w:tab w:pos="1132" w:val="left" w:leader="none"/>
        </w:tabs>
        <w:spacing w:line="300" w:lineRule="exact"/>
        <w:ind w:left="160"/>
        <w:rPr>
          <w:rFonts w:ascii="Cambria"/>
        </w:rPr>
      </w:pPr>
      <w:r>
        <w:rPr>
          <w:position w:val="-2"/>
          <w:sz w:val="20"/>
        </w:rPr>
        <w:t>29</w:t>
        <w:tab/>
      </w:r>
      <w:r>
        <w:rPr>
          <w:rFonts w:ascii="Cambria"/>
        </w:rPr>
        <w:t>radiology, ultrasonography, urinalysis, and aspiration cytology, were</w:t>
      </w:r>
      <w:r>
        <w:rPr>
          <w:rFonts w:ascii="Cambria"/>
          <w:spacing w:val="-32"/>
        </w:rPr>
        <w:t> </w:t>
      </w:r>
      <w:r>
        <w:rPr>
          <w:rFonts w:ascii="Cambria"/>
        </w:rPr>
        <w:t>used.</w:t>
      </w:r>
    </w:p>
    <w:p>
      <w:pPr>
        <w:spacing w:line="206" w:lineRule="exact" w:before="1"/>
        <w:ind w:left="160" w:right="0" w:firstLine="0"/>
        <w:jc w:val="left"/>
        <w:rPr>
          <w:sz w:val="20"/>
        </w:rPr>
      </w:pPr>
      <w:r>
        <w:rPr>
          <w:sz w:val="20"/>
        </w:rPr>
        <w:t>30</w:t>
      </w:r>
    </w:p>
    <w:p>
      <w:pPr>
        <w:pStyle w:val="ListParagraph"/>
        <w:numPr>
          <w:ilvl w:val="0"/>
          <w:numId w:val="28"/>
        </w:numPr>
        <w:tabs>
          <w:tab w:pos="1840" w:val="left" w:leader="none"/>
          <w:tab w:pos="1841" w:val="left" w:leader="none"/>
        </w:tabs>
        <w:spacing w:line="256" w:lineRule="exact" w:before="0" w:after="0"/>
        <w:ind w:left="1840" w:right="0" w:hanging="1680"/>
        <w:jc w:val="left"/>
        <w:rPr>
          <w:sz w:val="24"/>
        </w:rPr>
      </w:pPr>
      <w:r>
        <w:rPr>
          <w:b/>
          <w:position w:val="1"/>
          <w:sz w:val="24"/>
        </w:rPr>
        <w:t>Statistical  analysis. </w:t>
      </w:r>
      <w:r>
        <w:rPr>
          <w:position w:val="1"/>
          <w:sz w:val="24"/>
        </w:rPr>
        <w:t>We  used descriptive  statistics  in  order to  determine </w:t>
      </w:r>
      <w:r>
        <w:rPr>
          <w:spacing w:val="6"/>
          <w:position w:val="1"/>
          <w:sz w:val="24"/>
        </w:rPr>
        <w:t> </w:t>
      </w:r>
      <w:r>
        <w:rPr>
          <w:position w:val="1"/>
          <w:sz w:val="24"/>
        </w:rPr>
        <w:t>relationships</w:t>
      </w:r>
    </w:p>
    <w:p>
      <w:pPr>
        <w:pStyle w:val="ListParagraph"/>
        <w:numPr>
          <w:ilvl w:val="0"/>
          <w:numId w:val="28"/>
        </w:numPr>
        <w:tabs>
          <w:tab w:pos="1132" w:val="left" w:leader="none"/>
          <w:tab w:pos="1133" w:val="left" w:leader="none"/>
        </w:tabs>
        <w:spacing w:line="260" w:lineRule="exact" w:before="0" w:after="0"/>
        <w:ind w:left="1132" w:right="0" w:hanging="972"/>
        <w:jc w:val="left"/>
        <w:rPr>
          <w:sz w:val="24"/>
        </w:rPr>
      </w:pPr>
      <w:r>
        <w:rPr>
          <w:sz w:val="24"/>
        </w:rPr>
        <w:t>between</w:t>
      </w:r>
      <w:r>
        <w:rPr>
          <w:spacing w:val="33"/>
          <w:sz w:val="24"/>
        </w:rPr>
        <w:t> </w:t>
      </w:r>
      <w:r>
        <w:rPr>
          <w:sz w:val="24"/>
        </w:rPr>
        <w:t>LUTD</w:t>
      </w:r>
      <w:r>
        <w:rPr>
          <w:spacing w:val="33"/>
          <w:sz w:val="24"/>
        </w:rPr>
        <w:t> </w:t>
      </w:r>
      <w:r>
        <w:rPr>
          <w:sz w:val="24"/>
        </w:rPr>
        <w:t>and</w:t>
      </w:r>
      <w:r>
        <w:rPr>
          <w:spacing w:val="32"/>
          <w:sz w:val="24"/>
        </w:rPr>
        <w:t> </w:t>
      </w:r>
      <w:r>
        <w:rPr>
          <w:sz w:val="24"/>
        </w:rPr>
        <w:t>the</w:t>
      </w:r>
      <w:r>
        <w:rPr>
          <w:spacing w:val="33"/>
          <w:sz w:val="24"/>
        </w:rPr>
        <w:t> </w:t>
      </w:r>
      <w:r>
        <w:rPr>
          <w:sz w:val="24"/>
        </w:rPr>
        <w:t>analyzed</w:t>
      </w:r>
      <w:r>
        <w:rPr>
          <w:spacing w:val="34"/>
          <w:sz w:val="24"/>
        </w:rPr>
        <w:t> </w:t>
      </w:r>
      <w:r>
        <w:rPr>
          <w:sz w:val="24"/>
        </w:rPr>
        <w:t>variables.</w:t>
      </w:r>
      <w:r>
        <w:rPr>
          <w:spacing w:val="34"/>
          <w:sz w:val="24"/>
        </w:rPr>
        <w:t> </w:t>
      </w:r>
      <w:r>
        <w:rPr>
          <w:sz w:val="24"/>
        </w:rPr>
        <w:t>Values</w:t>
      </w:r>
      <w:r>
        <w:rPr>
          <w:spacing w:val="33"/>
          <w:sz w:val="24"/>
        </w:rPr>
        <w:t> </w:t>
      </w:r>
      <w:r>
        <w:rPr>
          <w:sz w:val="24"/>
        </w:rPr>
        <w:t>of</w:t>
      </w:r>
      <w:r>
        <w:rPr>
          <w:spacing w:val="35"/>
          <w:sz w:val="24"/>
        </w:rPr>
        <w:t> </w:t>
      </w:r>
      <w:r>
        <w:rPr>
          <w:i/>
          <w:sz w:val="24"/>
        </w:rPr>
        <w:t>Xi</w:t>
      </w:r>
      <w:r>
        <w:rPr>
          <w:i/>
          <w:position w:val="6"/>
          <w:sz w:val="16"/>
        </w:rPr>
        <w:t>2 </w:t>
      </w:r>
      <w:r>
        <w:rPr>
          <w:i/>
          <w:spacing w:val="14"/>
          <w:position w:val="6"/>
          <w:sz w:val="16"/>
        </w:rPr>
        <w:t> </w:t>
      </w:r>
      <w:r>
        <w:rPr>
          <w:sz w:val="24"/>
        </w:rPr>
        <w:t>and</w:t>
      </w:r>
      <w:r>
        <w:rPr>
          <w:spacing w:val="34"/>
          <w:sz w:val="24"/>
        </w:rPr>
        <w:t> </w:t>
      </w:r>
      <w:r>
        <w:rPr>
          <w:sz w:val="24"/>
        </w:rPr>
        <w:t>OR</w:t>
      </w:r>
      <w:r>
        <w:rPr>
          <w:spacing w:val="35"/>
          <w:sz w:val="24"/>
        </w:rPr>
        <w:t> </w:t>
      </w:r>
      <w:r>
        <w:rPr>
          <w:sz w:val="24"/>
        </w:rPr>
        <w:t>with</w:t>
      </w:r>
      <w:r>
        <w:rPr>
          <w:spacing w:val="33"/>
          <w:sz w:val="24"/>
        </w:rPr>
        <w:t> </w:t>
      </w:r>
      <w:r>
        <w:rPr>
          <w:sz w:val="24"/>
        </w:rPr>
        <w:t>a</w:t>
      </w:r>
      <w:r>
        <w:rPr>
          <w:spacing w:val="33"/>
          <w:sz w:val="24"/>
        </w:rPr>
        <w:t> </w:t>
      </w:r>
      <w:r>
        <w:rPr>
          <w:sz w:val="24"/>
        </w:rPr>
        <w:t>95%</w:t>
      </w:r>
      <w:r>
        <w:rPr>
          <w:spacing w:val="36"/>
          <w:sz w:val="24"/>
        </w:rPr>
        <w:t> </w:t>
      </w:r>
      <w:r>
        <w:rPr>
          <w:sz w:val="24"/>
        </w:rPr>
        <w:t>confidence</w:t>
      </w:r>
      <w:r>
        <w:rPr>
          <w:spacing w:val="33"/>
          <w:sz w:val="24"/>
        </w:rPr>
        <w:t> </w:t>
      </w:r>
      <w:r>
        <w:rPr>
          <w:sz w:val="24"/>
        </w:rPr>
        <w:t>were</w:t>
      </w:r>
    </w:p>
    <w:p>
      <w:pPr>
        <w:pStyle w:val="ListParagraph"/>
        <w:numPr>
          <w:ilvl w:val="0"/>
          <w:numId w:val="28"/>
        </w:numPr>
        <w:tabs>
          <w:tab w:pos="1132" w:val="left" w:leader="none"/>
          <w:tab w:pos="1133" w:val="left" w:leader="none"/>
        </w:tabs>
        <w:spacing w:line="256" w:lineRule="exact" w:before="0" w:after="0"/>
        <w:ind w:left="1132" w:right="0" w:hanging="972"/>
        <w:jc w:val="left"/>
        <w:rPr>
          <w:sz w:val="24"/>
        </w:rPr>
      </w:pPr>
      <w:r>
        <w:rPr>
          <w:sz w:val="24"/>
        </w:rPr>
        <w:t>calculated.</w:t>
      </w:r>
    </w:p>
    <w:p>
      <w:pPr>
        <w:spacing w:line="185" w:lineRule="exact" w:before="0"/>
        <w:ind w:left="160" w:right="0" w:firstLine="0"/>
        <w:jc w:val="left"/>
        <w:rPr>
          <w:sz w:val="20"/>
        </w:rPr>
      </w:pPr>
      <w:r>
        <w:rPr>
          <w:sz w:val="20"/>
        </w:rPr>
        <w:t>34</w:t>
      </w:r>
    </w:p>
    <w:p>
      <w:pPr>
        <w:spacing w:before="3"/>
        <w:ind w:left="160" w:right="0" w:firstLine="0"/>
        <w:jc w:val="left"/>
        <w:rPr>
          <w:sz w:val="20"/>
        </w:rPr>
      </w:pPr>
      <w:r>
        <w:rPr>
          <w:sz w:val="20"/>
        </w:rPr>
        <w:t>35</w:t>
      </w:r>
    </w:p>
    <w:p>
      <w:pPr>
        <w:spacing w:before="3"/>
        <w:ind w:left="160" w:right="0" w:firstLine="0"/>
        <w:jc w:val="left"/>
        <w:rPr>
          <w:sz w:val="20"/>
        </w:rPr>
      </w:pPr>
      <w:r>
        <w:rPr>
          <w:sz w:val="20"/>
        </w:rPr>
        <w:t>36</w:t>
      </w:r>
    </w:p>
    <w:p>
      <w:pPr>
        <w:tabs>
          <w:tab w:pos="5623" w:val="left" w:leader="none"/>
        </w:tabs>
        <w:spacing w:line="291" w:lineRule="exact" w:before="4"/>
        <w:ind w:left="160" w:right="0" w:firstLine="0"/>
        <w:jc w:val="left"/>
        <w:rPr>
          <w:rFonts w:ascii="Cambria"/>
          <w:b/>
          <w:sz w:val="24"/>
        </w:rPr>
      </w:pPr>
      <w:r>
        <w:rPr>
          <w:position w:val="11"/>
          <w:sz w:val="20"/>
        </w:rPr>
        <w:t>37</w:t>
        <w:tab/>
      </w:r>
      <w:r>
        <w:rPr>
          <w:rFonts w:ascii="Cambria"/>
          <w:b/>
          <w:sz w:val="24"/>
        </w:rPr>
        <w:t>RESULTS</w:t>
      </w:r>
    </w:p>
    <w:p>
      <w:pPr>
        <w:spacing w:line="171" w:lineRule="exact" w:before="0"/>
        <w:ind w:left="160" w:right="0" w:firstLine="0"/>
        <w:jc w:val="left"/>
        <w:rPr>
          <w:sz w:val="20"/>
        </w:rPr>
      </w:pPr>
      <w:r>
        <w:rPr>
          <w:sz w:val="20"/>
        </w:rPr>
        <w:t>38</w:t>
      </w:r>
    </w:p>
    <w:p>
      <w:pPr>
        <w:pStyle w:val="BodyText"/>
        <w:tabs>
          <w:tab w:pos="1132" w:val="left" w:leader="none"/>
        </w:tabs>
        <w:spacing w:line="304" w:lineRule="exact"/>
        <w:ind w:left="160"/>
        <w:rPr>
          <w:rFonts w:ascii="Cambria"/>
        </w:rPr>
      </w:pPr>
      <w:r>
        <w:rPr>
          <w:position w:val="13"/>
          <w:sz w:val="20"/>
        </w:rPr>
        <w:t>39</w:t>
        <w:tab/>
      </w:r>
      <w:r>
        <w:rPr>
          <w:rFonts w:ascii="Cambria"/>
        </w:rPr>
        <w:t>During the study period, 97 dogs were diagnosed with any LUTD; 74.22% (</w:t>
      </w:r>
      <w:r>
        <w:rPr>
          <w:rFonts w:ascii="Cambria"/>
          <w:i/>
        </w:rPr>
        <w:t>n=</w:t>
      </w:r>
      <w:r>
        <w:rPr>
          <w:rFonts w:ascii="Cambria"/>
        </w:rPr>
        <w:t>72) were males</w:t>
      </w:r>
      <w:r>
        <w:rPr>
          <w:rFonts w:ascii="Cambria"/>
          <w:spacing w:val="-7"/>
        </w:rPr>
        <w:t> </w:t>
      </w:r>
      <w:r>
        <w:rPr>
          <w:rFonts w:ascii="Cambria"/>
        </w:rPr>
        <w:t>and</w:t>
      </w:r>
    </w:p>
    <w:p>
      <w:pPr>
        <w:spacing w:line="115" w:lineRule="exact" w:before="0"/>
        <w:ind w:left="160" w:right="0" w:firstLine="0"/>
        <w:jc w:val="left"/>
        <w:rPr>
          <w:sz w:val="20"/>
        </w:rPr>
      </w:pPr>
      <w:r>
        <w:rPr>
          <w:sz w:val="20"/>
        </w:rPr>
        <w:t>40</w:t>
      </w:r>
    </w:p>
    <w:p>
      <w:pPr>
        <w:pStyle w:val="ListParagraph"/>
        <w:numPr>
          <w:ilvl w:val="0"/>
          <w:numId w:val="29"/>
        </w:numPr>
        <w:tabs>
          <w:tab w:pos="1132" w:val="left" w:leader="none"/>
          <w:tab w:pos="1133" w:val="left" w:leader="none"/>
        </w:tabs>
        <w:spacing w:line="258" w:lineRule="exact" w:before="0" w:after="0"/>
        <w:ind w:left="1132" w:right="0" w:hanging="972"/>
        <w:jc w:val="left"/>
        <w:rPr>
          <w:sz w:val="24"/>
        </w:rPr>
      </w:pPr>
      <w:r>
        <w:rPr>
          <w:sz w:val="24"/>
        </w:rPr>
        <w:t>25.78% (</w:t>
      </w:r>
      <w:r>
        <w:rPr>
          <w:i/>
          <w:sz w:val="24"/>
        </w:rPr>
        <w:t>n=</w:t>
      </w:r>
      <w:r>
        <w:rPr>
          <w:sz w:val="24"/>
        </w:rPr>
        <w:t>25) females, with a male–female ratio of 2.8:1, and an age range from 3 months to </w:t>
      </w:r>
      <w:r>
        <w:rPr>
          <w:spacing w:val="39"/>
          <w:sz w:val="24"/>
        </w:rPr>
        <w:t> </w:t>
      </w:r>
      <w:r>
        <w:rPr>
          <w:sz w:val="24"/>
        </w:rPr>
        <w:t>18</w:t>
      </w:r>
    </w:p>
    <w:p>
      <w:pPr>
        <w:pStyle w:val="ListParagraph"/>
        <w:numPr>
          <w:ilvl w:val="0"/>
          <w:numId w:val="29"/>
        </w:numPr>
        <w:tabs>
          <w:tab w:pos="1132" w:val="left" w:leader="none"/>
          <w:tab w:pos="1133" w:val="left" w:leader="none"/>
        </w:tabs>
        <w:spacing w:line="257" w:lineRule="exact" w:before="0" w:after="0"/>
        <w:ind w:left="1132" w:right="0" w:hanging="972"/>
        <w:jc w:val="left"/>
        <w:rPr>
          <w:sz w:val="24"/>
        </w:rPr>
      </w:pPr>
      <w:r>
        <w:rPr>
          <w:position w:val="1"/>
          <w:sz w:val="24"/>
        </w:rPr>
        <w:t>years</w:t>
      </w:r>
      <w:r>
        <w:rPr>
          <w:spacing w:val="26"/>
          <w:position w:val="1"/>
          <w:sz w:val="24"/>
        </w:rPr>
        <w:t> </w:t>
      </w:r>
      <w:r>
        <w:rPr>
          <w:position w:val="1"/>
          <w:sz w:val="24"/>
        </w:rPr>
        <w:t>with</w:t>
      </w:r>
      <w:r>
        <w:rPr>
          <w:spacing w:val="25"/>
          <w:position w:val="1"/>
          <w:sz w:val="24"/>
        </w:rPr>
        <w:t> </w:t>
      </w:r>
      <w:r>
        <w:rPr>
          <w:position w:val="1"/>
          <w:sz w:val="24"/>
        </w:rPr>
        <w:t>a</w:t>
      </w:r>
      <w:r>
        <w:rPr>
          <w:spacing w:val="26"/>
          <w:position w:val="1"/>
          <w:sz w:val="24"/>
        </w:rPr>
        <w:t> </w:t>
      </w:r>
      <w:r>
        <w:rPr>
          <w:position w:val="1"/>
          <w:sz w:val="24"/>
        </w:rPr>
        <w:t>median</w:t>
      </w:r>
      <w:r>
        <w:rPr>
          <w:spacing w:val="26"/>
          <w:position w:val="1"/>
          <w:sz w:val="24"/>
        </w:rPr>
        <w:t> </w:t>
      </w:r>
      <w:r>
        <w:rPr>
          <w:position w:val="1"/>
          <w:sz w:val="24"/>
        </w:rPr>
        <w:t>age</w:t>
      </w:r>
      <w:r>
        <w:rPr>
          <w:spacing w:val="26"/>
          <w:position w:val="1"/>
          <w:sz w:val="24"/>
        </w:rPr>
        <w:t> </w:t>
      </w:r>
      <w:r>
        <w:rPr>
          <w:position w:val="1"/>
          <w:sz w:val="24"/>
        </w:rPr>
        <w:t>of</w:t>
      </w:r>
      <w:r>
        <w:rPr>
          <w:spacing w:val="25"/>
          <w:position w:val="1"/>
          <w:sz w:val="24"/>
        </w:rPr>
        <w:t> </w:t>
      </w:r>
      <w:r>
        <w:rPr>
          <w:position w:val="1"/>
          <w:sz w:val="24"/>
        </w:rPr>
        <w:t>8</w:t>
      </w:r>
      <w:r>
        <w:rPr>
          <w:spacing w:val="25"/>
          <w:position w:val="1"/>
          <w:sz w:val="24"/>
        </w:rPr>
        <w:t> </w:t>
      </w:r>
      <w:r>
        <w:rPr>
          <w:position w:val="1"/>
          <w:sz w:val="24"/>
        </w:rPr>
        <w:t>years.</w:t>
      </w:r>
      <w:r>
        <w:rPr>
          <w:spacing w:val="26"/>
          <w:position w:val="1"/>
          <w:sz w:val="24"/>
        </w:rPr>
        <w:t> </w:t>
      </w:r>
      <w:r>
        <w:rPr>
          <w:position w:val="1"/>
          <w:sz w:val="24"/>
        </w:rPr>
        <w:t>The</w:t>
      </w:r>
      <w:r>
        <w:rPr>
          <w:spacing w:val="26"/>
          <w:position w:val="1"/>
          <w:sz w:val="24"/>
        </w:rPr>
        <w:t> </w:t>
      </w:r>
      <w:r>
        <w:rPr>
          <w:position w:val="1"/>
          <w:sz w:val="24"/>
        </w:rPr>
        <w:t>control</w:t>
      </w:r>
      <w:r>
        <w:rPr>
          <w:spacing w:val="25"/>
          <w:position w:val="1"/>
          <w:sz w:val="24"/>
        </w:rPr>
        <w:t> </w:t>
      </w:r>
      <w:r>
        <w:rPr>
          <w:position w:val="1"/>
          <w:sz w:val="24"/>
        </w:rPr>
        <w:t>group</w:t>
      </w:r>
      <w:r>
        <w:rPr>
          <w:spacing w:val="27"/>
          <w:position w:val="1"/>
          <w:sz w:val="24"/>
        </w:rPr>
        <w:t> </w:t>
      </w:r>
      <w:r>
        <w:rPr>
          <w:position w:val="1"/>
          <w:sz w:val="24"/>
        </w:rPr>
        <w:t>included</w:t>
      </w:r>
      <w:r>
        <w:rPr>
          <w:spacing w:val="25"/>
          <w:position w:val="1"/>
          <w:sz w:val="24"/>
        </w:rPr>
        <w:t> </w:t>
      </w:r>
      <w:r>
        <w:rPr>
          <w:position w:val="1"/>
          <w:sz w:val="24"/>
        </w:rPr>
        <w:t>338</w:t>
      </w:r>
      <w:r>
        <w:rPr>
          <w:spacing w:val="27"/>
          <w:position w:val="1"/>
          <w:sz w:val="24"/>
        </w:rPr>
        <w:t> </w:t>
      </w:r>
      <w:r>
        <w:rPr>
          <w:position w:val="1"/>
          <w:sz w:val="24"/>
        </w:rPr>
        <w:t>dogs</w:t>
      </w:r>
      <w:r>
        <w:rPr>
          <w:spacing w:val="26"/>
          <w:position w:val="1"/>
          <w:sz w:val="24"/>
        </w:rPr>
        <w:t> </w:t>
      </w:r>
      <w:r>
        <w:rPr>
          <w:position w:val="1"/>
          <w:sz w:val="24"/>
        </w:rPr>
        <w:t>(174</w:t>
      </w:r>
      <w:r>
        <w:rPr>
          <w:spacing w:val="25"/>
          <w:position w:val="1"/>
          <w:sz w:val="24"/>
        </w:rPr>
        <w:t> </w:t>
      </w:r>
      <w:r>
        <w:rPr>
          <w:position w:val="1"/>
          <w:sz w:val="24"/>
        </w:rPr>
        <w:t>males</w:t>
      </w:r>
      <w:r>
        <w:rPr>
          <w:spacing w:val="26"/>
          <w:position w:val="1"/>
          <w:sz w:val="24"/>
        </w:rPr>
        <w:t> </w:t>
      </w:r>
      <w:r>
        <w:rPr>
          <w:position w:val="1"/>
          <w:sz w:val="24"/>
        </w:rPr>
        <w:t>and</w:t>
      </w:r>
      <w:r>
        <w:rPr>
          <w:spacing w:val="27"/>
          <w:position w:val="1"/>
          <w:sz w:val="24"/>
        </w:rPr>
        <w:t> </w:t>
      </w:r>
      <w:r>
        <w:rPr>
          <w:position w:val="1"/>
          <w:sz w:val="24"/>
        </w:rPr>
        <w:t>164</w:t>
      </w:r>
    </w:p>
    <w:p>
      <w:pPr>
        <w:pStyle w:val="ListParagraph"/>
        <w:numPr>
          <w:ilvl w:val="0"/>
          <w:numId w:val="29"/>
        </w:numPr>
        <w:tabs>
          <w:tab w:pos="1132" w:val="left" w:leader="none"/>
          <w:tab w:pos="1133" w:val="left" w:leader="none"/>
        </w:tabs>
        <w:spacing w:line="256" w:lineRule="exact" w:before="0" w:after="0"/>
        <w:ind w:left="1132" w:right="0" w:hanging="972"/>
        <w:jc w:val="left"/>
        <w:rPr>
          <w:sz w:val="24"/>
        </w:rPr>
      </w:pPr>
      <w:r>
        <w:rPr>
          <w:sz w:val="24"/>
        </w:rPr>
        <w:t>females) with diagnoses other than</w:t>
      </w:r>
      <w:r>
        <w:rPr>
          <w:spacing w:val="-14"/>
          <w:sz w:val="24"/>
        </w:rPr>
        <w:t> </w:t>
      </w:r>
      <w:r>
        <w:rPr>
          <w:sz w:val="24"/>
        </w:rPr>
        <w:t>LUTD.</w:t>
      </w:r>
    </w:p>
    <w:p>
      <w:pPr>
        <w:pStyle w:val="ListParagraph"/>
        <w:numPr>
          <w:ilvl w:val="0"/>
          <w:numId w:val="29"/>
        </w:numPr>
        <w:tabs>
          <w:tab w:pos="1840" w:val="left" w:leader="none"/>
          <w:tab w:pos="1841" w:val="left" w:leader="none"/>
        </w:tabs>
        <w:spacing w:line="261" w:lineRule="exact" w:before="0" w:after="0"/>
        <w:ind w:left="1840" w:right="0" w:hanging="1680"/>
        <w:jc w:val="left"/>
        <w:rPr>
          <w:sz w:val="24"/>
        </w:rPr>
      </w:pPr>
      <w:r>
        <w:rPr>
          <w:sz w:val="24"/>
        </w:rPr>
        <w:t>There was a significant association with the male gender and LUTD (OR 2.71, IC</w:t>
      </w:r>
      <w:r>
        <w:rPr>
          <w:spacing w:val="-18"/>
          <w:sz w:val="24"/>
        </w:rPr>
        <w:t> </w:t>
      </w:r>
      <w:r>
        <w:rPr>
          <w:sz w:val="24"/>
        </w:rPr>
        <w:t>1.64–4.78,</w:t>
      </w:r>
    </w:p>
    <w:p>
      <w:pPr>
        <w:tabs>
          <w:tab w:pos="1132" w:val="left" w:leader="none"/>
        </w:tabs>
        <w:spacing w:line="255" w:lineRule="exact" w:before="0"/>
        <w:ind w:left="160" w:right="0" w:firstLine="0"/>
        <w:jc w:val="left"/>
        <w:rPr>
          <w:rFonts w:ascii="Cambria"/>
          <w:sz w:val="24"/>
        </w:rPr>
      </w:pPr>
      <w:r>
        <w:rPr>
          <w:position w:val="13"/>
          <w:sz w:val="20"/>
        </w:rPr>
        <w:t>45</w:t>
        <w:tab/>
      </w:r>
      <w:r>
        <w:rPr>
          <w:rFonts w:ascii="Cambria"/>
          <w:sz w:val="24"/>
        </w:rPr>
        <w:t>p&lt;0.05).</w:t>
      </w:r>
    </w:p>
    <w:p>
      <w:pPr>
        <w:spacing w:line="115" w:lineRule="exact" w:before="0"/>
        <w:ind w:left="160" w:right="0" w:firstLine="0"/>
        <w:jc w:val="left"/>
        <w:rPr>
          <w:sz w:val="20"/>
        </w:rPr>
      </w:pPr>
      <w:r>
        <w:rPr>
          <w:sz w:val="20"/>
        </w:rPr>
        <w:t>46</w:t>
      </w:r>
    </w:p>
    <w:p>
      <w:pPr>
        <w:pStyle w:val="ListParagraph"/>
        <w:numPr>
          <w:ilvl w:val="0"/>
          <w:numId w:val="30"/>
        </w:numPr>
        <w:tabs>
          <w:tab w:pos="1840" w:val="left" w:leader="none"/>
          <w:tab w:pos="1841" w:val="left" w:leader="none"/>
        </w:tabs>
        <w:spacing w:line="258" w:lineRule="exact" w:before="0" w:after="0"/>
        <w:ind w:left="1840" w:right="0" w:hanging="1680"/>
        <w:jc w:val="left"/>
        <w:rPr>
          <w:sz w:val="24"/>
        </w:rPr>
      </w:pPr>
      <w:r>
        <w:rPr>
          <w:sz w:val="24"/>
        </w:rPr>
        <w:t>Of   the   affected   animals,   82.47%   (</w:t>
      </w:r>
      <w:r>
        <w:rPr>
          <w:i/>
          <w:sz w:val="24"/>
        </w:rPr>
        <w:t>n=</w:t>
      </w:r>
      <w:r>
        <w:rPr>
          <w:sz w:val="24"/>
        </w:rPr>
        <w:t>80)   were   purebred   dogs,   and   the   rest </w:t>
      </w:r>
      <w:r>
        <w:rPr>
          <w:spacing w:val="6"/>
          <w:sz w:val="24"/>
        </w:rPr>
        <w:t> </w:t>
      </w:r>
      <w:r>
        <w:rPr>
          <w:sz w:val="24"/>
        </w:rPr>
        <w:t>were</w:t>
      </w:r>
    </w:p>
    <w:p>
      <w:pPr>
        <w:pStyle w:val="ListParagraph"/>
        <w:numPr>
          <w:ilvl w:val="0"/>
          <w:numId w:val="30"/>
        </w:numPr>
        <w:tabs>
          <w:tab w:pos="1132" w:val="left" w:leader="none"/>
          <w:tab w:pos="1133" w:val="left" w:leader="none"/>
        </w:tabs>
        <w:spacing w:line="262" w:lineRule="exact" w:before="0" w:after="0"/>
        <w:ind w:left="1132" w:right="0" w:hanging="972"/>
        <w:jc w:val="left"/>
        <w:rPr>
          <w:sz w:val="24"/>
        </w:rPr>
      </w:pPr>
      <w:r>
        <w:rPr>
          <w:sz w:val="24"/>
        </w:rPr>
        <w:t>crossbreeds.  The  most  common  breeds  affected  were  Poodle  (13.75%),  Labrador    </w:t>
      </w:r>
      <w:r>
        <w:rPr>
          <w:spacing w:val="19"/>
          <w:sz w:val="24"/>
        </w:rPr>
        <w:t> </w:t>
      </w:r>
      <w:r>
        <w:rPr>
          <w:sz w:val="24"/>
        </w:rPr>
        <w:t>(9.27%),</w:t>
      </w:r>
    </w:p>
    <w:p>
      <w:pPr>
        <w:pStyle w:val="ListParagraph"/>
        <w:numPr>
          <w:ilvl w:val="0"/>
          <w:numId w:val="30"/>
        </w:numPr>
        <w:tabs>
          <w:tab w:pos="1132" w:val="left" w:leader="none"/>
          <w:tab w:pos="1133" w:val="left" w:leader="none"/>
        </w:tabs>
        <w:spacing w:line="255" w:lineRule="exact" w:before="0" w:after="0"/>
        <w:ind w:left="1132" w:right="0" w:hanging="972"/>
        <w:jc w:val="left"/>
        <w:rPr>
          <w:sz w:val="24"/>
        </w:rPr>
      </w:pPr>
      <w:r>
        <w:rPr>
          <w:sz w:val="24"/>
        </w:rPr>
        <w:t>German Shepherd (8.24%), Schnauzer (6.18%) (OR 0.95, CI 0.42–2.15), Cocker   </w:t>
      </w:r>
      <w:r>
        <w:rPr>
          <w:spacing w:val="17"/>
          <w:sz w:val="24"/>
        </w:rPr>
        <w:t> </w:t>
      </w:r>
      <w:r>
        <w:rPr>
          <w:sz w:val="24"/>
        </w:rPr>
        <w:t>Spaniel (5.15%)</w:t>
      </w:r>
    </w:p>
    <w:p>
      <w:pPr>
        <w:pStyle w:val="BodyText"/>
        <w:tabs>
          <w:tab w:pos="1132" w:val="left" w:leader="none"/>
        </w:tabs>
        <w:spacing w:line="256" w:lineRule="exact"/>
        <w:ind w:left="160"/>
        <w:rPr>
          <w:rFonts w:ascii="Cambria" w:hAnsi="Cambria"/>
        </w:rPr>
      </w:pPr>
      <w:r>
        <w:rPr>
          <w:position w:val="9"/>
          <w:sz w:val="20"/>
        </w:rPr>
        <w:t>50</w:t>
        <w:tab/>
      </w:r>
      <w:r>
        <w:rPr>
          <w:rFonts w:ascii="Cambria" w:hAnsi="Cambria"/>
        </w:rPr>
        <w:t>(OR 1.03,  CI  0.43–2.47),  and Chihuahua  (5.15%) (OR 1.03,  CI 0.43–2.47).  However,  no   </w:t>
      </w:r>
      <w:r>
        <w:rPr>
          <w:rFonts w:ascii="Cambria" w:hAnsi="Cambria"/>
          <w:spacing w:val="20"/>
        </w:rPr>
        <w:t> </w:t>
      </w:r>
      <w:r>
        <w:rPr>
          <w:rFonts w:ascii="Cambria" w:hAnsi="Cambria"/>
        </w:rPr>
        <w:t>breed</w:t>
      </w:r>
    </w:p>
    <w:p>
      <w:pPr>
        <w:pStyle w:val="BodyText"/>
        <w:tabs>
          <w:tab w:pos="1132" w:val="left" w:leader="none"/>
        </w:tabs>
        <w:spacing w:line="331" w:lineRule="exact"/>
        <w:ind w:left="160"/>
        <w:rPr>
          <w:rFonts w:ascii="Cambria"/>
        </w:rPr>
      </w:pPr>
      <w:r>
        <w:rPr/>
        <w:pict>
          <v:shape style="position:absolute;margin-left:8pt;margin-top:10.854738pt;width:11.15pt;height:10pt;mso-position-horizontal-relative:page;mso-position-vertical-relative:paragraph;z-index:-92992" type="#_x0000_t202" filled="false" stroked="false">
            <v:textbox inset="0,0,0,0">
              <w:txbxContent>
                <w:p>
                  <w:pPr>
                    <w:spacing w:line="196" w:lineRule="exact" w:before="0"/>
                    <w:ind w:left="0" w:right="-20" w:firstLine="0"/>
                    <w:jc w:val="left"/>
                    <w:rPr>
                      <w:sz w:val="20"/>
                    </w:rPr>
                  </w:pPr>
                  <w:r>
                    <w:rPr>
                      <w:sz w:val="20"/>
                    </w:rPr>
                    <w:t>52</w:t>
                  </w:r>
                </w:p>
              </w:txbxContent>
            </v:textbox>
            <w10:wrap type="none"/>
          </v:shape>
        </w:pict>
      </w:r>
      <w:r>
        <w:rPr>
          <w:position w:val="14"/>
          <w:sz w:val="20"/>
        </w:rPr>
        <w:t>51</w:t>
        <w:tab/>
      </w:r>
      <w:r>
        <w:rPr>
          <w:rFonts w:ascii="Cambria"/>
        </w:rPr>
        <w:t>predisposition  was  observed  towards  any  of  these  conditions  (p&gt;0.05).  Other  breeds   </w:t>
      </w:r>
      <w:r>
        <w:rPr>
          <w:rFonts w:ascii="Cambria"/>
          <w:spacing w:val="16"/>
        </w:rPr>
        <w:t> </w:t>
      </w:r>
      <w:r>
        <w:rPr>
          <w:rFonts w:ascii="Cambria"/>
        </w:rPr>
        <w:t>were</w:t>
      </w:r>
    </w:p>
    <w:p>
      <w:pPr>
        <w:pStyle w:val="ListParagraph"/>
        <w:numPr>
          <w:ilvl w:val="0"/>
          <w:numId w:val="31"/>
        </w:numPr>
        <w:tabs>
          <w:tab w:pos="1132" w:val="left" w:leader="none"/>
          <w:tab w:pos="1133" w:val="left" w:leader="none"/>
        </w:tabs>
        <w:spacing w:line="296" w:lineRule="exact" w:before="2" w:after="0"/>
        <w:ind w:left="1132" w:right="0" w:hanging="972"/>
        <w:jc w:val="left"/>
        <w:rPr>
          <w:sz w:val="24"/>
        </w:rPr>
      </w:pPr>
      <w:r>
        <w:rPr>
          <w:sz w:val="24"/>
        </w:rPr>
        <w:t>merely</w:t>
      </w:r>
      <w:r>
        <w:rPr>
          <w:spacing w:val="-10"/>
          <w:sz w:val="24"/>
        </w:rPr>
        <w:t> </w:t>
      </w:r>
      <w:r>
        <w:rPr>
          <w:sz w:val="24"/>
        </w:rPr>
        <w:t>represented.</w:t>
      </w:r>
    </w:p>
    <w:p>
      <w:pPr>
        <w:pStyle w:val="ListParagraph"/>
        <w:numPr>
          <w:ilvl w:val="0"/>
          <w:numId w:val="31"/>
        </w:numPr>
        <w:tabs>
          <w:tab w:pos="1840" w:val="left" w:leader="none"/>
          <w:tab w:pos="1841" w:val="left" w:leader="none"/>
        </w:tabs>
        <w:spacing w:line="261" w:lineRule="exact" w:before="0" w:after="0"/>
        <w:ind w:left="1840" w:right="0" w:hanging="1680"/>
        <w:jc w:val="left"/>
        <w:rPr>
          <w:sz w:val="24"/>
        </w:rPr>
      </w:pPr>
      <w:r>
        <w:rPr>
          <w:sz w:val="24"/>
        </w:rPr>
        <w:t>The</w:t>
      </w:r>
      <w:r>
        <w:rPr>
          <w:spacing w:val="30"/>
          <w:sz w:val="24"/>
        </w:rPr>
        <w:t> </w:t>
      </w:r>
      <w:r>
        <w:rPr>
          <w:sz w:val="24"/>
        </w:rPr>
        <w:t>most</w:t>
      </w:r>
      <w:r>
        <w:rPr>
          <w:spacing w:val="30"/>
          <w:sz w:val="24"/>
        </w:rPr>
        <w:t> </w:t>
      </w:r>
      <w:r>
        <w:rPr>
          <w:sz w:val="24"/>
        </w:rPr>
        <w:t>frequently</w:t>
      </w:r>
      <w:r>
        <w:rPr>
          <w:spacing w:val="29"/>
          <w:sz w:val="24"/>
        </w:rPr>
        <w:t> </w:t>
      </w:r>
      <w:r>
        <w:rPr>
          <w:sz w:val="24"/>
        </w:rPr>
        <w:t>observed</w:t>
      </w:r>
      <w:r>
        <w:rPr>
          <w:spacing w:val="28"/>
          <w:sz w:val="24"/>
        </w:rPr>
        <w:t> </w:t>
      </w:r>
      <w:r>
        <w:rPr>
          <w:sz w:val="24"/>
        </w:rPr>
        <w:t>signs</w:t>
      </w:r>
      <w:r>
        <w:rPr>
          <w:spacing w:val="30"/>
          <w:sz w:val="24"/>
        </w:rPr>
        <w:t> </w:t>
      </w:r>
      <w:r>
        <w:rPr>
          <w:sz w:val="24"/>
        </w:rPr>
        <w:t>included</w:t>
      </w:r>
      <w:r>
        <w:rPr>
          <w:spacing w:val="31"/>
          <w:sz w:val="24"/>
        </w:rPr>
        <w:t> </w:t>
      </w:r>
      <w:r>
        <w:rPr>
          <w:sz w:val="24"/>
        </w:rPr>
        <w:t>hematuria</w:t>
      </w:r>
      <w:r>
        <w:rPr>
          <w:spacing w:val="30"/>
          <w:sz w:val="24"/>
        </w:rPr>
        <w:t> </w:t>
      </w:r>
      <w:r>
        <w:rPr>
          <w:sz w:val="24"/>
        </w:rPr>
        <w:t>and</w:t>
      </w:r>
      <w:r>
        <w:rPr>
          <w:spacing w:val="29"/>
          <w:sz w:val="24"/>
        </w:rPr>
        <w:t> </w:t>
      </w:r>
      <w:r>
        <w:rPr>
          <w:sz w:val="24"/>
        </w:rPr>
        <w:t>urinary</w:t>
      </w:r>
      <w:r>
        <w:rPr>
          <w:spacing w:val="28"/>
          <w:sz w:val="24"/>
        </w:rPr>
        <w:t> </w:t>
      </w:r>
      <w:r>
        <w:rPr>
          <w:sz w:val="24"/>
        </w:rPr>
        <w:t>retention</w:t>
      </w:r>
      <w:r>
        <w:rPr>
          <w:spacing w:val="30"/>
          <w:sz w:val="24"/>
        </w:rPr>
        <w:t> </w:t>
      </w:r>
      <w:r>
        <w:rPr>
          <w:sz w:val="24"/>
        </w:rPr>
        <w:t>(19.58%</w:t>
      </w:r>
    </w:p>
    <w:p>
      <w:pPr>
        <w:pStyle w:val="ListParagraph"/>
        <w:numPr>
          <w:ilvl w:val="0"/>
          <w:numId w:val="31"/>
        </w:numPr>
        <w:tabs>
          <w:tab w:pos="1132" w:val="left" w:leader="none"/>
          <w:tab w:pos="1133" w:val="left" w:leader="none"/>
        </w:tabs>
        <w:spacing w:line="256" w:lineRule="exact" w:before="0" w:after="0"/>
        <w:ind w:left="1132" w:right="0" w:hanging="972"/>
        <w:jc w:val="left"/>
        <w:rPr>
          <w:sz w:val="24"/>
        </w:rPr>
      </w:pPr>
      <w:r>
        <w:rPr>
          <w:sz w:val="24"/>
        </w:rPr>
        <w:t>each),   pollakiuria   (6.17%),   strangury   (5.15%),   urinary   incontinence   (2.06%),  </w:t>
      </w:r>
      <w:r>
        <w:rPr>
          <w:spacing w:val="16"/>
          <w:sz w:val="24"/>
        </w:rPr>
        <w:t> </w:t>
      </w:r>
      <w:r>
        <w:rPr>
          <w:sz w:val="24"/>
        </w:rPr>
        <w:t>depression</w:t>
      </w:r>
    </w:p>
    <w:p>
      <w:pPr>
        <w:pStyle w:val="ListParagraph"/>
        <w:numPr>
          <w:ilvl w:val="0"/>
          <w:numId w:val="31"/>
        </w:numPr>
        <w:tabs>
          <w:tab w:pos="1132" w:val="left" w:leader="none"/>
          <w:tab w:pos="1133" w:val="left" w:leader="none"/>
        </w:tabs>
        <w:spacing w:line="257" w:lineRule="exact" w:before="0" w:after="0"/>
        <w:ind w:left="1132" w:right="0" w:hanging="972"/>
        <w:jc w:val="left"/>
        <w:rPr>
          <w:sz w:val="24"/>
        </w:rPr>
      </w:pPr>
      <w:r>
        <w:rPr>
          <w:sz w:val="24"/>
        </w:rPr>
        <w:t>(2.06%),</w:t>
      </w:r>
      <w:r>
        <w:rPr>
          <w:spacing w:val="41"/>
          <w:sz w:val="24"/>
        </w:rPr>
        <w:t> </w:t>
      </w:r>
      <w:r>
        <w:rPr>
          <w:sz w:val="24"/>
        </w:rPr>
        <w:t>and</w:t>
      </w:r>
      <w:r>
        <w:rPr>
          <w:spacing w:val="39"/>
          <w:sz w:val="24"/>
        </w:rPr>
        <w:t> </w:t>
      </w:r>
      <w:r>
        <w:rPr>
          <w:sz w:val="24"/>
        </w:rPr>
        <w:t>weakness</w:t>
      </w:r>
      <w:r>
        <w:rPr>
          <w:spacing w:val="40"/>
          <w:sz w:val="24"/>
        </w:rPr>
        <w:t> </w:t>
      </w:r>
      <w:r>
        <w:rPr>
          <w:sz w:val="24"/>
        </w:rPr>
        <w:t>in</w:t>
      </w:r>
      <w:r>
        <w:rPr>
          <w:spacing w:val="41"/>
          <w:sz w:val="24"/>
        </w:rPr>
        <w:t> </w:t>
      </w:r>
      <w:r>
        <w:rPr>
          <w:sz w:val="24"/>
        </w:rPr>
        <w:t>lower</w:t>
      </w:r>
      <w:r>
        <w:rPr>
          <w:spacing w:val="39"/>
          <w:sz w:val="24"/>
        </w:rPr>
        <w:t> </w:t>
      </w:r>
      <w:r>
        <w:rPr>
          <w:sz w:val="24"/>
        </w:rPr>
        <w:t>limbs,</w:t>
      </w:r>
      <w:r>
        <w:rPr>
          <w:spacing w:val="41"/>
          <w:sz w:val="24"/>
        </w:rPr>
        <w:t> </w:t>
      </w:r>
      <w:r>
        <w:rPr>
          <w:sz w:val="24"/>
        </w:rPr>
        <w:t>abdominal</w:t>
      </w:r>
      <w:r>
        <w:rPr>
          <w:spacing w:val="39"/>
          <w:sz w:val="24"/>
        </w:rPr>
        <w:t> </w:t>
      </w:r>
      <w:r>
        <w:rPr>
          <w:sz w:val="24"/>
        </w:rPr>
        <w:t>pain,</w:t>
      </w:r>
      <w:r>
        <w:rPr>
          <w:spacing w:val="41"/>
          <w:sz w:val="24"/>
        </w:rPr>
        <w:t> </w:t>
      </w:r>
      <w:r>
        <w:rPr>
          <w:sz w:val="24"/>
        </w:rPr>
        <w:t>and</w:t>
      </w:r>
      <w:r>
        <w:rPr>
          <w:spacing w:val="39"/>
          <w:sz w:val="24"/>
        </w:rPr>
        <w:t> </w:t>
      </w:r>
      <w:r>
        <w:rPr>
          <w:sz w:val="24"/>
        </w:rPr>
        <w:t>urinary</w:t>
      </w:r>
      <w:r>
        <w:rPr>
          <w:spacing w:val="39"/>
          <w:sz w:val="24"/>
        </w:rPr>
        <w:t> </w:t>
      </w:r>
      <w:r>
        <w:rPr>
          <w:sz w:val="24"/>
        </w:rPr>
        <w:t>fistula</w:t>
      </w:r>
      <w:r>
        <w:rPr>
          <w:spacing w:val="41"/>
          <w:sz w:val="24"/>
        </w:rPr>
        <w:t> </w:t>
      </w:r>
      <w:r>
        <w:rPr>
          <w:sz w:val="24"/>
        </w:rPr>
        <w:t>with</w:t>
      </w:r>
      <w:r>
        <w:rPr>
          <w:spacing w:val="40"/>
          <w:sz w:val="24"/>
        </w:rPr>
        <w:t> </w:t>
      </w:r>
      <w:r>
        <w:rPr>
          <w:sz w:val="24"/>
        </w:rPr>
        <w:t>1.03%</w:t>
      </w:r>
      <w:r>
        <w:rPr>
          <w:spacing w:val="40"/>
          <w:sz w:val="24"/>
        </w:rPr>
        <w:t> </w:t>
      </w:r>
      <w:r>
        <w:rPr>
          <w:sz w:val="24"/>
        </w:rPr>
        <w:t>each.</w:t>
      </w:r>
    </w:p>
    <w:p>
      <w:pPr>
        <w:pStyle w:val="ListParagraph"/>
        <w:numPr>
          <w:ilvl w:val="0"/>
          <w:numId w:val="31"/>
        </w:numPr>
        <w:tabs>
          <w:tab w:pos="1132" w:val="left" w:leader="none"/>
          <w:tab w:pos="1133" w:val="left" w:leader="none"/>
        </w:tabs>
        <w:spacing w:line="337" w:lineRule="exact" w:before="0" w:after="0"/>
        <w:ind w:left="1132" w:right="0" w:hanging="972"/>
        <w:jc w:val="left"/>
        <w:rPr>
          <w:sz w:val="24"/>
        </w:rPr>
      </w:pPr>
      <w:r>
        <w:rPr/>
        <w:pict>
          <v:shape style="position:absolute;margin-left:8pt;margin-top:10.726737pt;width:11.15pt;height:10pt;mso-position-horizontal-relative:page;mso-position-vertical-relative:paragraph;z-index:-92968" type="#_x0000_t202" filled="false" stroked="false">
            <v:textbox inset="0,0,0,0">
              <w:txbxContent>
                <w:p>
                  <w:pPr>
                    <w:spacing w:line="196" w:lineRule="exact" w:before="0"/>
                    <w:ind w:left="0" w:right="-20" w:firstLine="0"/>
                    <w:jc w:val="left"/>
                    <w:rPr>
                      <w:sz w:val="20"/>
                    </w:rPr>
                  </w:pPr>
                  <w:r>
                    <w:rPr>
                      <w:sz w:val="20"/>
                    </w:rPr>
                    <w:t>58</w:t>
                  </w:r>
                </w:p>
              </w:txbxContent>
            </v:textbox>
            <w10:wrap type="none"/>
          </v:shape>
        </w:pict>
      </w:r>
      <w:r>
        <w:rPr>
          <w:sz w:val="24"/>
        </w:rPr>
        <w:t>However,  43.29%  of  the  dogs  did  not  show  any  clinical  signs  of  LUTD  and  were</w:t>
      </w:r>
      <w:r>
        <w:rPr>
          <w:spacing w:val="32"/>
          <w:sz w:val="24"/>
        </w:rPr>
        <w:t> </w:t>
      </w:r>
      <w:r>
        <w:rPr>
          <w:sz w:val="24"/>
        </w:rPr>
        <w:t>diagnosed</w:t>
      </w:r>
    </w:p>
    <w:p>
      <w:pPr>
        <w:pStyle w:val="BodyText"/>
        <w:tabs>
          <w:tab w:pos="1132" w:val="left" w:leader="none"/>
        </w:tabs>
        <w:spacing w:line="310" w:lineRule="exact"/>
        <w:ind w:left="160"/>
        <w:rPr>
          <w:rFonts w:ascii="Cambria"/>
        </w:rPr>
      </w:pPr>
      <w:r>
        <w:rPr>
          <w:position w:val="-3"/>
          <w:sz w:val="20"/>
        </w:rPr>
        <w:t>59</w:t>
        <w:tab/>
      </w:r>
      <w:r>
        <w:rPr>
          <w:rFonts w:ascii="Cambria"/>
        </w:rPr>
        <w:t>incidentally during routine tests or had extra-urinary</w:t>
      </w:r>
      <w:r>
        <w:rPr>
          <w:rFonts w:ascii="Cambria"/>
          <w:spacing w:val="-29"/>
        </w:rPr>
        <w:t> </w:t>
      </w:r>
      <w:r>
        <w:rPr>
          <w:rFonts w:ascii="Cambria"/>
        </w:rPr>
        <w:t>problems.</w:t>
      </w:r>
    </w:p>
    <w:p>
      <w:pPr>
        <w:spacing w:after="0" w:line="310" w:lineRule="exact"/>
        <w:rPr>
          <w:rFonts w:ascii="Cambria"/>
        </w:rPr>
        <w:sectPr>
          <w:headerReference w:type="default" r:id="rId57"/>
          <w:footerReference w:type="default" r:id="rId58"/>
          <w:pgSz w:w="12240" w:h="15840"/>
          <w:pgMar w:header="0" w:footer="917" w:top="140" w:bottom="1100" w:left="0" w:right="1020"/>
        </w:sectPr>
      </w:pPr>
    </w:p>
    <w:p>
      <w:pPr>
        <w:tabs>
          <w:tab w:pos="10912" w:val="left" w:leader="none"/>
        </w:tabs>
        <w:spacing w:before="56"/>
        <w:ind w:left="4652" w:right="0" w:firstLine="0"/>
        <w:jc w:val="left"/>
        <w:rPr>
          <w:b/>
          <w:sz w:val="20"/>
        </w:rPr>
      </w:pPr>
      <w:r>
        <w:rPr>
          <w:b/>
          <w:sz w:val="20"/>
        </w:rPr>
        <w:t>Pesquisa</w:t>
      </w:r>
      <w:r>
        <w:rPr>
          <w:b/>
          <w:spacing w:val="-3"/>
          <w:sz w:val="20"/>
        </w:rPr>
        <w:t> </w:t>
      </w:r>
      <w:r>
        <w:rPr>
          <w:b/>
          <w:sz w:val="20"/>
        </w:rPr>
        <w:t>Veterinária</w:t>
      </w:r>
      <w:r>
        <w:rPr>
          <w:b/>
          <w:spacing w:val="-4"/>
          <w:sz w:val="20"/>
        </w:rPr>
        <w:t> </w:t>
      </w:r>
      <w:r>
        <w:rPr>
          <w:b/>
          <w:sz w:val="20"/>
        </w:rPr>
        <w:t>Brasileira</w:t>
        <w:tab/>
        <w:t>Page 4 of</w:t>
      </w:r>
      <w:r>
        <w:rPr>
          <w:b/>
          <w:spacing w:val="-2"/>
          <w:sz w:val="20"/>
        </w:rPr>
        <w:t> </w:t>
      </w:r>
      <w:r>
        <w:rPr>
          <w:b/>
          <w:sz w:val="20"/>
        </w:rPr>
        <w:t>13</w:t>
      </w:r>
    </w:p>
    <w:p>
      <w:pPr>
        <w:pStyle w:val="BodyText"/>
        <w:spacing w:before="4"/>
        <w:rPr>
          <w:b/>
          <w:sz w:val="19"/>
        </w:rPr>
      </w:pPr>
    </w:p>
    <w:p>
      <w:pPr>
        <w:spacing w:line="230" w:lineRule="exact" w:before="56"/>
        <w:ind w:left="0" w:right="1091" w:firstLine="0"/>
        <w:jc w:val="right"/>
        <w:rPr>
          <w:rFonts w:ascii="Calibri"/>
          <w:sz w:val="22"/>
        </w:rPr>
      </w:pPr>
      <w:r>
        <w:rPr>
          <w:rFonts w:ascii="Calibri"/>
          <w:w w:val="100"/>
          <w:sz w:val="22"/>
        </w:rPr>
        <w:t>4</w:t>
      </w:r>
    </w:p>
    <w:p>
      <w:pPr>
        <w:spacing w:line="191" w:lineRule="exact" w:before="0"/>
        <w:ind w:left="160" w:right="0" w:firstLine="0"/>
        <w:jc w:val="left"/>
        <w:rPr>
          <w:sz w:val="20"/>
        </w:rPr>
      </w:pPr>
      <w:r>
        <w:rPr>
          <w:sz w:val="20"/>
        </w:rPr>
        <w:t>1</w:t>
      </w:r>
    </w:p>
    <w:p>
      <w:pPr>
        <w:pStyle w:val="ListParagraph"/>
        <w:numPr>
          <w:ilvl w:val="0"/>
          <w:numId w:val="32"/>
        </w:numPr>
        <w:tabs>
          <w:tab w:pos="1840" w:val="left" w:leader="none"/>
          <w:tab w:pos="1841" w:val="left" w:leader="none"/>
        </w:tabs>
        <w:spacing w:line="258" w:lineRule="exact" w:before="6" w:after="0"/>
        <w:ind w:left="1840" w:right="0" w:hanging="1680"/>
        <w:jc w:val="left"/>
        <w:rPr>
          <w:sz w:val="24"/>
        </w:rPr>
      </w:pPr>
      <w:r>
        <w:rPr>
          <w:sz w:val="24"/>
        </w:rPr>
        <w:t>The LUTD were presented in the following order of frequency: BUTI, micturition</w:t>
      </w:r>
      <w:r>
        <w:rPr>
          <w:spacing w:val="-21"/>
          <w:sz w:val="24"/>
        </w:rPr>
        <w:t> </w:t>
      </w:r>
      <w:r>
        <w:rPr>
          <w:sz w:val="24"/>
        </w:rPr>
        <w:t>disorders</w:t>
      </w:r>
    </w:p>
    <w:p>
      <w:pPr>
        <w:pStyle w:val="ListParagraph"/>
        <w:numPr>
          <w:ilvl w:val="0"/>
          <w:numId w:val="32"/>
        </w:numPr>
        <w:tabs>
          <w:tab w:pos="1132" w:val="left" w:leader="none"/>
          <w:tab w:pos="1133" w:val="left" w:leader="none"/>
        </w:tabs>
        <w:spacing w:line="257" w:lineRule="exact" w:before="0" w:after="0"/>
        <w:ind w:left="1132" w:right="0" w:hanging="972"/>
        <w:jc w:val="left"/>
        <w:rPr>
          <w:sz w:val="24"/>
        </w:rPr>
      </w:pPr>
      <w:r>
        <w:rPr>
          <w:sz w:val="24"/>
        </w:rPr>
        <w:t>(anatomical   alteration   and   incompetence   of   the   urethral   sphincter),   urolithiasis, prostate</w:t>
      </w:r>
    </w:p>
    <w:p>
      <w:pPr>
        <w:pStyle w:val="ListParagraph"/>
        <w:numPr>
          <w:ilvl w:val="0"/>
          <w:numId w:val="32"/>
        </w:numPr>
        <w:tabs>
          <w:tab w:pos="1132" w:val="left" w:leader="none"/>
          <w:tab w:pos="1133" w:val="left" w:leader="none"/>
        </w:tabs>
        <w:spacing w:line="331" w:lineRule="exact" w:before="0" w:after="0"/>
        <w:ind w:left="1132" w:right="0" w:hanging="972"/>
        <w:jc w:val="left"/>
        <w:rPr>
          <w:sz w:val="24"/>
        </w:rPr>
      </w:pPr>
      <w:r>
        <w:rPr/>
        <w:pict>
          <v:shape style="position:absolute;margin-left:8pt;margin-top:10.785737pt;width:5.6pt;height:10pt;mso-position-horizontal-relative:page;mso-position-vertical-relative:paragraph;z-index:-92920" type="#_x0000_t202" filled="false" stroked="false">
            <v:textbox inset="0,0,0,0">
              <w:txbxContent>
                <w:p>
                  <w:pPr>
                    <w:spacing w:line="196" w:lineRule="exact" w:before="0"/>
                    <w:ind w:left="0" w:right="0" w:firstLine="0"/>
                    <w:jc w:val="left"/>
                    <w:rPr>
                      <w:sz w:val="20"/>
                    </w:rPr>
                  </w:pPr>
                  <w:r>
                    <w:rPr>
                      <w:sz w:val="20"/>
                    </w:rPr>
                    <w:t>5</w:t>
                  </w:r>
                </w:p>
              </w:txbxContent>
            </v:textbox>
            <w10:wrap type="none"/>
          </v:shape>
        </w:pict>
      </w:r>
      <w:r>
        <w:rPr>
          <w:sz w:val="24"/>
        </w:rPr>
        <w:t>diseases (prostatic hyperplasia and prostatic cysts), and traumatic problems (traumatic  </w:t>
      </w:r>
      <w:r>
        <w:rPr>
          <w:spacing w:val="32"/>
          <w:sz w:val="24"/>
        </w:rPr>
        <w:t> </w:t>
      </w:r>
      <w:r>
        <w:rPr>
          <w:sz w:val="24"/>
        </w:rPr>
        <w:t>cystitis,</w:t>
      </w:r>
    </w:p>
    <w:p>
      <w:pPr>
        <w:pStyle w:val="ListParagraph"/>
        <w:numPr>
          <w:ilvl w:val="0"/>
          <w:numId w:val="33"/>
        </w:numPr>
        <w:tabs>
          <w:tab w:pos="1132" w:val="left" w:leader="none"/>
          <w:tab w:pos="1133" w:val="left" w:leader="none"/>
        </w:tabs>
        <w:spacing w:line="295" w:lineRule="exact" w:before="0" w:after="0"/>
        <w:ind w:left="1132" w:right="0" w:hanging="972"/>
        <w:jc w:val="left"/>
        <w:rPr>
          <w:sz w:val="24"/>
        </w:rPr>
      </w:pPr>
      <w:r>
        <w:rPr>
          <w:sz w:val="24"/>
        </w:rPr>
        <w:t>and   rupture   of   the   bladder   and/or   urethra).   Some   dogs   had   one   or   more   </w:t>
      </w:r>
      <w:r>
        <w:rPr>
          <w:spacing w:val="18"/>
          <w:sz w:val="24"/>
        </w:rPr>
        <w:t> </w:t>
      </w:r>
      <w:r>
        <w:rPr>
          <w:sz w:val="24"/>
        </w:rPr>
        <w:t>conditions</w:t>
      </w:r>
    </w:p>
    <w:p>
      <w:pPr>
        <w:pStyle w:val="ListParagraph"/>
        <w:numPr>
          <w:ilvl w:val="0"/>
          <w:numId w:val="33"/>
        </w:numPr>
        <w:tabs>
          <w:tab w:pos="1132" w:val="left" w:leader="none"/>
          <w:tab w:pos="1133" w:val="left" w:leader="none"/>
        </w:tabs>
        <w:spacing w:line="263" w:lineRule="exact" w:before="0" w:after="0"/>
        <w:ind w:left="1132" w:right="0" w:hanging="972"/>
        <w:jc w:val="left"/>
        <w:rPr>
          <w:sz w:val="24"/>
        </w:rPr>
      </w:pPr>
      <w:r>
        <w:rPr>
          <w:sz w:val="24"/>
        </w:rPr>
        <w:t>simultaneously (Table</w:t>
      </w:r>
      <w:r>
        <w:rPr>
          <w:spacing w:val="-16"/>
          <w:sz w:val="24"/>
        </w:rPr>
        <w:t> </w:t>
      </w:r>
      <w:r>
        <w:rPr>
          <w:sz w:val="24"/>
        </w:rPr>
        <w:t>1).</w:t>
      </w:r>
    </w:p>
    <w:p>
      <w:pPr>
        <w:pStyle w:val="ListParagraph"/>
        <w:numPr>
          <w:ilvl w:val="0"/>
          <w:numId w:val="33"/>
        </w:numPr>
        <w:tabs>
          <w:tab w:pos="1840" w:val="left" w:leader="none"/>
          <w:tab w:pos="1841" w:val="left" w:leader="none"/>
        </w:tabs>
        <w:spacing w:line="257" w:lineRule="exact" w:before="0" w:after="0"/>
        <w:ind w:left="1840" w:right="0" w:hanging="1680"/>
        <w:jc w:val="left"/>
        <w:rPr>
          <w:sz w:val="24"/>
        </w:rPr>
      </w:pPr>
      <w:r>
        <w:rPr>
          <w:sz w:val="24"/>
        </w:rPr>
        <w:t>BUTI  was  the  most  frequent  LUTD  and  presented  in  34.02%  (</w:t>
      </w:r>
      <w:r>
        <w:rPr>
          <w:i/>
          <w:sz w:val="24"/>
        </w:rPr>
        <w:t>n=</w:t>
      </w:r>
      <w:r>
        <w:rPr>
          <w:sz w:val="24"/>
        </w:rPr>
        <w:t>33)  of  clinical </w:t>
      </w:r>
      <w:r>
        <w:rPr>
          <w:spacing w:val="21"/>
          <w:sz w:val="24"/>
        </w:rPr>
        <w:t> </w:t>
      </w:r>
      <w:r>
        <w:rPr>
          <w:sz w:val="24"/>
        </w:rPr>
        <w:t>cases</w:t>
      </w:r>
    </w:p>
    <w:p>
      <w:pPr>
        <w:pStyle w:val="ListParagraph"/>
        <w:numPr>
          <w:ilvl w:val="0"/>
          <w:numId w:val="33"/>
        </w:numPr>
        <w:tabs>
          <w:tab w:pos="1132" w:val="left" w:leader="none"/>
          <w:tab w:pos="1133" w:val="left" w:leader="none"/>
        </w:tabs>
        <w:spacing w:line="256" w:lineRule="exact" w:before="0" w:after="0"/>
        <w:ind w:left="1132" w:right="0" w:hanging="972"/>
        <w:jc w:val="left"/>
        <w:rPr>
          <w:sz w:val="24"/>
        </w:rPr>
      </w:pPr>
      <w:r>
        <w:rPr>
          <w:sz w:val="24"/>
        </w:rPr>
        <w:t>(63.63%  (</w:t>
      </w:r>
      <w:r>
        <w:rPr>
          <w:i/>
          <w:sz w:val="24"/>
        </w:rPr>
        <w:t>n=</w:t>
      </w:r>
      <w:r>
        <w:rPr>
          <w:sz w:val="24"/>
        </w:rPr>
        <w:t>21)  males  and  36.36%  (</w:t>
      </w:r>
      <w:r>
        <w:rPr>
          <w:i/>
          <w:sz w:val="24"/>
        </w:rPr>
        <w:t>n=</w:t>
      </w:r>
      <w:r>
        <w:rPr>
          <w:sz w:val="24"/>
        </w:rPr>
        <w:t>12)  females).  Statistically,  there  was  no  evidence  </w:t>
      </w:r>
      <w:r>
        <w:rPr>
          <w:spacing w:val="40"/>
          <w:sz w:val="24"/>
        </w:rPr>
        <w:t> </w:t>
      </w:r>
      <w:r>
        <w:rPr>
          <w:sz w:val="24"/>
        </w:rPr>
        <w:t>of</w:t>
      </w:r>
    </w:p>
    <w:p>
      <w:pPr>
        <w:pStyle w:val="ListParagraph"/>
        <w:numPr>
          <w:ilvl w:val="0"/>
          <w:numId w:val="33"/>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71773pt;width:11.15pt;height:10pt;mso-position-horizontal-relative:page;mso-position-vertical-relative:paragraph;z-index:-92896" type="#_x0000_t202" filled="false" stroked="false">
            <v:textbox inset="0,0,0,0">
              <w:txbxContent>
                <w:p>
                  <w:pPr>
                    <w:spacing w:line="196" w:lineRule="exact" w:before="0"/>
                    <w:ind w:left="0" w:right="-20" w:firstLine="0"/>
                    <w:jc w:val="left"/>
                    <w:rPr>
                      <w:sz w:val="20"/>
                    </w:rPr>
                  </w:pPr>
                  <w:r>
                    <w:rPr>
                      <w:sz w:val="20"/>
                    </w:rPr>
                    <w:t>11</w:t>
                  </w:r>
                </w:p>
              </w:txbxContent>
            </v:textbox>
            <w10:wrap type="none"/>
          </v:shape>
        </w:pict>
      </w:r>
      <w:r>
        <w:rPr>
          <w:sz w:val="24"/>
        </w:rPr>
        <w:t>predisposition</w:t>
      </w:r>
      <w:r>
        <w:rPr>
          <w:spacing w:val="36"/>
          <w:sz w:val="24"/>
        </w:rPr>
        <w:t> </w:t>
      </w:r>
      <w:r>
        <w:rPr>
          <w:sz w:val="24"/>
        </w:rPr>
        <w:t>to</w:t>
      </w:r>
      <w:r>
        <w:rPr>
          <w:spacing w:val="33"/>
          <w:sz w:val="24"/>
        </w:rPr>
        <w:t> </w:t>
      </w:r>
      <w:r>
        <w:rPr>
          <w:sz w:val="24"/>
        </w:rPr>
        <w:t>present</w:t>
      </w:r>
      <w:r>
        <w:rPr>
          <w:spacing w:val="35"/>
          <w:sz w:val="24"/>
        </w:rPr>
        <w:t> </w:t>
      </w:r>
      <w:r>
        <w:rPr>
          <w:sz w:val="24"/>
        </w:rPr>
        <w:t>BUTI</w:t>
      </w:r>
      <w:r>
        <w:rPr>
          <w:spacing w:val="34"/>
          <w:sz w:val="24"/>
        </w:rPr>
        <w:t> </w:t>
      </w:r>
      <w:r>
        <w:rPr>
          <w:sz w:val="24"/>
        </w:rPr>
        <w:t>by</w:t>
      </w:r>
      <w:r>
        <w:rPr>
          <w:spacing w:val="34"/>
          <w:sz w:val="24"/>
        </w:rPr>
        <w:t> </w:t>
      </w:r>
      <w:r>
        <w:rPr>
          <w:sz w:val="24"/>
        </w:rPr>
        <w:t>gender</w:t>
      </w:r>
      <w:r>
        <w:rPr>
          <w:spacing w:val="34"/>
          <w:sz w:val="24"/>
        </w:rPr>
        <w:t> </w:t>
      </w:r>
      <w:r>
        <w:rPr>
          <w:sz w:val="24"/>
        </w:rPr>
        <w:t>(OR</w:t>
      </w:r>
      <w:r>
        <w:rPr>
          <w:spacing w:val="35"/>
          <w:sz w:val="24"/>
        </w:rPr>
        <w:t> </w:t>
      </w:r>
      <w:r>
        <w:rPr>
          <w:sz w:val="24"/>
        </w:rPr>
        <w:t>1.3,</w:t>
      </w:r>
      <w:r>
        <w:rPr>
          <w:spacing w:val="36"/>
          <w:sz w:val="24"/>
        </w:rPr>
        <w:t> </w:t>
      </w:r>
      <w:r>
        <w:rPr>
          <w:sz w:val="24"/>
        </w:rPr>
        <w:t>CI</w:t>
      </w:r>
      <w:r>
        <w:rPr>
          <w:spacing w:val="34"/>
          <w:sz w:val="24"/>
        </w:rPr>
        <w:t> </w:t>
      </w:r>
      <w:r>
        <w:rPr>
          <w:sz w:val="24"/>
        </w:rPr>
        <w:t>0.65–2.87,</w:t>
      </w:r>
      <w:r>
        <w:rPr>
          <w:spacing w:val="36"/>
          <w:sz w:val="24"/>
        </w:rPr>
        <w:t> </w:t>
      </w:r>
      <w:r>
        <w:rPr>
          <w:sz w:val="24"/>
        </w:rPr>
        <w:t>p&gt;0.05).</w:t>
      </w:r>
      <w:r>
        <w:rPr>
          <w:spacing w:val="36"/>
          <w:sz w:val="24"/>
        </w:rPr>
        <w:t> </w:t>
      </w:r>
      <w:r>
        <w:rPr>
          <w:sz w:val="24"/>
        </w:rPr>
        <w:t>Dogs</w:t>
      </w:r>
      <w:r>
        <w:rPr>
          <w:spacing w:val="35"/>
          <w:sz w:val="24"/>
        </w:rPr>
        <w:t> </w:t>
      </w:r>
      <w:r>
        <w:rPr>
          <w:sz w:val="24"/>
        </w:rPr>
        <w:t>diseased</w:t>
      </w:r>
      <w:r>
        <w:rPr>
          <w:spacing w:val="34"/>
          <w:sz w:val="24"/>
        </w:rPr>
        <w:t> </w:t>
      </w:r>
      <w:r>
        <w:rPr>
          <w:sz w:val="24"/>
        </w:rPr>
        <w:t>were</w:t>
      </w:r>
    </w:p>
    <w:p>
      <w:pPr>
        <w:pStyle w:val="ListParagraph"/>
        <w:numPr>
          <w:ilvl w:val="0"/>
          <w:numId w:val="34"/>
        </w:numPr>
        <w:tabs>
          <w:tab w:pos="1132" w:val="left" w:leader="none"/>
          <w:tab w:pos="1133" w:val="left" w:leader="none"/>
        </w:tabs>
        <w:spacing w:line="297" w:lineRule="exact" w:before="0" w:after="0"/>
        <w:ind w:left="1132" w:right="0" w:hanging="972"/>
        <w:jc w:val="left"/>
        <w:rPr>
          <w:sz w:val="24"/>
        </w:rPr>
      </w:pPr>
      <w:r>
        <w:rPr>
          <w:sz w:val="24"/>
        </w:rPr>
        <w:t>aged</w:t>
      </w:r>
      <w:r>
        <w:rPr>
          <w:spacing w:val="33"/>
          <w:sz w:val="24"/>
        </w:rPr>
        <w:t> </w:t>
      </w:r>
      <w:r>
        <w:rPr>
          <w:sz w:val="24"/>
        </w:rPr>
        <w:t>from</w:t>
      </w:r>
      <w:r>
        <w:rPr>
          <w:spacing w:val="34"/>
          <w:sz w:val="24"/>
        </w:rPr>
        <w:t> </w:t>
      </w:r>
      <w:r>
        <w:rPr>
          <w:sz w:val="24"/>
        </w:rPr>
        <w:t>3</w:t>
      </w:r>
      <w:r>
        <w:rPr>
          <w:spacing w:val="36"/>
          <w:sz w:val="24"/>
        </w:rPr>
        <w:t> </w:t>
      </w:r>
      <w:r>
        <w:rPr>
          <w:sz w:val="24"/>
        </w:rPr>
        <w:t>months</w:t>
      </w:r>
      <w:r>
        <w:rPr>
          <w:spacing w:val="34"/>
          <w:sz w:val="24"/>
        </w:rPr>
        <w:t> </w:t>
      </w:r>
      <w:r>
        <w:rPr>
          <w:sz w:val="24"/>
        </w:rPr>
        <w:t>to</w:t>
      </w:r>
      <w:r>
        <w:rPr>
          <w:spacing w:val="34"/>
          <w:sz w:val="24"/>
        </w:rPr>
        <w:t> </w:t>
      </w:r>
      <w:r>
        <w:rPr>
          <w:sz w:val="24"/>
        </w:rPr>
        <w:t>18</w:t>
      </w:r>
      <w:r>
        <w:rPr>
          <w:spacing w:val="36"/>
          <w:sz w:val="24"/>
        </w:rPr>
        <w:t> </w:t>
      </w:r>
      <w:r>
        <w:rPr>
          <w:sz w:val="24"/>
        </w:rPr>
        <w:t>years</w:t>
      </w:r>
      <w:r>
        <w:rPr>
          <w:spacing w:val="34"/>
          <w:sz w:val="24"/>
        </w:rPr>
        <w:t> </w:t>
      </w:r>
      <w:r>
        <w:rPr>
          <w:sz w:val="24"/>
        </w:rPr>
        <w:t>(median</w:t>
      </w:r>
      <w:r>
        <w:rPr>
          <w:spacing w:val="34"/>
          <w:sz w:val="24"/>
        </w:rPr>
        <w:t> </w:t>
      </w:r>
      <w:r>
        <w:rPr>
          <w:sz w:val="24"/>
        </w:rPr>
        <w:t>age:</w:t>
      </w:r>
      <w:r>
        <w:rPr>
          <w:spacing w:val="33"/>
          <w:sz w:val="24"/>
        </w:rPr>
        <w:t> </w:t>
      </w:r>
      <w:r>
        <w:rPr>
          <w:sz w:val="24"/>
        </w:rPr>
        <w:t>8</w:t>
      </w:r>
      <w:r>
        <w:rPr>
          <w:spacing w:val="33"/>
          <w:sz w:val="24"/>
        </w:rPr>
        <w:t> </w:t>
      </w:r>
      <w:r>
        <w:rPr>
          <w:sz w:val="24"/>
        </w:rPr>
        <w:t>years).</w:t>
      </w:r>
      <w:r>
        <w:rPr>
          <w:spacing w:val="35"/>
          <w:sz w:val="24"/>
        </w:rPr>
        <w:t> </w:t>
      </w:r>
      <w:r>
        <w:rPr>
          <w:sz w:val="24"/>
        </w:rPr>
        <w:t>Purebred</w:t>
      </w:r>
      <w:r>
        <w:rPr>
          <w:spacing w:val="35"/>
          <w:sz w:val="24"/>
        </w:rPr>
        <w:t> </w:t>
      </w:r>
      <w:r>
        <w:rPr>
          <w:sz w:val="24"/>
        </w:rPr>
        <w:t>dogs</w:t>
      </w:r>
      <w:r>
        <w:rPr>
          <w:spacing w:val="34"/>
          <w:sz w:val="24"/>
        </w:rPr>
        <w:t> </w:t>
      </w:r>
      <w:r>
        <w:rPr>
          <w:sz w:val="24"/>
        </w:rPr>
        <w:t>accounted</w:t>
      </w:r>
      <w:r>
        <w:rPr>
          <w:spacing w:val="33"/>
          <w:sz w:val="24"/>
        </w:rPr>
        <w:t> </w:t>
      </w:r>
      <w:r>
        <w:rPr>
          <w:sz w:val="24"/>
        </w:rPr>
        <w:t>for</w:t>
      </w:r>
      <w:r>
        <w:rPr>
          <w:spacing w:val="35"/>
          <w:sz w:val="24"/>
        </w:rPr>
        <w:t> </w:t>
      </w:r>
      <w:r>
        <w:rPr>
          <w:sz w:val="24"/>
        </w:rPr>
        <w:t>84.84%</w:t>
      </w:r>
    </w:p>
    <w:p>
      <w:pPr>
        <w:pStyle w:val="ListParagraph"/>
        <w:numPr>
          <w:ilvl w:val="0"/>
          <w:numId w:val="34"/>
        </w:numPr>
        <w:tabs>
          <w:tab w:pos="1132" w:val="left" w:leader="none"/>
          <w:tab w:pos="1133" w:val="left" w:leader="none"/>
        </w:tabs>
        <w:spacing w:line="258" w:lineRule="exact" w:before="0" w:after="0"/>
        <w:ind w:left="1132" w:right="0" w:hanging="972"/>
        <w:jc w:val="left"/>
        <w:rPr>
          <w:sz w:val="24"/>
        </w:rPr>
      </w:pPr>
      <w:r>
        <w:rPr>
          <w:sz w:val="24"/>
        </w:rPr>
        <w:t>(</w:t>
      </w:r>
      <w:r>
        <w:rPr>
          <w:i/>
          <w:sz w:val="24"/>
        </w:rPr>
        <w:t>n=</w:t>
      </w:r>
      <w:r>
        <w:rPr>
          <w:sz w:val="24"/>
        </w:rPr>
        <w:t>28)</w:t>
      </w:r>
      <w:r>
        <w:rPr>
          <w:spacing w:val="15"/>
          <w:sz w:val="24"/>
        </w:rPr>
        <w:t> </w:t>
      </w:r>
      <w:r>
        <w:rPr>
          <w:sz w:val="24"/>
        </w:rPr>
        <w:t>of</w:t>
      </w:r>
      <w:r>
        <w:rPr>
          <w:spacing w:val="18"/>
          <w:sz w:val="24"/>
        </w:rPr>
        <w:t> </w:t>
      </w:r>
      <w:r>
        <w:rPr>
          <w:sz w:val="24"/>
        </w:rPr>
        <w:t>cases,</w:t>
      </w:r>
      <w:r>
        <w:rPr>
          <w:spacing w:val="17"/>
          <w:sz w:val="24"/>
        </w:rPr>
        <w:t> </w:t>
      </w:r>
      <w:r>
        <w:rPr>
          <w:sz w:val="24"/>
        </w:rPr>
        <w:t>with</w:t>
      </w:r>
      <w:r>
        <w:rPr>
          <w:spacing w:val="15"/>
          <w:sz w:val="24"/>
        </w:rPr>
        <w:t> </w:t>
      </w:r>
      <w:r>
        <w:rPr>
          <w:sz w:val="24"/>
        </w:rPr>
        <w:t>the</w:t>
      </w:r>
      <w:r>
        <w:rPr>
          <w:spacing w:val="16"/>
          <w:sz w:val="24"/>
        </w:rPr>
        <w:t> </w:t>
      </w:r>
      <w:r>
        <w:rPr>
          <w:sz w:val="24"/>
        </w:rPr>
        <w:t>most</w:t>
      </w:r>
      <w:r>
        <w:rPr>
          <w:spacing w:val="16"/>
          <w:sz w:val="24"/>
        </w:rPr>
        <w:t> </w:t>
      </w:r>
      <w:r>
        <w:rPr>
          <w:sz w:val="24"/>
        </w:rPr>
        <w:t>frequent</w:t>
      </w:r>
      <w:r>
        <w:rPr>
          <w:spacing w:val="16"/>
          <w:sz w:val="24"/>
        </w:rPr>
        <w:t> </w:t>
      </w:r>
      <w:r>
        <w:rPr>
          <w:sz w:val="24"/>
        </w:rPr>
        <w:t>being</w:t>
      </w:r>
      <w:r>
        <w:rPr>
          <w:spacing w:val="15"/>
          <w:sz w:val="24"/>
        </w:rPr>
        <w:t> </w:t>
      </w:r>
      <w:r>
        <w:rPr>
          <w:sz w:val="24"/>
        </w:rPr>
        <w:t>Poodle</w:t>
      </w:r>
      <w:r>
        <w:rPr>
          <w:spacing w:val="16"/>
          <w:sz w:val="24"/>
        </w:rPr>
        <w:t> </w:t>
      </w:r>
      <w:r>
        <w:rPr>
          <w:sz w:val="24"/>
        </w:rPr>
        <w:t>(17.85%;</w:t>
      </w:r>
      <w:r>
        <w:rPr>
          <w:spacing w:val="15"/>
          <w:sz w:val="24"/>
        </w:rPr>
        <w:t> </w:t>
      </w:r>
      <w:r>
        <w:rPr>
          <w:i/>
          <w:sz w:val="24"/>
        </w:rPr>
        <w:t>n=</w:t>
      </w:r>
      <w:r>
        <w:rPr>
          <w:sz w:val="24"/>
        </w:rPr>
        <w:t>5),</w:t>
      </w:r>
      <w:r>
        <w:rPr>
          <w:spacing w:val="19"/>
          <w:sz w:val="24"/>
        </w:rPr>
        <w:t> </w:t>
      </w:r>
      <w:r>
        <w:rPr>
          <w:sz w:val="24"/>
        </w:rPr>
        <w:t>Chihuahua</w:t>
      </w:r>
      <w:r>
        <w:rPr>
          <w:spacing w:val="18"/>
          <w:sz w:val="24"/>
        </w:rPr>
        <w:t> </w:t>
      </w:r>
      <w:r>
        <w:rPr>
          <w:sz w:val="24"/>
        </w:rPr>
        <w:t>(17.85%;</w:t>
      </w:r>
      <w:r>
        <w:rPr>
          <w:spacing w:val="17"/>
          <w:sz w:val="24"/>
        </w:rPr>
        <w:t> </w:t>
      </w:r>
      <w:r>
        <w:rPr>
          <w:i/>
          <w:sz w:val="24"/>
        </w:rPr>
        <w:t>n=</w:t>
      </w:r>
      <w:r>
        <w:rPr>
          <w:sz w:val="24"/>
        </w:rPr>
        <w:t>5),</w:t>
      </w:r>
    </w:p>
    <w:p>
      <w:pPr>
        <w:pStyle w:val="ListParagraph"/>
        <w:numPr>
          <w:ilvl w:val="0"/>
          <w:numId w:val="34"/>
        </w:numPr>
        <w:tabs>
          <w:tab w:pos="1132" w:val="left" w:leader="none"/>
          <w:tab w:pos="1133" w:val="left" w:leader="none"/>
        </w:tabs>
        <w:spacing w:line="256" w:lineRule="exact" w:before="0" w:after="0"/>
        <w:ind w:left="1132" w:right="0" w:hanging="972"/>
        <w:jc w:val="left"/>
        <w:rPr>
          <w:sz w:val="24"/>
        </w:rPr>
      </w:pPr>
      <w:r>
        <w:rPr/>
        <w:pict>
          <v:shape style="position:absolute;margin-left:116.872412pt;margin-top:170.818006pt;width:376.45pt;height:48pt;mso-position-horizontal-relative:page;mso-position-vertical-relative:paragraph;z-index:-92944;rotation:51" type="#_x0000_t136" fillcolor="#d6f1fe" stroked="f">
            <o:extrusion v:ext="view" autorotationcenter="t"/>
            <v:textpath style="font-family:&amp;quot;Arial&amp;quot;;font-size:48pt;v-text-kern:t;mso-text-shadow:auto;font-weight:bold" string="For Review Only"/>
            <w10:wrap type="none"/>
          </v:shape>
        </w:pict>
      </w:r>
      <w:r>
        <w:rPr>
          <w:sz w:val="24"/>
        </w:rPr>
        <w:t>and Labrador (17.85%; </w:t>
      </w:r>
      <w:r>
        <w:rPr>
          <w:i/>
          <w:sz w:val="24"/>
        </w:rPr>
        <w:t>n=</w:t>
      </w:r>
      <w:r>
        <w:rPr>
          <w:sz w:val="24"/>
        </w:rPr>
        <w:t>5). Total affected animals showed an acute BUTI because there was </w:t>
      </w:r>
      <w:r>
        <w:rPr>
          <w:spacing w:val="4"/>
          <w:sz w:val="24"/>
        </w:rPr>
        <w:t> </w:t>
      </w:r>
      <w:r>
        <w:rPr>
          <w:sz w:val="24"/>
        </w:rPr>
        <w:t>no</w:t>
      </w:r>
    </w:p>
    <w:p>
      <w:pPr>
        <w:pStyle w:val="ListParagraph"/>
        <w:numPr>
          <w:ilvl w:val="0"/>
          <w:numId w:val="34"/>
        </w:numPr>
        <w:tabs>
          <w:tab w:pos="1132" w:val="left" w:leader="none"/>
          <w:tab w:pos="1133" w:val="left" w:leader="none"/>
        </w:tabs>
        <w:spacing w:line="261" w:lineRule="exact" w:before="0" w:after="0"/>
        <w:ind w:left="1132" w:right="0" w:hanging="972"/>
        <w:jc w:val="left"/>
        <w:rPr>
          <w:sz w:val="24"/>
        </w:rPr>
      </w:pPr>
      <w:r>
        <w:rPr>
          <w:sz w:val="24"/>
        </w:rPr>
        <w:t>history</w:t>
      </w:r>
      <w:r>
        <w:rPr>
          <w:spacing w:val="15"/>
          <w:sz w:val="24"/>
        </w:rPr>
        <w:t> </w:t>
      </w:r>
      <w:r>
        <w:rPr>
          <w:sz w:val="24"/>
        </w:rPr>
        <w:t>of</w:t>
      </w:r>
      <w:r>
        <w:rPr>
          <w:spacing w:val="15"/>
          <w:sz w:val="24"/>
        </w:rPr>
        <w:t> </w:t>
      </w:r>
      <w:r>
        <w:rPr>
          <w:sz w:val="24"/>
        </w:rPr>
        <w:t>recurrent</w:t>
      </w:r>
      <w:r>
        <w:rPr>
          <w:spacing w:val="16"/>
          <w:sz w:val="24"/>
        </w:rPr>
        <w:t> </w:t>
      </w:r>
      <w:r>
        <w:rPr>
          <w:sz w:val="24"/>
        </w:rPr>
        <w:t>infection.</w:t>
      </w:r>
      <w:r>
        <w:rPr>
          <w:spacing w:val="17"/>
          <w:sz w:val="24"/>
        </w:rPr>
        <w:t> </w:t>
      </w:r>
      <w:r>
        <w:rPr>
          <w:sz w:val="24"/>
        </w:rPr>
        <w:t>Of</w:t>
      </w:r>
      <w:r>
        <w:rPr>
          <w:spacing w:val="15"/>
          <w:sz w:val="24"/>
        </w:rPr>
        <w:t> </w:t>
      </w:r>
      <w:r>
        <w:rPr>
          <w:sz w:val="24"/>
        </w:rPr>
        <w:t>the</w:t>
      </w:r>
      <w:r>
        <w:rPr>
          <w:spacing w:val="16"/>
          <w:sz w:val="24"/>
        </w:rPr>
        <w:t> </w:t>
      </w:r>
      <w:r>
        <w:rPr>
          <w:sz w:val="24"/>
        </w:rPr>
        <w:t>BUTI</w:t>
      </w:r>
      <w:r>
        <w:rPr>
          <w:spacing w:val="15"/>
          <w:sz w:val="24"/>
        </w:rPr>
        <w:t> </w:t>
      </w:r>
      <w:r>
        <w:rPr>
          <w:sz w:val="24"/>
        </w:rPr>
        <w:t>cases,</w:t>
      </w:r>
      <w:r>
        <w:rPr>
          <w:spacing w:val="16"/>
          <w:sz w:val="24"/>
        </w:rPr>
        <w:t> </w:t>
      </w:r>
      <w:r>
        <w:rPr>
          <w:sz w:val="24"/>
        </w:rPr>
        <w:t>54.55%</w:t>
      </w:r>
      <w:r>
        <w:rPr>
          <w:spacing w:val="16"/>
          <w:sz w:val="24"/>
        </w:rPr>
        <w:t> </w:t>
      </w:r>
      <w:r>
        <w:rPr>
          <w:sz w:val="24"/>
        </w:rPr>
        <w:t>(</w:t>
      </w:r>
      <w:r>
        <w:rPr>
          <w:i/>
          <w:sz w:val="24"/>
        </w:rPr>
        <w:t>n=</w:t>
      </w:r>
      <w:r>
        <w:rPr>
          <w:sz w:val="24"/>
        </w:rPr>
        <w:t>18)</w:t>
      </w:r>
      <w:r>
        <w:rPr>
          <w:spacing w:val="15"/>
          <w:sz w:val="24"/>
        </w:rPr>
        <w:t> </w:t>
      </w:r>
      <w:r>
        <w:rPr>
          <w:sz w:val="24"/>
        </w:rPr>
        <w:t>were</w:t>
      </w:r>
      <w:r>
        <w:rPr>
          <w:spacing w:val="16"/>
          <w:sz w:val="24"/>
        </w:rPr>
        <w:t> </w:t>
      </w:r>
      <w:r>
        <w:rPr>
          <w:sz w:val="24"/>
        </w:rPr>
        <w:t>diagnosed</w:t>
      </w:r>
      <w:r>
        <w:rPr>
          <w:spacing w:val="15"/>
          <w:sz w:val="24"/>
        </w:rPr>
        <w:t> </w:t>
      </w:r>
      <w:r>
        <w:rPr>
          <w:sz w:val="24"/>
        </w:rPr>
        <w:t>as</w:t>
      </w:r>
      <w:r>
        <w:rPr>
          <w:spacing w:val="16"/>
          <w:sz w:val="24"/>
        </w:rPr>
        <w:t> </w:t>
      </w:r>
      <w:r>
        <w:rPr>
          <w:sz w:val="24"/>
        </w:rPr>
        <w:t>acute</w:t>
      </w:r>
      <w:r>
        <w:rPr>
          <w:spacing w:val="16"/>
          <w:sz w:val="24"/>
        </w:rPr>
        <w:t> </w:t>
      </w:r>
      <w:r>
        <w:rPr>
          <w:sz w:val="24"/>
        </w:rPr>
        <w:t>BUTI,</w:t>
      </w:r>
    </w:p>
    <w:p>
      <w:pPr>
        <w:pStyle w:val="ListParagraph"/>
        <w:numPr>
          <w:ilvl w:val="0"/>
          <w:numId w:val="34"/>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399722pt;width:11.15pt;height:10pt;mso-position-horizontal-relative:page;mso-position-vertical-relative:paragraph;z-index:-92872" type="#_x0000_t202" filled="false" stroked="false">
            <v:textbox inset="0,0,0,0">
              <w:txbxContent>
                <w:p>
                  <w:pPr>
                    <w:spacing w:line="196" w:lineRule="exact" w:before="0"/>
                    <w:ind w:left="0" w:right="-20" w:firstLine="0"/>
                    <w:jc w:val="left"/>
                    <w:rPr>
                      <w:sz w:val="20"/>
                    </w:rPr>
                  </w:pPr>
                  <w:r>
                    <w:rPr>
                      <w:sz w:val="20"/>
                    </w:rPr>
                    <w:t>17</w:t>
                  </w:r>
                </w:p>
              </w:txbxContent>
            </v:textbox>
            <w10:wrap type="none"/>
          </v:shape>
        </w:pict>
      </w:r>
      <w:r>
        <w:rPr>
          <w:sz w:val="24"/>
        </w:rPr>
        <w:t>and</w:t>
      </w:r>
      <w:r>
        <w:rPr>
          <w:spacing w:val="31"/>
          <w:sz w:val="24"/>
        </w:rPr>
        <w:t> </w:t>
      </w:r>
      <w:r>
        <w:rPr>
          <w:sz w:val="24"/>
        </w:rPr>
        <w:t>45.45%</w:t>
      </w:r>
      <w:r>
        <w:rPr>
          <w:spacing w:val="32"/>
          <w:sz w:val="24"/>
        </w:rPr>
        <w:t> </w:t>
      </w:r>
      <w:r>
        <w:rPr>
          <w:sz w:val="24"/>
        </w:rPr>
        <w:t>(</w:t>
      </w:r>
      <w:r>
        <w:rPr>
          <w:i/>
          <w:sz w:val="24"/>
        </w:rPr>
        <w:t>n=</w:t>
      </w:r>
      <w:r>
        <w:rPr>
          <w:sz w:val="24"/>
        </w:rPr>
        <w:t>15)</w:t>
      </w:r>
      <w:r>
        <w:rPr>
          <w:spacing w:val="31"/>
          <w:sz w:val="24"/>
        </w:rPr>
        <w:t> </w:t>
      </w:r>
      <w:r>
        <w:rPr>
          <w:sz w:val="24"/>
        </w:rPr>
        <w:t>were</w:t>
      </w:r>
      <w:r>
        <w:rPr>
          <w:spacing w:val="32"/>
          <w:sz w:val="24"/>
        </w:rPr>
        <w:t> </w:t>
      </w:r>
      <w:r>
        <w:rPr>
          <w:sz w:val="24"/>
        </w:rPr>
        <w:t>considered</w:t>
      </w:r>
      <w:r>
        <w:rPr>
          <w:spacing w:val="31"/>
          <w:sz w:val="24"/>
        </w:rPr>
        <w:t> </w:t>
      </w:r>
      <w:r>
        <w:rPr>
          <w:sz w:val="24"/>
        </w:rPr>
        <w:t>complicated</w:t>
      </w:r>
      <w:r>
        <w:rPr>
          <w:spacing w:val="31"/>
          <w:sz w:val="24"/>
        </w:rPr>
        <w:t> </w:t>
      </w:r>
      <w:r>
        <w:rPr>
          <w:sz w:val="24"/>
        </w:rPr>
        <w:t>BUTI</w:t>
      </w:r>
      <w:r>
        <w:rPr>
          <w:spacing w:val="31"/>
          <w:sz w:val="24"/>
        </w:rPr>
        <w:t> </w:t>
      </w:r>
      <w:r>
        <w:rPr>
          <w:sz w:val="24"/>
        </w:rPr>
        <w:t>associated</w:t>
      </w:r>
      <w:r>
        <w:rPr>
          <w:spacing w:val="31"/>
          <w:sz w:val="24"/>
        </w:rPr>
        <w:t> </w:t>
      </w:r>
      <w:r>
        <w:rPr>
          <w:sz w:val="24"/>
        </w:rPr>
        <w:t>with</w:t>
      </w:r>
      <w:r>
        <w:rPr>
          <w:spacing w:val="31"/>
          <w:sz w:val="24"/>
        </w:rPr>
        <w:t> </w:t>
      </w:r>
      <w:r>
        <w:rPr>
          <w:sz w:val="24"/>
        </w:rPr>
        <w:t>other</w:t>
      </w:r>
      <w:r>
        <w:rPr>
          <w:spacing w:val="31"/>
          <w:sz w:val="24"/>
        </w:rPr>
        <w:t> </w:t>
      </w:r>
      <w:r>
        <w:rPr>
          <w:sz w:val="24"/>
        </w:rPr>
        <w:t>LUTD,</w:t>
      </w:r>
      <w:r>
        <w:rPr>
          <w:spacing w:val="33"/>
          <w:sz w:val="24"/>
        </w:rPr>
        <w:t> </w:t>
      </w:r>
      <w:r>
        <w:rPr>
          <w:sz w:val="24"/>
        </w:rPr>
        <w:t>including</w:t>
      </w:r>
    </w:p>
    <w:p>
      <w:pPr>
        <w:pStyle w:val="ListParagraph"/>
        <w:numPr>
          <w:ilvl w:val="0"/>
          <w:numId w:val="35"/>
        </w:numPr>
        <w:tabs>
          <w:tab w:pos="1132" w:val="left" w:leader="none"/>
          <w:tab w:pos="1133" w:val="left" w:leader="none"/>
        </w:tabs>
        <w:spacing w:line="291" w:lineRule="exact" w:before="2" w:after="0"/>
        <w:ind w:left="1132" w:right="0" w:hanging="972"/>
        <w:jc w:val="left"/>
        <w:rPr>
          <w:sz w:val="24"/>
        </w:rPr>
      </w:pPr>
      <w:r>
        <w:rPr>
          <w:sz w:val="24"/>
        </w:rPr>
        <w:t>urolithiasis  (</w:t>
      </w:r>
      <w:r>
        <w:rPr>
          <w:i/>
          <w:sz w:val="24"/>
        </w:rPr>
        <w:t>n=</w:t>
      </w:r>
      <w:r>
        <w:rPr>
          <w:sz w:val="24"/>
        </w:rPr>
        <w:t>3),  prostatic  disease  </w:t>
      </w:r>
      <w:r>
        <w:rPr>
          <w:i/>
          <w:sz w:val="24"/>
        </w:rPr>
        <w:t>(n=</w:t>
      </w:r>
      <w:r>
        <w:rPr>
          <w:sz w:val="24"/>
        </w:rPr>
        <w:t>3),  and  micturition  disorders  (</w:t>
      </w:r>
      <w:r>
        <w:rPr>
          <w:i/>
          <w:sz w:val="24"/>
        </w:rPr>
        <w:t>n=</w:t>
      </w:r>
      <w:r>
        <w:rPr>
          <w:sz w:val="24"/>
        </w:rPr>
        <w:t>4),  as  well  as </w:t>
      </w:r>
      <w:r>
        <w:rPr>
          <w:spacing w:val="17"/>
          <w:sz w:val="24"/>
        </w:rPr>
        <w:t> </w:t>
      </w:r>
      <w:r>
        <w:rPr>
          <w:sz w:val="24"/>
        </w:rPr>
        <w:t>some</w:t>
      </w:r>
    </w:p>
    <w:p>
      <w:pPr>
        <w:pStyle w:val="ListParagraph"/>
        <w:numPr>
          <w:ilvl w:val="0"/>
          <w:numId w:val="35"/>
        </w:numPr>
        <w:tabs>
          <w:tab w:pos="1132" w:val="left" w:leader="none"/>
          <w:tab w:pos="1133" w:val="left" w:leader="none"/>
        </w:tabs>
        <w:spacing w:line="256" w:lineRule="exact" w:before="0" w:after="0"/>
        <w:ind w:left="1132" w:right="0" w:hanging="972"/>
        <w:jc w:val="left"/>
        <w:rPr>
          <w:sz w:val="24"/>
        </w:rPr>
      </w:pPr>
      <w:r>
        <w:rPr>
          <w:sz w:val="24"/>
        </w:rPr>
        <w:t>systemic diseases, such as hyperadrenocorticism, diabetes mellitus, and pyometra with one </w:t>
      </w:r>
      <w:r>
        <w:rPr>
          <w:spacing w:val="45"/>
          <w:sz w:val="24"/>
        </w:rPr>
        <w:t> </w:t>
      </w:r>
      <w:r>
        <w:rPr>
          <w:sz w:val="24"/>
        </w:rPr>
        <w:t>case</w:t>
      </w:r>
    </w:p>
    <w:p>
      <w:pPr>
        <w:pStyle w:val="ListParagraph"/>
        <w:numPr>
          <w:ilvl w:val="0"/>
          <w:numId w:val="35"/>
        </w:numPr>
        <w:tabs>
          <w:tab w:pos="1132" w:val="left" w:leader="none"/>
          <w:tab w:pos="1133" w:val="left" w:leader="none"/>
        </w:tabs>
        <w:spacing w:line="261" w:lineRule="exact" w:before="0" w:after="0"/>
        <w:ind w:left="1132" w:right="0" w:hanging="972"/>
        <w:jc w:val="left"/>
        <w:rPr>
          <w:sz w:val="24"/>
        </w:rPr>
      </w:pPr>
      <w:r>
        <w:rPr>
          <w:sz w:val="24"/>
        </w:rPr>
        <w:t>each. Only two cases were associated with a previous urethral catheter</w:t>
      </w:r>
      <w:r>
        <w:rPr>
          <w:spacing w:val="-34"/>
          <w:sz w:val="24"/>
        </w:rPr>
        <w:t> </w:t>
      </w:r>
      <w:r>
        <w:rPr>
          <w:sz w:val="24"/>
        </w:rPr>
        <w:t>placement.</w:t>
      </w:r>
    </w:p>
    <w:p>
      <w:pPr>
        <w:pStyle w:val="ListParagraph"/>
        <w:numPr>
          <w:ilvl w:val="0"/>
          <w:numId w:val="35"/>
        </w:numPr>
        <w:tabs>
          <w:tab w:pos="1840" w:val="left" w:leader="none"/>
          <w:tab w:pos="1841" w:val="left" w:leader="none"/>
        </w:tabs>
        <w:spacing w:line="256" w:lineRule="exact" w:before="0" w:after="0"/>
        <w:ind w:left="1840" w:right="0" w:hanging="1680"/>
        <w:jc w:val="left"/>
        <w:rPr>
          <w:sz w:val="24"/>
        </w:rPr>
      </w:pPr>
      <w:r>
        <w:rPr>
          <w:sz w:val="24"/>
        </w:rPr>
        <w:t>Micturition  disorders  (MD)  were  the  second  most  common  group  of  diseases,     </w:t>
      </w:r>
      <w:r>
        <w:rPr>
          <w:spacing w:val="22"/>
          <w:sz w:val="24"/>
        </w:rPr>
        <w:t> </w:t>
      </w:r>
      <w:r>
        <w:rPr>
          <w:sz w:val="24"/>
        </w:rPr>
        <w:t>with</w:t>
      </w:r>
    </w:p>
    <w:p>
      <w:pPr>
        <w:spacing w:line="116" w:lineRule="exact" w:before="0"/>
        <w:ind w:left="160" w:right="0" w:firstLine="0"/>
        <w:jc w:val="left"/>
        <w:rPr>
          <w:sz w:val="20"/>
        </w:rPr>
      </w:pPr>
      <w:r>
        <w:rPr>
          <w:sz w:val="20"/>
        </w:rPr>
        <w:t>22</w:t>
      </w:r>
    </w:p>
    <w:p>
      <w:pPr>
        <w:pStyle w:val="ListParagraph"/>
        <w:numPr>
          <w:ilvl w:val="0"/>
          <w:numId w:val="36"/>
        </w:numPr>
        <w:tabs>
          <w:tab w:pos="1132" w:val="left" w:leader="none"/>
          <w:tab w:pos="1133" w:val="left" w:leader="none"/>
        </w:tabs>
        <w:spacing w:line="257" w:lineRule="exact" w:before="0" w:after="0"/>
        <w:ind w:left="1132" w:right="0" w:hanging="972"/>
        <w:jc w:val="left"/>
        <w:rPr>
          <w:sz w:val="24"/>
        </w:rPr>
      </w:pPr>
      <w:r>
        <w:rPr>
          <w:sz w:val="24"/>
        </w:rPr>
        <w:t>22.68%</w:t>
      </w:r>
      <w:r>
        <w:rPr>
          <w:spacing w:val="20"/>
          <w:sz w:val="24"/>
        </w:rPr>
        <w:t> </w:t>
      </w:r>
      <w:r>
        <w:rPr>
          <w:sz w:val="24"/>
        </w:rPr>
        <w:t>(</w:t>
      </w:r>
      <w:r>
        <w:rPr>
          <w:i/>
          <w:sz w:val="24"/>
        </w:rPr>
        <w:t>n=</w:t>
      </w:r>
      <w:r>
        <w:rPr>
          <w:sz w:val="24"/>
        </w:rPr>
        <w:t>22)</w:t>
      </w:r>
      <w:r>
        <w:rPr>
          <w:spacing w:val="19"/>
          <w:sz w:val="24"/>
        </w:rPr>
        <w:t> </w:t>
      </w:r>
      <w:r>
        <w:rPr>
          <w:sz w:val="24"/>
        </w:rPr>
        <w:t>neurological</w:t>
      </w:r>
      <w:r>
        <w:rPr>
          <w:spacing w:val="19"/>
          <w:sz w:val="24"/>
        </w:rPr>
        <w:t> </w:t>
      </w:r>
      <w:r>
        <w:rPr>
          <w:sz w:val="24"/>
        </w:rPr>
        <w:t>and</w:t>
      </w:r>
      <w:r>
        <w:rPr>
          <w:spacing w:val="19"/>
          <w:sz w:val="24"/>
        </w:rPr>
        <w:t> </w:t>
      </w:r>
      <w:r>
        <w:rPr>
          <w:sz w:val="24"/>
        </w:rPr>
        <w:t>non-neurological</w:t>
      </w:r>
      <w:r>
        <w:rPr>
          <w:spacing w:val="19"/>
          <w:sz w:val="24"/>
        </w:rPr>
        <w:t> </w:t>
      </w:r>
      <w:r>
        <w:rPr>
          <w:sz w:val="24"/>
        </w:rPr>
        <w:t>causes</w:t>
      </w:r>
      <w:r>
        <w:rPr>
          <w:spacing w:val="20"/>
          <w:sz w:val="24"/>
        </w:rPr>
        <w:t> </w:t>
      </w:r>
      <w:r>
        <w:rPr>
          <w:sz w:val="24"/>
        </w:rPr>
        <w:t>of</w:t>
      </w:r>
      <w:r>
        <w:rPr>
          <w:spacing w:val="19"/>
          <w:sz w:val="24"/>
        </w:rPr>
        <w:t> </w:t>
      </w:r>
      <w:r>
        <w:rPr>
          <w:sz w:val="24"/>
        </w:rPr>
        <w:t>all</w:t>
      </w:r>
      <w:r>
        <w:rPr>
          <w:spacing w:val="19"/>
          <w:sz w:val="24"/>
        </w:rPr>
        <w:t> </w:t>
      </w:r>
      <w:r>
        <w:rPr>
          <w:sz w:val="24"/>
        </w:rPr>
        <w:t>BUTI.</w:t>
      </w:r>
      <w:r>
        <w:rPr>
          <w:spacing w:val="21"/>
          <w:sz w:val="24"/>
        </w:rPr>
        <w:t> </w:t>
      </w:r>
      <w:r>
        <w:rPr>
          <w:sz w:val="24"/>
        </w:rPr>
        <w:t>Micturition</w:t>
      </w:r>
      <w:r>
        <w:rPr>
          <w:spacing w:val="20"/>
          <w:sz w:val="24"/>
        </w:rPr>
        <w:t> </w:t>
      </w:r>
      <w:r>
        <w:rPr>
          <w:sz w:val="24"/>
        </w:rPr>
        <w:t>disorders</w:t>
      </w:r>
      <w:r>
        <w:rPr>
          <w:spacing w:val="20"/>
          <w:sz w:val="24"/>
        </w:rPr>
        <w:t> </w:t>
      </w:r>
      <w:r>
        <w:rPr>
          <w:sz w:val="24"/>
        </w:rPr>
        <w:t>due</w:t>
      </w:r>
    </w:p>
    <w:p>
      <w:pPr>
        <w:pStyle w:val="ListParagraph"/>
        <w:numPr>
          <w:ilvl w:val="0"/>
          <w:numId w:val="36"/>
        </w:numPr>
        <w:tabs>
          <w:tab w:pos="1132" w:val="left" w:leader="none"/>
          <w:tab w:pos="1133" w:val="left" w:leader="none"/>
        </w:tabs>
        <w:spacing w:line="256" w:lineRule="exact" w:before="0" w:after="0"/>
        <w:ind w:left="1132" w:right="0" w:hanging="972"/>
        <w:jc w:val="left"/>
        <w:rPr>
          <w:sz w:val="24"/>
        </w:rPr>
      </w:pPr>
      <w:r>
        <w:rPr>
          <w:sz w:val="24"/>
        </w:rPr>
        <w:t>to</w:t>
      </w:r>
      <w:r>
        <w:rPr>
          <w:spacing w:val="41"/>
          <w:sz w:val="24"/>
        </w:rPr>
        <w:t> </w:t>
      </w:r>
      <w:r>
        <w:rPr>
          <w:sz w:val="24"/>
        </w:rPr>
        <w:t>neurological</w:t>
      </w:r>
      <w:r>
        <w:rPr>
          <w:spacing w:val="41"/>
          <w:sz w:val="24"/>
        </w:rPr>
        <w:t> </w:t>
      </w:r>
      <w:r>
        <w:rPr>
          <w:sz w:val="24"/>
        </w:rPr>
        <w:t>causes</w:t>
      </w:r>
      <w:r>
        <w:rPr>
          <w:spacing w:val="39"/>
          <w:sz w:val="24"/>
        </w:rPr>
        <w:t> </w:t>
      </w:r>
      <w:r>
        <w:rPr>
          <w:sz w:val="24"/>
        </w:rPr>
        <w:t>occurred</w:t>
      </w:r>
      <w:r>
        <w:rPr>
          <w:spacing w:val="40"/>
          <w:sz w:val="24"/>
        </w:rPr>
        <w:t> </w:t>
      </w:r>
      <w:r>
        <w:rPr>
          <w:sz w:val="24"/>
        </w:rPr>
        <w:t>in</w:t>
      </w:r>
      <w:r>
        <w:rPr>
          <w:spacing w:val="42"/>
          <w:sz w:val="24"/>
        </w:rPr>
        <w:t> </w:t>
      </w:r>
      <w:r>
        <w:rPr>
          <w:sz w:val="24"/>
        </w:rPr>
        <w:t>90.90%</w:t>
      </w:r>
      <w:r>
        <w:rPr>
          <w:spacing w:val="42"/>
          <w:sz w:val="24"/>
        </w:rPr>
        <w:t> </w:t>
      </w:r>
      <w:r>
        <w:rPr>
          <w:sz w:val="24"/>
        </w:rPr>
        <w:t>(</w:t>
      </w:r>
      <w:r>
        <w:rPr>
          <w:i/>
          <w:sz w:val="24"/>
        </w:rPr>
        <w:t>n=</w:t>
      </w:r>
      <w:r>
        <w:rPr>
          <w:sz w:val="24"/>
        </w:rPr>
        <w:t>20)</w:t>
      </w:r>
      <w:r>
        <w:rPr>
          <w:spacing w:val="41"/>
          <w:sz w:val="24"/>
        </w:rPr>
        <w:t> </w:t>
      </w:r>
      <w:r>
        <w:rPr>
          <w:sz w:val="24"/>
        </w:rPr>
        <w:t>of</w:t>
      </w:r>
      <w:r>
        <w:rPr>
          <w:spacing w:val="41"/>
          <w:sz w:val="24"/>
        </w:rPr>
        <w:t> </w:t>
      </w:r>
      <w:r>
        <w:rPr>
          <w:sz w:val="24"/>
        </w:rPr>
        <w:t>patients,</w:t>
      </w:r>
      <w:r>
        <w:rPr>
          <w:spacing w:val="42"/>
          <w:sz w:val="24"/>
        </w:rPr>
        <w:t> </w:t>
      </w:r>
      <w:r>
        <w:rPr>
          <w:sz w:val="24"/>
        </w:rPr>
        <w:t>of</w:t>
      </w:r>
      <w:r>
        <w:rPr>
          <w:spacing w:val="41"/>
          <w:sz w:val="24"/>
        </w:rPr>
        <w:t> </w:t>
      </w:r>
      <w:r>
        <w:rPr>
          <w:sz w:val="24"/>
        </w:rPr>
        <w:t>which</w:t>
      </w:r>
      <w:r>
        <w:rPr>
          <w:spacing w:val="41"/>
          <w:sz w:val="24"/>
        </w:rPr>
        <w:t> </w:t>
      </w:r>
      <w:r>
        <w:rPr>
          <w:sz w:val="24"/>
        </w:rPr>
        <w:t>65.00%</w:t>
      </w:r>
      <w:r>
        <w:rPr>
          <w:spacing w:val="42"/>
          <w:sz w:val="24"/>
        </w:rPr>
        <w:t> </w:t>
      </w:r>
      <w:r>
        <w:rPr>
          <w:sz w:val="24"/>
        </w:rPr>
        <w:t>(</w:t>
      </w:r>
      <w:r>
        <w:rPr>
          <w:i/>
          <w:sz w:val="24"/>
        </w:rPr>
        <w:t>n=</w:t>
      </w:r>
      <w:r>
        <w:rPr>
          <w:sz w:val="24"/>
        </w:rPr>
        <w:t>13)</w:t>
      </w:r>
      <w:r>
        <w:rPr>
          <w:spacing w:val="41"/>
          <w:sz w:val="24"/>
        </w:rPr>
        <w:t> </w:t>
      </w:r>
      <w:r>
        <w:rPr>
          <w:sz w:val="24"/>
        </w:rPr>
        <w:t>were</w:t>
      </w:r>
    </w:p>
    <w:p>
      <w:pPr>
        <w:pStyle w:val="ListParagraph"/>
        <w:numPr>
          <w:ilvl w:val="0"/>
          <w:numId w:val="36"/>
        </w:numPr>
        <w:tabs>
          <w:tab w:pos="1132" w:val="left" w:leader="none"/>
          <w:tab w:pos="1133" w:val="left" w:leader="none"/>
        </w:tabs>
        <w:spacing w:line="261" w:lineRule="exact" w:before="0" w:after="0"/>
        <w:ind w:left="1132" w:right="0" w:hanging="972"/>
        <w:jc w:val="left"/>
        <w:rPr>
          <w:sz w:val="24"/>
        </w:rPr>
      </w:pPr>
      <w:r>
        <w:rPr>
          <w:sz w:val="24"/>
        </w:rPr>
        <w:t>male, with a male–female ratio of 1.8:1. However, statistically there was no gender</w:t>
      </w:r>
      <w:r>
        <w:rPr>
          <w:spacing w:val="-31"/>
          <w:sz w:val="24"/>
        </w:rPr>
        <w:t> </w:t>
      </w:r>
      <w:r>
        <w:rPr>
          <w:sz w:val="24"/>
        </w:rPr>
        <w:t>predisposition</w:t>
      </w:r>
    </w:p>
    <w:p>
      <w:pPr>
        <w:pStyle w:val="ListParagraph"/>
        <w:numPr>
          <w:ilvl w:val="0"/>
          <w:numId w:val="36"/>
        </w:numPr>
        <w:tabs>
          <w:tab w:pos="1132" w:val="left" w:leader="none"/>
          <w:tab w:pos="1133" w:val="left" w:leader="none"/>
        </w:tabs>
        <w:spacing w:line="256" w:lineRule="exact" w:before="0" w:after="0"/>
        <w:ind w:left="1132" w:right="0" w:hanging="972"/>
        <w:jc w:val="left"/>
        <w:rPr>
          <w:sz w:val="24"/>
        </w:rPr>
      </w:pPr>
      <w:r>
        <w:rPr>
          <w:sz w:val="24"/>
        </w:rPr>
        <w:t>towards</w:t>
      </w:r>
      <w:r>
        <w:rPr>
          <w:spacing w:val="11"/>
          <w:sz w:val="24"/>
        </w:rPr>
        <w:t> </w:t>
      </w:r>
      <w:r>
        <w:rPr>
          <w:sz w:val="24"/>
        </w:rPr>
        <w:t>presenting</w:t>
      </w:r>
      <w:r>
        <w:rPr>
          <w:spacing w:val="10"/>
          <w:sz w:val="24"/>
        </w:rPr>
        <w:t> </w:t>
      </w:r>
      <w:r>
        <w:rPr>
          <w:sz w:val="24"/>
        </w:rPr>
        <w:t>a</w:t>
      </w:r>
      <w:r>
        <w:rPr>
          <w:spacing w:val="11"/>
          <w:sz w:val="24"/>
        </w:rPr>
        <w:t> </w:t>
      </w:r>
      <w:r>
        <w:rPr>
          <w:sz w:val="24"/>
        </w:rPr>
        <w:t>MD</w:t>
      </w:r>
      <w:r>
        <w:rPr>
          <w:spacing w:val="11"/>
          <w:sz w:val="24"/>
        </w:rPr>
        <w:t> </w:t>
      </w:r>
      <w:r>
        <w:rPr>
          <w:sz w:val="24"/>
        </w:rPr>
        <w:t>due</w:t>
      </w:r>
      <w:r>
        <w:rPr>
          <w:spacing w:val="12"/>
          <w:sz w:val="24"/>
        </w:rPr>
        <w:t> </w:t>
      </w:r>
      <w:r>
        <w:rPr>
          <w:sz w:val="24"/>
        </w:rPr>
        <w:t>to</w:t>
      </w:r>
      <w:r>
        <w:rPr>
          <w:spacing w:val="11"/>
          <w:sz w:val="24"/>
        </w:rPr>
        <w:t> </w:t>
      </w:r>
      <w:r>
        <w:rPr>
          <w:sz w:val="24"/>
        </w:rPr>
        <w:t>neurological</w:t>
      </w:r>
      <w:r>
        <w:rPr>
          <w:spacing w:val="11"/>
          <w:sz w:val="24"/>
        </w:rPr>
        <w:t> </w:t>
      </w:r>
      <w:r>
        <w:rPr>
          <w:sz w:val="24"/>
        </w:rPr>
        <w:t>causes</w:t>
      </w:r>
      <w:r>
        <w:rPr>
          <w:spacing w:val="12"/>
          <w:sz w:val="24"/>
        </w:rPr>
        <w:t> </w:t>
      </w:r>
      <w:r>
        <w:rPr>
          <w:sz w:val="24"/>
        </w:rPr>
        <w:t>(OR</w:t>
      </w:r>
      <w:r>
        <w:rPr>
          <w:spacing w:val="11"/>
          <w:sz w:val="24"/>
        </w:rPr>
        <w:t> </w:t>
      </w:r>
      <w:r>
        <w:rPr>
          <w:sz w:val="24"/>
        </w:rPr>
        <w:t>1.4,</w:t>
      </w:r>
      <w:r>
        <w:rPr>
          <w:spacing w:val="12"/>
          <w:sz w:val="24"/>
        </w:rPr>
        <w:t> </w:t>
      </w:r>
      <w:r>
        <w:rPr>
          <w:sz w:val="24"/>
        </w:rPr>
        <w:t>CI</w:t>
      </w:r>
      <w:r>
        <w:rPr>
          <w:spacing w:val="10"/>
          <w:sz w:val="24"/>
        </w:rPr>
        <w:t> </w:t>
      </w:r>
      <w:r>
        <w:rPr>
          <w:sz w:val="24"/>
        </w:rPr>
        <w:t>0.56–3.71,</w:t>
      </w:r>
      <w:r>
        <w:rPr>
          <w:spacing w:val="12"/>
          <w:sz w:val="24"/>
        </w:rPr>
        <w:t> </w:t>
      </w:r>
      <w:r>
        <w:rPr>
          <w:sz w:val="24"/>
        </w:rPr>
        <w:t>p&gt;0.05).</w:t>
      </w:r>
      <w:r>
        <w:rPr>
          <w:spacing w:val="12"/>
          <w:sz w:val="24"/>
        </w:rPr>
        <w:t> </w:t>
      </w:r>
      <w:r>
        <w:rPr>
          <w:sz w:val="24"/>
        </w:rPr>
        <w:t>With</w:t>
      </w:r>
      <w:r>
        <w:rPr>
          <w:spacing w:val="11"/>
          <w:sz w:val="24"/>
        </w:rPr>
        <w:t> </w:t>
      </w:r>
      <w:r>
        <w:rPr>
          <w:sz w:val="24"/>
        </w:rPr>
        <w:t>an</w:t>
      </w:r>
      <w:r>
        <w:rPr>
          <w:spacing w:val="11"/>
          <w:sz w:val="24"/>
        </w:rPr>
        <w:t> </w:t>
      </w:r>
      <w:r>
        <w:rPr>
          <w:sz w:val="24"/>
        </w:rPr>
        <w:t>age</w:t>
      </w:r>
    </w:p>
    <w:p>
      <w:pPr>
        <w:pStyle w:val="ListParagraph"/>
        <w:numPr>
          <w:ilvl w:val="0"/>
          <w:numId w:val="36"/>
        </w:numPr>
        <w:tabs>
          <w:tab w:pos="1132" w:val="left" w:leader="none"/>
          <w:tab w:pos="1133" w:val="left" w:leader="none"/>
        </w:tabs>
        <w:spacing w:line="258" w:lineRule="exact" w:before="0" w:after="0"/>
        <w:ind w:left="1132" w:right="0" w:hanging="972"/>
        <w:jc w:val="left"/>
        <w:rPr>
          <w:sz w:val="24"/>
        </w:rPr>
      </w:pPr>
      <w:r>
        <w:rPr>
          <w:sz w:val="24"/>
        </w:rPr>
        <w:t>range</w:t>
      </w:r>
      <w:r>
        <w:rPr>
          <w:spacing w:val="15"/>
          <w:sz w:val="24"/>
        </w:rPr>
        <w:t> </w:t>
      </w:r>
      <w:r>
        <w:rPr>
          <w:sz w:val="24"/>
        </w:rPr>
        <w:t>of</w:t>
      </w:r>
      <w:r>
        <w:rPr>
          <w:spacing w:val="16"/>
          <w:sz w:val="24"/>
        </w:rPr>
        <w:t> </w:t>
      </w:r>
      <w:r>
        <w:rPr>
          <w:sz w:val="24"/>
        </w:rPr>
        <w:t>1–13</w:t>
      </w:r>
      <w:r>
        <w:rPr>
          <w:spacing w:val="16"/>
          <w:sz w:val="24"/>
        </w:rPr>
        <w:t> </w:t>
      </w:r>
      <w:r>
        <w:rPr>
          <w:sz w:val="24"/>
        </w:rPr>
        <w:t>years</w:t>
      </w:r>
      <w:r>
        <w:rPr>
          <w:spacing w:val="17"/>
          <w:sz w:val="24"/>
        </w:rPr>
        <w:t> </w:t>
      </w:r>
      <w:r>
        <w:rPr>
          <w:sz w:val="24"/>
        </w:rPr>
        <w:t>(median</w:t>
      </w:r>
      <w:r>
        <w:rPr>
          <w:spacing w:val="15"/>
          <w:sz w:val="24"/>
        </w:rPr>
        <w:t> </w:t>
      </w:r>
      <w:r>
        <w:rPr>
          <w:sz w:val="24"/>
        </w:rPr>
        <w:t>age:</w:t>
      </w:r>
      <w:r>
        <w:rPr>
          <w:spacing w:val="14"/>
          <w:sz w:val="24"/>
        </w:rPr>
        <w:t> </w:t>
      </w:r>
      <w:r>
        <w:rPr>
          <w:sz w:val="24"/>
        </w:rPr>
        <w:t>7</w:t>
      </w:r>
      <w:r>
        <w:rPr>
          <w:spacing w:val="16"/>
          <w:sz w:val="24"/>
        </w:rPr>
        <w:t> </w:t>
      </w:r>
      <w:r>
        <w:rPr>
          <w:sz w:val="24"/>
        </w:rPr>
        <w:t>years),</w:t>
      </w:r>
      <w:r>
        <w:rPr>
          <w:spacing w:val="15"/>
          <w:sz w:val="24"/>
        </w:rPr>
        <w:t> </w:t>
      </w:r>
      <w:r>
        <w:rPr>
          <w:sz w:val="24"/>
        </w:rPr>
        <w:t>68%</w:t>
      </w:r>
      <w:r>
        <w:rPr>
          <w:spacing w:val="15"/>
          <w:sz w:val="24"/>
        </w:rPr>
        <w:t> </w:t>
      </w:r>
      <w:r>
        <w:rPr>
          <w:sz w:val="24"/>
        </w:rPr>
        <w:t>of</w:t>
      </w:r>
      <w:r>
        <w:rPr>
          <w:spacing w:val="14"/>
          <w:sz w:val="24"/>
        </w:rPr>
        <w:t> </w:t>
      </w:r>
      <w:r>
        <w:rPr>
          <w:sz w:val="24"/>
        </w:rPr>
        <w:t>the</w:t>
      </w:r>
      <w:r>
        <w:rPr>
          <w:spacing w:val="15"/>
          <w:sz w:val="24"/>
        </w:rPr>
        <w:t> </w:t>
      </w:r>
      <w:r>
        <w:rPr>
          <w:sz w:val="24"/>
        </w:rPr>
        <w:t>cases</w:t>
      </w:r>
      <w:r>
        <w:rPr>
          <w:spacing w:val="15"/>
          <w:sz w:val="24"/>
        </w:rPr>
        <w:t> </w:t>
      </w:r>
      <w:r>
        <w:rPr>
          <w:sz w:val="24"/>
        </w:rPr>
        <w:t>occurred</w:t>
      </w:r>
      <w:r>
        <w:rPr>
          <w:spacing w:val="13"/>
          <w:sz w:val="24"/>
        </w:rPr>
        <w:t> </w:t>
      </w:r>
      <w:r>
        <w:rPr>
          <w:sz w:val="24"/>
        </w:rPr>
        <w:t>in</w:t>
      </w:r>
      <w:r>
        <w:rPr>
          <w:spacing w:val="15"/>
          <w:sz w:val="24"/>
        </w:rPr>
        <w:t> </w:t>
      </w:r>
      <w:r>
        <w:rPr>
          <w:sz w:val="24"/>
        </w:rPr>
        <w:t>purebred</w:t>
      </w:r>
      <w:r>
        <w:rPr>
          <w:spacing w:val="13"/>
          <w:sz w:val="24"/>
        </w:rPr>
        <w:t> </w:t>
      </w:r>
      <w:r>
        <w:rPr>
          <w:sz w:val="24"/>
        </w:rPr>
        <w:t>animals,</w:t>
      </w:r>
      <w:r>
        <w:rPr>
          <w:spacing w:val="18"/>
          <w:sz w:val="24"/>
        </w:rPr>
        <w:t> </w:t>
      </w:r>
      <w:r>
        <w:rPr>
          <w:sz w:val="24"/>
        </w:rPr>
        <w:t>and</w:t>
      </w:r>
    </w:p>
    <w:p>
      <w:pPr>
        <w:spacing w:line="116" w:lineRule="exact" w:before="0"/>
        <w:ind w:left="160" w:right="0" w:firstLine="0"/>
        <w:jc w:val="left"/>
        <w:rPr>
          <w:sz w:val="20"/>
        </w:rPr>
      </w:pPr>
      <w:r>
        <w:rPr>
          <w:sz w:val="20"/>
        </w:rPr>
        <w:t>28</w:t>
      </w:r>
    </w:p>
    <w:p>
      <w:pPr>
        <w:pStyle w:val="ListParagraph"/>
        <w:numPr>
          <w:ilvl w:val="0"/>
          <w:numId w:val="37"/>
        </w:numPr>
        <w:tabs>
          <w:tab w:pos="1132" w:val="left" w:leader="none"/>
          <w:tab w:pos="1133" w:val="left" w:leader="none"/>
        </w:tabs>
        <w:spacing w:line="253" w:lineRule="exact" w:before="0" w:after="0"/>
        <w:ind w:left="1132" w:right="0" w:hanging="972"/>
        <w:jc w:val="left"/>
        <w:rPr>
          <w:sz w:val="24"/>
        </w:rPr>
      </w:pPr>
      <w:r>
        <w:rPr>
          <w:sz w:val="24"/>
        </w:rPr>
        <w:t>the   most   frequent   breeds   were   Poodle   (33.33%;   </w:t>
      </w:r>
      <w:r>
        <w:rPr>
          <w:i/>
          <w:sz w:val="24"/>
        </w:rPr>
        <w:t>n</w:t>
      </w:r>
      <w:r>
        <w:rPr>
          <w:sz w:val="24"/>
        </w:rPr>
        <w:t>=5)   and   Dachshund   (20%;   </w:t>
      </w:r>
      <w:r>
        <w:rPr>
          <w:i/>
          <w:sz w:val="24"/>
        </w:rPr>
        <w:t>n=</w:t>
      </w:r>
      <w:r>
        <w:rPr>
          <w:sz w:val="24"/>
        </w:rPr>
        <w:t>3),</w:t>
      </w:r>
      <w:r>
        <w:rPr>
          <w:spacing w:val="5"/>
          <w:sz w:val="24"/>
        </w:rPr>
        <w:t> </w:t>
      </w:r>
      <w:r>
        <w:rPr>
          <w:sz w:val="24"/>
        </w:rPr>
        <w:t>but</w:t>
      </w:r>
    </w:p>
    <w:p>
      <w:pPr>
        <w:pStyle w:val="ListParagraph"/>
        <w:numPr>
          <w:ilvl w:val="0"/>
          <w:numId w:val="37"/>
        </w:numPr>
        <w:tabs>
          <w:tab w:pos="1132" w:val="left" w:leader="none"/>
          <w:tab w:pos="1133" w:val="left" w:leader="none"/>
        </w:tabs>
        <w:spacing w:line="261" w:lineRule="exact" w:before="0" w:after="0"/>
        <w:ind w:left="1132" w:right="0" w:hanging="972"/>
        <w:jc w:val="left"/>
        <w:rPr>
          <w:sz w:val="24"/>
        </w:rPr>
      </w:pPr>
      <w:r>
        <w:rPr>
          <w:position w:val="2"/>
          <w:sz w:val="24"/>
        </w:rPr>
        <w:t>crossbreeds</w:t>
      </w:r>
      <w:r>
        <w:rPr>
          <w:spacing w:val="18"/>
          <w:position w:val="2"/>
          <w:sz w:val="24"/>
        </w:rPr>
        <w:t> </w:t>
      </w:r>
      <w:r>
        <w:rPr>
          <w:position w:val="2"/>
          <w:sz w:val="24"/>
        </w:rPr>
        <w:t>accounted</w:t>
      </w:r>
      <w:r>
        <w:rPr>
          <w:spacing w:val="17"/>
          <w:position w:val="2"/>
          <w:sz w:val="24"/>
        </w:rPr>
        <w:t> </w:t>
      </w:r>
      <w:r>
        <w:rPr>
          <w:position w:val="2"/>
          <w:sz w:val="24"/>
        </w:rPr>
        <w:t>for</w:t>
      </w:r>
      <w:r>
        <w:rPr>
          <w:spacing w:val="18"/>
          <w:position w:val="2"/>
          <w:sz w:val="24"/>
        </w:rPr>
        <w:t> </w:t>
      </w:r>
      <w:r>
        <w:rPr>
          <w:position w:val="2"/>
          <w:sz w:val="24"/>
        </w:rPr>
        <w:t>30%</w:t>
      </w:r>
      <w:r>
        <w:rPr>
          <w:spacing w:val="19"/>
          <w:position w:val="2"/>
          <w:sz w:val="24"/>
        </w:rPr>
        <w:t> </w:t>
      </w:r>
      <w:r>
        <w:rPr>
          <w:position w:val="2"/>
          <w:sz w:val="24"/>
        </w:rPr>
        <w:t>of</w:t>
      </w:r>
      <w:r>
        <w:rPr>
          <w:spacing w:val="18"/>
          <w:position w:val="2"/>
          <w:sz w:val="24"/>
        </w:rPr>
        <w:t> </w:t>
      </w:r>
      <w:r>
        <w:rPr>
          <w:position w:val="2"/>
          <w:sz w:val="24"/>
        </w:rPr>
        <w:t>the</w:t>
      </w:r>
      <w:r>
        <w:rPr>
          <w:spacing w:val="19"/>
          <w:position w:val="2"/>
          <w:sz w:val="24"/>
        </w:rPr>
        <w:t> </w:t>
      </w:r>
      <w:r>
        <w:rPr>
          <w:position w:val="2"/>
          <w:sz w:val="24"/>
        </w:rPr>
        <w:t>cases.</w:t>
      </w:r>
      <w:r>
        <w:rPr>
          <w:spacing w:val="19"/>
          <w:position w:val="2"/>
          <w:sz w:val="24"/>
        </w:rPr>
        <w:t> </w:t>
      </w:r>
      <w:r>
        <w:rPr>
          <w:position w:val="2"/>
          <w:sz w:val="24"/>
        </w:rPr>
        <w:t>The</w:t>
      </w:r>
      <w:r>
        <w:rPr>
          <w:spacing w:val="19"/>
          <w:position w:val="2"/>
          <w:sz w:val="24"/>
        </w:rPr>
        <w:t> </w:t>
      </w:r>
      <w:r>
        <w:rPr>
          <w:position w:val="2"/>
          <w:sz w:val="24"/>
        </w:rPr>
        <w:t>clinical</w:t>
      </w:r>
      <w:r>
        <w:rPr>
          <w:spacing w:val="18"/>
          <w:position w:val="2"/>
          <w:sz w:val="24"/>
        </w:rPr>
        <w:t> </w:t>
      </w:r>
      <w:r>
        <w:rPr>
          <w:position w:val="2"/>
          <w:sz w:val="24"/>
        </w:rPr>
        <w:t>signs</w:t>
      </w:r>
      <w:r>
        <w:rPr>
          <w:spacing w:val="18"/>
          <w:position w:val="2"/>
          <w:sz w:val="24"/>
        </w:rPr>
        <w:t> </w:t>
      </w:r>
      <w:r>
        <w:rPr>
          <w:position w:val="2"/>
          <w:sz w:val="24"/>
        </w:rPr>
        <w:t>associated</w:t>
      </w:r>
      <w:r>
        <w:rPr>
          <w:spacing w:val="17"/>
          <w:position w:val="2"/>
          <w:sz w:val="24"/>
        </w:rPr>
        <w:t> </w:t>
      </w:r>
      <w:r>
        <w:rPr>
          <w:position w:val="2"/>
          <w:sz w:val="24"/>
        </w:rPr>
        <w:t>with</w:t>
      </w:r>
      <w:r>
        <w:rPr>
          <w:spacing w:val="18"/>
          <w:position w:val="2"/>
          <w:sz w:val="24"/>
        </w:rPr>
        <w:t> </w:t>
      </w:r>
      <w:r>
        <w:rPr>
          <w:position w:val="2"/>
          <w:sz w:val="24"/>
        </w:rPr>
        <w:t>neurological</w:t>
      </w:r>
      <w:r>
        <w:rPr>
          <w:spacing w:val="18"/>
          <w:position w:val="2"/>
          <w:sz w:val="24"/>
        </w:rPr>
        <w:t> </w:t>
      </w:r>
      <w:r>
        <w:rPr>
          <w:position w:val="2"/>
          <w:sz w:val="24"/>
        </w:rPr>
        <w:t>MD</w:t>
      </w:r>
    </w:p>
    <w:p>
      <w:pPr>
        <w:pStyle w:val="ListParagraph"/>
        <w:numPr>
          <w:ilvl w:val="0"/>
          <w:numId w:val="37"/>
        </w:numPr>
        <w:tabs>
          <w:tab w:pos="1132" w:val="left" w:leader="none"/>
          <w:tab w:pos="1133" w:val="left" w:leader="none"/>
        </w:tabs>
        <w:spacing w:line="258" w:lineRule="exact" w:before="0" w:after="0"/>
        <w:ind w:left="1132" w:right="0" w:hanging="972"/>
        <w:jc w:val="left"/>
        <w:rPr>
          <w:sz w:val="24"/>
        </w:rPr>
      </w:pPr>
      <w:r>
        <w:rPr>
          <w:sz w:val="24"/>
        </w:rPr>
        <w:t>were</w:t>
      </w:r>
      <w:r>
        <w:rPr>
          <w:spacing w:val="19"/>
          <w:sz w:val="24"/>
        </w:rPr>
        <w:t> </w:t>
      </w:r>
      <w:r>
        <w:rPr>
          <w:sz w:val="24"/>
        </w:rPr>
        <w:t>urinary</w:t>
      </w:r>
      <w:r>
        <w:rPr>
          <w:spacing w:val="20"/>
          <w:sz w:val="24"/>
        </w:rPr>
        <w:t> </w:t>
      </w:r>
      <w:r>
        <w:rPr>
          <w:sz w:val="24"/>
        </w:rPr>
        <w:t>retention</w:t>
      </w:r>
      <w:r>
        <w:rPr>
          <w:spacing w:val="16"/>
          <w:sz w:val="24"/>
        </w:rPr>
        <w:t> </w:t>
      </w:r>
      <w:r>
        <w:rPr>
          <w:sz w:val="24"/>
        </w:rPr>
        <w:t>associated</w:t>
      </w:r>
      <w:r>
        <w:rPr>
          <w:spacing w:val="17"/>
          <w:sz w:val="24"/>
        </w:rPr>
        <w:t> </w:t>
      </w:r>
      <w:r>
        <w:rPr>
          <w:sz w:val="24"/>
        </w:rPr>
        <w:t>with</w:t>
      </w:r>
      <w:r>
        <w:rPr>
          <w:spacing w:val="18"/>
          <w:sz w:val="24"/>
        </w:rPr>
        <w:t> </w:t>
      </w:r>
      <w:r>
        <w:rPr>
          <w:sz w:val="24"/>
        </w:rPr>
        <w:t>different</w:t>
      </w:r>
      <w:r>
        <w:rPr>
          <w:spacing w:val="18"/>
          <w:sz w:val="24"/>
        </w:rPr>
        <w:t> </w:t>
      </w:r>
      <w:r>
        <w:rPr>
          <w:sz w:val="24"/>
        </w:rPr>
        <w:t>injuries</w:t>
      </w:r>
      <w:r>
        <w:rPr>
          <w:spacing w:val="18"/>
          <w:sz w:val="24"/>
        </w:rPr>
        <w:t> </w:t>
      </w:r>
      <w:r>
        <w:rPr>
          <w:sz w:val="24"/>
        </w:rPr>
        <w:t>affecting</w:t>
      </w:r>
      <w:r>
        <w:rPr>
          <w:spacing w:val="17"/>
          <w:sz w:val="24"/>
        </w:rPr>
        <w:t> </w:t>
      </w:r>
      <w:r>
        <w:rPr>
          <w:sz w:val="24"/>
        </w:rPr>
        <w:t>the</w:t>
      </w:r>
      <w:r>
        <w:rPr>
          <w:spacing w:val="16"/>
          <w:sz w:val="24"/>
        </w:rPr>
        <w:t> </w:t>
      </w:r>
      <w:r>
        <w:rPr>
          <w:sz w:val="24"/>
        </w:rPr>
        <w:t>upper</w:t>
      </w:r>
      <w:r>
        <w:rPr>
          <w:spacing w:val="18"/>
          <w:sz w:val="24"/>
        </w:rPr>
        <w:t> </w:t>
      </w:r>
      <w:r>
        <w:rPr>
          <w:sz w:val="24"/>
        </w:rPr>
        <w:t>motor</w:t>
      </w:r>
      <w:r>
        <w:rPr>
          <w:spacing w:val="18"/>
          <w:sz w:val="24"/>
        </w:rPr>
        <w:t> </w:t>
      </w:r>
      <w:r>
        <w:rPr>
          <w:sz w:val="24"/>
        </w:rPr>
        <w:t>neurons.</w:t>
      </w:r>
      <w:r>
        <w:rPr>
          <w:spacing w:val="19"/>
          <w:sz w:val="24"/>
        </w:rPr>
        <w:t> </w:t>
      </w:r>
      <w:r>
        <w:rPr>
          <w:sz w:val="24"/>
        </w:rPr>
        <w:t>As</w:t>
      </w:r>
    </w:p>
    <w:p>
      <w:pPr>
        <w:pStyle w:val="ListParagraph"/>
        <w:numPr>
          <w:ilvl w:val="0"/>
          <w:numId w:val="37"/>
        </w:numPr>
        <w:tabs>
          <w:tab w:pos="1132" w:val="left" w:leader="none"/>
          <w:tab w:pos="1133" w:val="left" w:leader="none"/>
        </w:tabs>
        <w:spacing w:line="257" w:lineRule="exact" w:before="0" w:after="0"/>
        <w:ind w:left="1132" w:right="0" w:hanging="972"/>
        <w:jc w:val="left"/>
        <w:rPr>
          <w:sz w:val="24"/>
        </w:rPr>
      </w:pPr>
      <w:r>
        <w:rPr>
          <w:sz w:val="24"/>
        </w:rPr>
        <w:t>for</w:t>
      </w:r>
      <w:r>
        <w:rPr>
          <w:spacing w:val="20"/>
          <w:sz w:val="24"/>
        </w:rPr>
        <w:t> </w:t>
      </w:r>
      <w:r>
        <w:rPr>
          <w:sz w:val="24"/>
        </w:rPr>
        <w:t>non-neurological</w:t>
      </w:r>
      <w:r>
        <w:rPr>
          <w:spacing w:val="20"/>
          <w:sz w:val="24"/>
        </w:rPr>
        <w:t> </w:t>
      </w:r>
      <w:r>
        <w:rPr>
          <w:sz w:val="24"/>
        </w:rPr>
        <w:t>MD</w:t>
      </w:r>
      <w:r>
        <w:rPr>
          <w:spacing w:val="21"/>
          <w:sz w:val="24"/>
        </w:rPr>
        <w:t> </w:t>
      </w:r>
      <w:r>
        <w:rPr>
          <w:sz w:val="24"/>
        </w:rPr>
        <w:t>causes,</w:t>
      </w:r>
      <w:r>
        <w:rPr>
          <w:spacing w:val="22"/>
          <w:sz w:val="24"/>
        </w:rPr>
        <w:t> </w:t>
      </w:r>
      <w:r>
        <w:rPr>
          <w:sz w:val="24"/>
        </w:rPr>
        <w:t>these</w:t>
      </w:r>
      <w:r>
        <w:rPr>
          <w:spacing w:val="21"/>
          <w:sz w:val="24"/>
        </w:rPr>
        <w:t> </w:t>
      </w:r>
      <w:r>
        <w:rPr>
          <w:sz w:val="24"/>
        </w:rPr>
        <w:t>were</w:t>
      </w:r>
      <w:r>
        <w:rPr>
          <w:spacing w:val="21"/>
          <w:sz w:val="24"/>
        </w:rPr>
        <w:t> </w:t>
      </w:r>
      <w:r>
        <w:rPr>
          <w:sz w:val="24"/>
        </w:rPr>
        <w:t>found</w:t>
      </w:r>
      <w:r>
        <w:rPr>
          <w:spacing w:val="20"/>
          <w:sz w:val="24"/>
        </w:rPr>
        <w:t> </w:t>
      </w:r>
      <w:r>
        <w:rPr>
          <w:sz w:val="24"/>
        </w:rPr>
        <w:t>in</w:t>
      </w:r>
      <w:r>
        <w:rPr>
          <w:spacing w:val="20"/>
          <w:sz w:val="24"/>
        </w:rPr>
        <w:t> </w:t>
      </w:r>
      <w:r>
        <w:rPr>
          <w:sz w:val="24"/>
        </w:rPr>
        <w:t>9.09%</w:t>
      </w:r>
      <w:r>
        <w:rPr>
          <w:spacing w:val="24"/>
          <w:sz w:val="24"/>
        </w:rPr>
        <w:t> </w:t>
      </w:r>
      <w:r>
        <w:rPr>
          <w:sz w:val="24"/>
        </w:rPr>
        <w:t>(</w:t>
      </w:r>
      <w:r>
        <w:rPr>
          <w:i/>
          <w:sz w:val="24"/>
        </w:rPr>
        <w:t>n=</w:t>
      </w:r>
      <w:r>
        <w:rPr>
          <w:sz w:val="24"/>
        </w:rPr>
        <w:t>2),</w:t>
      </w:r>
      <w:r>
        <w:rPr>
          <w:spacing w:val="24"/>
          <w:sz w:val="24"/>
        </w:rPr>
        <w:t> </w:t>
      </w:r>
      <w:r>
        <w:rPr>
          <w:sz w:val="24"/>
        </w:rPr>
        <w:t>where</w:t>
      </w:r>
      <w:r>
        <w:rPr>
          <w:spacing w:val="21"/>
          <w:sz w:val="24"/>
        </w:rPr>
        <w:t> </w:t>
      </w:r>
      <w:r>
        <w:rPr>
          <w:sz w:val="24"/>
        </w:rPr>
        <w:t>females</w:t>
      </w:r>
      <w:r>
        <w:rPr>
          <w:spacing w:val="23"/>
          <w:sz w:val="24"/>
        </w:rPr>
        <w:t> </w:t>
      </w:r>
      <w:r>
        <w:rPr>
          <w:sz w:val="24"/>
        </w:rPr>
        <w:t>with</w:t>
      </w:r>
      <w:r>
        <w:rPr>
          <w:spacing w:val="20"/>
          <w:sz w:val="24"/>
        </w:rPr>
        <w:t> </w:t>
      </w:r>
      <w:r>
        <w:rPr>
          <w:sz w:val="24"/>
        </w:rPr>
        <w:t>urinary</w:t>
      </w:r>
    </w:p>
    <w:p>
      <w:pPr>
        <w:pStyle w:val="ListParagraph"/>
        <w:numPr>
          <w:ilvl w:val="0"/>
          <w:numId w:val="37"/>
        </w:numPr>
        <w:tabs>
          <w:tab w:pos="1132" w:val="left" w:leader="none"/>
          <w:tab w:pos="1133" w:val="left" w:leader="none"/>
        </w:tabs>
        <w:spacing w:line="259" w:lineRule="exact" w:before="0" w:after="0"/>
        <w:ind w:left="1132" w:right="0" w:hanging="972"/>
        <w:jc w:val="left"/>
        <w:rPr>
          <w:sz w:val="24"/>
        </w:rPr>
      </w:pPr>
      <w:r>
        <w:rPr>
          <w:sz w:val="24"/>
        </w:rPr>
        <w:t>incontinence attributed urethral sphincter incompetence in a 10-year-old, neutered  </w:t>
      </w:r>
      <w:r>
        <w:rPr>
          <w:spacing w:val="36"/>
          <w:sz w:val="24"/>
        </w:rPr>
        <w:t> </w:t>
      </w:r>
      <w:r>
        <w:rPr>
          <w:sz w:val="24"/>
        </w:rPr>
        <w:t>crossbreed,</w:t>
      </w:r>
    </w:p>
    <w:p>
      <w:pPr>
        <w:spacing w:line="115" w:lineRule="exact" w:before="0"/>
        <w:ind w:left="160" w:right="0" w:firstLine="0"/>
        <w:jc w:val="left"/>
        <w:rPr>
          <w:sz w:val="20"/>
        </w:rPr>
      </w:pPr>
      <w:r>
        <w:rPr>
          <w:sz w:val="20"/>
        </w:rPr>
        <w:t>34</w:t>
      </w:r>
    </w:p>
    <w:p>
      <w:pPr>
        <w:pStyle w:val="ListParagraph"/>
        <w:numPr>
          <w:ilvl w:val="0"/>
          <w:numId w:val="38"/>
        </w:numPr>
        <w:tabs>
          <w:tab w:pos="1132" w:val="left" w:leader="none"/>
          <w:tab w:pos="1133" w:val="left" w:leader="none"/>
        </w:tabs>
        <w:spacing w:line="258" w:lineRule="exact" w:before="0" w:after="0"/>
        <w:ind w:left="1132" w:right="0" w:hanging="972"/>
        <w:jc w:val="left"/>
        <w:rPr>
          <w:sz w:val="24"/>
        </w:rPr>
      </w:pPr>
      <w:r>
        <w:rPr>
          <w:sz w:val="24"/>
        </w:rPr>
        <w:t>and one case of ectopic ureter in a 3-month-old</w:t>
      </w:r>
      <w:r>
        <w:rPr>
          <w:spacing w:val="-26"/>
          <w:sz w:val="24"/>
        </w:rPr>
        <w:t> </w:t>
      </w:r>
      <w:r>
        <w:rPr>
          <w:sz w:val="24"/>
        </w:rPr>
        <w:t>Poodle.</w:t>
      </w:r>
    </w:p>
    <w:p>
      <w:pPr>
        <w:pStyle w:val="ListParagraph"/>
        <w:numPr>
          <w:ilvl w:val="0"/>
          <w:numId w:val="38"/>
        </w:numPr>
        <w:tabs>
          <w:tab w:pos="1840" w:val="left" w:leader="none"/>
          <w:tab w:pos="1841" w:val="left" w:leader="none"/>
        </w:tabs>
        <w:spacing w:line="256" w:lineRule="exact" w:before="0" w:after="0"/>
        <w:ind w:left="1840" w:right="0" w:hanging="1680"/>
        <w:jc w:val="left"/>
        <w:rPr>
          <w:sz w:val="24"/>
        </w:rPr>
      </w:pPr>
      <w:r>
        <w:rPr>
          <w:position w:val="1"/>
          <w:sz w:val="24"/>
        </w:rPr>
        <w:t>Urolithiasis represented 20.61% (</w:t>
      </w:r>
      <w:r>
        <w:rPr>
          <w:i/>
          <w:position w:val="1"/>
          <w:sz w:val="24"/>
        </w:rPr>
        <w:t>n=</w:t>
      </w:r>
      <w:r>
        <w:rPr>
          <w:position w:val="1"/>
          <w:sz w:val="24"/>
        </w:rPr>
        <w:t>20) of cases, and from these, 80% (</w:t>
      </w:r>
      <w:r>
        <w:rPr>
          <w:i/>
          <w:position w:val="1"/>
          <w:sz w:val="24"/>
        </w:rPr>
        <w:t>n=</w:t>
      </w:r>
      <w:r>
        <w:rPr>
          <w:position w:val="1"/>
          <w:sz w:val="24"/>
        </w:rPr>
        <w:t>16) were  </w:t>
      </w:r>
      <w:r>
        <w:rPr>
          <w:spacing w:val="20"/>
          <w:position w:val="1"/>
          <w:sz w:val="24"/>
        </w:rPr>
        <w:t> </w:t>
      </w:r>
      <w:r>
        <w:rPr>
          <w:position w:val="1"/>
          <w:sz w:val="24"/>
        </w:rPr>
        <w:t>male,</w:t>
      </w:r>
    </w:p>
    <w:p>
      <w:pPr>
        <w:pStyle w:val="ListParagraph"/>
        <w:numPr>
          <w:ilvl w:val="0"/>
          <w:numId w:val="38"/>
        </w:numPr>
        <w:tabs>
          <w:tab w:pos="1132" w:val="left" w:leader="none"/>
          <w:tab w:pos="1133" w:val="left" w:leader="none"/>
        </w:tabs>
        <w:spacing w:line="257" w:lineRule="exact" w:before="0" w:after="0"/>
        <w:ind w:left="1132" w:right="0" w:hanging="972"/>
        <w:jc w:val="left"/>
        <w:rPr>
          <w:sz w:val="24"/>
        </w:rPr>
      </w:pPr>
      <w:r>
        <w:rPr>
          <w:sz w:val="24"/>
        </w:rPr>
        <w:t>but</w:t>
      </w:r>
      <w:r>
        <w:rPr>
          <w:spacing w:val="38"/>
          <w:sz w:val="24"/>
        </w:rPr>
        <w:t> </w:t>
      </w:r>
      <w:r>
        <w:rPr>
          <w:sz w:val="24"/>
        </w:rPr>
        <w:t>there</w:t>
      </w:r>
      <w:r>
        <w:rPr>
          <w:spacing w:val="38"/>
          <w:sz w:val="24"/>
        </w:rPr>
        <w:t> </w:t>
      </w:r>
      <w:r>
        <w:rPr>
          <w:sz w:val="24"/>
        </w:rPr>
        <w:t>was</w:t>
      </w:r>
      <w:r>
        <w:rPr>
          <w:spacing w:val="38"/>
          <w:sz w:val="24"/>
        </w:rPr>
        <w:t> </w:t>
      </w:r>
      <w:r>
        <w:rPr>
          <w:sz w:val="24"/>
        </w:rPr>
        <w:t>no</w:t>
      </w:r>
      <w:r>
        <w:rPr>
          <w:spacing w:val="38"/>
          <w:sz w:val="24"/>
        </w:rPr>
        <w:t> </w:t>
      </w:r>
      <w:r>
        <w:rPr>
          <w:sz w:val="24"/>
        </w:rPr>
        <w:t>statistical</w:t>
      </w:r>
      <w:r>
        <w:rPr>
          <w:spacing w:val="37"/>
          <w:sz w:val="24"/>
        </w:rPr>
        <w:t> </w:t>
      </w:r>
      <w:r>
        <w:rPr>
          <w:sz w:val="24"/>
        </w:rPr>
        <w:t>predisposition</w:t>
      </w:r>
      <w:r>
        <w:rPr>
          <w:spacing w:val="38"/>
          <w:sz w:val="24"/>
        </w:rPr>
        <w:t> </w:t>
      </w:r>
      <w:r>
        <w:rPr>
          <w:sz w:val="24"/>
        </w:rPr>
        <w:t>by</w:t>
      </w:r>
      <w:r>
        <w:rPr>
          <w:spacing w:val="37"/>
          <w:sz w:val="24"/>
        </w:rPr>
        <w:t> </w:t>
      </w:r>
      <w:r>
        <w:rPr>
          <w:sz w:val="24"/>
        </w:rPr>
        <w:t>gender</w:t>
      </w:r>
      <w:r>
        <w:rPr>
          <w:spacing w:val="39"/>
          <w:sz w:val="24"/>
        </w:rPr>
        <w:t> </w:t>
      </w:r>
      <w:r>
        <w:rPr>
          <w:sz w:val="24"/>
        </w:rPr>
        <w:t>(OR</w:t>
      </w:r>
      <w:r>
        <w:rPr>
          <w:spacing w:val="40"/>
          <w:sz w:val="24"/>
        </w:rPr>
        <w:t> </w:t>
      </w:r>
      <w:r>
        <w:rPr>
          <w:sz w:val="24"/>
        </w:rPr>
        <w:t>1.5,</w:t>
      </w:r>
      <w:r>
        <w:rPr>
          <w:spacing w:val="38"/>
          <w:sz w:val="24"/>
        </w:rPr>
        <w:t> </w:t>
      </w:r>
      <w:r>
        <w:rPr>
          <w:sz w:val="24"/>
        </w:rPr>
        <w:t>CI</w:t>
      </w:r>
      <w:r>
        <w:rPr>
          <w:spacing w:val="39"/>
          <w:sz w:val="24"/>
        </w:rPr>
        <w:t> </w:t>
      </w:r>
      <w:r>
        <w:rPr>
          <w:sz w:val="24"/>
        </w:rPr>
        <w:t>0.44–5.00,</w:t>
      </w:r>
      <w:r>
        <w:rPr>
          <w:spacing w:val="38"/>
          <w:sz w:val="24"/>
        </w:rPr>
        <w:t> </w:t>
      </w:r>
      <w:r>
        <w:rPr>
          <w:sz w:val="24"/>
        </w:rPr>
        <w:t>p&gt;0.05).</w:t>
      </w:r>
      <w:r>
        <w:rPr>
          <w:spacing w:val="38"/>
          <w:sz w:val="24"/>
        </w:rPr>
        <w:t> </w:t>
      </w:r>
      <w:r>
        <w:rPr>
          <w:sz w:val="24"/>
        </w:rPr>
        <w:t>The</w:t>
      </w:r>
      <w:r>
        <w:rPr>
          <w:spacing w:val="40"/>
          <w:sz w:val="24"/>
        </w:rPr>
        <w:t> </w:t>
      </w:r>
      <w:r>
        <w:rPr>
          <w:sz w:val="24"/>
        </w:rPr>
        <w:t>age</w:t>
      </w:r>
    </w:p>
    <w:p>
      <w:pPr>
        <w:pStyle w:val="ListParagraph"/>
        <w:numPr>
          <w:ilvl w:val="0"/>
          <w:numId w:val="38"/>
        </w:numPr>
        <w:tabs>
          <w:tab w:pos="1132" w:val="left" w:leader="none"/>
          <w:tab w:pos="1133" w:val="left" w:leader="none"/>
        </w:tabs>
        <w:spacing w:line="262" w:lineRule="exact" w:before="0" w:after="0"/>
        <w:ind w:left="1132" w:right="0" w:hanging="972"/>
        <w:jc w:val="left"/>
        <w:rPr>
          <w:sz w:val="24"/>
        </w:rPr>
      </w:pPr>
      <w:r>
        <w:rPr>
          <w:sz w:val="24"/>
        </w:rPr>
        <w:t>range was between 3 and 15 years with a median of 9 years. Urolithiasis was found in </w:t>
      </w:r>
      <w:r>
        <w:rPr>
          <w:spacing w:val="15"/>
          <w:sz w:val="24"/>
        </w:rPr>
        <w:t> </w:t>
      </w:r>
      <w:r>
        <w:rPr>
          <w:sz w:val="24"/>
        </w:rPr>
        <w:t>purebreds</w:t>
      </w:r>
    </w:p>
    <w:p>
      <w:pPr>
        <w:pStyle w:val="ListParagraph"/>
        <w:numPr>
          <w:ilvl w:val="0"/>
          <w:numId w:val="38"/>
        </w:numPr>
        <w:tabs>
          <w:tab w:pos="1132" w:val="left" w:leader="none"/>
          <w:tab w:pos="1133" w:val="left" w:leader="none"/>
        </w:tabs>
        <w:spacing w:line="326" w:lineRule="exact" w:before="0" w:after="0"/>
        <w:ind w:left="1132" w:right="0" w:hanging="972"/>
        <w:jc w:val="left"/>
        <w:rPr>
          <w:sz w:val="24"/>
        </w:rPr>
      </w:pPr>
      <w:r>
        <w:rPr/>
        <w:pict>
          <v:shape style="position:absolute;margin-left:8pt;margin-top:10.880737pt;width:11.15pt;height:10pt;mso-position-horizontal-relative:page;mso-position-vertical-relative:paragraph;z-index:-92848" type="#_x0000_t202" filled="false" stroked="false">
            <v:textbox inset="0,0,0,0">
              <w:txbxContent>
                <w:p>
                  <w:pPr>
                    <w:spacing w:line="196" w:lineRule="exact" w:before="0"/>
                    <w:ind w:left="0" w:right="-20" w:firstLine="0"/>
                    <w:jc w:val="left"/>
                    <w:rPr>
                      <w:sz w:val="20"/>
                    </w:rPr>
                  </w:pPr>
                  <w:r>
                    <w:rPr>
                      <w:sz w:val="20"/>
                    </w:rPr>
                    <w:t>40</w:t>
                  </w:r>
                </w:p>
              </w:txbxContent>
            </v:textbox>
            <w10:wrap type="none"/>
          </v:shape>
        </w:pict>
      </w:r>
      <w:r>
        <w:rPr>
          <w:sz w:val="24"/>
        </w:rPr>
        <w:t>in  95%  (</w:t>
      </w:r>
      <w:r>
        <w:rPr>
          <w:i/>
          <w:sz w:val="24"/>
        </w:rPr>
        <w:t>n=</w:t>
      </w:r>
      <w:r>
        <w:rPr>
          <w:sz w:val="24"/>
        </w:rPr>
        <w:t>19)  of  cases,  and  the  most  common  breed  was  the  German  Shepherd      </w:t>
      </w:r>
      <w:r>
        <w:rPr>
          <w:spacing w:val="50"/>
          <w:sz w:val="24"/>
        </w:rPr>
        <w:t> </w:t>
      </w:r>
      <w:r>
        <w:rPr>
          <w:sz w:val="24"/>
        </w:rPr>
        <w:t>(20%).</w:t>
      </w:r>
    </w:p>
    <w:p>
      <w:pPr>
        <w:pStyle w:val="ListParagraph"/>
        <w:numPr>
          <w:ilvl w:val="0"/>
          <w:numId w:val="39"/>
        </w:numPr>
        <w:tabs>
          <w:tab w:pos="1132" w:val="left" w:leader="none"/>
          <w:tab w:pos="1133" w:val="left" w:leader="none"/>
        </w:tabs>
        <w:spacing w:line="302" w:lineRule="exact" w:before="0" w:after="0"/>
        <w:ind w:left="1132" w:right="0" w:hanging="972"/>
        <w:jc w:val="left"/>
        <w:rPr>
          <w:sz w:val="24"/>
        </w:rPr>
      </w:pPr>
      <w:r>
        <w:rPr>
          <w:sz w:val="24"/>
        </w:rPr>
        <w:t>According   to  the   chemical  composition   of   uroliths,  the   clinical  cases   were   distributed </w:t>
      </w:r>
      <w:r>
        <w:rPr>
          <w:spacing w:val="11"/>
          <w:sz w:val="24"/>
        </w:rPr>
        <w:t> </w:t>
      </w:r>
      <w:r>
        <w:rPr>
          <w:sz w:val="24"/>
        </w:rPr>
        <w:t>in</w:t>
      </w:r>
    </w:p>
    <w:p>
      <w:pPr>
        <w:pStyle w:val="ListParagraph"/>
        <w:numPr>
          <w:ilvl w:val="0"/>
          <w:numId w:val="39"/>
        </w:numPr>
        <w:tabs>
          <w:tab w:pos="1132" w:val="left" w:leader="none"/>
          <w:tab w:pos="1133" w:val="left" w:leader="none"/>
        </w:tabs>
        <w:spacing w:line="258" w:lineRule="exact" w:before="0" w:after="0"/>
        <w:ind w:left="1132" w:right="0" w:hanging="972"/>
        <w:jc w:val="left"/>
        <w:rPr>
          <w:sz w:val="24"/>
        </w:rPr>
      </w:pPr>
      <w:r>
        <w:rPr>
          <w:sz w:val="24"/>
        </w:rPr>
        <w:t>urolithiasis by silicate (55%), struvite (30%), and calcium oxalate (15%). Of the males, 15 of  </w:t>
      </w:r>
      <w:r>
        <w:rPr>
          <w:spacing w:val="28"/>
          <w:sz w:val="24"/>
        </w:rPr>
        <w:t> </w:t>
      </w:r>
      <w:r>
        <w:rPr>
          <w:sz w:val="24"/>
        </w:rPr>
        <w:t>the</w:t>
      </w:r>
    </w:p>
    <w:p>
      <w:pPr>
        <w:pStyle w:val="ListParagraph"/>
        <w:numPr>
          <w:ilvl w:val="0"/>
          <w:numId w:val="39"/>
        </w:numPr>
        <w:tabs>
          <w:tab w:pos="1132" w:val="left" w:leader="none"/>
          <w:tab w:pos="1133" w:val="left" w:leader="none"/>
        </w:tabs>
        <w:spacing w:line="260" w:lineRule="exact" w:before="0" w:after="0"/>
        <w:ind w:left="1132" w:right="0" w:hanging="972"/>
        <w:jc w:val="left"/>
        <w:rPr>
          <w:sz w:val="24"/>
        </w:rPr>
      </w:pPr>
      <w:r>
        <w:rPr>
          <w:sz w:val="24"/>
        </w:rPr>
        <w:t>16 (93.75%) animals had urethral obstruction that was caudal to the penile bone due to silica  </w:t>
      </w:r>
      <w:r>
        <w:rPr>
          <w:spacing w:val="4"/>
          <w:sz w:val="24"/>
        </w:rPr>
        <w:t> </w:t>
      </w:r>
      <w:r>
        <w:rPr>
          <w:sz w:val="24"/>
        </w:rPr>
        <w:t>or</w:t>
      </w:r>
    </w:p>
    <w:p>
      <w:pPr>
        <w:pStyle w:val="ListParagraph"/>
        <w:numPr>
          <w:ilvl w:val="0"/>
          <w:numId w:val="39"/>
        </w:numPr>
        <w:tabs>
          <w:tab w:pos="1132" w:val="left" w:leader="none"/>
          <w:tab w:pos="1133" w:val="left" w:leader="none"/>
        </w:tabs>
        <w:spacing w:line="255" w:lineRule="exact" w:before="0" w:after="0"/>
        <w:ind w:left="1132" w:right="0" w:hanging="972"/>
        <w:jc w:val="left"/>
        <w:rPr>
          <w:sz w:val="24"/>
        </w:rPr>
      </w:pPr>
      <w:r>
        <w:rPr>
          <w:sz w:val="24"/>
        </w:rPr>
        <w:t>calcium oxalate uroliths (Figure</w:t>
      </w:r>
      <w:r>
        <w:rPr>
          <w:spacing w:val="-19"/>
          <w:sz w:val="24"/>
        </w:rPr>
        <w:t> </w:t>
      </w:r>
      <w:r>
        <w:rPr>
          <w:sz w:val="24"/>
        </w:rPr>
        <w:t>1).</w:t>
      </w:r>
    </w:p>
    <w:p>
      <w:pPr>
        <w:spacing w:line="180" w:lineRule="exact" w:before="0"/>
        <w:ind w:left="160" w:right="0" w:firstLine="0"/>
        <w:jc w:val="left"/>
        <w:rPr>
          <w:sz w:val="20"/>
        </w:rPr>
      </w:pPr>
      <w:r>
        <w:rPr>
          <w:sz w:val="20"/>
        </w:rPr>
        <w:t>45</w:t>
      </w:r>
    </w:p>
    <w:p>
      <w:pPr>
        <w:pStyle w:val="ListParagraph"/>
        <w:numPr>
          <w:ilvl w:val="0"/>
          <w:numId w:val="40"/>
        </w:numPr>
        <w:tabs>
          <w:tab w:pos="1840" w:val="left" w:leader="none"/>
          <w:tab w:pos="1841" w:val="left" w:leader="none"/>
        </w:tabs>
        <w:spacing w:line="292" w:lineRule="exact" w:before="0" w:after="0"/>
        <w:ind w:left="1840" w:right="0" w:hanging="1680"/>
        <w:jc w:val="left"/>
        <w:rPr>
          <w:sz w:val="24"/>
        </w:rPr>
      </w:pPr>
      <w:r>
        <w:rPr>
          <w:sz w:val="24"/>
        </w:rPr>
        <w:t>Prostate diseases occurred in 14.43% (</w:t>
      </w:r>
      <w:r>
        <w:rPr>
          <w:i/>
          <w:sz w:val="24"/>
        </w:rPr>
        <w:t>n=</w:t>
      </w:r>
      <w:r>
        <w:rPr>
          <w:sz w:val="24"/>
        </w:rPr>
        <w:t>14),   </w:t>
      </w:r>
      <w:r>
        <w:rPr>
          <w:spacing w:val="29"/>
          <w:sz w:val="24"/>
        </w:rPr>
        <w:t> </w:t>
      </w:r>
      <w:r>
        <w:rPr>
          <w:sz w:val="24"/>
        </w:rPr>
        <w:t>and two pathologies were found: prostatic</w:t>
      </w:r>
    </w:p>
    <w:p>
      <w:pPr>
        <w:pStyle w:val="ListParagraph"/>
        <w:numPr>
          <w:ilvl w:val="0"/>
          <w:numId w:val="40"/>
        </w:numPr>
        <w:tabs>
          <w:tab w:pos="1132" w:val="left" w:leader="none"/>
          <w:tab w:pos="1133" w:val="left" w:leader="none"/>
        </w:tabs>
        <w:spacing w:line="342" w:lineRule="exact" w:before="0" w:after="0"/>
        <w:ind w:left="1132" w:right="0" w:hanging="972"/>
        <w:jc w:val="left"/>
        <w:rPr>
          <w:sz w:val="24"/>
        </w:rPr>
      </w:pPr>
      <w:r>
        <w:rPr/>
        <w:pict>
          <v:shape style="position:absolute;margin-left:8pt;margin-top:10.58674pt;width:11.15pt;height:10pt;mso-position-horizontal-relative:page;mso-position-vertical-relative:paragraph;z-index:-92824" type="#_x0000_t202" filled="false" stroked="false">
            <v:textbox inset="0,0,0,0">
              <w:txbxContent>
                <w:p>
                  <w:pPr>
                    <w:spacing w:line="196" w:lineRule="exact" w:before="0"/>
                    <w:ind w:left="0" w:right="-20" w:firstLine="0"/>
                    <w:jc w:val="left"/>
                    <w:rPr>
                      <w:sz w:val="20"/>
                    </w:rPr>
                  </w:pPr>
                  <w:r>
                    <w:rPr>
                      <w:sz w:val="20"/>
                    </w:rPr>
                    <w:t>48</w:t>
                  </w:r>
                </w:p>
              </w:txbxContent>
            </v:textbox>
            <w10:wrap type="none"/>
          </v:shape>
        </w:pict>
      </w:r>
      <w:r>
        <w:rPr>
          <w:sz w:val="24"/>
        </w:rPr>
        <w:t>hyperplasia</w:t>
      </w:r>
      <w:r>
        <w:rPr>
          <w:spacing w:val="14"/>
          <w:sz w:val="24"/>
        </w:rPr>
        <w:t> </w:t>
      </w:r>
      <w:r>
        <w:rPr>
          <w:sz w:val="24"/>
        </w:rPr>
        <w:t>and</w:t>
      </w:r>
      <w:r>
        <w:rPr>
          <w:spacing w:val="10"/>
          <w:sz w:val="24"/>
        </w:rPr>
        <w:t> </w:t>
      </w:r>
      <w:r>
        <w:rPr>
          <w:sz w:val="24"/>
        </w:rPr>
        <w:t>prostatic</w:t>
      </w:r>
      <w:r>
        <w:rPr>
          <w:spacing w:val="13"/>
          <w:sz w:val="24"/>
        </w:rPr>
        <w:t> </w:t>
      </w:r>
      <w:r>
        <w:rPr>
          <w:sz w:val="24"/>
        </w:rPr>
        <w:t>cysts.</w:t>
      </w:r>
      <w:r>
        <w:rPr>
          <w:spacing w:val="12"/>
          <w:sz w:val="24"/>
        </w:rPr>
        <w:t> </w:t>
      </w:r>
      <w:r>
        <w:rPr>
          <w:sz w:val="24"/>
        </w:rPr>
        <w:t>Prostatic</w:t>
      </w:r>
      <w:r>
        <w:rPr>
          <w:spacing w:val="13"/>
          <w:sz w:val="24"/>
        </w:rPr>
        <w:t> </w:t>
      </w:r>
      <w:r>
        <w:rPr>
          <w:sz w:val="24"/>
        </w:rPr>
        <w:t>hyperplasia</w:t>
      </w:r>
      <w:r>
        <w:rPr>
          <w:spacing w:val="14"/>
          <w:sz w:val="24"/>
        </w:rPr>
        <w:t> </w:t>
      </w:r>
      <w:r>
        <w:rPr>
          <w:sz w:val="24"/>
        </w:rPr>
        <w:t>occurred</w:t>
      </w:r>
      <w:r>
        <w:rPr>
          <w:spacing w:val="12"/>
          <w:sz w:val="24"/>
        </w:rPr>
        <w:t> </w:t>
      </w:r>
      <w:r>
        <w:rPr>
          <w:sz w:val="24"/>
        </w:rPr>
        <w:t>in</w:t>
      </w:r>
      <w:r>
        <w:rPr>
          <w:spacing w:val="14"/>
          <w:sz w:val="24"/>
        </w:rPr>
        <w:t> </w:t>
      </w:r>
      <w:r>
        <w:rPr>
          <w:sz w:val="24"/>
        </w:rPr>
        <w:t>all</w:t>
      </w:r>
      <w:r>
        <w:rPr>
          <w:spacing w:val="13"/>
          <w:sz w:val="24"/>
        </w:rPr>
        <w:t> </w:t>
      </w:r>
      <w:r>
        <w:rPr>
          <w:sz w:val="24"/>
        </w:rPr>
        <w:t>cases,</w:t>
      </w:r>
      <w:r>
        <w:rPr>
          <w:spacing w:val="14"/>
          <w:sz w:val="24"/>
        </w:rPr>
        <w:t> </w:t>
      </w:r>
      <w:r>
        <w:rPr>
          <w:sz w:val="24"/>
        </w:rPr>
        <w:t>with</w:t>
      </w:r>
      <w:r>
        <w:rPr>
          <w:spacing w:val="11"/>
          <w:sz w:val="24"/>
        </w:rPr>
        <w:t> </w:t>
      </w:r>
      <w:r>
        <w:rPr>
          <w:sz w:val="24"/>
        </w:rPr>
        <w:t>an</w:t>
      </w:r>
      <w:r>
        <w:rPr>
          <w:spacing w:val="11"/>
          <w:sz w:val="24"/>
        </w:rPr>
        <w:t> </w:t>
      </w:r>
      <w:r>
        <w:rPr>
          <w:sz w:val="24"/>
        </w:rPr>
        <w:t>age</w:t>
      </w:r>
      <w:r>
        <w:rPr>
          <w:spacing w:val="14"/>
          <w:sz w:val="24"/>
        </w:rPr>
        <w:t> </w:t>
      </w:r>
      <w:r>
        <w:rPr>
          <w:sz w:val="24"/>
        </w:rPr>
        <w:t>range</w:t>
      </w:r>
      <w:r>
        <w:rPr>
          <w:spacing w:val="12"/>
          <w:sz w:val="24"/>
        </w:rPr>
        <w:t> </w:t>
      </w:r>
      <w:r>
        <w:rPr>
          <w:sz w:val="24"/>
        </w:rPr>
        <w:t>of</w:t>
      </w:r>
    </w:p>
    <w:p>
      <w:pPr>
        <w:pStyle w:val="ListParagraph"/>
        <w:numPr>
          <w:ilvl w:val="0"/>
          <w:numId w:val="41"/>
        </w:numPr>
        <w:tabs>
          <w:tab w:pos="1132" w:val="left" w:leader="none"/>
          <w:tab w:pos="1133" w:val="left" w:leader="none"/>
        </w:tabs>
        <w:spacing w:line="290" w:lineRule="exact" w:before="0" w:after="0"/>
        <w:ind w:left="1132" w:right="0" w:hanging="972"/>
        <w:jc w:val="left"/>
        <w:rPr>
          <w:sz w:val="24"/>
        </w:rPr>
      </w:pPr>
      <w:r>
        <w:rPr>
          <w:sz w:val="24"/>
        </w:rPr>
        <w:t>4–16</w:t>
      </w:r>
      <w:r>
        <w:rPr>
          <w:spacing w:val="40"/>
          <w:sz w:val="24"/>
        </w:rPr>
        <w:t> </w:t>
      </w:r>
      <w:r>
        <w:rPr>
          <w:sz w:val="24"/>
        </w:rPr>
        <w:t>years</w:t>
      </w:r>
      <w:r>
        <w:rPr>
          <w:spacing w:val="39"/>
          <w:sz w:val="24"/>
        </w:rPr>
        <w:t> </w:t>
      </w:r>
      <w:r>
        <w:rPr>
          <w:sz w:val="24"/>
        </w:rPr>
        <w:t>(median</w:t>
      </w:r>
      <w:r>
        <w:rPr>
          <w:spacing w:val="39"/>
          <w:sz w:val="24"/>
        </w:rPr>
        <w:t> </w:t>
      </w:r>
      <w:r>
        <w:rPr>
          <w:sz w:val="24"/>
        </w:rPr>
        <w:t>age:</w:t>
      </w:r>
      <w:r>
        <w:rPr>
          <w:spacing w:val="38"/>
          <w:sz w:val="24"/>
        </w:rPr>
        <w:t> </w:t>
      </w:r>
      <w:r>
        <w:rPr>
          <w:sz w:val="24"/>
        </w:rPr>
        <w:t>9</w:t>
      </w:r>
      <w:r>
        <w:rPr>
          <w:spacing w:val="40"/>
          <w:sz w:val="24"/>
        </w:rPr>
        <w:t> </w:t>
      </w:r>
      <w:r>
        <w:rPr>
          <w:sz w:val="24"/>
        </w:rPr>
        <w:t>years),</w:t>
      </w:r>
      <w:r>
        <w:rPr>
          <w:spacing w:val="40"/>
          <w:sz w:val="24"/>
        </w:rPr>
        <w:t> </w:t>
      </w:r>
      <w:r>
        <w:rPr>
          <w:sz w:val="24"/>
        </w:rPr>
        <w:t>and</w:t>
      </w:r>
      <w:r>
        <w:rPr>
          <w:spacing w:val="40"/>
          <w:sz w:val="24"/>
        </w:rPr>
        <w:t> </w:t>
      </w:r>
      <w:r>
        <w:rPr>
          <w:sz w:val="24"/>
        </w:rPr>
        <w:t>64.28%</w:t>
      </w:r>
      <w:r>
        <w:rPr>
          <w:spacing w:val="39"/>
          <w:sz w:val="24"/>
        </w:rPr>
        <w:t> </w:t>
      </w:r>
      <w:r>
        <w:rPr>
          <w:sz w:val="24"/>
        </w:rPr>
        <w:t>(</w:t>
      </w:r>
      <w:r>
        <w:rPr>
          <w:i/>
          <w:sz w:val="24"/>
        </w:rPr>
        <w:t>n=</w:t>
      </w:r>
      <w:r>
        <w:rPr>
          <w:sz w:val="24"/>
        </w:rPr>
        <w:t>9)</w:t>
      </w:r>
      <w:r>
        <w:rPr>
          <w:spacing w:val="38"/>
          <w:sz w:val="24"/>
        </w:rPr>
        <w:t> </w:t>
      </w:r>
      <w:r>
        <w:rPr>
          <w:sz w:val="24"/>
        </w:rPr>
        <w:t>were</w:t>
      </w:r>
      <w:r>
        <w:rPr>
          <w:spacing w:val="39"/>
          <w:sz w:val="24"/>
        </w:rPr>
        <w:t> </w:t>
      </w:r>
      <w:r>
        <w:rPr>
          <w:sz w:val="24"/>
        </w:rPr>
        <w:t>purebred</w:t>
      </w:r>
      <w:r>
        <w:rPr>
          <w:spacing w:val="37"/>
          <w:sz w:val="24"/>
        </w:rPr>
        <w:t> </w:t>
      </w:r>
      <w:r>
        <w:rPr>
          <w:sz w:val="24"/>
        </w:rPr>
        <w:t>dogs</w:t>
      </w:r>
      <w:r>
        <w:rPr>
          <w:spacing w:val="39"/>
          <w:sz w:val="24"/>
        </w:rPr>
        <w:t> </w:t>
      </w:r>
      <w:r>
        <w:rPr>
          <w:sz w:val="24"/>
        </w:rPr>
        <w:t>and</w:t>
      </w:r>
      <w:r>
        <w:rPr>
          <w:spacing w:val="40"/>
          <w:sz w:val="24"/>
        </w:rPr>
        <w:t> </w:t>
      </w:r>
      <w:r>
        <w:rPr>
          <w:sz w:val="24"/>
        </w:rPr>
        <w:t>35.71%</w:t>
      </w:r>
      <w:r>
        <w:rPr>
          <w:spacing w:val="39"/>
          <w:sz w:val="24"/>
        </w:rPr>
        <w:t> </w:t>
      </w:r>
      <w:r>
        <w:rPr>
          <w:sz w:val="24"/>
        </w:rPr>
        <w:t>(</w:t>
      </w:r>
      <w:r>
        <w:rPr>
          <w:i/>
          <w:sz w:val="24"/>
        </w:rPr>
        <w:t>n=</w:t>
      </w:r>
      <w:r>
        <w:rPr>
          <w:sz w:val="24"/>
        </w:rPr>
        <w:t>5)</w:t>
      </w:r>
    </w:p>
    <w:p>
      <w:pPr>
        <w:pStyle w:val="ListParagraph"/>
        <w:numPr>
          <w:ilvl w:val="0"/>
          <w:numId w:val="41"/>
        </w:numPr>
        <w:tabs>
          <w:tab w:pos="1132" w:val="left" w:leader="none"/>
          <w:tab w:pos="1133" w:val="left" w:leader="none"/>
        </w:tabs>
        <w:spacing w:line="256" w:lineRule="exact" w:before="0" w:after="0"/>
        <w:ind w:left="1132" w:right="0" w:hanging="972"/>
        <w:jc w:val="left"/>
        <w:rPr>
          <w:sz w:val="24"/>
        </w:rPr>
      </w:pPr>
      <w:r>
        <w:rPr>
          <w:sz w:val="24"/>
        </w:rPr>
        <w:t>crossbred</w:t>
      </w:r>
      <w:r>
        <w:rPr>
          <w:spacing w:val="28"/>
          <w:sz w:val="24"/>
        </w:rPr>
        <w:t> </w:t>
      </w:r>
      <w:r>
        <w:rPr>
          <w:sz w:val="24"/>
        </w:rPr>
        <w:t>dogs.</w:t>
      </w:r>
      <w:r>
        <w:rPr>
          <w:spacing w:val="30"/>
          <w:sz w:val="24"/>
        </w:rPr>
        <w:t> </w:t>
      </w:r>
      <w:r>
        <w:rPr>
          <w:sz w:val="24"/>
        </w:rPr>
        <w:t>There</w:t>
      </w:r>
      <w:r>
        <w:rPr>
          <w:spacing w:val="30"/>
          <w:sz w:val="24"/>
        </w:rPr>
        <w:t> </w:t>
      </w:r>
      <w:r>
        <w:rPr>
          <w:sz w:val="24"/>
        </w:rPr>
        <w:t>was</w:t>
      </w:r>
      <w:r>
        <w:rPr>
          <w:spacing w:val="30"/>
          <w:sz w:val="24"/>
        </w:rPr>
        <w:t> </w:t>
      </w:r>
      <w:r>
        <w:rPr>
          <w:sz w:val="24"/>
        </w:rPr>
        <w:t>no</w:t>
      </w:r>
      <w:r>
        <w:rPr>
          <w:spacing w:val="29"/>
          <w:sz w:val="24"/>
        </w:rPr>
        <w:t> </w:t>
      </w:r>
      <w:r>
        <w:rPr>
          <w:sz w:val="24"/>
        </w:rPr>
        <w:t>predisposition</w:t>
      </w:r>
      <w:r>
        <w:rPr>
          <w:spacing w:val="28"/>
          <w:sz w:val="24"/>
        </w:rPr>
        <w:t> </w:t>
      </w:r>
      <w:r>
        <w:rPr>
          <w:sz w:val="24"/>
        </w:rPr>
        <w:t>regarding</w:t>
      </w:r>
      <w:r>
        <w:rPr>
          <w:spacing w:val="29"/>
          <w:sz w:val="24"/>
        </w:rPr>
        <w:t> </w:t>
      </w:r>
      <w:r>
        <w:rPr>
          <w:sz w:val="24"/>
        </w:rPr>
        <w:t>breed</w:t>
      </w:r>
      <w:r>
        <w:rPr>
          <w:spacing w:val="28"/>
          <w:sz w:val="24"/>
        </w:rPr>
        <w:t> </w:t>
      </w:r>
      <w:r>
        <w:rPr>
          <w:sz w:val="24"/>
        </w:rPr>
        <w:t>(OR</w:t>
      </w:r>
      <w:r>
        <w:rPr>
          <w:spacing w:val="29"/>
          <w:sz w:val="24"/>
        </w:rPr>
        <w:t> </w:t>
      </w:r>
      <w:r>
        <w:rPr>
          <w:sz w:val="24"/>
        </w:rPr>
        <w:t>0.30,</w:t>
      </w:r>
      <w:r>
        <w:rPr>
          <w:spacing w:val="30"/>
          <w:sz w:val="24"/>
        </w:rPr>
        <w:t> </w:t>
      </w:r>
      <w:r>
        <w:rPr>
          <w:sz w:val="24"/>
        </w:rPr>
        <w:t>CI</w:t>
      </w:r>
      <w:r>
        <w:rPr>
          <w:spacing w:val="28"/>
          <w:sz w:val="24"/>
        </w:rPr>
        <w:t> </w:t>
      </w:r>
      <w:r>
        <w:rPr>
          <w:sz w:val="24"/>
        </w:rPr>
        <w:t>0.08–1.06,</w:t>
      </w:r>
      <w:r>
        <w:rPr>
          <w:spacing w:val="30"/>
          <w:sz w:val="24"/>
        </w:rPr>
        <w:t> </w:t>
      </w:r>
      <w:r>
        <w:rPr>
          <w:sz w:val="24"/>
        </w:rPr>
        <w:t>p&gt;0.05).</w:t>
      </w:r>
    </w:p>
    <w:p>
      <w:pPr>
        <w:pStyle w:val="ListParagraph"/>
        <w:numPr>
          <w:ilvl w:val="0"/>
          <w:numId w:val="41"/>
        </w:numPr>
        <w:tabs>
          <w:tab w:pos="1132" w:val="left" w:leader="none"/>
          <w:tab w:pos="1133" w:val="left" w:leader="none"/>
        </w:tabs>
        <w:spacing w:line="257" w:lineRule="exact" w:before="0" w:after="0"/>
        <w:ind w:left="1132" w:right="0" w:hanging="972"/>
        <w:jc w:val="left"/>
        <w:rPr>
          <w:sz w:val="24"/>
        </w:rPr>
      </w:pPr>
      <w:r>
        <w:rPr>
          <w:sz w:val="24"/>
        </w:rPr>
        <w:t>Prostatic cysts occurred in only 2 (14.28%) cases, simultaneously with hyperplasia in an</w:t>
      </w:r>
      <w:r>
        <w:rPr>
          <w:spacing w:val="-32"/>
          <w:sz w:val="24"/>
        </w:rPr>
        <w:t> </w:t>
      </w:r>
      <w:r>
        <w:rPr>
          <w:sz w:val="24"/>
        </w:rPr>
        <w:t>11-year-</w:t>
      </w:r>
    </w:p>
    <w:p>
      <w:pPr>
        <w:pStyle w:val="ListParagraph"/>
        <w:numPr>
          <w:ilvl w:val="0"/>
          <w:numId w:val="41"/>
        </w:numPr>
        <w:tabs>
          <w:tab w:pos="1132" w:val="left" w:leader="none"/>
          <w:tab w:pos="1133" w:val="left" w:leader="none"/>
        </w:tabs>
        <w:spacing w:line="261" w:lineRule="exact" w:before="0" w:after="0"/>
        <w:ind w:left="1132" w:right="0" w:hanging="972"/>
        <w:jc w:val="left"/>
        <w:rPr>
          <w:sz w:val="24"/>
        </w:rPr>
      </w:pPr>
      <w:r>
        <w:rPr>
          <w:sz w:val="24"/>
        </w:rPr>
        <w:t>old</w:t>
      </w:r>
      <w:r>
        <w:rPr>
          <w:spacing w:val="-4"/>
          <w:sz w:val="24"/>
        </w:rPr>
        <w:t> </w:t>
      </w:r>
      <w:r>
        <w:rPr>
          <w:sz w:val="24"/>
        </w:rPr>
        <w:t>Rottweiler</w:t>
      </w:r>
      <w:r>
        <w:rPr>
          <w:spacing w:val="-4"/>
          <w:sz w:val="24"/>
        </w:rPr>
        <w:t> </w:t>
      </w:r>
      <w:r>
        <w:rPr>
          <w:sz w:val="24"/>
        </w:rPr>
        <w:t>and</w:t>
      </w:r>
      <w:r>
        <w:rPr>
          <w:spacing w:val="-4"/>
          <w:sz w:val="24"/>
        </w:rPr>
        <w:t> </w:t>
      </w:r>
      <w:r>
        <w:rPr>
          <w:sz w:val="24"/>
        </w:rPr>
        <w:t>a</w:t>
      </w:r>
      <w:r>
        <w:rPr>
          <w:spacing w:val="-3"/>
          <w:sz w:val="24"/>
        </w:rPr>
        <w:t> </w:t>
      </w:r>
      <w:r>
        <w:rPr>
          <w:sz w:val="24"/>
        </w:rPr>
        <w:t>12-year-old</w:t>
      </w:r>
      <w:r>
        <w:rPr>
          <w:spacing w:val="-2"/>
          <w:sz w:val="24"/>
        </w:rPr>
        <w:t> </w:t>
      </w:r>
      <w:r>
        <w:rPr>
          <w:sz w:val="24"/>
        </w:rPr>
        <w:t>crossbred</w:t>
      </w:r>
      <w:r>
        <w:rPr>
          <w:spacing w:val="-2"/>
          <w:sz w:val="24"/>
        </w:rPr>
        <w:t> </w:t>
      </w:r>
      <w:r>
        <w:rPr>
          <w:sz w:val="24"/>
        </w:rPr>
        <w:t>dog.</w:t>
      </w:r>
      <w:r>
        <w:rPr>
          <w:spacing w:val="-2"/>
          <w:sz w:val="24"/>
        </w:rPr>
        <w:t> </w:t>
      </w:r>
      <w:r>
        <w:rPr>
          <w:sz w:val="24"/>
        </w:rPr>
        <w:t>None</w:t>
      </w:r>
      <w:r>
        <w:rPr>
          <w:spacing w:val="-3"/>
          <w:sz w:val="24"/>
        </w:rPr>
        <w:t> </w:t>
      </w:r>
      <w:r>
        <w:rPr>
          <w:sz w:val="24"/>
        </w:rPr>
        <w:t>of</w:t>
      </w:r>
      <w:r>
        <w:rPr>
          <w:spacing w:val="-4"/>
          <w:sz w:val="24"/>
        </w:rPr>
        <w:t> </w:t>
      </w:r>
      <w:r>
        <w:rPr>
          <w:sz w:val="24"/>
        </w:rPr>
        <w:t>the</w:t>
      </w:r>
      <w:r>
        <w:rPr>
          <w:spacing w:val="-3"/>
          <w:sz w:val="24"/>
        </w:rPr>
        <w:t> </w:t>
      </w:r>
      <w:r>
        <w:rPr>
          <w:sz w:val="24"/>
        </w:rPr>
        <w:t>clinical</w:t>
      </w:r>
      <w:r>
        <w:rPr>
          <w:spacing w:val="-4"/>
          <w:sz w:val="24"/>
        </w:rPr>
        <w:t> </w:t>
      </w:r>
      <w:r>
        <w:rPr>
          <w:sz w:val="24"/>
        </w:rPr>
        <w:t>cases</w:t>
      </w:r>
      <w:r>
        <w:rPr>
          <w:spacing w:val="-3"/>
          <w:sz w:val="24"/>
        </w:rPr>
        <w:t> </w:t>
      </w:r>
      <w:r>
        <w:rPr>
          <w:sz w:val="24"/>
        </w:rPr>
        <w:t>were</w:t>
      </w:r>
      <w:r>
        <w:rPr>
          <w:spacing w:val="-3"/>
          <w:sz w:val="24"/>
        </w:rPr>
        <w:t> </w:t>
      </w:r>
      <w:r>
        <w:rPr>
          <w:sz w:val="24"/>
        </w:rPr>
        <w:t>castrated.</w:t>
      </w:r>
    </w:p>
    <w:p>
      <w:pPr>
        <w:spacing w:line="115" w:lineRule="exact" w:before="0"/>
        <w:ind w:left="160" w:right="0" w:firstLine="0"/>
        <w:jc w:val="left"/>
        <w:rPr>
          <w:sz w:val="20"/>
        </w:rPr>
      </w:pPr>
      <w:r>
        <w:rPr>
          <w:sz w:val="20"/>
        </w:rPr>
        <w:t>53</w:t>
      </w:r>
    </w:p>
    <w:p>
      <w:pPr>
        <w:pStyle w:val="ListParagraph"/>
        <w:numPr>
          <w:ilvl w:val="0"/>
          <w:numId w:val="42"/>
        </w:numPr>
        <w:tabs>
          <w:tab w:pos="1840" w:val="left" w:leader="none"/>
          <w:tab w:pos="1841" w:val="left" w:leader="none"/>
        </w:tabs>
        <w:spacing w:line="257" w:lineRule="exact" w:before="0" w:after="0"/>
        <w:ind w:left="1840" w:right="0" w:hanging="1680"/>
        <w:jc w:val="left"/>
        <w:rPr>
          <w:sz w:val="24"/>
        </w:rPr>
      </w:pPr>
      <w:r>
        <w:rPr>
          <w:sz w:val="24"/>
        </w:rPr>
        <w:t>Problems caused by trauma occurred in 8.24% (</w:t>
      </w:r>
      <w:r>
        <w:rPr>
          <w:i/>
          <w:sz w:val="24"/>
        </w:rPr>
        <w:t>n=</w:t>
      </w:r>
      <w:r>
        <w:rPr>
          <w:sz w:val="24"/>
        </w:rPr>
        <w:t>8), all of which were male.  </w:t>
      </w:r>
      <w:r>
        <w:rPr>
          <w:spacing w:val="16"/>
          <w:sz w:val="24"/>
        </w:rPr>
        <w:t> </w:t>
      </w:r>
      <w:r>
        <w:rPr>
          <w:sz w:val="24"/>
        </w:rPr>
        <w:t>Pathologies</w:t>
      </w:r>
    </w:p>
    <w:p>
      <w:pPr>
        <w:pStyle w:val="ListParagraph"/>
        <w:numPr>
          <w:ilvl w:val="0"/>
          <w:numId w:val="42"/>
        </w:numPr>
        <w:tabs>
          <w:tab w:pos="1132" w:val="left" w:leader="none"/>
          <w:tab w:pos="1133" w:val="left" w:leader="none"/>
        </w:tabs>
        <w:spacing w:line="256" w:lineRule="exact" w:before="0" w:after="0"/>
        <w:ind w:left="1132" w:right="0" w:hanging="972"/>
        <w:jc w:val="left"/>
        <w:rPr>
          <w:sz w:val="24"/>
        </w:rPr>
      </w:pPr>
      <w:r>
        <w:rPr>
          <w:sz w:val="24"/>
        </w:rPr>
        <w:t>were ruptured urethra, bladder rupture, and hemorrhagic cystitis. Urethral rupture occurred   </w:t>
      </w:r>
      <w:r>
        <w:rPr>
          <w:spacing w:val="12"/>
          <w:sz w:val="24"/>
        </w:rPr>
        <w:t> </w:t>
      </w:r>
      <w:r>
        <w:rPr>
          <w:sz w:val="24"/>
        </w:rPr>
        <w:t>in</w:t>
      </w:r>
    </w:p>
    <w:p>
      <w:pPr>
        <w:pStyle w:val="ListParagraph"/>
        <w:numPr>
          <w:ilvl w:val="0"/>
          <w:numId w:val="42"/>
        </w:numPr>
        <w:tabs>
          <w:tab w:pos="1132" w:val="left" w:leader="none"/>
          <w:tab w:pos="1133" w:val="left" w:leader="none"/>
        </w:tabs>
        <w:spacing w:line="261" w:lineRule="exact" w:before="0" w:after="0"/>
        <w:ind w:left="1132" w:right="0" w:hanging="972"/>
        <w:jc w:val="left"/>
        <w:rPr>
          <w:sz w:val="24"/>
        </w:rPr>
      </w:pPr>
      <w:r>
        <w:rPr>
          <w:sz w:val="24"/>
        </w:rPr>
        <w:t>three  dogs  of  (3-month-old  Mastiff,  5-year-old  Rottweiler,  and  a  16-year-old  Poodle      </w:t>
      </w:r>
      <w:r>
        <w:rPr>
          <w:spacing w:val="47"/>
          <w:sz w:val="24"/>
        </w:rPr>
        <w:t> </w:t>
      </w:r>
      <w:r>
        <w:rPr>
          <w:sz w:val="24"/>
        </w:rPr>
        <w:t>with</w:t>
      </w:r>
    </w:p>
    <w:p>
      <w:pPr>
        <w:pStyle w:val="ListParagraph"/>
        <w:numPr>
          <w:ilvl w:val="0"/>
          <w:numId w:val="42"/>
        </w:numPr>
        <w:tabs>
          <w:tab w:pos="1132" w:val="left" w:leader="none"/>
          <w:tab w:pos="1133" w:val="left" w:leader="none"/>
        </w:tabs>
        <w:spacing w:line="257" w:lineRule="exact" w:before="0" w:after="0"/>
        <w:ind w:left="1132" w:right="0" w:hanging="972"/>
        <w:jc w:val="left"/>
        <w:rPr>
          <w:sz w:val="24"/>
        </w:rPr>
      </w:pPr>
      <w:r>
        <w:rPr>
          <w:sz w:val="24"/>
        </w:rPr>
        <w:t>simultaneous</w:t>
      </w:r>
      <w:r>
        <w:rPr>
          <w:spacing w:val="25"/>
          <w:sz w:val="24"/>
        </w:rPr>
        <w:t> </w:t>
      </w:r>
      <w:r>
        <w:rPr>
          <w:sz w:val="24"/>
        </w:rPr>
        <w:t>bladder</w:t>
      </w:r>
      <w:r>
        <w:rPr>
          <w:spacing w:val="24"/>
          <w:sz w:val="24"/>
        </w:rPr>
        <w:t> </w:t>
      </w:r>
      <w:r>
        <w:rPr>
          <w:sz w:val="24"/>
        </w:rPr>
        <w:t>rupture).</w:t>
      </w:r>
      <w:r>
        <w:rPr>
          <w:spacing w:val="25"/>
          <w:sz w:val="24"/>
        </w:rPr>
        <w:t> </w:t>
      </w:r>
      <w:r>
        <w:rPr>
          <w:sz w:val="24"/>
        </w:rPr>
        <w:t>Traumatic</w:t>
      </w:r>
      <w:r>
        <w:rPr>
          <w:spacing w:val="24"/>
          <w:sz w:val="24"/>
        </w:rPr>
        <w:t> </w:t>
      </w:r>
      <w:r>
        <w:rPr>
          <w:sz w:val="24"/>
        </w:rPr>
        <w:t>cystitis</w:t>
      </w:r>
      <w:r>
        <w:rPr>
          <w:spacing w:val="25"/>
          <w:sz w:val="24"/>
        </w:rPr>
        <w:t> </w:t>
      </w:r>
      <w:r>
        <w:rPr>
          <w:sz w:val="24"/>
        </w:rPr>
        <w:t>was</w:t>
      </w:r>
      <w:r>
        <w:rPr>
          <w:spacing w:val="22"/>
          <w:sz w:val="24"/>
        </w:rPr>
        <w:t> </w:t>
      </w:r>
      <w:r>
        <w:rPr>
          <w:sz w:val="24"/>
        </w:rPr>
        <w:t>present</w:t>
      </w:r>
      <w:r>
        <w:rPr>
          <w:spacing w:val="23"/>
          <w:sz w:val="24"/>
        </w:rPr>
        <w:t> </w:t>
      </w:r>
      <w:r>
        <w:rPr>
          <w:sz w:val="24"/>
        </w:rPr>
        <w:t>in</w:t>
      </w:r>
      <w:r>
        <w:rPr>
          <w:spacing w:val="25"/>
          <w:sz w:val="24"/>
        </w:rPr>
        <w:t> </w:t>
      </w:r>
      <w:r>
        <w:rPr>
          <w:sz w:val="24"/>
        </w:rPr>
        <w:t>five</w:t>
      </w:r>
      <w:r>
        <w:rPr>
          <w:spacing w:val="25"/>
          <w:sz w:val="24"/>
        </w:rPr>
        <w:t> </w:t>
      </w:r>
      <w:r>
        <w:rPr>
          <w:sz w:val="24"/>
        </w:rPr>
        <w:t>cases,</w:t>
      </w:r>
      <w:r>
        <w:rPr>
          <w:spacing w:val="23"/>
          <w:sz w:val="24"/>
        </w:rPr>
        <w:t> </w:t>
      </w:r>
      <w:r>
        <w:rPr>
          <w:sz w:val="24"/>
        </w:rPr>
        <w:t>with</w:t>
      </w:r>
      <w:r>
        <w:rPr>
          <w:spacing w:val="24"/>
          <w:sz w:val="24"/>
        </w:rPr>
        <w:t> </w:t>
      </w:r>
      <w:r>
        <w:rPr>
          <w:sz w:val="24"/>
        </w:rPr>
        <w:t>an</w:t>
      </w:r>
      <w:r>
        <w:rPr>
          <w:spacing w:val="23"/>
          <w:sz w:val="24"/>
        </w:rPr>
        <w:t> </w:t>
      </w:r>
      <w:r>
        <w:rPr>
          <w:sz w:val="24"/>
        </w:rPr>
        <w:t>age</w:t>
      </w:r>
      <w:r>
        <w:rPr>
          <w:spacing w:val="25"/>
          <w:sz w:val="24"/>
        </w:rPr>
        <w:t> </w:t>
      </w:r>
      <w:r>
        <w:rPr>
          <w:sz w:val="24"/>
        </w:rPr>
        <w:t>range</w:t>
      </w:r>
    </w:p>
    <w:p>
      <w:pPr>
        <w:pStyle w:val="ListParagraph"/>
        <w:numPr>
          <w:ilvl w:val="0"/>
          <w:numId w:val="42"/>
        </w:numPr>
        <w:tabs>
          <w:tab w:pos="1132" w:val="left" w:leader="none"/>
          <w:tab w:pos="1133" w:val="left" w:leader="none"/>
        </w:tabs>
        <w:spacing w:line="322" w:lineRule="exact" w:before="0" w:after="0"/>
        <w:ind w:left="1132" w:right="0" w:hanging="972"/>
        <w:jc w:val="left"/>
        <w:rPr>
          <w:sz w:val="24"/>
        </w:rPr>
      </w:pPr>
      <w:r>
        <w:rPr>
          <w:sz w:val="24"/>
        </w:rPr>
        <w:t>from 3 months to 10 years (median age: 5</w:t>
      </w:r>
      <w:r>
        <w:rPr>
          <w:spacing w:val="-21"/>
          <w:sz w:val="24"/>
        </w:rPr>
        <w:t> </w:t>
      </w:r>
      <w:r>
        <w:rPr>
          <w:sz w:val="24"/>
        </w:rPr>
        <w:t>years).</w:t>
      </w:r>
    </w:p>
    <w:p>
      <w:pPr>
        <w:spacing w:after="0" w:line="322" w:lineRule="exact"/>
        <w:jc w:val="left"/>
        <w:rPr>
          <w:sz w:val="24"/>
        </w:rPr>
        <w:sectPr>
          <w:headerReference w:type="default" r:id="rId59"/>
          <w:footerReference w:type="default" r:id="rId60"/>
          <w:pgSz w:w="12240" w:h="15840"/>
          <w:pgMar w:header="0" w:footer="993" w:top="140" w:bottom="1180" w:left="0" w:right="40"/>
        </w:sectPr>
      </w:pPr>
    </w:p>
    <w:p>
      <w:pPr>
        <w:tabs>
          <w:tab w:pos="4652" w:val="left" w:leader="none"/>
        </w:tabs>
        <w:spacing w:before="56"/>
        <w:ind w:left="160" w:right="0" w:firstLine="0"/>
        <w:jc w:val="left"/>
        <w:rPr>
          <w:b/>
          <w:sz w:val="20"/>
        </w:rPr>
      </w:pPr>
      <w:r>
        <w:rPr>
          <w:b/>
          <w:sz w:val="20"/>
        </w:rPr>
        <w:t>Page 5</w:t>
      </w:r>
      <w:r>
        <w:rPr>
          <w:b/>
          <w:spacing w:val="-1"/>
          <w:sz w:val="20"/>
        </w:rPr>
        <w:t> </w:t>
      </w:r>
      <w:r>
        <w:rPr>
          <w:b/>
          <w:sz w:val="20"/>
        </w:rPr>
        <w:t>of</w:t>
      </w:r>
      <w:r>
        <w:rPr>
          <w:b/>
          <w:spacing w:val="-1"/>
          <w:sz w:val="20"/>
        </w:rPr>
        <w:t> </w:t>
      </w:r>
      <w:r>
        <w:rPr>
          <w:b/>
          <w:sz w:val="20"/>
        </w:rPr>
        <w:t>13</w:t>
        <w:tab/>
        <w:t>Pesquisa Veterinária</w:t>
      </w:r>
      <w:r>
        <w:rPr>
          <w:b/>
          <w:spacing w:val="-11"/>
          <w:sz w:val="20"/>
        </w:rPr>
        <w:t> </w:t>
      </w:r>
      <w:r>
        <w:rPr>
          <w:b/>
          <w:sz w:val="20"/>
        </w:rPr>
        <w:t>Brasileira</w:t>
      </w:r>
    </w:p>
    <w:p>
      <w:pPr>
        <w:pStyle w:val="BodyText"/>
        <w:spacing w:before="4"/>
        <w:rPr>
          <w:b/>
          <w:sz w:val="19"/>
        </w:rPr>
      </w:pPr>
    </w:p>
    <w:p>
      <w:pPr>
        <w:spacing w:line="230" w:lineRule="exact" w:before="56"/>
        <w:ind w:left="0" w:right="111" w:firstLine="0"/>
        <w:jc w:val="right"/>
        <w:rPr>
          <w:rFonts w:ascii="Calibri"/>
          <w:sz w:val="22"/>
        </w:rPr>
      </w:pPr>
      <w:r>
        <w:rPr>
          <w:rFonts w:ascii="Calibri"/>
          <w:w w:val="100"/>
          <w:sz w:val="22"/>
        </w:rPr>
        <w:t>5</w:t>
      </w:r>
    </w:p>
    <w:p>
      <w:pPr>
        <w:spacing w:line="191" w:lineRule="exact" w:before="0"/>
        <w:ind w:left="160" w:right="0" w:firstLine="0"/>
        <w:jc w:val="left"/>
        <w:rPr>
          <w:sz w:val="20"/>
        </w:rPr>
      </w:pPr>
      <w:r>
        <w:rPr>
          <w:sz w:val="20"/>
        </w:rPr>
        <w:t>1</w:t>
      </w:r>
    </w:p>
    <w:p>
      <w:pPr>
        <w:spacing w:before="3"/>
        <w:ind w:left="160" w:right="0" w:firstLine="0"/>
        <w:jc w:val="left"/>
        <w:rPr>
          <w:sz w:val="20"/>
        </w:rPr>
      </w:pPr>
      <w:r>
        <w:rPr>
          <w:sz w:val="20"/>
        </w:rPr>
        <w:t>2</w:t>
      </w:r>
    </w:p>
    <w:p>
      <w:pPr>
        <w:spacing w:before="3"/>
        <w:ind w:left="160" w:right="0" w:firstLine="0"/>
        <w:jc w:val="left"/>
        <w:rPr>
          <w:sz w:val="20"/>
        </w:rPr>
      </w:pPr>
      <w:r>
        <w:rPr>
          <w:sz w:val="20"/>
        </w:rPr>
        <w:t>3</w:t>
      </w:r>
    </w:p>
    <w:p>
      <w:pPr>
        <w:pStyle w:val="Heading3"/>
        <w:tabs>
          <w:tab w:pos="5450" w:val="left" w:leader="none"/>
        </w:tabs>
        <w:spacing w:line="267" w:lineRule="exact" w:before="3"/>
        <w:ind w:left="160" w:right="0"/>
        <w:rPr>
          <w:rFonts w:ascii="Cambria"/>
        </w:rPr>
      </w:pPr>
      <w:r>
        <w:rPr>
          <w:b w:val="0"/>
          <w:position w:val="6"/>
          <w:sz w:val="20"/>
        </w:rPr>
        <w:t>4</w:t>
        <w:tab/>
      </w:r>
      <w:r>
        <w:rPr>
          <w:rFonts w:ascii="Cambria"/>
        </w:rPr>
        <w:t>DISCUSSION</w:t>
      </w:r>
    </w:p>
    <w:p>
      <w:pPr>
        <w:spacing w:line="196" w:lineRule="exact" w:before="0"/>
        <w:ind w:left="160" w:right="0" w:firstLine="0"/>
        <w:jc w:val="left"/>
        <w:rPr>
          <w:sz w:val="20"/>
        </w:rPr>
      </w:pPr>
      <w:r>
        <w:rPr>
          <w:sz w:val="20"/>
        </w:rPr>
        <w:t>5</w:t>
      </w:r>
    </w:p>
    <w:p>
      <w:pPr>
        <w:pStyle w:val="ListParagraph"/>
        <w:numPr>
          <w:ilvl w:val="0"/>
          <w:numId w:val="43"/>
        </w:numPr>
        <w:tabs>
          <w:tab w:pos="1132" w:val="left" w:leader="none"/>
          <w:tab w:pos="1133" w:val="left" w:leader="none"/>
        </w:tabs>
        <w:spacing w:line="279" w:lineRule="exact" w:before="0" w:after="0"/>
        <w:ind w:left="1132" w:right="0" w:hanging="972"/>
        <w:jc w:val="left"/>
        <w:rPr>
          <w:sz w:val="24"/>
        </w:rPr>
      </w:pPr>
      <w:r>
        <w:rPr>
          <w:sz w:val="24"/>
        </w:rPr>
        <w:t>In our study, we observed a predisposition of males to present some LUTD, with dogs </w:t>
      </w:r>
      <w:r>
        <w:rPr>
          <w:spacing w:val="28"/>
          <w:sz w:val="24"/>
        </w:rPr>
        <w:t> </w:t>
      </w:r>
      <w:r>
        <w:rPr>
          <w:sz w:val="24"/>
        </w:rPr>
        <w:t>commonly</w:t>
      </w:r>
    </w:p>
    <w:p>
      <w:pPr>
        <w:pStyle w:val="ListParagraph"/>
        <w:numPr>
          <w:ilvl w:val="0"/>
          <w:numId w:val="43"/>
        </w:numPr>
        <w:tabs>
          <w:tab w:pos="1132" w:val="left" w:leader="none"/>
          <w:tab w:pos="1133" w:val="left" w:leader="none"/>
        </w:tabs>
        <w:spacing w:line="256" w:lineRule="exact" w:before="0" w:after="0"/>
        <w:ind w:left="1132" w:right="0" w:hanging="972"/>
        <w:jc w:val="left"/>
        <w:rPr>
          <w:sz w:val="24"/>
        </w:rPr>
      </w:pPr>
      <w:r>
        <w:rPr>
          <w:sz w:val="24"/>
        </w:rPr>
        <w:t>around 8 years old,  and without breed predisposition.  In both genders,  hematuria and   </w:t>
      </w:r>
      <w:r>
        <w:rPr>
          <w:spacing w:val="17"/>
          <w:sz w:val="24"/>
        </w:rPr>
        <w:t> </w:t>
      </w:r>
      <w:r>
        <w:rPr>
          <w:sz w:val="24"/>
        </w:rPr>
        <w:t>urinary</w:t>
      </w:r>
    </w:p>
    <w:p>
      <w:pPr>
        <w:spacing w:line="115" w:lineRule="exact" w:before="0"/>
        <w:ind w:left="160" w:right="0" w:firstLine="0"/>
        <w:jc w:val="left"/>
        <w:rPr>
          <w:sz w:val="20"/>
        </w:rPr>
      </w:pPr>
      <w:r>
        <w:rPr>
          <w:sz w:val="20"/>
        </w:rPr>
        <w:t>8</w:t>
      </w:r>
    </w:p>
    <w:p>
      <w:pPr>
        <w:pStyle w:val="BodyText"/>
        <w:tabs>
          <w:tab w:pos="1132" w:val="left" w:leader="none"/>
        </w:tabs>
        <w:spacing w:line="280" w:lineRule="exact"/>
        <w:ind w:left="160"/>
        <w:rPr>
          <w:rFonts w:ascii="Cambria"/>
        </w:rPr>
      </w:pPr>
      <w:r>
        <w:rPr>
          <w:position w:val="-5"/>
          <w:sz w:val="20"/>
        </w:rPr>
        <w:t>9</w:t>
        <w:tab/>
      </w:r>
      <w:r>
        <w:rPr>
          <w:rFonts w:ascii="Cambria"/>
        </w:rPr>
        <w:t>retention were the most frequent clinical signs of this</w:t>
      </w:r>
      <w:r>
        <w:rPr>
          <w:rFonts w:ascii="Cambria"/>
          <w:spacing w:val="-31"/>
        </w:rPr>
        <w:t> </w:t>
      </w:r>
      <w:r>
        <w:rPr>
          <w:rFonts w:ascii="Cambria"/>
        </w:rPr>
        <w:t>pathology.</w:t>
      </w:r>
    </w:p>
    <w:p>
      <w:pPr>
        <w:spacing w:line="188" w:lineRule="exact" w:before="6"/>
        <w:ind w:left="160" w:right="0" w:firstLine="0"/>
        <w:jc w:val="left"/>
        <w:rPr>
          <w:sz w:val="20"/>
        </w:rPr>
      </w:pPr>
      <w:r>
        <w:rPr>
          <w:sz w:val="20"/>
        </w:rPr>
        <w:t>10</w:t>
      </w:r>
    </w:p>
    <w:p>
      <w:pPr>
        <w:pStyle w:val="ListParagraph"/>
        <w:numPr>
          <w:ilvl w:val="0"/>
          <w:numId w:val="44"/>
        </w:numPr>
        <w:tabs>
          <w:tab w:pos="1840" w:val="left" w:leader="none"/>
          <w:tab w:pos="1841" w:val="left" w:leader="none"/>
        </w:tabs>
        <w:spacing w:line="258" w:lineRule="exact" w:before="0" w:after="0"/>
        <w:ind w:left="1840" w:right="0" w:hanging="1680"/>
        <w:jc w:val="left"/>
        <w:rPr>
          <w:sz w:val="24"/>
        </w:rPr>
      </w:pPr>
      <w:r>
        <w:rPr>
          <w:sz w:val="24"/>
        </w:rPr>
        <w:t>In  our  study,  we  did not observe  a predisposition  by gender to present a  BUTI.  In   </w:t>
      </w:r>
      <w:r>
        <w:rPr>
          <w:spacing w:val="11"/>
          <w:sz w:val="24"/>
        </w:rPr>
        <w:t> </w:t>
      </w:r>
      <w:r>
        <w:rPr>
          <w:sz w:val="24"/>
        </w:rPr>
        <w:t>the</w:t>
      </w:r>
    </w:p>
    <w:p>
      <w:pPr>
        <w:pStyle w:val="ListParagraph"/>
        <w:numPr>
          <w:ilvl w:val="0"/>
          <w:numId w:val="44"/>
        </w:numPr>
        <w:tabs>
          <w:tab w:pos="1132" w:val="left" w:leader="none"/>
          <w:tab w:pos="1133" w:val="left" w:leader="none"/>
        </w:tabs>
        <w:spacing w:line="256" w:lineRule="exact" w:before="0" w:after="0"/>
        <w:ind w:left="1132" w:right="0" w:hanging="972"/>
        <w:jc w:val="left"/>
        <w:rPr>
          <w:sz w:val="24"/>
        </w:rPr>
      </w:pPr>
      <w:r>
        <w:rPr>
          <w:sz w:val="24"/>
        </w:rPr>
        <w:t>clinical cases of this pathology, hematuria and urinary retention were the most common   </w:t>
      </w:r>
      <w:r>
        <w:rPr>
          <w:spacing w:val="4"/>
          <w:sz w:val="24"/>
        </w:rPr>
        <w:t> </w:t>
      </w:r>
      <w:r>
        <w:rPr>
          <w:sz w:val="24"/>
        </w:rPr>
        <w:t>clinical</w:t>
      </w:r>
    </w:p>
    <w:p>
      <w:pPr>
        <w:pStyle w:val="ListParagraph"/>
        <w:numPr>
          <w:ilvl w:val="0"/>
          <w:numId w:val="44"/>
        </w:numPr>
        <w:tabs>
          <w:tab w:pos="1132" w:val="left" w:leader="none"/>
          <w:tab w:pos="1133" w:val="left" w:leader="none"/>
        </w:tabs>
        <w:spacing w:line="258" w:lineRule="exact" w:before="0" w:after="0"/>
        <w:ind w:left="1132" w:right="0" w:hanging="972"/>
        <w:jc w:val="left"/>
        <w:rPr>
          <w:sz w:val="24"/>
        </w:rPr>
      </w:pPr>
      <w:r>
        <w:rPr>
          <w:sz w:val="24"/>
        </w:rPr>
        <w:t>signs.</w:t>
      </w:r>
    </w:p>
    <w:p>
      <w:pPr>
        <w:spacing w:line="202" w:lineRule="exact" w:before="0"/>
        <w:ind w:left="160" w:right="0" w:firstLine="0"/>
        <w:jc w:val="left"/>
        <w:rPr>
          <w:sz w:val="20"/>
        </w:rPr>
      </w:pPr>
      <w:r>
        <w:rPr/>
        <w:pict>
          <v:shape style="position:absolute;margin-left:116.872412pt;margin-top:169.892011pt;width:376.45pt;height:48pt;mso-position-horizontal-relative:page;mso-position-vertical-relative:paragraph;z-index:-92800;rotation:51" type="#_x0000_t136" fillcolor="#d6f1fe" stroked="f">
            <o:extrusion v:ext="view" autorotationcenter="t"/>
            <v:textpath style="font-family:&amp;quot;Arial&amp;quot;;font-size:48pt;v-text-kern:t;mso-text-shadow:auto;font-weight:bold" string="For Review Only"/>
            <w10:wrap type="none"/>
          </v:shape>
        </w:pict>
      </w:r>
      <w:r>
        <w:rPr>
          <w:sz w:val="20"/>
        </w:rPr>
        <w:t>14</w:t>
      </w:r>
    </w:p>
    <w:p>
      <w:pPr>
        <w:pStyle w:val="ListParagraph"/>
        <w:numPr>
          <w:ilvl w:val="0"/>
          <w:numId w:val="45"/>
        </w:numPr>
        <w:tabs>
          <w:tab w:pos="1840" w:val="left" w:leader="none"/>
          <w:tab w:pos="1841" w:val="left" w:leader="none"/>
        </w:tabs>
        <w:spacing w:line="266" w:lineRule="exact" w:before="6" w:after="0"/>
        <w:ind w:left="1840" w:right="0" w:hanging="1680"/>
        <w:jc w:val="left"/>
        <w:rPr>
          <w:sz w:val="24"/>
        </w:rPr>
      </w:pPr>
      <w:r>
        <w:rPr>
          <w:sz w:val="24"/>
        </w:rPr>
        <w:t>The  most  frequent  pathology  observed  was  BUTI  (34.02%).  Subclinical  bacteriuria</w:t>
      </w:r>
      <w:r>
        <w:rPr>
          <w:spacing w:val="39"/>
          <w:sz w:val="24"/>
        </w:rPr>
        <w:t> </w:t>
      </w:r>
      <w:r>
        <w:rPr>
          <w:sz w:val="24"/>
        </w:rPr>
        <w:t>or</w:t>
      </w:r>
    </w:p>
    <w:p>
      <w:pPr>
        <w:pStyle w:val="ListParagraph"/>
        <w:numPr>
          <w:ilvl w:val="0"/>
          <w:numId w:val="45"/>
        </w:numPr>
        <w:tabs>
          <w:tab w:pos="1132" w:val="left" w:leader="none"/>
          <w:tab w:pos="1133" w:val="left" w:leader="none"/>
        </w:tabs>
        <w:spacing w:line="256" w:lineRule="exact" w:before="0" w:after="0"/>
        <w:ind w:left="1132" w:right="0" w:hanging="972"/>
        <w:jc w:val="left"/>
        <w:rPr>
          <w:sz w:val="24"/>
        </w:rPr>
      </w:pPr>
      <w:r>
        <w:rPr>
          <w:sz w:val="24"/>
        </w:rPr>
        <w:t>silent</w:t>
      </w:r>
      <w:r>
        <w:rPr>
          <w:spacing w:val="25"/>
          <w:sz w:val="24"/>
        </w:rPr>
        <w:t> </w:t>
      </w:r>
      <w:r>
        <w:rPr>
          <w:sz w:val="24"/>
        </w:rPr>
        <w:t>BUTI</w:t>
      </w:r>
      <w:r>
        <w:rPr>
          <w:spacing w:val="23"/>
          <w:sz w:val="24"/>
        </w:rPr>
        <w:t> </w:t>
      </w:r>
      <w:r>
        <w:rPr>
          <w:sz w:val="24"/>
        </w:rPr>
        <w:t>has</w:t>
      </w:r>
      <w:r>
        <w:rPr>
          <w:spacing w:val="25"/>
          <w:sz w:val="24"/>
        </w:rPr>
        <w:t> </w:t>
      </w:r>
      <w:r>
        <w:rPr>
          <w:sz w:val="24"/>
        </w:rPr>
        <w:t>been</w:t>
      </w:r>
      <w:r>
        <w:rPr>
          <w:spacing w:val="25"/>
          <w:sz w:val="24"/>
        </w:rPr>
        <w:t> </w:t>
      </w:r>
      <w:r>
        <w:rPr>
          <w:sz w:val="24"/>
        </w:rPr>
        <w:t>reported</w:t>
      </w:r>
      <w:r>
        <w:rPr>
          <w:spacing w:val="23"/>
          <w:sz w:val="24"/>
        </w:rPr>
        <w:t> </w:t>
      </w:r>
      <w:r>
        <w:rPr>
          <w:sz w:val="24"/>
        </w:rPr>
        <w:t>with</w:t>
      </w:r>
      <w:r>
        <w:rPr>
          <w:spacing w:val="24"/>
          <w:sz w:val="24"/>
        </w:rPr>
        <w:t> </w:t>
      </w:r>
      <w:r>
        <w:rPr>
          <w:sz w:val="24"/>
        </w:rPr>
        <w:t>frequencies</w:t>
      </w:r>
      <w:r>
        <w:rPr>
          <w:spacing w:val="25"/>
          <w:sz w:val="24"/>
        </w:rPr>
        <w:t> </w:t>
      </w:r>
      <w:r>
        <w:rPr>
          <w:sz w:val="24"/>
        </w:rPr>
        <w:t>of</w:t>
      </w:r>
      <w:r>
        <w:rPr>
          <w:spacing w:val="24"/>
          <w:sz w:val="24"/>
        </w:rPr>
        <w:t> </w:t>
      </w:r>
      <w:r>
        <w:rPr>
          <w:sz w:val="24"/>
        </w:rPr>
        <w:t>95%</w:t>
      </w:r>
      <w:r>
        <w:rPr>
          <w:spacing w:val="25"/>
          <w:sz w:val="24"/>
        </w:rPr>
        <w:t> </w:t>
      </w:r>
      <w:r>
        <w:rPr>
          <w:sz w:val="24"/>
        </w:rPr>
        <w:t>by</w:t>
      </w:r>
      <w:r>
        <w:rPr>
          <w:spacing w:val="24"/>
          <w:sz w:val="24"/>
        </w:rPr>
        <w:t> </w:t>
      </w:r>
      <w:r>
        <w:rPr>
          <w:sz w:val="24"/>
        </w:rPr>
        <w:t>other</w:t>
      </w:r>
      <w:r>
        <w:rPr>
          <w:spacing w:val="24"/>
          <w:sz w:val="24"/>
        </w:rPr>
        <w:t> </w:t>
      </w:r>
      <w:r>
        <w:rPr>
          <w:sz w:val="24"/>
        </w:rPr>
        <w:t>authors</w:t>
      </w:r>
      <w:r>
        <w:rPr>
          <w:spacing w:val="25"/>
          <w:sz w:val="24"/>
        </w:rPr>
        <w:t> </w:t>
      </w:r>
      <w:r>
        <w:rPr>
          <w:sz w:val="24"/>
        </w:rPr>
        <w:t>(McGuire</w:t>
      </w:r>
      <w:r>
        <w:rPr>
          <w:spacing w:val="25"/>
          <w:sz w:val="24"/>
        </w:rPr>
        <w:t> </w:t>
      </w:r>
      <w:r>
        <w:rPr>
          <w:sz w:val="24"/>
        </w:rPr>
        <w:t>et</w:t>
      </w:r>
      <w:r>
        <w:rPr>
          <w:spacing w:val="25"/>
          <w:sz w:val="24"/>
        </w:rPr>
        <w:t> </w:t>
      </w:r>
      <w:r>
        <w:rPr>
          <w:sz w:val="24"/>
        </w:rPr>
        <w:t>al.</w:t>
      </w:r>
      <w:r>
        <w:rPr>
          <w:spacing w:val="23"/>
          <w:sz w:val="24"/>
        </w:rPr>
        <w:t> </w:t>
      </w:r>
      <w:r>
        <w:rPr>
          <w:sz w:val="24"/>
        </w:rPr>
        <w:t>2002,</w:t>
      </w:r>
    </w:p>
    <w:p>
      <w:pPr>
        <w:pStyle w:val="ListParagraph"/>
        <w:numPr>
          <w:ilvl w:val="0"/>
          <w:numId w:val="45"/>
        </w:numPr>
        <w:tabs>
          <w:tab w:pos="1132" w:val="left" w:leader="none"/>
          <w:tab w:pos="1133" w:val="left" w:leader="none"/>
        </w:tabs>
        <w:spacing w:line="341" w:lineRule="exact" w:before="0" w:after="0"/>
        <w:ind w:left="1132" w:right="0" w:hanging="972"/>
        <w:jc w:val="left"/>
        <w:rPr>
          <w:sz w:val="24"/>
        </w:rPr>
      </w:pPr>
      <w:r>
        <w:rPr/>
        <w:pict>
          <v:shape style="position:absolute;margin-left:8pt;margin-top:10.436749pt;width:11.15pt;height:10pt;mso-position-horizontal-relative:page;mso-position-vertical-relative:paragraph;z-index:-92776" type="#_x0000_t202" filled="false" stroked="false">
            <v:textbox inset="0,0,0,0">
              <w:txbxContent>
                <w:p>
                  <w:pPr>
                    <w:spacing w:line="196" w:lineRule="exact" w:before="0"/>
                    <w:ind w:left="0" w:right="-20" w:firstLine="0"/>
                    <w:jc w:val="left"/>
                    <w:rPr>
                      <w:sz w:val="20"/>
                    </w:rPr>
                  </w:pPr>
                  <w:r>
                    <w:rPr>
                      <w:sz w:val="20"/>
                    </w:rPr>
                    <w:t>18</w:t>
                  </w:r>
                </w:p>
              </w:txbxContent>
            </v:textbox>
            <w10:wrap type="none"/>
          </v:shape>
        </w:pict>
      </w:r>
      <w:r>
        <w:rPr>
          <w:sz w:val="24"/>
        </w:rPr>
        <w:t>Seguin</w:t>
      </w:r>
      <w:r>
        <w:rPr>
          <w:spacing w:val="20"/>
          <w:sz w:val="24"/>
        </w:rPr>
        <w:t> </w:t>
      </w:r>
      <w:r>
        <w:rPr>
          <w:sz w:val="24"/>
        </w:rPr>
        <w:t>et</w:t>
      </w:r>
      <w:r>
        <w:rPr>
          <w:spacing w:val="18"/>
          <w:sz w:val="24"/>
        </w:rPr>
        <w:t> </w:t>
      </w:r>
      <w:r>
        <w:rPr>
          <w:sz w:val="24"/>
        </w:rPr>
        <w:t>al.,</w:t>
      </w:r>
      <w:r>
        <w:rPr>
          <w:spacing w:val="21"/>
          <w:sz w:val="24"/>
        </w:rPr>
        <w:t> </w:t>
      </w:r>
      <w:r>
        <w:rPr>
          <w:sz w:val="24"/>
        </w:rPr>
        <w:t>2003);</w:t>
      </w:r>
      <w:r>
        <w:rPr>
          <w:spacing w:val="19"/>
          <w:sz w:val="24"/>
        </w:rPr>
        <w:t> </w:t>
      </w:r>
      <w:r>
        <w:rPr>
          <w:sz w:val="24"/>
        </w:rPr>
        <w:t>however,</w:t>
      </w:r>
      <w:r>
        <w:rPr>
          <w:spacing w:val="21"/>
          <w:sz w:val="24"/>
        </w:rPr>
        <w:t> </w:t>
      </w:r>
      <w:r>
        <w:rPr>
          <w:sz w:val="24"/>
        </w:rPr>
        <w:t>these</w:t>
      </w:r>
      <w:r>
        <w:rPr>
          <w:spacing w:val="20"/>
          <w:sz w:val="24"/>
        </w:rPr>
        <w:t> </w:t>
      </w:r>
      <w:r>
        <w:rPr>
          <w:sz w:val="24"/>
        </w:rPr>
        <w:t>cases</w:t>
      </w:r>
      <w:r>
        <w:rPr>
          <w:spacing w:val="17"/>
          <w:sz w:val="24"/>
        </w:rPr>
        <w:t> </w:t>
      </w:r>
      <w:r>
        <w:rPr>
          <w:sz w:val="24"/>
        </w:rPr>
        <w:t>were</w:t>
      </w:r>
      <w:r>
        <w:rPr>
          <w:spacing w:val="20"/>
          <w:sz w:val="24"/>
        </w:rPr>
        <w:t> </w:t>
      </w:r>
      <w:r>
        <w:rPr>
          <w:sz w:val="24"/>
        </w:rPr>
        <w:t>excluded</w:t>
      </w:r>
      <w:r>
        <w:rPr>
          <w:spacing w:val="18"/>
          <w:sz w:val="24"/>
        </w:rPr>
        <w:t> </w:t>
      </w:r>
      <w:r>
        <w:rPr>
          <w:sz w:val="24"/>
        </w:rPr>
        <w:t>from</w:t>
      </w:r>
      <w:r>
        <w:rPr>
          <w:spacing w:val="19"/>
          <w:sz w:val="24"/>
        </w:rPr>
        <w:t> </w:t>
      </w:r>
      <w:r>
        <w:rPr>
          <w:sz w:val="24"/>
        </w:rPr>
        <w:t>this</w:t>
      </w:r>
      <w:r>
        <w:rPr>
          <w:spacing w:val="20"/>
          <w:sz w:val="24"/>
        </w:rPr>
        <w:t> </w:t>
      </w:r>
      <w:r>
        <w:rPr>
          <w:sz w:val="24"/>
        </w:rPr>
        <w:t>study</w:t>
      </w:r>
      <w:r>
        <w:rPr>
          <w:spacing w:val="19"/>
          <w:sz w:val="24"/>
        </w:rPr>
        <w:t> </w:t>
      </w:r>
      <w:r>
        <w:rPr>
          <w:sz w:val="24"/>
        </w:rPr>
        <w:t>because</w:t>
      </w:r>
      <w:r>
        <w:rPr>
          <w:spacing w:val="20"/>
          <w:sz w:val="24"/>
        </w:rPr>
        <w:t> </w:t>
      </w:r>
      <w:r>
        <w:rPr>
          <w:sz w:val="24"/>
        </w:rPr>
        <w:t>the</w:t>
      </w:r>
      <w:r>
        <w:rPr>
          <w:spacing w:val="20"/>
          <w:sz w:val="24"/>
        </w:rPr>
        <w:t> </w:t>
      </w:r>
      <w:r>
        <w:rPr>
          <w:sz w:val="24"/>
        </w:rPr>
        <w:t>approach</w:t>
      </w:r>
    </w:p>
    <w:p>
      <w:pPr>
        <w:pStyle w:val="ListParagraph"/>
        <w:numPr>
          <w:ilvl w:val="0"/>
          <w:numId w:val="46"/>
        </w:numPr>
        <w:tabs>
          <w:tab w:pos="1132" w:val="left" w:leader="none"/>
          <w:tab w:pos="1133" w:val="left" w:leader="none"/>
        </w:tabs>
        <w:spacing w:line="292" w:lineRule="exact" w:before="0" w:after="0"/>
        <w:ind w:left="1132" w:right="0" w:hanging="972"/>
        <w:jc w:val="left"/>
        <w:rPr>
          <w:sz w:val="24"/>
        </w:rPr>
      </w:pPr>
      <w:r>
        <w:rPr>
          <w:sz w:val="24"/>
        </w:rPr>
        <w:t>was  starting  clinical  signs  of  urinary  tract  flow.  Some  reports  have  shown  that</w:t>
      </w:r>
      <w:r>
        <w:rPr>
          <w:spacing w:val="-17"/>
          <w:sz w:val="24"/>
        </w:rPr>
        <w:t> </w:t>
      </w:r>
      <w:r>
        <w:rPr>
          <w:sz w:val="24"/>
        </w:rPr>
        <w:t>urinary tract</w:t>
      </w:r>
    </w:p>
    <w:p>
      <w:pPr>
        <w:pStyle w:val="ListParagraph"/>
        <w:numPr>
          <w:ilvl w:val="0"/>
          <w:numId w:val="46"/>
        </w:numPr>
        <w:tabs>
          <w:tab w:pos="1132" w:val="left" w:leader="none"/>
          <w:tab w:pos="1133" w:val="left" w:leader="none"/>
        </w:tabs>
        <w:spacing w:line="258" w:lineRule="exact" w:before="0" w:after="0"/>
        <w:ind w:left="1132" w:right="0" w:hanging="972"/>
        <w:jc w:val="left"/>
        <w:rPr>
          <w:sz w:val="24"/>
        </w:rPr>
      </w:pPr>
      <w:r>
        <w:rPr>
          <w:sz w:val="24"/>
        </w:rPr>
        <w:t>infections</w:t>
      </w:r>
      <w:r>
        <w:rPr>
          <w:spacing w:val="35"/>
          <w:sz w:val="24"/>
        </w:rPr>
        <w:t> </w:t>
      </w:r>
      <w:r>
        <w:rPr>
          <w:sz w:val="24"/>
        </w:rPr>
        <w:t>are</w:t>
      </w:r>
      <w:r>
        <w:rPr>
          <w:spacing w:val="36"/>
          <w:sz w:val="24"/>
        </w:rPr>
        <w:t> </w:t>
      </w:r>
      <w:r>
        <w:rPr>
          <w:sz w:val="24"/>
        </w:rPr>
        <w:t>more</w:t>
      </w:r>
      <w:r>
        <w:rPr>
          <w:spacing w:val="36"/>
          <w:sz w:val="24"/>
        </w:rPr>
        <w:t> </w:t>
      </w:r>
      <w:r>
        <w:rPr>
          <w:sz w:val="24"/>
        </w:rPr>
        <w:t>common</w:t>
      </w:r>
      <w:r>
        <w:rPr>
          <w:spacing w:val="36"/>
          <w:sz w:val="24"/>
        </w:rPr>
        <w:t> </w:t>
      </w:r>
      <w:r>
        <w:rPr>
          <w:sz w:val="24"/>
        </w:rPr>
        <w:t>in</w:t>
      </w:r>
      <w:r>
        <w:rPr>
          <w:spacing w:val="36"/>
          <w:sz w:val="24"/>
        </w:rPr>
        <w:t> </w:t>
      </w:r>
      <w:r>
        <w:rPr>
          <w:sz w:val="24"/>
        </w:rPr>
        <w:t>females,</w:t>
      </w:r>
      <w:r>
        <w:rPr>
          <w:spacing w:val="36"/>
          <w:sz w:val="24"/>
        </w:rPr>
        <w:t> </w:t>
      </w:r>
      <w:r>
        <w:rPr>
          <w:sz w:val="24"/>
        </w:rPr>
        <w:t>which</w:t>
      </w:r>
      <w:r>
        <w:rPr>
          <w:spacing w:val="35"/>
          <w:sz w:val="24"/>
        </w:rPr>
        <w:t> </w:t>
      </w:r>
      <w:r>
        <w:rPr>
          <w:sz w:val="24"/>
        </w:rPr>
        <w:t>is</w:t>
      </w:r>
      <w:r>
        <w:rPr>
          <w:spacing w:val="35"/>
          <w:sz w:val="24"/>
        </w:rPr>
        <w:t> </w:t>
      </w:r>
      <w:r>
        <w:rPr>
          <w:sz w:val="24"/>
        </w:rPr>
        <w:t>attributed</w:t>
      </w:r>
      <w:r>
        <w:rPr>
          <w:spacing w:val="34"/>
          <w:sz w:val="24"/>
        </w:rPr>
        <w:t> </w:t>
      </w:r>
      <w:r>
        <w:rPr>
          <w:sz w:val="24"/>
        </w:rPr>
        <w:t>to</w:t>
      </w:r>
      <w:r>
        <w:rPr>
          <w:spacing w:val="35"/>
          <w:sz w:val="24"/>
        </w:rPr>
        <w:t> </w:t>
      </w:r>
      <w:r>
        <w:rPr>
          <w:sz w:val="24"/>
        </w:rPr>
        <w:t>anatomical</w:t>
      </w:r>
      <w:r>
        <w:rPr>
          <w:spacing w:val="35"/>
          <w:sz w:val="24"/>
        </w:rPr>
        <w:t> </w:t>
      </w:r>
      <w:r>
        <w:rPr>
          <w:sz w:val="24"/>
        </w:rPr>
        <w:t>features,</w:t>
      </w:r>
      <w:r>
        <w:rPr>
          <w:spacing w:val="36"/>
          <w:sz w:val="24"/>
        </w:rPr>
        <w:t> </w:t>
      </w:r>
      <w:r>
        <w:rPr>
          <w:sz w:val="24"/>
        </w:rPr>
        <w:t>such</w:t>
      </w:r>
      <w:r>
        <w:rPr>
          <w:spacing w:val="35"/>
          <w:sz w:val="24"/>
        </w:rPr>
        <w:t> </w:t>
      </w:r>
      <w:r>
        <w:rPr>
          <w:sz w:val="24"/>
        </w:rPr>
        <w:t>as</w:t>
      </w:r>
      <w:r>
        <w:rPr>
          <w:spacing w:val="35"/>
          <w:sz w:val="24"/>
        </w:rPr>
        <w:t> </w:t>
      </w:r>
      <w:r>
        <w:rPr>
          <w:sz w:val="24"/>
        </w:rPr>
        <w:t>a</w:t>
      </w:r>
    </w:p>
    <w:p>
      <w:pPr>
        <w:pStyle w:val="ListParagraph"/>
        <w:numPr>
          <w:ilvl w:val="0"/>
          <w:numId w:val="46"/>
        </w:numPr>
        <w:tabs>
          <w:tab w:pos="1132" w:val="left" w:leader="none"/>
          <w:tab w:pos="1133" w:val="left" w:leader="none"/>
        </w:tabs>
        <w:spacing w:line="256" w:lineRule="exact" w:before="0" w:after="0"/>
        <w:ind w:left="1132" w:right="0" w:hanging="972"/>
        <w:jc w:val="left"/>
        <w:rPr>
          <w:sz w:val="24"/>
        </w:rPr>
      </w:pPr>
      <w:r>
        <w:rPr>
          <w:sz w:val="24"/>
        </w:rPr>
        <w:t>shorter</w:t>
      </w:r>
      <w:r>
        <w:rPr>
          <w:spacing w:val="23"/>
          <w:sz w:val="24"/>
        </w:rPr>
        <w:t> </w:t>
      </w:r>
      <w:r>
        <w:rPr>
          <w:sz w:val="24"/>
        </w:rPr>
        <w:t>urethra,</w:t>
      </w:r>
      <w:r>
        <w:rPr>
          <w:spacing w:val="24"/>
          <w:sz w:val="24"/>
        </w:rPr>
        <w:t> </w:t>
      </w:r>
      <w:r>
        <w:rPr>
          <w:sz w:val="24"/>
        </w:rPr>
        <w:t>and</w:t>
      </w:r>
      <w:r>
        <w:rPr>
          <w:spacing w:val="24"/>
          <w:sz w:val="24"/>
        </w:rPr>
        <w:t> </w:t>
      </w:r>
      <w:r>
        <w:rPr>
          <w:sz w:val="24"/>
        </w:rPr>
        <w:t>urethral</w:t>
      </w:r>
      <w:r>
        <w:rPr>
          <w:spacing w:val="23"/>
          <w:sz w:val="24"/>
        </w:rPr>
        <w:t> </w:t>
      </w:r>
      <w:r>
        <w:rPr>
          <w:sz w:val="24"/>
        </w:rPr>
        <w:t>papilla</w:t>
      </w:r>
      <w:r>
        <w:rPr>
          <w:spacing w:val="24"/>
          <w:sz w:val="24"/>
        </w:rPr>
        <w:t> </w:t>
      </w:r>
      <w:r>
        <w:rPr>
          <w:sz w:val="24"/>
        </w:rPr>
        <w:t>on</w:t>
      </w:r>
      <w:r>
        <w:rPr>
          <w:spacing w:val="24"/>
          <w:sz w:val="24"/>
        </w:rPr>
        <w:t> </w:t>
      </w:r>
      <w:r>
        <w:rPr>
          <w:sz w:val="24"/>
        </w:rPr>
        <w:t>the</w:t>
      </w:r>
      <w:r>
        <w:rPr>
          <w:spacing w:val="24"/>
          <w:sz w:val="24"/>
        </w:rPr>
        <w:t> </w:t>
      </w:r>
      <w:r>
        <w:rPr>
          <w:sz w:val="24"/>
        </w:rPr>
        <w:t>floor</w:t>
      </w:r>
      <w:r>
        <w:rPr>
          <w:spacing w:val="24"/>
          <w:sz w:val="24"/>
        </w:rPr>
        <w:t> </w:t>
      </w:r>
      <w:r>
        <w:rPr>
          <w:sz w:val="24"/>
        </w:rPr>
        <w:t>of</w:t>
      </w:r>
      <w:r>
        <w:rPr>
          <w:spacing w:val="25"/>
          <w:sz w:val="24"/>
        </w:rPr>
        <w:t> </w:t>
      </w:r>
      <w:r>
        <w:rPr>
          <w:sz w:val="24"/>
        </w:rPr>
        <w:t>the</w:t>
      </w:r>
      <w:r>
        <w:rPr>
          <w:spacing w:val="26"/>
          <w:sz w:val="24"/>
        </w:rPr>
        <w:t> </w:t>
      </w:r>
      <w:r>
        <w:rPr>
          <w:sz w:val="24"/>
        </w:rPr>
        <w:t>vagina</w:t>
      </w:r>
      <w:r>
        <w:rPr>
          <w:spacing w:val="23"/>
          <w:sz w:val="24"/>
        </w:rPr>
        <w:t> </w:t>
      </w:r>
      <w:r>
        <w:rPr>
          <w:sz w:val="24"/>
        </w:rPr>
        <w:t>where</w:t>
      </w:r>
      <w:r>
        <w:rPr>
          <w:spacing w:val="24"/>
          <w:sz w:val="24"/>
        </w:rPr>
        <w:t> </w:t>
      </w:r>
      <w:r>
        <w:rPr>
          <w:sz w:val="24"/>
        </w:rPr>
        <w:t>there</w:t>
      </w:r>
      <w:r>
        <w:rPr>
          <w:spacing w:val="24"/>
          <w:sz w:val="24"/>
        </w:rPr>
        <w:t> </w:t>
      </w:r>
      <w:r>
        <w:rPr>
          <w:sz w:val="24"/>
        </w:rPr>
        <w:t>is</w:t>
      </w:r>
      <w:r>
        <w:rPr>
          <w:spacing w:val="23"/>
          <w:sz w:val="24"/>
        </w:rPr>
        <w:t> </w:t>
      </w:r>
      <w:r>
        <w:rPr>
          <w:sz w:val="24"/>
        </w:rPr>
        <w:t>normal</w:t>
      </w:r>
      <w:r>
        <w:rPr>
          <w:spacing w:val="25"/>
          <w:sz w:val="24"/>
        </w:rPr>
        <w:t> </w:t>
      </w:r>
      <w:r>
        <w:rPr>
          <w:sz w:val="24"/>
        </w:rPr>
        <w:t>resident</w:t>
      </w:r>
    </w:p>
    <w:p>
      <w:pPr>
        <w:pStyle w:val="ListParagraph"/>
        <w:numPr>
          <w:ilvl w:val="0"/>
          <w:numId w:val="46"/>
        </w:numPr>
        <w:tabs>
          <w:tab w:pos="1132" w:val="left" w:leader="none"/>
          <w:tab w:pos="1133" w:val="left" w:leader="none"/>
        </w:tabs>
        <w:spacing w:line="259" w:lineRule="exact" w:before="0" w:after="0"/>
        <w:ind w:left="1132" w:right="0" w:hanging="972"/>
        <w:jc w:val="left"/>
        <w:rPr>
          <w:sz w:val="24"/>
        </w:rPr>
      </w:pPr>
      <w:r>
        <w:rPr>
          <w:sz w:val="24"/>
        </w:rPr>
        <w:t>flora</w:t>
      </w:r>
      <w:r>
        <w:rPr>
          <w:spacing w:val="19"/>
          <w:sz w:val="24"/>
        </w:rPr>
        <w:t> </w:t>
      </w:r>
      <w:r>
        <w:rPr>
          <w:sz w:val="24"/>
        </w:rPr>
        <w:t>(Ling</w:t>
      </w:r>
      <w:r>
        <w:rPr>
          <w:spacing w:val="17"/>
          <w:sz w:val="24"/>
        </w:rPr>
        <w:t> </w:t>
      </w:r>
      <w:r>
        <w:rPr>
          <w:sz w:val="24"/>
        </w:rPr>
        <w:t>et</w:t>
      </w:r>
      <w:r>
        <w:rPr>
          <w:spacing w:val="19"/>
          <w:sz w:val="24"/>
        </w:rPr>
        <w:t> </w:t>
      </w:r>
      <w:r>
        <w:rPr>
          <w:sz w:val="24"/>
        </w:rPr>
        <w:t>al.</w:t>
      </w:r>
      <w:r>
        <w:rPr>
          <w:spacing w:val="19"/>
          <w:sz w:val="24"/>
        </w:rPr>
        <w:t> </w:t>
      </w:r>
      <w:r>
        <w:rPr>
          <w:sz w:val="24"/>
        </w:rPr>
        <w:t>2001).</w:t>
      </w:r>
      <w:r>
        <w:rPr>
          <w:spacing w:val="22"/>
          <w:sz w:val="24"/>
        </w:rPr>
        <w:t> </w:t>
      </w:r>
      <w:r>
        <w:rPr>
          <w:sz w:val="24"/>
        </w:rPr>
        <w:t>In</w:t>
      </w:r>
      <w:r>
        <w:rPr>
          <w:spacing w:val="19"/>
          <w:sz w:val="24"/>
        </w:rPr>
        <w:t> </w:t>
      </w:r>
      <w:r>
        <w:rPr>
          <w:sz w:val="24"/>
        </w:rPr>
        <w:t>this</w:t>
      </w:r>
      <w:r>
        <w:rPr>
          <w:spacing w:val="18"/>
          <w:sz w:val="24"/>
        </w:rPr>
        <w:t> </w:t>
      </w:r>
      <w:r>
        <w:rPr>
          <w:sz w:val="24"/>
        </w:rPr>
        <w:t>study,</w:t>
      </w:r>
      <w:r>
        <w:rPr>
          <w:spacing w:val="19"/>
          <w:sz w:val="24"/>
        </w:rPr>
        <w:t> </w:t>
      </w:r>
      <w:r>
        <w:rPr>
          <w:sz w:val="24"/>
        </w:rPr>
        <w:t>BUTI</w:t>
      </w:r>
      <w:r>
        <w:rPr>
          <w:spacing w:val="20"/>
          <w:sz w:val="24"/>
        </w:rPr>
        <w:t> </w:t>
      </w:r>
      <w:r>
        <w:rPr>
          <w:sz w:val="24"/>
        </w:rPr>
        <w:t>was</w:t>
      </w:r>
      <w:r>
        <w:rPr>
          <w:spacing w:val="18"/>
          <w:sz w:val="24"/>
        </w:rPr>
        <w:t> </w:t>
      </w:r>
      <w:r>
        <w:rPr>
          <w:sz w:val="24"/>
        </w:rPr>
        <w:t>most</w:t>
      </w:r>
      <w:r>
        <w:rPr>
          <w:spacing w:val="18"/>
          <w:sz w:val="24"/>
        </w:rPr>
        <w:t> </w:t>
      </w:r>
      <w:r>
        <w:rPr>
          <w:sz w:val="24"/>
        </w:rPr>
        <w:t>frequently</w:t>
      </w:r>
      <w:r>
        <w:rPr>
          <w:spacing w:val="17"/>
          <w:sz w:val="24"/>
        </w:rPr>
        <w:t> </w:t>
      </w:r>
      <w:r>
        <w:rPr>
          <w:sz w:val="24"/>
        </w:rPr>
        <w:t>observed</w:t>
      </w:r>
      <w:r>
        <w:rPr>
          <w:spacing w:val="17"/>
          <w:sz w:val="24"/>
        </w:rPr>
        <w:t> </w:t>
      </w:r>
      <w:r>
        <w:rPr>
          <w:sz w:val="24"/>
        </w:rPr>
        <w:t>in</w:t>
      </w:r>
      <w:r>
        <w:rPr>
          <w:spacing w:val="19"/>
          <w:sz w:val="24"/>
        </w:rPr>
        <w:t> </w:t>
      </w:r>
      <w:r>
        <w:rPr>
          <w:sz w:val="24"/>
        </w:rPr>
        <w:t>males</w:t>
      </w:r>
      <w:r>
        <w:rPr>
          <w:spacing w:val="18"/>
          <w:sz w:val="24"/>
        </w:rPr>
        <w:t> </w:t>
      </w:r>
      <w:r>
        <w:rPr>
          <w:sz w:val="24"/>
        </w:rPr>
        <w:t>—related</w:t>
      </w:r>
      <w:r>
        <w:rPr>
          <w:spacing w:val="17"/>
          <w:sz w:val="24"/>
        </w:rPr>
        <w:t> </w:t>
      </w:r>
      <w:r>
        <w:rPr>
          <w:sz w:val="24"/>
        </w:rPr>
        <w:t>to</w:t>
      </w:r>
    </w:p>
    <w:p>
      <w:pPr>
        <w:spacing w:line="115" w:lineRule="exact" w:before="0"/>
        <w:ind w:left="160" w:right="0" w:firstLine="0"/>
        <w:jc w:val="left"/>
        <w:rPr>
          <w:sz w:val="20"/>
        </w:rPr>
      </w:pPr>
      <w:r>
        <w:rPr>
          <w:sz w:val="20"/>
        </w:rPr>
        <w:t>23</w:t>
      </w:r>
    </w:p>
    <w:p>
      <w:pPr>
        <w:pStyle w:val="ListParagraph"/>
        <w:numPr>
          <w:ilvl w:val="0"/>
          <w:numId w:val="47"/>
        </w:numPr>
        <w:tabs>
          <w:tab w:pos="1132" w:val="left" w:leader="none"/>
          <w:tab w:pos="1133" w:val="left" w:leader="none"/>
        </w:tabs>
        <w:spacing w:line="258" w:lineRule="exact" w:before="0" w:after="0"/>
        <w:ind w:left="1132" w:right="0" w:hanging="972"/>
        <w:jc w:val="left"/>
        <w:rPr>
          <w:sz w:val="24"/>
        </w:rPr>
      </w:pPr>
      <w:r>
        <w:rPr>
          <w:sz w:val="24"/>
        </w:rPr>
        <w:t>the</w:t>
      </w:r>
      <w:r>
        <w:rPr>
          <w:spacing w:val="43"/>
          <w:sz w:val="24"/>
        </w:rPr>
        <w:t> </w:t>
      </w:r>
      <w:r>
        <w:rPr>
          <w:sz w:val="24"/>
        </w:rPr>
        <w:t>presence</w:t>
      </w:r>
      <w:r>
        <w:rPr>
          <w:spacing w:val="43"/>
          <w:sz w:val="24"/>
        </w:rPr>
        <w:t> </w:t>
      </w:r>
      <w:r>
        <w:rPr>
          <w:sz w:val="24"/>
        </w:rPr>
        <w:t>of</w:t>
      </w:r>
      <w:r>
        <w:rPr>
          <w:spacing w:val="42"/>
          <w:sz w:val="24"/>
        </w:rPr>
        <w:t> </w:t>
      </w:r>
      <w:r>
        <w:rPr>
          <w:sz w:val="24"/>
        </w:rPr>
        <w:t>other</w:t>
      </w:r>
      <w:r>
        <w:rPr>
          <w:spacing w:val="42"/>
          <w:sz w:val="24"/>
        </w:rPr>
        <w:t> </w:t>
      </w:r>
      <w:r>
        <w:rPr>
          <w:sz w:val="24"/>
        </w:rPr>
        <w:t>diseases—</w:t>
      </w:r>
      <w:r>
        <w:rPr>
          <w:spacing w:val="43"/>
          <w:sz w:val="24"/>
        </w:rPr>
        <w:t> </w:t>
      </w:r>
      <w:r>
        <w:rPr>
          <w:sz w:val="24"/>
        </w:rPr>
        <w:t>as</w:t>
      </w:r>
      <w:r>
        <w:rPr>
          <w:spacing w:val="42"/>
          <w:sz w:val="24"/>
        </w:rPr>
        <w:t> </w:t>
      </w:r>
      <w:r>
        <w:rPr>
          <w:sz w:val="24"/>
        </w:rPr>
        <w:t>a</w:t>
      </w:r>
      <w:r>
        <w:rPr>
          <w:spacing w:val="43"/>
          <w:sz w:val="24"/>
        </w:rPr>
        <w:t> </w:t>
      </w:r>
      <w:r>
        <w:rPr>
          <w:sz w:val="24"/>
        </w:rPr>
        <w:t>result</w:t>
      </w:r>
      <w:r>
        <w:rPr>
          <w:spacing w:val="43"/>
          <w:sz w:val="24"/>
        </w:rPr>
        <w:t> </w:t>
      </w:r>
      <w:r>
        <w:rPr>
          <w:sz w:val="24"/>
        </w:rPr>
        <w:t>of</w:t>
      </w:r>
      <w:r>
        <w:rPr>
          <w:spacing w:val="42"/>
          <w:sz w:val="24"/>
        </w:rPr>
        <w:t> </w:t>
      </w:r>
      <w:r>
        <w:rPr>
          <w:sz w:val="24"/>
        </w:rPr>
        <w:t>alterations</w:t>
      </w:r>
      <w:r>
        <w:rPr>
          <w:spacing w:val="42"/>
          <w:sz w:val="24"/>
        </w:rPr>
        <w:t> </w:t>
      </w:r>
      <w:r>
        <w:rPr>
          <w:sz w:val="24"/>
        </w:rPr>
        <w:t>in</w:t>
      </w:r>
      <w:r>
        <w:rPr>
          <w:spacing w:val="43"/>
          <w:sz w:val="24"/>
        </w:rPr>
        <w:t> </w:t>
      </w:r>
      <w:r>
        <w:rPr>
          <w:sz w:val="24"/>
        </w:rPr>
        <w:t>the</w:t>
      </w:r>
      <w:r>
        <w:rPr>
          <w:spacing w:val="43"/>
          <w:sz w:val="24"/>
        </w:rPr>
        <w:t> </w:t>
      </w:r>
      <w:r>
        <w:rPr>
          <w:sz w:val="24"/>
        </w:rPr>
        <w:t>defense</w:t>
      </w:r>
      <w:r>
        <w:rPr>
          <w:spacing w:val="43"/>
          <w:sz w:val="24"/>
        </w:rPr>
        <w:t> </w:t>
      </w:r>
      <w:r>
        <w:rPr>
          <w:sz w:val="24"/>
        </w:rPr>
        <w:t>mechanisms</w:t>
      </w:r>
      <w:r>
        <w:rPr>
          <w:spacing w:val="42"/>
          <w:sz w:val="24"/>
        </w:rPr>
        <w:t> </w:t>
      </w:r>
      <w:r>
        <w:rPr>
          <w:sz w:val="24"/>
        </w:rPr>
        <w:t>of</w:t>
      </w:r>
      <w:r>
        <w:rPr>
          <w:spacing w:val="42"/>
          <w:sz w:val="24"/>
        </w:rPr>
        <w:t> </w:t>
      </w:r>
      <w:r>
        <w:rPr>
          <w:sz w:val="24"/>
        </w:rPr>
        <w:t>the</w:t>
      </w:r>
    </w:p>
    <w:p>
      <w:pPr>
        <w:pStyle w:val="ListParagraph"/>
        <w:numPr>
          <w:ilvl w:val="0"/>
          <w:numId w:val="47"/>
        </w:numPr>
        <w:tabs>
          <w:tab w:pos="1132" w:val="left" w:leader="none"/>
          <w:tab w:pos="1133" w:val="left" w:leader="none"/>
        </w:tabs>
        <w:spacing w:line="257" w:lineRule="exact" w:before="0" w:after="0"/>
        <w:ind w:left="1132" w:right="0" w:hanging="972"/>
        <w:jc w:val="left"/>
        <w:rPr>
          <w:sz w:val="24"/>
        </w:rPr>
      </w:pPr>
      <w:r>
        <w:rPr>
          <w:position w:val="2"/>
          <w:sz w:val="24"/>
        </w:rPr>
        <w:t>urinary  tract,   such  as   normal  micturition,  storage,   and  proper  emptying  of  the      </w:t>
      </w:r>
      <w:r>
        <w:rPr>
          <w:spacing w:val="21"/>
          <w:position w:val="2"/>
          <w:sz w:val="24"/>
        </w:rPr>
        <w:t> </w:t>
      </w:r>
      <w:r>
        <w:rPr>
          <w:position w:val="2"/>
          <w:sz w:val="24"/>
        </w:rPr>
        <w:t>bladder;</w:t>
      </w:r>
    </w:p>
    <w:p>
      <w:pPr>
        <w:pStyle w:val="ListParagraph"/>
        <w:numPr>
          <w:ilvl w:val="0"/>
          <w:numId w:val="47"/>
        </w:numPr>
        <w:tabs>
          <w:tab w:pos="1132" w:val="left" w:leader="none"/>
          <w:tab w:pos="1133" w:val="left" w:leader="none"/>
        </w:tabs>
        <w:spacing w:line="257" w:lineRule="exact" w:before="0" w:after="0"/>
        <w:ind w:left="1132" w:right="0" w:hanging="972"/>
        <w:jc w:val="left"/>
        <w:rPr>
          <w:sz w:val="24"/>
        </w:rPr>
      </w:pPr>
      <w:r>
        <w:rPr>
          <w:sz w:val="24"/>
        </w:rPr>
        <w:t>antimicrobial  properties,  such  as  urine  osmolality,  urinary  pH,  and concentration  of</w:t>
      </w:r>
      <w:r>
        <w:rPr>
          <w:spacing w:val="-9"/>
          <w:sz w:val="24"/>
        </w:rPr>
        <w:t> </w:t>
      </w:r>
      <w:r>
        <w:rPr>
          <w:sz w:val="24"/>
        </w:rPr>
        <w:t>ions; the</w:t>
      </w:r>
    </w:p>
    <w:p>
      <w:pPr>
        <w:pStyle w:val="ListParagraph"/>
        <w:numPr>
          <w:ilvl w:val="0"/>
          <w:numId w:val="47"/>
        </w:numPr>
        <w:tabs>
          <w:tab w:pos="1132" w:val="left" w:leader="none"/>
          <w:tab w:pos="1133" w:val="left" w:leader="none"/>
        </w:tabs>
        <w:spacing w:line="261" w:lineRule="exact" w:before="0" w:after="0"/>
        <w:ind w:left="1132" w:right="0" w:hanging="972"/>
        <w:jc w:val="left"/>
        <w:rPr>
          <w:sz w:val="24"/>
        </w:rPr>
      </w:pPr>
      <w:r>
        <w:rPr>
          <w:sz w:val="24"/>
        </w:rPr>
        <w:t>integrity of the mucosal defense barrier,  glycosaminoglycan layer, anatomical barriers,   </w:t>
      </w:r>
      <w:r>
        <w:rPr>
          <w:spacing w:val="21"/>
          <w:sz w:val="24"/>
        </w:rPr>
        <w:t> </w:t>
      </w:r>
      <w:r>
        <w:rPr>
          <w:sz w:val="24"/>
        </w:rPr>
        <w:t>such  as</w:t>
      </w:r>
    </w:p>
    <w:p>
      <w:pPr>
        <w:pStyle w:val="ListParagraph"/>
        <w:numPr>
          <w:ilvl w:val="0"/>
          <w:numId w:val="47"/>
        </w:numPr>
        <w:tabs>
          <w:tab w:pos="1132" w:val="left" w:leader="none"/>
          <w:tab w:pos="1133" w:val="left" w:leader="none"/>
        </w:tabs>
        <w:spacing w:line="255" w:lineRule="exact" w:before="0" w:after="0"/>
        <w:ind w:left="1132" w:right="0" w:hanging="972"/>
        <w:jc w:val="left"/>
        <w:rPr>
          <w:sz w:val="24"/>
        </w:rPr>
      </w:pPr>
      <w:r>
        <w:rPr>
          <w:sz w:val="24"/>
        </w:rPr>
        <w:t>internal urethral sphincter, and closure   </w:t>
      </w:r>
      <w:r>
        <w:rPr>
          <w:spacing w:val="20"/>
          <w:sz w:val="24"/>
        </w:rPr>
        <w:t> </w:t>
      </w:r>
      <w:r>
        <w:rPr>
          <w:sz w:val="24"/>
        </w:rPr>
        <w:t>of ureterovesical junctions with the pressure generated</w:t>
      </w:r>
    </w:p>
    <w:p>
      <w:pPr>
        <w:spacing w:line="116" w:lineRule="exact" w:before="0"/>
        <w:ind w:left="160" w:right="0" w:firstLine="0"/>
        <w:jc w:val="left"/>
        <w:rPr>
          <w:sz w:val="20"/>
        </w:rPr>
      </w:pPr>
      <w:r>
        <w:rPr>
          <w:sz w:val="20"/>
        </w:rPr>
        <w:t>29</w:t>
      </w:r>
    </w:p>
    <w:p>
      <w:pPr>
        <w:pStyle w:val="ListParagraph"/>
        <w:numPr>
          <w:ilvl w:val="0"/>
          <w:numId w:val="48"/>
        </w:numPr>
        <w:tabs>
          <w:tab w:pos="1132" w:val="left" w:leader="none"/>
          <w:tab w:pos="1133" w:val="left" w:leader="none"/>
        </w:tabs>
        <w:spacing w:line="258" w:lineRule="exact" w:before="0" w:after="0"/>
        <w:ind w:left="1132" w:right="0" w:hanging="972"/>
        <w:jc w:val="left"/>
        <w:rPr>
          <w:sz w:val="24"/>
        </w:rPr>
      </w:pPr>
      <w:r>
        <w:rPr>
          <w:sz w:val="24"/>
        </w:rPr>
        <w:t>within</w:t>
      </w:r>
      <w:r>
        <w:rPr>
          <w:spacing w:val="34"/>
          <w:sz w:val="24"/>
        </w:rPr>
        <w:t> </w:t>
      </w:r>
      <w:r>
        <w:rPr>
          <w:sz w:val="24"/>
        </w:rPr>
        <w:t>the</w:t>
      </w:r>
      <w:r>
        <w:rPr>
          <w:spacing w:val="34"/>
          <w:sz w:val="24"/>
        </w:rPr>
        <w:t> </w:t>
      </w:r>
      <w:r>
        <w:rPr>
          <w:sz w:val="24"/>
        </w:rPr>
        <w:t>fill</w:t>
      </w:r>
      <w:r>
        <w:rPr>
          <w:spacing w:val="33"/>
          <w:sz w:val="24"/>
        </w:rPr>
        <w:t> </w:t>
      </w:r>
      <w:r>
        <w:rPr>
          <w:sz w:val="24"/>
        </w:rPr>
        <w:t>urine</w:t>
      </w:r>
      <w:r>
        <w:rPr>
          <w:spacing w:val="34"/>
          <w:sz w:val="24"/>
        </w:rPr>
        <w:t> </w:t>
      </w:r>
      <w:r>
        <w:rPr>
          <w:sz w:val="24"/>
        </w:rPr>
        <w:t>bladder,</w:t>
      </w:r>
      <w:r>
        <w:rPr>
          <w:spacing w:val="34"/>
          <w:sz w:val="24"/>
        </w:rPr>
        <w:t> </w:t>
      </w:r>
      <w:r>
        <w:rPr>
          <w:sz w:val="24"/>
        </w:rPr>
        <w:t>urethral</w:t>
      </w:r>
      <w:r>
        <w:rPr>
          <w:spacing w:val="33"/>
          <w:sz w:val="24"/>
        </w:rPr>
        <w:t> </w:t>
      </w:r>
      <w:r>
        <w:rPr>
          <w:sz w:val="24"/>
        </w:rPr>
        <w:t>length</w:t>
      </w:r>
      <w:r>
        <w:rPr>
          <w:spacing w:val="35"/>
          <w:sz w:val="24"/>
        </w:rPr>
        <w:t> </w:t>
      </w:r>
      <w:r>
        <w:rPr>
          <w:sz w:val="24"/>
        </w:rPr>
        <w:t>and</w:t>
      </w:r>
      <w:r>
        <w:rPr>
          <w:spacing w:val="33"/>
          <w:sz w:val="24"/>
        </w:rPr>
        <w:t> </w:t>
      </w:r>
      <w:r>
        <w:rPr>
          <w:sz w:val="24"/>
        </w:rPr>
        <w:t>finally</w:t>
      </w:r>
      <w:r>
        <w:rPr>
          <w:spacing w:val="32"/>
          <w:sz w:val="24"/>
        </w:rPr>
        <w:t> </w:t>
      </w:r>
      <w:r>
        <w:rPr>
          <w:sz w:val="24"/>
        </w:rPr>
        <w:t>systemic</w:t>
      </w:r>
      <w:r>
        <w:rPr>
          <w:spacing w:val="33"/>
          <w:sz w:val="24"/>
        </w:rPr>
        <w:t> </w:t>
      </w:r>
      <w:r>
        <w:rPr>
          <w:sz w:val="24"/>
        </w:rPr>
        <w:t>or</w:t>
      </w:r>
      <w:r>
        <w:rPr>
          <w:spacing w:val="32"/>
          <w:sz w:val="24"/>
        </w:rPr>
        <w:t> </w:t>
      </w:r>
      <w:r>
        <w:rPr>
          <w:sz w:val="24"/>
        </w:rPr>
        <w:t>local</w:t>
      </w:r>
      <w:r>
        <w:rPr>
          <w:spacing w:val="33"/>
          <w:sz w:val="24"/>
        </w:rPr>
        <w:t> </w:t>
      </w:r>
      <w:r>
        <w:rPr>
          <w:sz w:val="24"/>
        </w:rPr>
        <w:t>immunocompetence</w:t>
      </w:r>
    </w:p>
    <w:p>
      <w:pPr>
        <w:pStyle w:val="ListParagraph"/>
        <w:numPr>
          <w:ilvl w:val="0"/>
          <w:numId w:val="48"/>
        </w:numPr>
        <w:tabs>
          <w:tab w:pos="1132" w:val="left" w:leader="none"/>
          <w:tab w:pos="1133" w:val="left" w:leader="none"/>
        </w:tabs>
        <w:spacing w:line="256" w:lineRule="exact" w:before="0" w:after="0"/>
        <w:ind w:left="1132" w:right="0" w:hanging="972"/>
        <w:jc w:val="left"/>
        <w:rPr>
          <w:sz w:val="24"/>
        </w:rPr>
      </w:pPr>
      <w:r>
        <w:rPr>
          <w:position w:val="1"/>
          <w:sz w:val="24"/>
        </w:rPr>
        <w:t>providing</w:t>
      </w:r>
      <w:r>
        <w:rPr>
          <w:spacing w:val="43"/>
          <w:position w:val="1"/>
          <w:sz w:val="24"/>
        </w:rPr>
        <w:t> </w:t>
      </w:r>
      <w:r>
        <w:rPr>
          <w:position w:val="1"/>
          <w:sz w:val="24"/>
        </w:rPr>
        <w:t>bacterial</w:t>
      </w:r>
      <w:r>
        <w:rPr>
          <w:spacing w:val="43"/>
          <w:position w:val="1"/>
          <w:sz w:val="24"/>
        </w:rPr>
        <w:t> </w:t>
      </w:r>
      <w:r>
        <w:rPr>
          <w:position w:val="1"/>
          <w:sz w:val="24"/>
        </w:rPr>
        <w:t>colonization</w:t>
      </w:r>
      <w:r>
        <w:rPr>
          <w:spacing w:val="44"/>
          <w:position w:val="1"/>
          <w:sz w:val="24"/>
        </w:rPr>
        <w:t> </w:t>
      </w:r>
      <w:r>
        <w:rPr>
          <w:position w:val="1"/>
          <w:sz w:val="24"/>
        </w:rPr>
        <w:t>of</w:t>
      </w:r>
      <w:r>
        <w:rPr>
          <w:spacing w:val="43"/>
          <w:position w:val="1"/>
          <w:sz w:val="24"/>
        </w:rPr>
        <w:t> </w:t>
      </w:r>
      <w:r>
        <w:rPr>
          <w:position w:val="1"/>
          <w:sz w:val="24"/>
        </w:rPr>
        <w:t>urinary</w:t>
      </w:r>
      <w:r>
        <w:rPr>
          <w:spacing w:val="43"/>
          <w:position w:val="1"/>
          <w:sz w:val="24"/>
        </w:rPr>
        <w:t> </w:t>
      </w:r>
      <w:r>
        <w:rPr>
          <w:position w:val="1"/>
          <w:sz w:val="24"/>
        </w:rPr>
        <w:t>tract</w:t>
      </w:r>
      <w:r>
        <w:rPr>
          <w:spacing w:val="44"/>
          <w:position w:val="1"/>
          <w:sz w:val="24"/>
        </w:rPr>
        <w:t> </w:t>
      </w:r>
      <w:r>
        <w:rPr>
          <w:position w:val="1"/>
          <w:sz w:val="24"/>
        </w:rPr>
        <w:t>epithelium,</w:t>
      </w:r>
      <w:r>
        <w:rPr>
          <w:spacing w:val="45"/>
          <w:position w:val="1"/>
          <w:sz w:val="24"/>
        </w:rPr>
        <w:t> </w:t>
      </w:r>
      <w:r>
        <w:rPr>
          <w:position w:val="1"/>
          <w:sz w:val="24"/>
        </w:rPr>
        <w:t>similar</w:t>
      </w:r>
      <w:r>
        <w:rPr>
          <w:spacing w:val="43"/>
          <w:position w:val="1"/>
          <w:sz w:val="24"/>
        </w:rPr>
        <w:t> </w:t>
      </w:r>
      <w:r>
        <w:rPr>
          <w:position w:val="1"/>
          <w:sz w:val="24"/>
        </w:rPr>
        <w:t>results</w:t>
      </w:r>
      <w:r>
        <w:rPr>
          <w:spacing w:val="44"/>
          <w:position w:val="1"/>
          <w:sz w:val="24"/>
        </w:rPr>
        <w:t> </w:t>
      </w:r>
      <w:r>
        <w:rPr>
          <w:position w:val="1"/>
          <w:sz w:val="24"/>
        </w:rPr>
        <w:t>was</w:t>
      </w:r>
      <w:r>
        <w:rPr>
          <w:spacing w:val="44"/>
          <w:position w:val="1"/>
          <w:sz w:val="24"/>
        </w:rPr>
        <w:t> </w:t>
      </w:r>
      <w:r>
        <w:rPr>
          <w:position w:val="1"/>
          <w:sz w:val="24"/>
        </w:rPr>
        <w:t>described</w:t>
      </w:r>
      <w:r>
        <w:rPr>
          <w:spacing w:val="45"/>
          <w:position w:val="1"/>
          <w:sz w:val="24"/>
        </w:rPr>
        <w:t> </w:t>
      </w:r>
      <w:r>
        <w:rPr>
          <w:position w:val="1"/>
          <w:sz w:val="24"/>
        </w:rPr>
        <w:t>by</w:t>
      </w:r>
    </w:p>
    <w:p>
      <w:pPr>
        <w:pStyle w:val="ListParagraph"/>
        <w:numPr>
          <w:ilvl w:val="0"/>
          <w:numId w:val="48"/>
        </w:numPr>
        <w:tabs>
          <w:tab w:pos="1132" w:val="left" w:leader="none"/>
          <w:tab w:pos="1133" w:val="left" w:leader="none"/>
        </w:tabs>
        <w:spacing w:line="260" w:lineRule="exact" w:before="0" w:after="0"/>
        <w:ind w:left="1132" w:right="0" w:hanging="972"/>
        <w:jc w:val="left"/>
        <w:rPr>
          <w:sz w:val="24"/>
        </w:rPr>
      </w:pPr>
      <w:r>
        <w:rPr>
          <w:sz w:val="24"/>
        </w:rPr>
        <w:t>Inkelmann et al. (2012a). The mean age of in these animals was 8 years, which is consistent </w:t>
      </w:r>
      <w:r>
        <w:rPr>
          <w:spacing w:val="36"/>
          <w:sz w:val="24"/>
        </w:rPr>
        <w:t> </w:t>
      </w:r>
      <w:r>
        <w:rPr>
          <w:sz w:val="24"/>
        </w:rPr>
        <w:t>with</w:t>
      </w:r>
    </w:p>
    <w:p>
      <w:pPr>
        <w:pStyle w:val="ListParagraph"/>
        <w:numPr>
          <w:ilvl w:val="0"/>
          <w:numId w:val="48"/>
        </w:numPr>
        <w:tabs>
          <w:tab w:pos="1132" w:val="left" w:leader="none"/>
          <w:tab w:pos="1133" w:val="left" w:leader="none"/>
        </w:tabs>
        <w:spacing w:line="257" w:lineRule="exact" w:before="0" w:after="0"/>
        <w:ind w:left="1132" w:right="0" w:hanging="972"/>
        <w:jc w:val="left"/>
        <w:rPr>
          <w:sz w:val="24"/>
        </w:rPr>
      </w:pPr>
      <w:r>
        <w:rPr>
          <w:sz w:val="24"/>
        </w:rPr>
        <w:t>previous</w:t>
      </w:r>
      <w:r>
        <w:rPr>
          <w:spacing w:val="16"/>
          <w:sz w:val="24"/>
        </w:rPr>
        <w:t> </w:t>
      </w:r>
      <w:r>
        <w:rPr>
          <w:sz w:val="24"/>
        </w:rPr>
        <w:t>reports</w:t>
      </w:r>
      <w:r>
        <w:rPr>
          <w:spacing w:val="16"/>
          <w:sz w:val="24"/>
        </w:rPr>
        <w:t> </w:t>
      </w:r>
      <w:r>
        <w:rPr>
          <w:sz w:val="24"/>
        </w:rPr>
        <w:t>(Ling</w:t>
      </w:r>
      <w:r>
        <w:rPr>
          <w:spacing w:val="15"/>
          <w:sz w:val="24"/>
        </w:rPr>
        <w:t> </w:t>
      </w:r>
      <w:r>
        <w:rPr>
          <w:sz w:val="24"/>
        </w:rPr>
        <w:t>et</w:t>
      </w:r>
      <w:r>
        <w:rPr>
          <w:spacing w:val="16"/>
          <w:sz w:val="24"/>
        </w:rPr>
        <w:t> </w:t>
      </w:r>
      <w:r>
        <w:rPr>
          <w:sz w:val="24"/>
        </w:rPr>
        <w:t>al.</w:t>
      </w:r>
      <w:r>
        <w:rPr>
          <w:spacing w:val="17"/>
          <w:sz w:val="24"/>
        </w:rPr>
        <w:t> </w:t>
      </w:r>
      <w:r>
        <w:rPr>
          <w:sz w:val="24"/>
        </w:rPr>
        <w:t>2001,</w:t>
      </w:r>
      <w:r>
        <w:rPr>
          <w:spacing w:val="17"/>
          <w:sz w:val="24"/>
        </w:rPr>
        <w:t> </w:t>
      </w:r>
      <w:r>
        <w:rPr>
          <w:sz w:val="24"/>
        </w:rPr>
        <w:t>Cohn</w:t>
      </w:r>
      <w:r>
        <w:rPr>
          <w:spacing w:val="16"/>
          <w:sz w:val="24"/>
        </w:rPr>
        <w:t> </w:t>
      </w:r>
      <w:r>
        <w:rPr>
          <w:sz w:val="24"/>
        </w:rPr>
        <w:t>et</w:t>
      </w:r>
      <w:r>
        <w:rPr>
          <w:spacing w:val="16"/>
          <w:sz w:val="24"/>
        </w:rPr>
        <w:t> </w:t>
      </w:r>
      <w:r>
        <w:rPr>
          <w:sz w:val="24"/>
        </w:rPr>
        <w:t>al.</w:t>
      </w:r>
      <w:r>
        <w:rPr>
          <w:spacing w:val="14"/>
          <w:sz w:val="24"/>
        </w:rPr>
        <w:t> </w:t>
      </w:r>
      <w:r>
        <w:rPr>
          <w:sz w:val="24"/>
        </w:rPr>
        <w:t>2003).</w:t>
      </w:r>
      <w:r>
        <w:rPr>
          <w:spacing w:val="17"/>
          <w:sz w:val="24"/>
        </w:rPr>
        <w:t> </w:t>
      </w:r>
      <w:r>
        <w:rPr>
          <w:sz w:val="24"/>
        </w:rPr>
        <w:t>This</w:t>
      </w:r>
      <w:r>
        <w:rPr>
          <w:spacing w:val="16"/>
          <w:sz w:val="24"/>
        </w:rPr>
        <w:t> </w:t>
      </w:r>
      <w:r>
        <w:rPr>
          <w:sz w:val="24"/>
        </w:rPr>
        <w:t>condition</w:t>
      </w:r>
      <w:r>
        <w:rPr>
          <w:spacing w:val="16"/>
          <w:sz w:val="24"/>
        </w:rPr>
        <w:t> </w:t>
      </w:r>
      <w:r>
        <w:rPr>
          <w:sz w:val="24"/>
        </w:rPr>
        <w:t>is</w:t>
      </w:r>
      <w:r>
        <w:rPr>
          <w:spacing w:val="16"/>
          <w:sz w:val="24"/>
        </w:rPr>
        <w:t> </w:t>
      </w:r>
      <w:r>
        <w:rPr>
          <w:sz w:val="24"/>
        </w:rPr>
        <w:t>commonly</w:t>
      </w:r>
      <w:r>
        <w:rPr>
          <w:spacing w:val="15"/>
          <w:sz w:val="24"/>
        </w:rPr>
        <w:t> </w:t>
      </w:r>
      <w:r>
        <w:rPr>
          <w:sz w:val="24"/>
        </w:rPr>
        <w:t>present</w:t>
      </w:r>
      <w:r>
        <w:rPr>
          <w:spacing w:val="16"/>
          <w:sz w:val="24"/>
        </w:rPr>
        <w:t> </w:t>
      </w:r>
      <w:r>
        <w:rPr>
          <w:sz w:val="24"/>
        </w:rPr>
        <w:t>in</w:t>
      </w:r>
      <w:r>
        <w:rPr>
          <w:spacing w:val="14"/>
          <w:sz w:val="24"/>
        </w:rPr>
        <w:t> </w:t>
      </w:r>
      <w:r>
        <w:rPr>
          <w:sz w:val="24"/>
        </w:rPr>
        <w:t>old</w:t>
      </w:r>
    </w:p>
    <w:p>
      <w:pPr>
        <w:pStyle w:val="ListParagraph"/>
        <w:numPr>
          <w:ilvl w:val="0"/>
          <w:numId w:val="48"/>
        </w:numPr>
        <w:tabs>
          <w:tab w:pos="1132" w:val="left" w:leader="none"/>
          <w:tab w:pos="1133" w:val="left" w:leader="none"/>
        </w:tabs>
        <w:spacing w:line="257" w:lineRule="exact" w:before="0" w:after="0"/>
        <w:ind w:left="1132" w:right="0" w:hanging="972"/>
        <w:jc w:val="left"/>
        <w:rPr>
          <w:sz w:val="24"/>
        </w:rPr>
      </w:pPr>
      <w:r>
        <w:rPr>
          <w:sz w:val="24"/>
        </w:rPr>
        <w:t>animals</w:t>
      </w:r>
      <w:r>
        <w:rPr>
          <w:spacing w:val="18"/>
          <w:sz w:val="24"/>
        </w:rPr>
        <w:t> </w:t>
      </w:r>
      <w:r>
        <w:rPr>
          <w:sz w:val="24"/>
        </w:rPr>
        <w:t>due</w:t>
      </w:r>
      <w:r>
        <w:rPr>
          <w:spacing w:val="19"/>
          <w:sz w:val="24"/>
        </w:rPr>
        <w:t> </w:t>
      </w:r>
      <w:r>
        <w:rPr>
          <w:sz w:val="24"/>
        </w:rPr>
        <w:t>to</w:t>
      </w:r>
      <w:r>
        <w:rPr>
          <w:spacing w:val="18"/>
          <w:sz w:val="24"/>
        </w:rPr>
        <w:t> </w:t>
      </w:r>
      <w:r>
        <w:rPr>
          <w:sz w:val="24"/>
        </w:rPr>
        <w:t>the</w:t>
      </w:r>
      <w:r>
        <w:rPr>
          <w:spacing w:val="16"/>
          <w:sz w:val="24"/>
        </w:rPr>
        <w:t> </w:t>
      </w:r>
      <w:r>
        <w:rPr>
          <w:sz w:val="24"/>
        </w:rPr>
        <w:t>presence</w:t>
      </w:r>
      <w:r>
        <w:rPr>
          <w:spacing w:val="19"/>
          <w:sz w:val="24"/>
        </w:rPr>
        <w:t> </w:t>
      </w:r>
      <w:r>
        <w:rPr>
          <w:sz w:val="24"/>
        </w:rPr>
        <w:t>of</w:t>
      </w:r>
      <w:r>
        <w:rPr>
          <w:spacing w:val="18"/>
          <w:sz w:val="24"/>
        </w:rPr>
        <w:t> </w:t>
      </w:r>
      <w:r>
        <w:rPr>
          <w:sz w:val="24"/>
        </w:rPr>
        <w:t>other</w:t>
      </w:r>
      <w:r>
        <w:rPr>
          <w:spacing w:val="17"/>
          <w:sz w:val="24"/>
        </w:rPr>
        <w:t> </w:t>
      </w:r>
      <w:r>
        <w:rPr>
          <w:sz w:val="24"/>
        </w:rPr>
        <w:t>diseases</w:t>
      </w:r>
      <w:r>
        <w:rPr>
          <w:spacing w:val="16"/>
          <w:sz w:val="24"/>
        </w:rPr>
        <w:t> </w:t>
      </w:r>
      <w:r>
        <w:rPr>
          <w:sz w:val="24"/>
        </w:rPr>
        <w:t>that</w:t>
      </w:r>
      <w:r>
        <w:rPr>
          <w:spacing w:val="18"/>
          <w:sz w:val="24"/>
        </w:rPr>
        <w:t> </w:t>
      </w:r>
      <w:r>
        <w:rPr>
          <w:sz w:val="24"/>
        </w:rPr>
        <w:t>alter</w:t>
      </w:r>
      <w:r>
        <w:rPr>
          <w:spacing w:val="18"/>
          <w:sz w:val="24"/>
        </w:rPr>
        <w:t> </w:t>
      </w:r>
      <w:r>
        <w:rPr>
          <w:sz w:val="24"/>
        </w:rPr>
        <w:t>the</w:t>
      </w:r>
      <w:r>
        <w:rPr>
          <w:spacing w:val="16"/>
          <w:sz w:val="24"/>
        </w:rPr>
        <w:t> </w:t>
      </w:r>
      <w:r>
        <w:rPr>
          <w:sz w:val="24"/>
        </w:rPr>
        <w:t>defense</w:t>
      </w:r>
      <w:r>
        <w:rPr>
          <w:spacing w:val="16"/>
          <w:sz w:val="24"/>
        </w:rPr>
        <w:t> </w:t>
      </w:r>
      <w:r>
        <w:rPr>
          <w:sz w:val="24"/>
        </w:rPr>
        <w:t>mechanisms</w:t>
      </w:r>
      <w:r>
        <w:rPr>
          <w:spacing w:val="18"/>
          <w:sz w:val="24"/>
        </w:rPr>
        <w:t> </w:t>
      </w:r>
      <w:r>
        <w:rPr>
          <w:sz w:val="24"/>
        </w:rPr>
        <w:t>of</w:t>
      </w:r>
      <w:r>
        <w:rPr>
          <w:spacing w:val="18"/>
          <w:sz w:val="24"/>
        </w:rPr>
        <w:t> </w:t>
      </w:r>
      <w:r>
        <w:rPr>
          <w:sz w:val="24"/>
        </w:rPr>
        <w:t>the</w:t>
      </w:r>
      <w:r>
        <w:rPr>
          <w:spacing w:val="19"/>
          <w:sz w:val="24"/>
        </w:rPr>
        <w:t> </w:t>
      </w:r>
      <w:r>
        <w:rPr>
          <w:sz w:val="24"/>
        </w:rPr>
        <w:t>urinary</w:t>
      </w:r>
    </w:p>
    <w:p>
      <w:pPr>
        <w:spacing w:line="115" w:lineRule="exact" w:before="0"/>
        <w:ind w:left="160" w:right="0" w:firstLine="0"/>
        <w:jc w:val="left"/>
        <w:rPr>
          <w:sz w:val="20"/>
        </w:rPr>
      </w:pPr>
      <w:r>
        <w:rPr>
          <w:sz w:val="20"/>
        </w:rPr>
        <w:t>35</w:t>
      </w:r>
    </w:p>
    <w:p>
      <w:pPr>
        <w:tabs>
          <w:tab w:pos="1132" w:val="left" w:leader="none"/>
        </w:tabs>
        <w:spacing w:line="275" w:lineRule="exact" w:before="0"/>
        <w:ind w:left="160" w:right="0" w:firstLine="0"/>
        <w:jc w:val="left"/>
        <w:rPr>
          <w:rFonts w:ascii="Cambria"/>
          <w:sz w:val="24"/>
        </w:rPr>
      </w:pPr>
      <w:r>
        <w:rPr>
          <w:position w:val="-4"/>
          <w:sz w:val="20"/>
        </w:rPr>
        <w:t>36</w:t>
        <w:tab/>
      </w:r>
      <w:r>
        <w:rPr>
          <w:rFonts w:ascii="Cambria"/>
          <w:sz w:val="24"/>
        </w:rPr>
        <w:t>tract.</w:t>
      </w:r>
    </w:p>
    <w:p>
      <w:pPr>
        <w:spacing w:line="191" w:lineRule="exact" w:before="7"/>
        <w:ind w:left="160" w:right="0" w:firstLine="0"/>
        <w:jc w:val="left"/>
        <w:rPr>
          <w:sz w:val="20"/>
        </w:rPr>
      </w:pPr>
      <w:r>
        <w:rPr>
          <w:sz w:val="20"/>
        </w:rPr>
        <w:t>37</w:t>
      </w:r>
    </w:p>
    <w:p>
      <w:pPr>
        <w:pStyle w:val="ListParagraph"/>
        <w:numPr>
          <w:ilvl w:val="0"/>
          <w:numId w:val="49"/>
        </w:numPr>
        <w:tabs>
          <w:tab w:pos="1840" w:val="left" w:leader="none"/>
          <w:tab w:pos="1841" w:val="left" w:leader="none"/>
        </w:tabs>
        <w:spacing w:line="258" w:lineRule="exact" w:before="0" w:after="0"/>
        <w:ind w:left="1840" w:right="0" w:hanging="1680"/>
        <w:jc w:val="left"/>
        <w:rPr>
          <w:sz w:val="24"/>
        </w:rPr>
      </w:pPr>
      <w:r>
        <w:rPr>
          <w:sz w:val="24"/>
        </w:rPr>
        <w:t>Uncomplicated BUTI may be  present  in  dogs  that  are  considered healthy with  a</w:t>
      </w:r>
      <w:r>
        <w:rPr>
          <w:spacing w:val="-24"/>
          <w:sz w:val="24"/>
        </w:rPr>
        <w:t> </w:t>
      </w:r>
      <w:r>
        <w:rPr>
          <w:sz w:val="24"/>
        </w:rPr>
        <w:t>normal</w:t>
      </w:r>
    </w:p>
    <w:p>
      <w:pPr>
        <w:pStyle w:val="ListParagraph"/>
        <w:numPr>
          <w:ilvl w:val="0"/>
          <w:numId w:val="49"/>
        </w:numPr>
        <w:tabs>
          <w:tab w:pos="1132" w:val="left" w:leader="none"/>
          <w:tab w:pos="1133" w:val="left" w:leader="none"/>
        </w:tabs>
        <w:spacing w:line="258" w:lineRule="exact" w:before="0" w:after="0"/>
        <w:ind w:left="1132" w:right="0" w:hanging="972"/>
        <w:jc w:val="left"/>
        <w:rPr>
          <w:sz w:val="24"/>
        </w:rPr>
      </w:pPr>
      <w:r>
        <w:rPr>
          <w:sz w:val="24"/>
        </w:rPr>
        <w:t>physiology</w:t>
      </w:r>
      <w:r>
        <w:rPr>
          <w:spacing w:val="39"/>
          <w:sz w:val="24"/>
        </w:rPr>
        <w:t> </w:t>
      </w:r>
      <w:r>
        <w:rPr>
          <w:sz w:val="24"/>
        </w:rPr>
        <w:t>and</w:t>
      </w:r>
      <w:r>
        <w:rPr>
          <w:spacing w:val="39"/>
          <w:sz w:val="24"/>
        </w:rPr>
        <w:t> </w:t>
      </w:r>
      <w:r>
        <w:rPr>
          <w:sz w:val="24"/>
        </w:rPr>
        <w:t>anatomy</w:t>
      </w:r>
      <w:r>
        <w:rPr>
          <w:spacing w:val="39"/>
          <w:sz w:val="24"/>
        </w:rPr>
        <w:t> </w:t>
      </w:r>
      <w:r>
        <w:rPr>
          <w:sz w:val="24"/>
        </w:rPr>
        <w:t>of</w:t>
      </w:r>
      <w:r>
        <w:rPr>
          <w:spacing w:val="39"/>
          <w:sz w:val="24"/>
        </w:rPr>
        <w:t> </w:t>
      </w:r>
      <w:r>
        <w:rPr>
          <w:sz w:val="24"/>
        </w:rPr>
        <w:t>the</w:t>
      </w:r>
      <w:r>
        <w:rPr>
          <w:spacing w:val="41"/>
          <w:sz w:val="24"/>
        </w:rPr>
        <w:t> </w:t>
      </w:r>
      <w:r>
        <w:rPr>
          <w:sz w:val="24"/>
        </w:rPr>
        <w:t>urinary</w:t>
      </w:r>
      <w:r>
        <w:rPr>
          <w:spacing w:val="39"/>
          <w:sz w:val="24"/>
        </w:rPr>
        <w:t> </w:t>
      </w:r>
      <w:r>
        <w:rPr>
          <w:sz w:val="24"/>
        </w:rPr>
        <w:t>tract</w:t>
      </w:r>
      <w:r>
        <w:rPr>
          <w:spacing w:val="40"/>
          <w:sz w:val="24"/>
        </w:rPr>
        <w:t> </w:t>
      </w:r>
      <w:r>
        <w:rPr>
          <w:sz w:val="24"/>
        </w:rPr>
        <w:t>(Weese</w:t>
      </w:r>
      <w:r>
        <w:rPr>
          <w:spacing w:val="41"/>
          <w:sz w:val="24"/>
        </w:rPr>
        <w:t> </w:t>
      </w:r>
      <w:r>
        <w:rPr>
          <w:sz w:val="24"/>
        </w:rPr>
        <w:t>et</w:t>
      </w:r>
      <w:r>
        <w:rPr>
          <w:spacing w:val="38"/>
          <w:sz w:val="24"/>
        </w:rPr>
        <w:t> </w:t>
      </w:r>
      <w:r>
        <w:rPr>
          <w:sz w:val="24"/>
        </w:rPr>
        <w:t>al.</w:t>
      </w:r>
      <w:r>
        <w:rPr>
          <w:spacing w:val="39"/>
          <w:sz w:val="24"/>
        </w:rPr>
        <w:t> </w:t>
      </w:r>
      <w:r>
        <w:rPr>
          <w:sz w:val="24"/>
        </w:rPr>
        <w:t>2011).</w:t>
      </w:r>
      <w:r>
        <w:rPr>
          <w:spacing w:val="41"/>
          <w:sz w:val="24"/>
        </w:rPr>
        <w:t> </w:t>
      </w:r>
      <w:r>
        <w:rPr>
          <w:sz w:val="24"/>
        </w:rPr>
        <w:t>The</w:t>
      </w:r>
      <w:r>
        <w:rPr>
          <w:spacing w:val="40"/>
          <w:sz w:val="24"/>
        </w:rPr>
        <w:t> </w:t>
      </w:r>
      <w:r>
        <w:rPr>
          <w:sz w:val="24"/>
        </w:rPr>
        <w:t>presence</w:t>
      </w:r>
      <w:r>
        <w:rPr>
          <w:spacing w:val="41"/>
          <w:sz w:val="24"/>
        </w:rPr>
        <w:t> </w:t>
      </w:r>
      <w:r>
        <w:rPr>
          <w:sz w:val="24"/>
        </w:rPr>
        <w:t>of</w:t>
      </w:r>
      <w:r>
        <w:rPr>
          <w:spacing w:val="40"/>
          <w:sz w:val="24"/>
        </w:rPr>
        <w:t> </w:t>
      </w:r>
      <w:r>
        <w:rPr>
          <w:sz w:val="24"/>
        </w:rPr>
        <w:t>significant</w:t>
      </w:r>
    </w:p>
    <w:p>
      <w:pPr>
        <w:pStyle w:val="ListParagraph"/>
        <w:numPr>
          <w:ilvl w:val="0"/>
          <w:numId w:val="49"/>
        </w:numPr>
        <w:tabs>
          <w:tab w:pos="1132" w:val="left" w:leader="none"/>
          <w:tab w:pos="1133" w:val="left" w:leader="none"/>
        </w:tabs>
        <w:spacing w:line="261" w:lineRule="exact" w:before="0" w:after="0"/>
        <w:ind w:left="1132" w:right="0" w:hanging="972"/>
        <w:jc w:val="left"/>
        <w:rPr>
          <w:sz w:val="24"/>
        </w:rPr>
      </w:pPr>
      <w:r>
        <w:rPr>
          <w:sz w:val="24"/>
        </w:rPr>
        <w:t>comorbidities, such as diabetes mellitus, hyperadrenocorticism, chronic renal disease,   </w:t>
      </w:r>
      <w:r>
        <w:rPr>
          <w:spacing w:val="22"/>
          <w:sz w:val="24"/>
        </w:rPr>
        <w:t> </w:t>
      </w:r>
      <w:r>
        <w:rPr>
          <w:sz w:val="24"/>
        </w:rPr>
        <w:t>prostatic</w:t>
      </w:r>
    </w:p>
    <w:p>
      <w:pPr>
        <w:pStyle w:val="ListParagraph"/>
        <w:numPr>
          <w:ilvl w:val="0"/>
          <w:numId w:val="49"/>
        </w:numPr>
        <w:tabs>
          <w:tab w:pos="1132" w:val="left" w:leader="none"/>
          <w:tab w:pos="1133" w:val="left" w:leader="none"/>
        </w:tabs>
        <w:spacing w:line="256" w:lineRule="exact" w:before="0" w:after="0"/>
        <w:ind w:left="1132" w:right="0" w:hanging="972"/>
        <w:jc w:val="left"/>
        <w:rPr>
          <w:sz w:val="24"/>
        </w:rPr>
      </w:pPr>
      <w:r>
        <w:rPr>
          <w:sz w:val="24"/>
        </w:rPr>
        <w:t>disease, (Bailiff  2008, Lister et al. 2009), anatomic abnormalities of the urinary and</w:t>
      </w:r>
      <w:r>
        <w:rPr>
          <w:spacing w:val="11"/>
          <w:sz w:val="24"/>
        </w:rPr>
        <w:t> </w:t>
      </w:r>
      <w:r>
        <w:rPr>
          <w:sz w:val="24"/>
        </w:rPr>
        <w:t>reproductive</w:t>
      </w:r>
    </w:p>
    <w:p>
      <w:pPr>
        <w:pStyle w:val="ListParagraph"/>
        <w:numPr>
          <w:ilvl w:val="0"/>
          <w:numId w:val="49"/>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501747pt;width:11.15pt;height:10pt;mso-position-horizontal-relative:page;mso-position-vertical-relative:paragraph;z-index:-92752" type="#_x0000_t202" filled="false" stroked="false">
            <v:textbox inset="0,0,0,0">
              <w:txbxContent>
                <w:p>
                  <w:pPr>
                    <w:spacing w:line="196" w:lineRule="exact" w:before="0"/>
                    <w:ind w:left="0" w:right="-20" w:firstLine="0"/>
                    <w:jc w:val="left"/>
                    <w:rPr>
                      <w:sz w:val="20"/>
                    </w:rPr>
                  </w:pPr>
                  <w:r>
                    <w:rPr>
                      <w:sz w:val="20"/>
                    </w:rPr>
                    <w:t>43</w:t>
                  </w:r>
                </w:p>
              </w:txbxContent>
            </v:textbox>
            <w10:wrap type="none"/>
          </v:shape>
        </w:pict>
      </w:r>
      <w:r>
        <w:rPr>
          <w:sz w:val="24"/>
        </w:rPr>
        <w:t>tracts,</w:t>
      </w:r>
      <w:r>
        <w:rPr>
          <w:spacing w:val="11"/>
          <w:sz w:val="24"/>
        </w:rPr>
        <w:t> </w:t>
      </w:r>
      <w:r>
        <w:rPr>
          <w:sz w:val="24"/>
        </w:rPr>
        <w:t>or</w:t>
      </w:r>
      <w:r>
        <w:rPr>
          <w:spacing w:val="14"/>
          <w:sz w:val="24"/>
        </w:rPr>
        <w:t> </w:t>
      </w:r>
      <w:r>
        <w:rPr>
          <w:sz w:val="24"/>
        </w:rPr>
        <w:t>presentation</w:t>
      </w:r>
      <w:r>
        <w:rPr>
          <w:spacing w:val="13"/>
          <w:sz w:val="24"/>
        </w:rPr>
        <w:t> </w:t>
      </w:r>
      <w:r>
        <w:rPr>
          <w:sz w:val="24"/>
        </w:rPr>
        <w:t>of</w:t>
      </w:r>
      <w:r>
        <w:rPr>
          <w:spacing w:val="14"/>
          <w:sz w:val="24"/>
        </w:rPr>
        <w:t> </w:t>
      </w:r>
      <w:r>
        <w:rPr>
          <w:sz w:val="24"/>
        </w:rPr>
        <w:t>three</w:t>
      </w:r>
      <w:r>
        <w:rPr>
          <w:spacing w:val="15"/>
          <w:sz w:val="24"/>
        </w:rPr>
        <w:t> </w:t>
      </w:r>
      <w:r>
        <w:rPr>
          <w:sz w:val="24"/>
        </w:rPr>
        <w:t>or</w:t>
      </w:r>
      <w:r>
        <w:rPr>
          <w:spacing w:val="14"/>
          <w:sz w:val="24"/>
        </w:rPr>
        <w:t> </w:t>
      </w:r>
      <w:r>
        <w:rPr>
          <w:sz w:val="24"/>
        </w:rPr>
        <w:t>more</w:t>
      </w:r>
      <w:r>
        <w:rPr>
          <w:spacing w:val="15"/>
          <w:sz w:val="24"/>
        </w:rPr>
        <w:t> </w:t>
      </w:r>
      <w:r>
        <w:rPr>
          <w:sz w:val="24"/>
        </w:rPr>
        <w:t>episodes</w:t>
      </w:r>
      <w:r>
        <w:rPr>
          <w:spacing w:val="15"/>
          <w:sz w:val="24"/>
        </w:rPr>
        <w:t> </w:t>
      </w:r>
      <w:r>
        <w:rPr>
          <w:sz w:val="24"/>
        </w:rPr>
        <w:t>of</w:t>
      </w:r>
      <w:r>
        <w:rPr>
          <w:spacing w:val="14"/>
          <w:sz w:val="24"/>
        </w:rPr>
        <w:t> </w:t>
      </w:r>
      <w:r>
        <w:rPr>
          <w:sz w:val="24"/>
        </w:rPr>
        <w:t>infection</w:t>
      </w:r>
      <w:r>
        <w:rPr>
          <w:spacing w:val="15"/>
          <w:sz w:val="24"/>
        </w:rPr>
        <w:t> </w:t>
      </w:r>
      <w:r>
        <w:rPr>
          <w:sz w:val="24"/>
        </w:rPr>
        <w:t>per</w:t>
      </w:r>
      <w:r>
        <w:rPr>
          <w:spacing w:val="14"/>
          <w:sz w:val="24"/>
        </w:rPr>
        <w:t> </w:t>
      </w:r>
      <w:r>
        <w:rPr>
          <w:sz w:val="24"/>
        </w:rPr>
        <w:t>year,</w:t>
      </w:r>
      <w:r>
        <w:rPr>
          <w:spacing w:val="16"/>
          <w:sz w:val="24"/>
        </w:rPr>
        <w:t> </w:t>
      </w:r>
      <w:r>
        <w:rPr>
          <w:sz w:val="24"/>
        </w:rPr>
        <w:t>refer</w:t>
      </w:r>
      <w:r>
        <w:rPr>
          <w:spacing w:val="14"/>
          <w:sz w:val="24"/>
        </w:rPr>
        <w:t> </w:t>
      </w:r>
      <w:r>
        <w:rPr>
          <w:sz w:val="24"/>
        </w:rPr>
        <w:t>to</w:t>
      </w:r>
      <w:r>
        <w:rPr>
          <w:spacing w:val="15"/>
          <w:sz w:val="24"/>
        </w:rPr>
        <w:t> </w:t>
      </w:r>
      <w:r>
        <w:rPr>
          <w:sz w:val="24"/>
        </w:rPr>
        <w:t>a</w:t>
      </w:r>
      <w:r>
        <w:rPr>
          <w:spacing w:val="15"/>
          <w:sz w:val="24"/>
        </w:rPr>
        <w:t> </w:t>
      </w:r>
      <w:r>
        <w:rPr>
          <w:sz w:val="24"/>
        </w:rPr>
        <w:t>complicated</w:t>
      </w:r>
      <w:r>
        <w:rPr>
          <w:spacing w:val="14"/>
          <w:sz w:val="24"/>
        </w:rPr>
        <w:t> </w:t>
      </w:r>
      <w:r>
        <w:rPr>
          <w:sz w:val="24"/>
        </w:rPr>
        <w:t>or</w:t>
      </w:r>
    </w:p>
    <w:p>
      <w:pPr>
        <w:pStyle w:val="ListParagraph"/>
        <w:numPr>
          <w:ilvl w:val="0"/>
          <w:numId w:val="50"/>
        </w:numPr>
        <w:tabs>
          <w:tab w:pos="1132" w:val="left" w:leader="none"/>
          <w:tab w:pos="1133" w:val="left" w:leader="none"/>
        </w:tabs>
        <w:spacing w:line="292" w:lineRule="exact" w:before="0" w:after="0"/>
        <w:ind w:left="1132" w:right="0" w:hanging="972"/>
        <w:jc w:val="left"/>
        <w:rPr>
          <w:sz w:val="24"/>
        </w:rPr>
      </w:pPr>
      <w:r>
        <w:rPr>
          <w:sz w:val="24"/>
        </w:rPr>
        <w:t>recurrent</w:t>
      </w:r>
      <w:r>
        <w:rPr>
          <w:spacing w:val="19"/>
          <w:sz w:val="24"/>
        </w:rPr>
        <w:t> </w:t>
      </w:r>
      <w:r>
        <w:rPr>
          <w:sz w:val="24"/>
        </w:rPr>
        <w:t>BUTI</w:t>
      </w:r>
      <w:r>
        <w:rPr>
          <w:spacing w:val="18"/>
          <w:sz w:val="24"/>
        </w:rPr>
        <w:t> </w:t>
      </w:r>
      <w:r>
        <w:rPr>
          <w:sz w:val="24"/>
        </w:rPr>
        <w:t>(Weese</w:t>
      </w:r>
      <w:r>
        <w:rPr>
          <w:spacing w:val="22"/>
          <w:sz w:val="24"/>
        </w:rPr>
        <w:t> </w:t>
      </w:r>
      <w:r>
        <w:rPr>
          <w:sz w:val="24"/>
        </w:rPr>
        <w:t>et</w:t>
      </w:r>
      <w:r>
        <w:rPr>
          <w:spacing w:val="19"/>
          <w:sz w:val="24"/>
        </w:rPr>
        <w:t> </w:t>
      </w:r>
      <w:r>
        <w:rPr>
          <w:sz w:val="24"/>
        </w:rPr>
        <w:t>al.</w:t>
      </w:r>
      <w:r>
        <w:rPr>
          <w:spacing w:val="20"/>
          <w:sz w:val="24"/>
        </w:rPr>
        <w:t> </w:t>
      </w:r>
      <w:r>
        <w:rPr>
          <w:sz w:val="24"/>
        </w:rPr>
        <w:t>2011).</w:t>
      </w:r>
      <w:r>
        <w:rPr>
          <w:spacing w:val="18"/>
          <w:sz w:val="24"/>
        </w:rPr>
        <w:t> </w:t>
      </w:r>
      <w:r>
        <w:rPr>
          <w:sz w:val="24"/>
        </w:rPr>
        <w:t>In</w:t>
      </w:r>
      <w:r>
        <w:rPr>
          <w:spacing w:val="20"/>
          <w:sz w:val="24"/>
        </w:rPr>
        <w:t> </w:t>
      </w:r>
      <w:r>
        <w:rPr>
          <w:sz w:val="24"/>
        </w:rPr>
        <w:t>our</w:t>
      </w:r>
      <w:r>
        <w:rPr>
          <w:spacing w:val="19"/>
          <w:sz w:val="24"/>
        </w:rPr>
        <w:t> </w:t>
      </w:r>
      <w:r>
        <w:rPr>
          <w:sz w:val="24"/>
        </w:rPr>
        <w:t>study,</w:t>
      </w:r>
      <w:r>
        <w:rPr>
          <w:spacing w:val="20"/>
          <w:sz w:val="24"/>
        </w:rPr>
        <w:t> </w:t>
      </w:r>
      <w:r>
        <w:rPr>
          <w:sz w:val="24"/>
        </w:rPr>
        <w:t>45.45%</w:t>
      </w:r>
      <w:r>
        <w:rPr>
          <w:spacing w:val="20"/>
          <w:sz w:val="24"/>
        </w:rPr>
        <w:t> </w:t>
      </w:r>
      <w:r>
        <w:rPr>
          <w:sz w:val="24"/>
        </w:rPr>
        <w:t>of</w:t>
      </w:r>
      <w:r>
        <w:rPr>
          <w:spacing w:val="18"/>
          <w:sz w:val="24"/>
        </w:rPr>
        <w:t> </w:t>
      </w:r>
      <w:r>
        <w:rPr>
          <w:sz w:val="24"/>
        </w:rPr>
        <w:t>the</w:t>
      </w:r>
      <w:r>
        <w:rPr>
          <w:spacing w:val="20"/>
          <w:sz w:val="24"/>
        </w:rPr>
        <w:t> </w:t>
      </w:r>
      <w:r>
        <w:rPr>
          <w:sz w:val="24"/>
        </w:rPr>
        <w:t>cases</w:t>
      </w:r>
      <w:r>
        <w:rPr>
          <w:spacing w:val="19"/>
          <w:sz w:val="24"/>
        </w:rPr>
        <w:t> </w:t>
      </w:r>
      <w:r>
        <w:rPr>
          <w:sz w:val="24"/>
        </w:rPr>
        <w:t>presented</w:t>
      </w:r>
      <w:r>
        <w:rPr>
          <w:spacing w:val="18"/>
          <w:sz w:val="24"/>
        </w:rPr>
        <w:t> </w:t>
      </w:r>
      <w:r>
        <w:rPr>
          <w:sz w:val="24"/>
        </w:rPr>
        <w:t>a</w:t>
      </w:r>
      <w:r>
        <w:rPr>
          <w:spacing w:val="20"/>
          <w:sz w:val="24"/>
        </w:rPr>
        <w:t> </w:t>
      </w:r>
      <w:r>
        <w:rPr>
          <w:sz w:val="24"/>
        </w:rPr>
        <w:t>complicated</w:t>
      </w:r>
    </w:p>
    <w:p>
      <w:pPr>
        <w:pStyle w:val="ListParagraph"/>
        <w:numPr>
          <w:ilvl w:val="0"/>
          <w:numId w:val="50"/>
        </w:numPr>
        <w:tabs>
          <w:tab w:pos="1132" w:val="left" w:leader="none"/>
          <w:tab w:pos="1133" w:val="left" w:leader="none"/>
        </w:tabs>
        <w:spacing w:line="263" w:lineRule="exact" w:before="0" w:after="0"/>
        <w:ind w:left="1132" w:right="0" w:hanging="972"/>
        <w:jc w:val="left"/>
        <w:rPr>
          <w:sz w:val="24"/>
        </w:rPr>
      </w:pPr>
      <w:r>
        <w:rPr>
          <w:sz w:val="24"/>
        </w:rPr>
        <w:t>BUTI  associated  with   other  urinary  or  systemic   comorbidities,   including  prostate   </w:t>
      </w:r>
      <w:r>
        <w:rPr>
          <w:spacing w:val="2"/>
          <w:sz w:val="24"/>
        </w:rPr>
        <w:t> </w:t>
      </w:r>
      <w:r>
        <w:rPr>
          <w:sz w:val="24"/>
        </w:rPr>
        <w:t>disease,</w:t>
      </w:r>
    </w:p>
    <w:p>
      <w:pPr>
        <w:pStyle w:val="ListParagraph"/>
        <w:numPr>
          <w:ilvl w:val="0"/>
          <w:numId w:val="50"/>
        </w:numPr>
        <w:tabs>
          <w:tab w:pos="1132" w:val="left" w:leader="none"/>
          <w:tab w:pos="1133" w:val="left" w:leader="none"/>
        </w:tabs>
        <w:spacing w:line="256" w:lineRule="exact" w:before="0" w:after="0"/>
        <w:ind w:left="1132" w:right="0" w:hanging="972"/>
        <w:jc w:val="left"/>
        <w:rPr>
          <w:sz w:val="24"/>
        </w:rPr>
      </w:pPr>
      <w:r>
        <w:rPr>
          <w:sz w:val="24"/>
        </w:rPr>
        <w:t>micturition  disorder,  or  urolithiasis,  as  well  as  systemic  diseases,  such  as    </w:t>
      </w:r>
      <w:r>
        <w:rPr>
          <w:spacing w:val="17"/>
          <w:sz w:val="24"/>
        </w:rPr>
        <w:t> </w:t>
      </w:r>
      <w:r>
        <w:rPr>
          <w:sz w:val="24"/>
        </w:rPr>
        <w:t>hypothyroidism,</w:t>
      </w:r>
    </w:p>
    <w:p>
      <w:pPr>
        <w:pStyle w:val="ListParagraph"/>
        <w:numPr>
          <w:ilvl w:val="0"/>
          <w:numId w:val="50"/>
        </w:numPr>
        <w:tabs>
          <w:tab w:pos="1132" w:val="left" w:leader="none"/>
          <w:tab w:pos="1133" w:val="left" w:leader="none"/>
        </w:tabs>
        <w:spacing w:line="256" w:lineRule="exact" w:before="0" w:after="0"/>
        <w:ind w:left="1132" w:right="0" w:hanging="972"/>
        <w:jc w:val="left"/>
        <w:rPr>
          <w:sz w:val="24"/>
        </w:rPr>
      </w:pPr>
      <w:r>
        <w:rPr>
          <w:sz w:val="24"/>
        </w:rPr>
        <w:t>diabetes  mellitus,  pyometra,  and  urethral  catheter  placement.  We did  not  perform  any</w:t>
      </w:r>
      <w:r>
        <w:rPr>
          <w:spacing w:val="-5"/>
          <w:sz w:val="24"/>
        </w:rPr>
        <w:t> </w:t>
      </w:r>
      <w:r>
        <w:rPr>
          <w:sz w:val="24"/>
        </w:rPr>
        <w:t>urine</w:t>
      </w:r>
    </w:p>
    <w:p>
      <w:pPr>
        <w:pStyle w:val="ListParagraph"/>
        <w:numPr>
          <w:ilvl w:val="0"/>
          <w:numId w:val="50"/>
        </w:numPr>
        <w:tabs>
          <w:tab w:pos="1132" w:val="left" w:leader="none"/>
          <w:tab w:pos="1133" w:val="left" w:leader="none"/>
        </w:tabs>
        <w:spacing w:line="341" w:lineRule="exact" w:before="0" w:after="0"/>
        <w:ind w:left="1132" w:right="0" w:hanging="972"/>
        <w:jc w:val="left"/>
        <w:rPr>
          <w:sz w:val="24"/>
        </w:rPr>
      </w:pPr>
      <w:r>
        <w:rPr/>
        <w:pict>
          <v:shape style="position:absolute;margin-left:8pt;margin-top:10.43374pt;width:11.15pt;height:10pt;mso-position-horizontal-relative:page;mso-position-vertical-relative:paragraph;z-index:-92728" type="#_x0000_t202" filled="false" stroked="false">
            <v:textbox inset="0,0,0,0">
              <w:txbxContent>
                <w:p>
                  <w:pPr>
                    <w:spacing w:line="196" w:lineRule="exact" w:before="0"/>
                    <w:ind w:left="0" w:right="-20" w:firstLine="0"/>
                    <w:jc w:val="left"/>
                    <w:rPr>
                      <w:sz w:val="20"/>
                    </w:rPr>
                  </w:pPr>
                  <w:r>
                    <w:rPr>
                      <w:sz w:val="20"/>
                    </w:rPr>
                    <w:t>49</w:t>
                  </w:r>
                </w:p>
              </w:txbxContent>
            </v:textbox>
            <w10:wrap type="none"/>
          </v:shape>
        </w:pict>
      </w:r>
      <w:r>
        <w:rPr>
          <w:sz w:val="24"/>
        </w:rPr>
        <w:t>cultures  because   we   had  no  cases  of  recurrent  BUTI,   such  as  relapses,   reinfections,       </w:t>
      </w:r>
      <w:r>
        <w:rPr>
          <w:spacing w:val="22"/>
          <w:sz w:val="24"/>
        </w:rPr>
        <w:t> </w:t>
      </w:r>
      <w:r>
        <w:rPr>
          <w:sz w:val="24"/>
        </w:rPr>
        <w:t>or</w:t>
      </w:r>
    </w:p>
    <w:p>
      <w:pPr>
        <w:pStyle w:val="ListParagraph"/>
        <w:numPr>
          <w:ilvl w:val="0"/>
          <w:numId w:val="51"/>
        </w:numPr>
        <w:tabs>
          <w:tab w:pos="1132" w:val="left" w:leader="none"/>
          <w:tab w:pos="1133" w:val="left" w:leader="none"/>
        </w:tabs>
        <w:spacing w:line="291" w:lineRule="exact" w:before="2" w:after="0"/>
        <w:ind w:left="1132" w:right="0" w:hanging="972"/>
        <w:jc w:val="left"/>
        <w:rPr>
          <w:sz w:val="24"/>
        </w:rPr>
      </w:pPr>
      <w:r>
        <w:rPr>
          <w:sz w:val="24"/>
        </w:rPr>
        <w:t>superinfections, possibly because patients were submitted for consultation to our hospital </w:t>
      </w:r>
      <w:r>
        <w:rPr>
          <w:spacing w:val="39"/>
          <w:sz w:val="24"/>
        </w:rPr>
        <w:t> </w:t>
      </w:r>
      <w:r>
        <w:rPr>
          <w:sz w:val="24"/>
        </w:rPr>
        <w:t>when</w:t>
      </w:r>
    </w:p>
    <w:p>
      <w:pPr>
        <w:pStyle w:val="ListParagraph"/>
        <w:numPr>
          <w:ilvl w:val="0"/>
          <w:numId w:val="51"/>
        </w:numPr>
        <w:tabs>
          <w:tab w:pos="1132" w:val="left" w:leader="none"/>
          <w:tab w:pos="1133" w:val="left" w:leader="none"/>
        </w:tabs>
        <w:spacing w:line="257" w:lineRule="exact" w:before="0" w:after="0"/>
        <w:ind w:left="1132" w:right="0" w:hanging="972"/>
        <w:jc w:val="left"/>
        <w:rPr>
          <w:sz w:val="24"/>
        </w:rPr>
      </w:pPr>
      <w:r>
        <w:rPr>
          <w:sz w:val="24"/>
        </w:rPr>
        <w:t>clinical signs began, and hence were considered acute</w:t>
      </w:r>
      <w:r>
        <w:rPr>
          <w:spacing w:val="-24"/>
          <w:sz w:val="24"/>
        </w:rPr>
        <w:t> </w:t>
      </w:r>
      <w:r>
        <w:rPr>
          <w:sz w:val="24"/>
        </w:rPr>
        <w:t>cases.</w:t>
      </w:r>
    </w:p>
    <w:p>
      <w:pPr>
        <w:spacing w:line="214" w:lineRule="exact" w:before="0"/>
        <w:ind w:left="160" w:right="0" w:firstLine="0"/>
        <w:jc w:val="left"/>
        <w:rPr>
          <w:sz w:val="20"/>
        </w:rPr>
      </w:pPr>
      <w:r>
        <w:rPr>
          <w:sz w:val="20"/>
        </w:rPr>
        <w:t>52</w:t>
      </w:r>
    </w:p>
    <w:p>
      <w:pPr>
        <w:pStyle w:val="ListParagraph"/>
        <w:numPr>
          <w:ilvl w:val="0"/>
          <w:numId w:val="52"/>
        </w:numPr>
        <w:tabs>
          <w:tab w:pos="1840" w:val="left" w:leader="none"/>
          <w:tab w:pos="1841" w:val="left" w:leader="none"/>
        </w:tabs>
        <w:spacing w:line="257" w:lineRule="exact" w:before="0" w:after="0"/>
        <w:ind w:left="1840" w:right="0" w:hanging="1680"/>
        <w:jc w:val="left"/>
        <w:rPr>
          <w:sz w:val="24"/>
        </w:rPr>
      </w:pPr>
      <w:r>
        <w:rPr>
          <w:sz w:val="24"/>
        </w:rPr>
        <w:t>Normal micturition is defined as alternating phases of storage and emptying of the</w:t>
      </w:r>
      <w:r>
        <w:rPr>
          <w:spacing w:val="-19"/>
          <w:sz w:val="24"/>
        </w:rPr>
        <w:t> </w:t>
      </w:r>
      <w:r>
        <w:rPr>
          <w:sz w:val="24"/>
        </w:rPr>
        <w:t>urinary</w:t>
      </w:r>
    </w:p>
    <w:p>
      <w:pPr>
        <w:pStyle w:val="ListParagraph"/>
        <w:numPr>
          <w:ilvl w:val="0"/>
          <w:numId w:val="52"/>
        </w:numPr>
        <w:tabs>
          <w:tab w:pos="1132" w:val="left" w:leader="none"/>
          <w:tab w:pos="1133" w:val="left" w:leader="none"/>
        </w:tabs>
        <w:spacing w:line="262" w:lineRule="exact" w:before="0" w:after="0"/>
        <w:ind w:left="1132" w:right="0" w:hanging="972"/>
        <w:jc w:val="left"/>
        <w:rPr>
          <w:sz w:val="24"/>
        </w:rPr>
      </w:pPr>
      <w:r>
        <w:rPr>
          <w:sz w:val="24"/>
        </w:rPr>
        <w:t>bladder.  Micturition  disorders  present  as  two  groups  of  problems  that  affect  the  process</w:t>
      </w:r>
      <w:r>
        <w:rPr>
          <w:spacing w:val="40"/>
          <w:sz w:val="24"/>
        </w:rPr>
        <w:t> </w:t>
      </w:r>
      <w:r>
        <w:rPr>
          <w:sz w:val="24"/>
        </w:rPr>
        <w:t>of</w:t>
      </w:r>
    </w:p>
    <w:p>
      <w:pPr>
        <w:pStyle w:val="ListParagraph"/>
        <w:numPr>
          <w:ilvl w:val="0"/>
          <w:numId w:val="52"/>
        </w:numPr>
        <w:tabs>
          <w:tab w:pos="1132" w:val="left" w:leader="none"/>
          <w:tab w:pos="1133" w:val="left" w:leader="none"/>
        </w:tabs>
        <w:spacing w:line="256" w:lineRule="exact" w:before="0" w:after="0"/>
        <w:ind w:left="1132" w:right="0" w:hanging="972"/>
        <w:jc w:val="left"/>
        <w:rPr>
          <w:sz w:val="24"/>
        </w:rPr>
      </w:pPr>
      <w:r>
        <w:rPr>
          <w:sz w:val="24"/>
        </w:rPr>
        <w:t>normal micturition: urinary retention (alteration in emptying of the urinary bladder) and</w:t>
      </w:r>
      <w:r>
        <w:rPr>
          <w:spacing w:val="-15"/>
          <w:sz w:val="24"/>
        </w:rPr>
        <w:t> </w:t>
      </w:r>
      <w:r>
        <w:rPr>
          <w:sz w:val="24"/>
        </w:rPr>
        <w:t>urinary</w:t>
      </w:r>
    </w:p>
    <w:p>
      <w:pPr>
        <w:spacing w:line="115" w:lineRule="exact" w:before="0"/>
        <w:ind w:left="160" w:right="0" w:firstLine="0"/>
        <w:jc w:val="left"/>
        <w:rPr>
          <w:sz w:val="20"/>
        </w:rPr>
      </w:pPr>
      <w:r>
        <w:rPr>
          <w:sz w:val="20"/>
        </w:rPr>
        <w:t>56</w:t>
      </w:r>
    </w:p>
    <w:p>
      <w:pPr>
        <w:pStyle w:val="ListParagraph"/>
        <w:numPr>
          <w:ilvl w:val="0"/>
          <w:numId w:val="53"/>
        </w:numPr>
        <w:tabs>
          <w:tab w:pos="1132" w:val="left" w:leader="none"/>
          <w:tab w:pos="1133" w:val="left" w:leader="none"/>
        </w:tabs>
        <w:spacing w:line="253" w:lineRule="exact" w:before="0" w:after="0"/>
        <w:ind w:left="1132" w:right="0" w:hanging="972"/>
        <w:jc w:val="left"/>
        <w:rPr>
          <w:sz w:val="24"/>
        </w:rPr>
      </w:pPr>
      <w:r>
        <w:rPr>
          <w:sz w:val="24"/>
        </w:rPr>
        <w:t>incontinence</w:t>
      </w:r>
      <w:r>
        <w:rPr>
          <w:spacing w:val="31"/>
          <w:sz w:val="24"/>
        </w:rPr>
        <w:t> </w:t>
      </w:r>
      <w:r>
        <w:rPr>
          <w:sz w:val="24"/>
        </w:rPr>
        <w:t>(inability</w:t>
      </w:r>
      <w:r>
        <w:rPr>
          <w:spacing w:val="27"/>
          <w:sz w:val="24"/>
        </w:rPr>
        <w:t> </w:t>
      </w:r>
      <w:r>
        <w:rPr>
          <w:sz w:val="24"/>
        </w:rPr>
        <w:t>to</w:t>
      </w:r>
      <w:r>
        <w:rPr>
          <w:spacing w:val="30"/>
          <w:sz w:val="24"/>
        </w:rPr>
        <w:t> </w:t>
      </w:r>
      <w:r>
        <w:rPr>
          <w:sz w:val="24"/>
        </w:rPr>
        <w:t>hold</w:t>
      </w:r>
      <w:r>
        <w:rPr>
          <w:spacing w:val="32"/>
          <w:sz w:val="24"/>
        </w:rPr>
        <w:t> </w:t>
      </w:r>
      <w:r>
        <w:rPr>
          <w:sz w:val="24"/>
        </w:rPr>
        <w:t>urine</w:t>
      </w:r>
      <w:r>
        <w:rPr>
          <w:spacing w:val="31"/>
          <w:sz w:val="24"/>
        </w:rPr>
        <w:t> </w:t>
      </w:r>
      <w:r>
        <w:rPr>
          <w:sz w:val="24"/>
        </w:rPr>
        <w:t>in</w:t>
      </w:r>
      <w:r>
        <w:rPr>
          <w:spacing w:val="31"/>
          <w:sz w:val="24"/>
        </w:rPr>
        <w:t> </w:t>
      </w:r>
      <w:r>
        <w:rPr>
          <w:sz w:val="24"/>
        </w:rPr>
        <w:t>the</w:t>
      </w:r>
      <w:r>
        <w:rPr>
          <w:spacing w:val="31"/>
          <w:sz w:val="24"/>
        </w:rPr>
        <w:t> </w:t>
      </w:r>
      <w:r>
        <w:rPr>
          <w:sz w:val="24"/>
        </w:rPr>
        <w:t>bladder</w:t>
      </w:r>
      <w:r>
        <w:rPr>
          <w:spacing w:val="30"/>
          <w:sz w:val="24"/>
        </w:rPr>
        <w:t> </w:t>
      </w:r>
      <w:r>
        <w:rPr>
          <w:sz w:val="24"/>
        </w:rPr>
        <w:t>between</w:t>
      </w:r>
      <w:r>
        <w:rPr>
          <w:spacing w:val="31"/>
          <w:sz w:val="24"/>
        </w:rPr>
        <w:t> </w:t>
      </w:r>
      <w:r>
        <w:rPr>
          <w:sz w:val="24"/>
        </w:rPr>
        <w:t>micturition</w:t>
      </w:r>
      <w:r>
        <w:rPr>
          <w:spacing w:val="31"/>
          <w:sz w:val="24"/>
        </w:rPr>
        <w:t> </w:t>
      </w:r>
      <w:r>
        <w:rPr>
          <w:sz w:val="24"/>
        </w:rPr>
        <w:t>periods).</w:t>
      </w:r>
      <w:r>
        <w:rPr>
          <w:spacing w:val="31"/>
          <w:sz w:val="24"/>
        </w:rPr>
        <w:t> </w:t>
      </w:r>
      <w:r>
        <w:rPr>
          <w:sz w:val="24"/>
        </w:rPr>
        <w:t>In</w:t>
      </w:r>
      <w:r>
        <w:rPr>
          <w:spacing w:val="31"/>
          <w:sz w:val="24"/>
        </w:rPr>
        <w:t> </w:t>
      </w:r>
      <w:r>
        <w:rPr>
          <w:sz w:val="24"/>
        </w:rPr>
        <w:t>both,</w:t>
      </w:r>
      <w:r>
        <w:rPr>
          <w:spacing w:val="31"/>
          <w:sz w:val="24"/>
        </w:rPr>
        <w:t> </w:t>
      </w:r>
      <w:r>
        <w:rPr>
          <w:sz w:val="24"/>
        </w:rPr>
        <w:t>the</w:t>
      </w:r>
    </w:p>
    <w:p>
      <w:pPr>
        <w:pStyle w:val="ListParagraph"/>
        <w:numPr>
          <w:ilvl w:val="0"/>
          <w:numId w:val="53"/>
        </w:numPr>
        <w:tabs>
          <w:tab w:pos="1132" w:val="left" w:leader="none"/>
          <w:tab w:pos="1133" w:val="left" w:leader="none"/>
        </w:tabs>
        <w:spacing w:line="259" w:lineRule="exact" w:before="0" w:after="0"/>
        <w:ind w:left="1132" w:right="0" w:hanging="972"/>
        <w:jc w:val="left"/>
        <w:rPr>
          <w:sz w:val="24"/>
        </w:rPr>
      </w:pPr>
      <w:r>
        <w:rPr>
          <w:position w:val="1"/>
          <w:sz w:val="24"/>
        </w:rPr>
        <w:t>source</w:t>
      </w:r>
      <w:r>
        <w:rPr>
          <w:spacing w:val="28"/>
          <w:position w:val="1"/>
          <w:sz w:val="24"/>
        </w:rPr>
        <w:t> </w:t>
      </w:r>
      <w:r>
        <w:rPr>
          <w:position w:val="1"/>
          <w:sz w:val="24"/>
        </w:rPr>
        <w:t>of</w:t>
      </w:r>
      <w:r>
        <w:rPr>
          <w:spacing w:val="30"/>
          <w:position w:val="1"/>
          <w:sz w:val="24"/>
        </w:rPr>
        <w:t> </w:t>
      </w:r>
      <w:r>
        <w:rPr>
          <w:position w:val="1"/>
          <w:sz w:val="24"/>
        </w:rPr>
        <w:t>the</w:t>
      </w:r>
      <w:r>
        <w:rPr>
          <w:spacing w:val="28"/>
          <w:position w:val="1"/>
          <w:sz w:val="24"/>
        </w:rPr>
        <w:t> </w:t>
      </w:r>
      <w:r>
        <w:rPr>
          <w:position w:val="1"/>
          <w:sz w:val="24"/>
        </w:rPr>
        <w:t>injury</w:t>
      </w:r>
      <w:r>
        <w:rPr>
          <w:spacing w:val="29"/>
          <w:position w:val="1"/>
          <w:sz w:val="24"/>
        </w:rPr>
        <w:t> </w:t>
      </w:r>
      <w:r>
        <w:rPr>
          <w:position w:val="1"/>
          <w:sz w:val="24"/>
        </w:rPr>
        <w:t>may</w:t>
      </w:r>
      <w:r>
        <w:rPr>
          <w:spacing w:val="27"/>
          <w:position w:val="1"/>
          <w:sz w:val="24"/>
        </w:rPr>
        <w:t> </w:t>
      </w:r>
      <w:r>
        <w:rPr>
          <w:position w:val="1"/>
          <w:sz w:val="24"/>
        </w:rPr>
        <w:t>have</w:t>
      </w:r>
      <w:r>
        <w:rPr>
          <w:spacing w:val="28"/>
          <w:position w:val="1"/>
          <w:sz w:val="24"/>
        </w:rPr>
        <w:t> </w:t>
      </w:r>
      <w:r>
        <w:rPr>
          <w:position w:val="1"/>
          <w:sz w:val="24"/>
        </w:rPr>
        <w:t>a</w:t>
      </w:r>
      <w:r>
        <w:rPr>
          <w:spacing w:val="31"/>
          <w:position w:val="1"/>
          <w:sz w:val="24"/>
        </w:rPr>
        <w:t> </w:t>
      </w:r>
      <w:r>
        <w:rPr>
          <w:position w:val="1"/>
          <w:sz w:val="24"/>
        </w:rPr>
        <w:t>neurological</w:t>
      </w:r>
      <w:r>
        <w:rPr>
          <w:spacing w:val="27"/>
          <w:position w:val="1"/>
          <w:sz w:val="24"/>
        </w:rPr>
        <w:t> </w:t>
      </w:r>
      <w:r>
        <w:rPr>
          <w:position w:val="1"/>
          <w:sz w:val="24"/>
        </w:rPr>
        <w:t>or</w:t>
      </w:r>
      <w:r>
        <w:rPr>
          <w:spacing w:val="27"/>
          <w:position w:val="1"/>
          <w:sz w:val="24"/>
        </w:rPr>
        <w:t> </w:t>
      </w:r>
      <w:r>
        <w:rPr>
          <w:position w:val="1"/>
          <w:sz w:val="24"/>
        </w:rPr>
        <w:t>non-neurological</w:t>
      </w:r>
      <w:r>
        <w:rPr>
          <w:spacing w:val="30"/>
          <w:position w:val="1"/>
          <w:sz w:val="24"/>
        </w:rPr>
        <w:t> </w:t>
      </w:r>
      <w:r>
        <w:rPr>
          <w:position w:val="1"/>
          <w:sz w:val="24"/>
        </w:rPr>
        <w:t>origin</w:t>
      </w:r>
      <w:r>
        <w:rPr>
          <w:spacing w:val="28"/>
          <w:position w:val="1"/>
          <w:sz w:val="24"/>
        </w:rPr>
        <w:t> </w:t>
      </w:r>
      <w:r>
        <w:rPr>
          <w:position w:val="1"/>
          <w:sz w:val="24"/>
        </w:rPr>
        <w:t>(Labato</w:t>
      </w:r>
      <w:r>
        <w:rPr>
          <w:spacing w:val="28"/>
          <w:position w:val="1"/>
          <w:sz w:val="24"/>
        </w:rPr>
        <w:t> </w:t>
      </w:r>
      <w:r>
        <w:rPr>
          <w:position w:val="1"/>
          <w:sz w:val="24"/>
        </w:rPr>
        <w:t>2005).</w:t>
      </w:r>
      <w:r>
        <w:rPr>
          <w:spacing w:val="29"/>
          <w:position w:val="1"/>
          <w:sz w:val="24"/>
        </w:rPr>
        <w:t> </w:t>
      </w:r>
      <w:r>
        <w:rPr>
          <w:position w:val="1"/>
          <w:sz w:val="24"/>
        </w:rPr>
        <w:t>In</w:t>
      </w:r>
      <w:r>
        <w:rPr>
          <w:spacing w:val="31"/>
          <w:position w:val="1"/>
          <w:sz w:val="24"/>
        </w:rPr>
        <w:t> </w:t>
      </w:r>
      <w:r>
        <w:rPr>
          <w:position w:val="1"/>
          <w:sz w:val="24"/>
        </w:rPr>
        <w:t>our</w:t>
      </w:r>
    </w:p>
    <w:p>
      <w:pPr>
        <w:spacing w:after="0" w:line="259" w:lineRule="exact"/>
        <w:jc w:val="left"/>
        <w:rPr>
          <w:sz w:val="24"/>
        </w:rPr>
        <w:sectPr>
          <w:headerReference w:type="default" r:id="rId61"/>
          <w:footerReference w:type="default" r:id="rId62"/>
          <w:pgSz w:w="12240" w:h="15840"/>
          <w:pgMar w:header="0" w:footer="1150" w:top="140" w:bottom="1340" w:left="0" w:right="1020"/>
        </w:sectPr>
      </w:pPr>
    </w:p>
    <w:p>
      <w:pPr>
        <w:tabs>
          <w:tab w:pos="10912" w:val="left" w:leader="none"/>
        </w:tabs>
        <w:spacing w:before="56"/>
        <w:ind w:left="4652" w:right="0" w:firstLine="0"/>
        <w:jc w:val="left"/>
        <w:rPr>
          <w:b/>
          <w:sz w:val="20"/>
        </w:rPr>
      </w:pPr>
      <w:r>
        <w:rPr>
          <w:b/>
          <w:sz w:val="20"/>
        </w:rPr>
        <w:t>Pesquisa</w:t>
      </w:r>
      <w:r>
        <w:rPr>
          <w:b/>
          <w:spacing w:val="-3"/>
          <w:sz w:val="20"/>
        </w:rPr>
        <w:t> </w:t>
      </w:r>
      <w:r>
        <w:rPr>
          <w:b/>
          <w:sz w:val="20"/>
        </w:rPr>
        <w:t>Veterinária</w:t>
      </w:r>
      <w:r>
        <w:rPr>
          <w:b/>
          <w:spacing w:val="-4"/>
          <w:sz w:val="20"/>
        </w:rPr>
        <w:t> </w:t>
      </w:r>
      <w:r>
        <w:rPr>
          <w:b/>
          <w:sz w:val="20"/>
        </w:rPr>
        <w:t>Brasileira</w:t>
        <w:tab/>
        <w:t>Page 6 of</w:t>
      </w:r>
      <w:r>
        <w:rPr>
          <w:b/>
          <w:spacing w:val="-2"/>
          <w:sz w:val="20"/>
        </w:rPr>
        <w:t> </w:t>
      </w:r>
      <w:r>
        <w:rPr>
          <w:b/>
          <w:sz w:val="20"/>
        </w:rPr>
        <w:t>13</w:t>
      </w:r>
    </w:p>
    <w:p>
      <w:pPr>
        <w:pStyle w:val="BodyText"/>
        <w:spacing w:before="4"/>
        <w:rPr>
          <w:b/>
          <w:sz w:val="19"/>
        </w:rPr>
      </w:pPr>
    </w:p>
    <w:p>
      <w:pPr>
        <w:spacing w:line="230" w:lineRule="exact" w:before="56"/>
        <w:ind w:left="0" w:right="1091" w:firstLine="0"/>
        <w:jc w:val="right"/>
        <w:rPr>
          <w:rFonts w:ascii="Calibri"/>
          <w:sz w:val="22"/>
        </w:rPr>
      </w:pPr>
      <w:r>
        <w:rPr>
          <w:rFonts w:ascii="Calibri"/>
          <w:w w:val="100"/>
          <w:sz w:val="22"/>
        </w:rPr>
        <w:t>6</w:t>
      </w:r>
    </w:p>
    <w:p>
      <w:pPr>
        <w:spacing w:line="191" w:lineRule="exact" w:before="0"/>
        <w:ind w:left="160" w:right="0" w:firstLine="0"/>
        <w:jc w:val="left"/>
        <w:rPr>
          <w:sz w:val="20"/>
        </w:rPr>
      </w:pPr>
      <w:r>
        <w:rPr>
          <w:sz w:val="20"/>
        </w:rPr>
        <w:t>1</w:t>
      </w:r>
    </w:p>
    <w:p>
      <w:pPr>
        <w:pStyle w:val="ListParagraph"/>
        <w:numPr>
          <w:ilvl w:val="0"/>
          <w:numId w:val="54"/>
        </w:numPr>
        <w:tabs>
          <w:tab w:pos="1132" w:val="left" w:leader="none"/>
          <w:tab w:pos="1133" w:val="left" w:leader="none"/>
        </w:tabs>
        <w:spacing w:line="258" w:lineRule="exact" w:before="6" w:after="0"/>
        <w:ind w:left="1132" w:right="0" w:hanging="972"/>
        <w:jc w:val="left"/>
        <w:rPr>
          <w:sz w:val="24"/>
        </w:rPr>
      </w:pPr>
      <w:r>
        <w:rPr>
          <w:sz w:val="24"/>
        </w:rPr>
        <w:t>study, MD were present in 22.68% (n=22) of the studied population. Urinary retention </w:t>
      </w:r>
      <w:r>
        <w:rPr>
          <w:spacing w:val="8"/>
          <w:sz w:val="24"/>
        </w:rPr>
        <w:t> </w:t>
      </w:r>
      <w:r>
        <w:rPr>
          <w:sz w:val="24"/>
        </w:rPr>
        <w:t>(90.90%)</w:t>
      </w:r>
    </w:p>
    <w:p>
      <w:pPr>
        <w:pStyle w:val="ListParagraph"/>
        <w:numPr>
          <w:ilvl w:val="0"/>
          <w:numId w:val="54"/>
        </w:numPr>
        <w:tabs>
          <w:tab w:pos="1132" w:val="left" w:leader="none"/>
          <w:tab w:pos="1133" w:val="left" w:leader="none"/>
        </w:tabs>
        <w:spacing w:line="257" w:lineRule="exact" w:before="0" w:after="0"/>
        <w:ind w:left="1132" w:right="0" w:hanging="972"/>
        <w:jc w:val="left"/>
        <w:rPr>
          <w:sz w:val="24"/>
        </w:rPr>
      </w:pPr>
      <w:r>
        <w:rPr>
          <w:sz w:val="24"/>
        </w:rPr>
        <w:t>manifests  primarily  with  paradoxical  (or  overflow)  incontinence  and/or  residual  urine</w:t>
      </w:r>
      <w:r>
        <w:rPr>
          <w:spacing w:val="14"/>
          <w:sz w:val="24"/>
        </w:rPr>
        <w:t> </w:t>
      </w:r>
      <w:r>
        <w:rPr>
          <w:sz w:val="24"/>
        </w:rPr>
        <w:t>post-</w:t>
      </w:r>
    </w:p>
    <w:p>
      <w:pPr>
        <w:pStyle w:val="ListParagraph"/>
        <w:numPr>
          <w:ilvl w:val="0"/>
          <w:numId w:val="54"/>
        </w:numPr>
        <w:tabs>
          <w:tab w:pos="1132" w:val="left" w:leader="none"/>
          <w:tab w:pos="1133" w:val="left" w:leader="none"/>
        </w:tabs>
        <w:spacing w:line="331" w:lineRule="exact" w:before="0" w:after="0"/>
        <w:ind w:left="1132" w:right="0" w:hanging="972"/>
        <w:jc w:val="left"/>
        <w:rPr>
          <w:sz w:val="24"/>
        </w:rPr>
      </w:pPr>
      <w:r>
        <w:rPr/>
        <w:pict>
          <v:shape style="position:absolute;margin-left:8pt;margin-top:10.785737pt;width:5.6pt;height:10pt;mso-position-horizontal-relative:page;mso-position-vertical-relative:paragraph;z-index:-92680" type="#_x0000_t202" filled="false" stroked="false">
            <v:textbox inset="0,0,0,0">
              <w:txbxContent>
                <w:p>
                  <w:pPr>
                    <w:spacing w:line="196" w:lineRule="exact" w:before="0"/>
                    <w:ind w:left="0" w:right="0" w:firstLine="0"/>
                    <w:jc w:val="left"/>
                    <w:rPr>
                      <w:sz w:val="20"/>
                    </w:rPr>
                  </w:pPr>
                  <w:r>
                    <w:rPr>
                      <w:sz w:val="20"/>
                    </w:rPr>
                    <w:t>5</w:t>
                  </w:r>
                </w:p>
              </w:txbxContent>
            </v:textbox>
            <w10:wrap type="none"/>
          </v:shape>
        </w:pict>
      </w:r>
      <w:r>
        <w:rPr>
          <w:sz w:val="24"/>
        </w:rPr>
        <w:t>micturition volume &gt;0.4 ml kg</w:t>
      </w:r>
      <w:r>
        <w:rPr>
          <w:position w:val="6"/>
          <w:sz w:val="16"/>
        </w:rPr>
        <w:t>-1 </w:t>
      </w:r>
      <w:r>
        <w:rPr>
          <w:sz w:val="24"/>
        </w:rPr>
        <w:t>(Labato 2005). Pathophysiologically, the cases were attributed</w:t>
      </w:r>
      <w:r>
        <w:rPr>
          <w:spacing w:val="-1"/>
          <w:sz w:val="24"/>
        </w:rPr>
        <w:t> </w:t>
      </w:r>
      <w:r>
        <w:rPr>
          <w:sz w:val="24"/>
        </w:rPr>
        <w:t>to</w:t>
      </w:r>
    </w:p>
    <w:p>
      <w:pPr>
        <w:pStyle w:val="ListParagraph"/>
        <w:numPr>
          <w:ilvl w:val="0"/>
          <w:numId w:val="55"/>
        </w:numPr>
        <w:tabs>
          <w:tab w:pos="1132" w:val="left" w:leader="none"/>
          <w:tab w:pos="1133" w:val="left" w:leader="none"/>
        </w:tabs>
        <w:spacing w:line="295" w:lineRule="exact" w:before="0" w:after="0"/>
        <w:ind w:left="1132" w:right="0" w:hanging="972"/>
        <w:jc w:val="left"/>
        <w:rPr>
          <w:sz w:val="24"/>
        </w:rPr>
      </w:pPr>
      <w:r>
        <w:rPr>
          <w:sz w:val="24"/>
        </w:rPr>
        <w:t>spinal injuries associated with alteration of upper or lower motor neurons caused by damage  </w:t>
      </w:r>
      <w:r>
        <w:rPr>
          <w:spacing w:val="45"/>
          <w:sz w:val="24"/>
        </w:rPr>
        <w:t> </w:t>
      </w:r>
      <w:r>
        <w:rPr>
          <w:sz w:val="24"/>
        </w:rPr>
        <w:t>to</w:t>
      </w:r>
    </w:p>
    <w:p>
      <w:pPr>
        <w:pStyle w:val="ListParagraph"/>
        <w:numPr>
          <w:ilvl w:val="0"/>
          <w:numId w:val="55"/>
        </w:numPr>
        <w:tabs>
          <w:tab w:pos="1132" w:val="left" w:leader="none"/>
          <w:tab w:pos="1133" w:val="left" w:leader="none"/>
        </w:tabs>
        <w:spacing w:line="263" w:lineRule="exact" w:before="0" w:after="0"/>
        <w:ind w:left="1132" w:right="0" w:hanging="972"/>
        <w:jc w:val="left"/>
        <w:rPr>
          <w:sz w:val="24"/>
        </w:rPr>
      </w:pPr>
      <w:r>
        <w:rPr>
          <w:sz w:val="24"/>
        </w:rPr>
        <w:t>the spinal cord or peripheral nerves, which as a side-effect can cause detrusor muscle   </w:t>
      </w:r>
      <w:r>
        <w:rPr>
          <w:spacing w:val="5"/>
          <w:sz w:val="24"/>
        </w:rPr>
        <w:t> </w:t>
      </w:r>
      <w:r>
        <w:rPr>
          <w:sz w:val="24"/>
        </w:rPr>
        <w:t>arreflexia</w:t>
      </w:r>
    </w:p>
    <w:p>
      <w:pPr>
        <w:pStyle w:val="ListParagraph"/>
        <w:numPr>
          <w:ilvl w:val="0"/>
          <w:numId w:val="55"/>
        </w:numPr>
        <w:tabs>
          <w:tab w:pos="1132" w:val="left" w:leader="none"/>
          <w:tab w:pos="1133" w:val="left" w:leader="none"/>
        </w:tabs>
        <w:spacing w:line="257" w:lineRule="exact" w:before="0" w:after="0"/>
        <w:ind w:left="1132" w:right="0" w:hanging="972"/>
        <w:jc w:val="left"/>
        <w:rPr>
          <w:sz w:val="24"/>
        </w:rPr>
      </w:pPr>
      <w:r>
        <w:rPr>
          <w:sz w:val="24"/>
        </w:rPr>
        <w:t>and arreflexia or hypertonia of the internal urethral sphincter, or urethral-detrusor  </w:t>
      </w:r>
      <w:r>
        <w:rPr>
          <w:spacing w:val="28"/>
          <w:sz w:val="24"/>
        </w:rPr>
        <w:t> </w:t>
      </w:r>
      <w:r>
        <w:rPr>
          <w:sz w:val="24"/>
        </w:rPr>
        <w:t>dyssynergia</w:t>
      </w:r>
    </w:p>
    <w:p>
      <w:pPr>
        <w:pStyle w:val="ListParagraph"/>
        <w:numPr>
          <w:ilvl w:val="0"/>
          <w:numId w:val="55"/>
        </w:numPr>
        <w:tabs>
          <w:tab w:pos="1132" w:val="left" w:leader="none"/>
          <w:tab w:pos="1133" w:val="left" w:leader="none"/>
        </w:tabs>
        <w:spacing w:line="256" w:lineRule="exact" w:before="0" w:after="0"/>
        <w:ind w:left="1132" w:right="0" w:hanging="972"/>
        <w:jc w:val="left"/>
        <w:rPr>
          <w:sz w:val="24"/>
        </w:rPr>
      </w:pPr>
      <w:r>
        <w:rPr>
          <w:sz w:val="24"/>
        </w:rPr>
        <w:t>with  a  chronic  or  acute  presentation.  The  majority  of  the  animals  were  male,  older,        and</w:t>
      </w:r>
    </w:p>
    <w:p>
      <w:pPr>
        <w:pStyle w:val="ListParagraph"/>
        <w:numPr>
          <w:ilvl w:val="0"/>
          <w:numId w:val="55"/>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71773pt;width:11.15pt;height:10pt;mso-position-horizontal-relative:page;mso-position-vertical-relative:paragraph;z-index:-92656" type="#_x0000_t202" filled="false" stroked="false">
            <v:textbox inset="0,0,0,0">
              <w:txbxContent>
                <w:p>
                  <w:pPr>
                    <w:spacing w:line="196" w:lineRule="exact" w:before="0"/>
                    <w:ind w:left="0" w:right="-20" w:firstLine="0"/>
                    <w:jc w:val="left"/>
                    <w:rPr>
                      <w:sz w:val="20"/>
                    </w:rPr>
                  </w:pPr>
                  <w:r>
                    <w:rPr>
                      <w:sz w:val="20"/>
                    </w:rPr>
                    <w:t>11</w:t>
                  </w:r>
                </w:p>
              </w:txbxContent>
            </v:textbox>
            <w10:wrap type="none"/>
          </v:shape>
        </w:pict>
      </w:r>
      <w:r>
        <w:rPr>
          <w:sz w:val="24"/>
        </w:rPr>
        <w:t>crossbred, which agrees with the results previously reported by Bubenik &amp; Hosgood (2008) </w:t>
      </w:r>
      <w:r>
        <w:rPr>
          <w:spacing w:val="2"/>
          <w:sz w:val="24"/>
        </w:rPr>
        <w:t> </w:t>
      </w:r>
      <w:r>
        <w:rPr>
          <w:sz w:val="24"/>
        </w:rPr>
        <w:t>who</w:t>
      </w:r>
    </w:p>
    <w:p>
      <w:pPr>
        <w:pStyle w:val="ListParagraph"/>
        <w:numPr>
          <w:ilvl w:val="0"/>
          <w:numId w:val="56"/>
        </w:numPr>
        <w:tabs>
          <w:tab w:pos="1132" w:val="left" w:leader="none"/>
          <w:tab w:pos="1133" w:val="left" w:leader="none"/>
        </w:tabs>
        <w:spacing w:line="297" w:lineRule="exact" w:before="0" w:after="0"/>
        <w:ind w:left="1132" w:right="0" w:hanging="972"/>
        <w:jc w:val="left"/>
        <w:rPr>
          <w:sz w:val="24"/>
        </w:rPr>
      </w:pPr>
      <w:r>
        <w:rPr>
          <w:sz w:val="24"/>
        </w:rPr>
        <w:t>associated  this  problem  with  degenerative  diseases  of  the  spine  associated  with  mixtures</w:t>
      </w:r>
      <w:r>
        <w:rPr>
          <w:spacing w:val="-13"/>
          <w:sz w:val="24"/>
        </w:rPr>
        <w:t> </w:t>
      </w:r>
      <w:r>
        <w:rPr>
          <w:sz w:val="24"/>
        </w:rPr>
        <w:t>of</w:t>
      </w:r>
    </w:p>
    <w:p>
      <w:pPr>
        <w:pStyle w:val="ListParagraph"/>
        <w:numPr>
          <w:ilvl w:val="0"/>
          <w:numId w:val="56"/>
        </w:numPr>
        <w:tabs>
          <w:tab w:pos="1132" w:val="left" w:leader="none"/>
          <w:tab w:pos="1133" w:val="left" w:leader="none"/>
        </w:tabs>
        <w:spacing w:line="258" w:lineRule="exact" w:before="0" w:after="0"/>
        <w:ind w:left="1132" w:right="0" w:hanging="972"/>
        <w:jc w:val="left"/>
        <w:rPr>
          <w:sz w:val="24"/>
        </w:rPr>
      </w:pPr>
      <w:r>
        <w:rPr>
          <w:sz w:val="24"/>
        </w:rPr>
        <w:t>predisposed</w:t>
      </w:r>
      <w:r>
        <w:rPr>
          <w:spacing w:val="-8"/>
          <w:sz w:val="24"/>
        </w:rPr>
        <w:t> </w:t>
      </w:r>
      <w:r>
        <w:rPr>
          <w:sz w:val="24"/>
        </w:rPr>
        <w:t>breeds.</w:t>
      </w:r>
    </w:p>
    <w:p>
      <w:pPr>
        <w:pStyle w:val="ListParagraph"/>
        <w:numPr>
          <w:ilvl w:val="0"/>
          <w:numId w:val="56"/>
        </w:numPr>
        <w:tabs>
          <w:tab w:pos="1840" w:val="left" w:leader="none"/>
          <w:tab w:pos="1841" w:val="left" w:leader="none"/>
        </w:tabs>
        <w:spacing w:line="256" w:lineRule="exact" w:before="0" w:after="0"/>
        <w:ind w:left="1840" w:right="0" w:hanging="1680"/>
        <w:jc w:val="left"/>
        <w:rPr>
          <w:sz w:val="24"/>
        </w:rPr>
      </w:pPr>
      <w:r>
        <w:rPr/>
        <w:pict>
          <v:shape style="position:absolute;margin-left:116.872412pt;margin-top:170.818006pt;width:376.45pt;height:48pt;mso-position-horizontal-relative:page;mso-position-vertical-relative:paragraph;z-index:-92704;rotation:51" type="#_x0000_t136" fillcolor="#d6f1fe" stroked="f">
            <o:extrusion v:ext="view" autorotationcenter="t"/>
            <v:textpath style="font-family:&amp;quot;Arial&amp;quot;;font-size:48pt;v-text-kern:t;mso-text-shadow:auto;font-weight:bold" string="For Review Only"/>
            <w10:wrap type="none"/>
          </v:shape>
        </w:pict>
      </w:r>
      <w:r>
        <w:rPr>
          <w:sz w:val="24"/>
        </w:rPr>
        <w:t>Non-neurological  causes   or  MD  are   those  that   occur  with  structural  or     </w:t>
      </w:r>
      <w:r>
        <w:rPr>
          <w:spacing w:val="31"/>
          <w:sz w:val="24"/>
        </w:rPr>
        <w:t> </w:t>
      </w:r>
      <w:r>
        <w:rPr>
          <w:sz w:val="24"/>
        </w:rPr>
        <w:t>functional</w:t>
      </w:r>
    </w:p>
    <w:p>
      <w:pPr>
        <w:pStyle w:val="ListParagraph"/>
        <w:numPr>
          <w:ilvl w:val="0"/>
          <w:numId w:val="56"/>
        </w:numPr>
        <w:tabs>
          <w:tab w:pos="1132" w:val="left" w:leader="none"/>
          <w:tab w:pos="1133" w:val="left" w:leader="none"/>
        </w:tabs>
        <w:spacing w:line="261" w:lineRule="exact" w:before="0" w:after="0"/>
        <w:ind w:left="1132" w:right="0" w:hanging="972"/>
        <w:jc w:val="left"/>
        <w:rPr>
          <w:sz w:val="24"/>
        </w:rPr>
      </w:pPr>
      <w:r>
        <w:rPr>
          <w:sz w:val="24"/>
        </w:rPr>
        <w:t>disorders, or congenital diseases that generate an alteration in the process of normal</w:t>
      </w:r>
      <w:r>
        <w:rPr>
          <w:spacing w:val="14"/>
          <w:sz w:val="24"/>
        </w:rPr>
        <w:t> </w:t>
      </w:r>
      <w:r>
        <w:rPr>
          <w:sz w:val="24"/>
        </w:rPr>
        <w:t>micturition.</w:t>
      </w:r>
    </w:p>
    <w:p>
      <w:pPr>
        <w:pStyle w:val="ListParagraph"/>
        <w:numPr>
          <w:ilvl w:val="0"/>
          <w:numId w:val="56"/>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399722pt;width:11.15pt;height:10pt;mso-position-horizontal-relative:page;mso-position-vertical-relative:paragraph;z-index:-92632" type="#_x0000_t202" filled="false" stroked="false">
            <v:textbox inset="0,0,0,0">
              <w:txbxContent>
                <w:p>
                  <w:pPr>
                    <w:spacing w:line="196" w:lineRule="exact" w:before="0"/>
                    <w:ind w:left="0" w:right="-20" w:firstLine="0"/>
                    <w:jc w:val="left"/>
                    <w:rPr>
                      <w:sz w:val="20"/>
                    </w:rPr>
                  </w:pPr>
                  <w:r>
                    <w:rPr>
                      <w:sz w:val="20"/>
                    </w:rPr>
                    <w:t>17</w:t>
                  </w:r>
                </w:p>
              </w:txbxContent>
            </v:textbox>
            <w10:wrap type="none"/>
          </v:shape>
        </w:pict>
      </w:r>
      <w:r>
        <w:rPr>
          <w:sz w:val="24"/>
        </w:rPr>
        <w:t>In the population studied, only two cases (9.09%) with urinary incontinence were presented,</w:t>
      </w:r>
      <w:r>
        <w:rPr>
          <w:spacing w:val="-6"/>
          <w:sz w:val="24"/>
        </w:rPr>
        <w:t> </w:t>
      </w:r>
      <w:r>
        <w:rPr>
          <w:sz w:val="24"/>
        </w:rPr>
        <w:t>one</w:t>
      </w:r>
    </w:p>
    <w:p>
      <w:pPr>
        <w:pStyle w:val="ListParagraph"/>
        <w:numPr>
          <w:ilvl w:val="0"/>
          <w:numId w:val="57"/>
        </w:numPr>
        <w:tabs>
          <w:tab w:pos="1132" w:val="left" w:leader="none"/>
          <w:tab w:pos="1133" w:val="left" w:leader="none"/>
        </w:tabs>
        <w:spacing w:line="291" w:lineRule="exact" w:before="2" w:after="0"/>
        <w:ind w:left="1132" w:right="0" w:hanging="972"/>
        <w:jc w:val="left"/>
        <w:rPr>
          <w:sz w:val="24"/>
        </w:rPr>
      </w:pPr>
      <w:r>
        <w:rPr>
          <w:sz w:val="24"/>
        </w:rPr>
        <w:t>associated with urethral sphincter incompetence and the other with an ectopic ureter, which </w:t>
      </w:r>
      <w:r>
        <w:rPr>
          <w:spacing w:val="19"/>
          <w:sz w:val="24"/>
        </w:rPr>
        <w:t> </w:t>
      </w:r>
      <w:r>
        <w:rPr>
          <w:sz w:val="24"/>
        </w:rPr>
        <w:t>are</w:t>
      </w:r>
    </w:p>
    <w:p>
      <w:pPr>
        <w:pStyle w:val="ListParagraph"/>
        <w:numPr>
          <w:ilvl w:val="0"/>
          <w:numId w:val="57"/>
        </w:numPr>
        <w:tabs>
          <w:tab w:pos="1132" w:val="left" w:leader="none"/>
          <w:tab w:pos="1133" w:val="left" w:leader="none"/>
        </w:tabs>
        <w:spacing w:line="256" w:lineRule="exact" w:before="0" w:after="0"/>
        <w:ind w:left="1132" w:right="0" w:hanging="972"/>
        <w:jc w:val="left"/>
        <w:rPr>
          <w:sz w:val="24"/>
        </w:rPr>
      </w:pPr>
      <w:r>
        <w:rPr>
          <w:sz w:val="24"/>
        </w:rPr>
        <w:t>the</w:t>
      </w:r>
      <w:r>
        <w:rPr>
          <w:spacing w:val="29"/>
          <w:sz w:val="24"/>
        </w:rPr>
        <w:t> </w:t>
      </w:r>
      <w:r>
        <w:rPr>
          <w:sz w:val="24"/>
        </w:rPr>
        <w:t>pathologies</w:t>
      </w:r>
      <w:r>
        <w:rPr>
          <w:spacing w:val="28"/>
          <w:sz w:val="24"/>
        </w:rPr>
        <w:t> </w:t>
      </w:r>
      <w:r>
        <w:rPr>
          <w:sz w:val="24"/>
        </w:rPr>
        <w:t>that</w:t>
      </w:r>
      <w:r>
        <w:rPr>
          <w:spacing w:val="28"/>
          <w:sz w:val="24"/>
        </w:rPr>
        <w:t> </w:t>
      </w:r>
      <w:r>
        <w:rPr>
          <w:sz w:val="24"/>
        </w:rPr>
        <w:t>are</w:t>
      </w:r>
      <w:r>
        <w:rPr>
          <w:spacing w:val="29"/>
          <w:sz w:val="24"/>
        </w:rPr>
        <w:t> </w:t>
      </w:r>
      <w:r>
        <w:rPr>
          <w:sz w:val="24"/>
        </w:rPr>
        <w:t>the</w:t>
      </w:r>
      <w:r>
        <w:rPr>
          <w:spacing w:val="29"/>
          <w:sz w:val="24"/>
        </w:rPr>
        <w:t> </w:t>
      </w:r>
      <w:r>
        <w:rPr>
          <w:sz w:val="24"/>
        </w:rPr>
        <w:t>most</w:t>
      </w:r>
      <w:r>
        <w:rPr>
          <w:spacing w:val="28"/>
          <w:sz w:val="24"/>
        </w:rPr>
        <w:t> </w:t>
      </w:r>
      <w:r>
        <w:rPr>
          <w:sz w:val="24"/>
        </w:rPr>
        <w:t>frequently</w:t>
      </w:r>
      <w:r>
        <w:rPr>
          <w:spacing w:val="29"/>
          <w:sz w:val="24"/>
        </w:rPr>
        <w:t> </w:t>
      </w:r>
      <w:r>
        <w:rPr>
          <w:sz w:val="24"/>
        </w:rPr>
        <w:t>related</w:t>
      </w:r>
      <w:r>
        <w:rPr>
          <w:spacing w:val="27"/>
          <w:sz w:val="24"/>
        </w:rPr>
        <w:t> </w:t>
      </w:r>
      <w:r>
        <w:rPr>
          <w:sz w:val="24"/>
        </w:rPr>
        <w:t>causes</w:t>
      </w:r>
      <w:r>
        <w:rPr>
          <w:spacing w:val="28"/>
          <w:sz w:val="24"/>
        </w:rPr>
        <w:t> </w:t>
      </w:r>
      <w:r>
        <w:rPr>
          <w:sz w:val="24"/>
        </w:rPr>
        <w:t>of</w:t>
      </w:r>
      <w:r>
        <w:rPr>
          <w:spacing w:val="27"/>
          <w:sz w:val="24"/>
        </w:rPr>
        <w:t> </w:t>
      </w:r>
      <w:r>
        <w:rPr>
          <w:sz w:val="24"/>
        </w:rPr>
        <w:t>urinary</w:t>
      </w:r>
      <w:r>
        <w:rPr>
          <w:spacing w:val="27"/>
          <w:sz w:val="24"/>
        </w:rPr>
        <w:t> </w:t>
      </w:r>
      <w:r>
        <w:rPr>
          <w:sz w:val="24"/>
        </w:rPr>
        <w:t>incontinence</w:t>
      </w:r>
      <w:r>
        <w:rPr>
          <w:spacing w:val="29"/>
          <w:sz w:val="24"/>
        </w:rPr>
        <w:t> </w:t>
      </w:r>
      <w:r>
        <w:rPr>
          <w:sz w:val="24"/>
        </w:rPr>
        <w:t>in</w:t>
      </w:r>
      <w:r>
        <w:rPr>
          <w:spacing w:val="29"/>
          <w:sz w:val="24"/>
        </w:rPr>
        <w:t> </w:t>
      </w:r>
      <w:r>
        <w:rPr>
          <w:sz w:val="24"/>
        </w:rPr>
        <w:t>females</w:t>
      </w:r>
    </w:p>
    <w:p>
      <w:pPr>
        <w:pStyle w:val="ListParagraph"/>
        <w:numPr>
          <w:ilvl w:val="0"/>
          <w:numId w:val="57"/>
        </w:numPr>
        <w:tabs>
          <w:tab w:pos="1132" w:val="left" w:leader="none"/>
          <w:tab w:pos="1133" w:val="left" w:leader="none"/>
        </w:tabs>
        <w:spacing w:line="261" w:lineRule="exact" w:before="0" w:after="0"/>
        <w:ind w:left="1132" w:right="0" w:hanging="972"/>
        <w:jc w:val="left"/>
        <w:rPr>
          <w:sz w:val="24"/>
        </w:rPr>
      </w:pPr>
      <w:r>
        <w:rPr>
          <w:sz w:val="24"/>
        </w:rPr>
        <w:t>(Hoelzler &amp; Thrusfield 2004). The incompetence of the urethral sphincter has been attributed </w:t>
      </w:r>
      <w:r>
        <w:rPr>
          <w:spacing w:val="52"/>
          <w:sz w:val="24"/>
        </w:rPr>
        <w:t> </w:t>
      </w:r>
      <w:r>
        <w:rPr>
          <w:sz w:val="24"/>
        </w:rPr>
        <w:t>to</w:t>
      </w:r>
    </w:p>
    <w:p>
      <w:pPr>
        <w:pStyle w:val="ListParagraph"/>
        <w:numPr>
          <w:ilvl w:val="0"/>
          <w:numId w:val="57"/>
        </w:numPr>
        <w:tabs>
          <w:tab w:pos="1132" w:val="left" w:leader="none"/>
          <w:tab w:pos="1133" w:val="left" w:leader="none"/>
        </w:tabs>
        <w:spacing w:line="256" w:lineRule="exact" w:before="0" w:after="0"/>
        <w:ind w:left="1132" w:right="0" w:hanging="972"/>
        <w:jc w:val="left"/>
        <w:rPr>
          <w:sz w:val="24"/>
        </w:rPr>
      </w:pPr>
      <w:r>
        <w:rPr>
          <w:sz w:val="24"/>
        </w:rPr>
        <w:t>a  functional  weakness  of  the  internal  urethral  sphincter,  especially  in  females  with</w:t>
      </w:r>
      <w:r>
        <w:rPr>
          <w:spacing w:val="-19"/>
          <w:sz w:val="24"/>
        </w:rPr>
        <w:t> </w:t>
      </w:r>
      <w:r>
        <w:rPr>
          <w:sz w:val="24"/>
        </w:rPr>
        <w:t>estrogen</w:t>
      </w:r>
    </w:p>
    <w:p>
      <w:pPr>
        <w:spacing w:line="116" w:lineRule="exact" w:before="0"/>
        <w:ind w:left="160" w:right="0" w:firstLine="0"/>
        <w:jc w:val="left"/>
        <w:rPr>
          <w:sz w:val="20"/>
        </w:rPr>
      </w:pPr>
      <w:r>
        <w:rPr>
          <w:sz w:val="20"/>
        </w:rPr>
        <w:t>22</w:t>
      </w:r>
    </w:p>
    <w:p>
      <w:pPr>
        <w:pStyle w:val="ListParagraph"/>
        <w:numPr>
          <w:ilvl w:val="0"/>
          <w:numId w:val="58"/>
        </w:numPr>
        <w:tabs>
          <w:tab w:pos="1132" w:val="left" w:leader="none"/>
          <w:tab w:pos="1133" w:val="left" w:leader="none"/>
        </w:tabs>
        <w:spacing w:line="257" w:lineRule="exact" w:before="0" w:after="0"/>
        <w:ind w:left="1132" w:right="0" w:hanging="972"/>
        <w:jc w:val="left"/>
        <w:rPr>
          <w:sz w:val="24"/>
        </w:rPr>
      </w:pPr>
      <w:r>
        <w:rPr>
          <w:sz w:val="24"/>
        </w:rPr>
        <w:t>deficiency. It is estimated that over 20% of spayed females are affected (Holt &amp; Thrusfield</w:t>
      </w:r>
      <w:r>
        <w:rPr>
          <w:spacing w:val="32"/>
          <w:sz w:val="24"/>
        </w:rPr>
        <w:t> </w:t>
      </w:r>
      <w:r>
        <w:rPr>
          <w:sz w:val="24"/>
        </w:rPr>
        <w:t>1993);</w:t>
      </w:r>
    </w:p>
    <w:p>
      <w:pPr>
        <w:pStyle w:val="ListParagraph"/>
        <w:numPr>
          <w:ilvl w:val="0"/>
          <w:numId w:val="58"/>
        </w:numPr>
        <w:tabs>
          <w:tab w:pos="1132" w:val="left" w:leader="none"/>
          <w:tab w:pos="1133" w:val="left" w:leader="none"/>
        </w:tabs>
        <w:spacing w:line="256" w:lineRule="exact" w:before="0" w:after="0"/>
        <w:ind w:left="1132" w:right="0" w:hanging="972"/>
        <w:jc w:val="left"/>
        <w:rPr>
          <w:sz w:val="24"/>
        </w:rPr>
      </w:pPr>
      <w:r>
        <w:rPr>
          <w:sz w:val="24"/>
        </w:rPr>
        <w:t>however, there are reports that less than 1% are intact female older dogs had a minor tone of</w:t>
      </w:r>
      <w:r>
        <w:rPr>
          <w:spacing w:val="31"/>
          <w:sz w:val="24"/>
        </w:rPr>
        <w:t> </w:t>
      </w:r>
      <w:r>
        <w:rPr>
          <w:sz w:val="24"/>
        </w:rPr>
        <w:t>the</w:t>
      </w:r>
    </w:p>
    <w:p>
      <w:pPr>
        <w:pStyle w:val="ListParagraph"/>
        <w:numPr>
          <w:ilvl w:val="0"/>
          <w:numId w:val="58"/>
        </w:numPr>
        <w:tabs>
          <w:tab w:pos="1132" w:val="left" w:leader="none"/>
          <w:tab w:pos="1133" w:val="left" w:leader="none"/>
        </w:tabs>
        <w:spacing w:line="261" w:lineRule="exact" w:before="0" w:after="0"/>
        <w:ind w:left="1132" w:right="0" w:hanging="972"/>
        <w:jc w:val="left"/>
        <w:rPr>
          <w:sz w:val="24"/>
        </w:rPr>
      </w:pPr>
      <w:r>
        <w:rPr>
          <w:sz w:val="24"/>
        </w:rPr>
        <w:t>urethral sphincter associated with a decreasing response to alpha-adrenergic urethral </w:t>
      </w:r>
      <w:r>
        <w:rPr>
          <w:spacing w:val="39"/>
          <w:sz w:val="24"/>
        </w:rPr>
        <w:t> </w:t>
      </w:r>
      <w:r>
        <w:rPr>
          <w:sz w:val="24"/>
        </w:rPr>
        <w:t>receptors</w:t>
      </w:r>
    </w:p>
    <w:p>
      <w:pPr>
        <w:pStyle w:val="ListParagraph"/>
        <w:numPr>
          <w:ilvl w:val="0"/>
          <w:numId w:val="58"/>
        </w:numPr>
        <w:tabs>
          <w:tab w:pos="1132" w:val="left" w:leader="none"/>
          <w:tab w:pos="1133" w:val="left" w:leader="none"/>
        </w:tabs>
        <w:spacing w:line="256" w:lineRule="exact" w:before="0" w:after="0"/>
        <w:ind w:left="1132" w:right="0" w:hanging="972"/>
        <w:jc w:val="left"/>
        <w:rPr>
          <w:sz w:val="24"/>
        </w:rPr>
      </w:pPr>
      <w:r>
        <w:rPr>
          <w:sz w:val="24"/>
        </w:rPr>
        <w:t>(Fischer &amp; Lane 2007). In our study, our only case involved a spayed 10-year-old female dog.</w:t>
      </w:r>
      <w:r>
        <w:rPr>
          <w:spacing w:val="27"/>
          <w:sz w:val="24"/>
        </w:rPr>
        <w:t> </w:t>
      </w:r>
      <w:r>
        <w:rPr>
          <w:sz w:val="24"/>
        </w:rPr>
        <w:t>The</w:t>
      </w:r>
    </w:p>
    <w:p>
      <w:pPr>
        <w:pStyle w:val="ListParagraph"/>
        <w:numPr>
          <w:ilvl w:val="0"/>
          <w:numId w:val="58"/>
        </w:numPr>
        <w:tabs>
          <w:tab w:pos="1132" w:val="left" w:leader="none"/>
          <w:tab w:pos="1133" w:val="left" w:leader="none"/>
        </w:tabs>
        <w:spacing w:line="258" w:lineRule="exact" w:before="0" w:after="0"/>
        <w:ind w:left="1132" w:right="0" w:hanging="972"/>
        <w:jc w:val="left"/>
        <w:rPr>
          <w:sz w:val="24"/>
        </w:rPr>
      </w:pPr>
      <w:r>
        <w:rPr>
          <w:sz w:val="24"/>
        </w:rPr>
        <w:t>other</w:t>
      </w:r>
      <w:r>
        <w:rPr>
          <w:spacing w:val="32"/>
          <w:sz w:val="24"/>
        </w:rPr>
        <w:t> </w:t>
      </w:r>
      <w:r>
        <w:rPr>
          <w:sz w:val="24"/>
        </w:rPr>
        <w:t>incontinent</w:t>
      </w:r>
      <w:r>
        <w:rPr>
          <w:spacing w:val="33"/>
          <w:sz w:val="24"/>
        </w:rPr>
        <w:t> </w:t>
      </w:r>
      <w:r>
        <w:rPr>
          <w:sz w:val="24"/>
        </w:rPr>
        <w:t>female</w:t>
      </w:r>
      <w:r>
        <w:rPr>
          <w:spacing w:val="33"/>
          <w:sz w:val="24"/>
        </w:rPr>
        <w:t> </w:t>
      </w:r>
      <w:r>
        <w:rPr>
          <w:sz w:val="24"/>
        </w:rPr>
        <w:t>dog</w:t>
      </w:r>
      <w:r>
        <w:rPr>
          <w:spacing w:val="32"/>
          <w:sz w:val="24"/>
        </w:rPr>
        <w:t> </w:t>
      </w:r>
      <w:r>
        <w:rPr>
          <w:sz w:val="24"/>
        </w:rPr>
        <w:t>was</w:t>
      </w:r>
      <w:r>
        <w:rPr>
          <w:spacing w:val="33"/>
          <w:sz w:val="24"/>
        </w:rPr>
        <w:t> </w:t>
      </w:r>
      <w:r>
        <w:rPr>
          <w:sz w:val="24"/>
        </w:rPr>
        <w:t>a</w:t>
      </w:r>
      <w:r>
        <w:rPr>
          <w:spacing w:val="33"/>
          <w:sz w:val="24"/>
        </w:rPr>
        <w:t> </w:t>
      </w:r>
      <w:r>
        <w:rPr>
          <w:sz w:val="24"/>
        </w:rPr>
        <w:t>3-month-old</w:t>
      </w:r>
      <w:r>
        <w:rPr>
          <w:spacing w:val="32"/>
          <w:sz w:val="24"/>
        </w:rPr>
        <w:t> </w:t>
      </w:r>
      <w:r>
        <w:rPr>
          <w:sz w:val="24"/>
        </w:rPr>
        <w:t>Poodle</w:t>
      </w:r>
      <w:r>
        <w:rPr>
          <w:spacing w:val="33"/>
          <w:sz w:val="24"/>
        </w:rPr>
        <w:t> </w:t>
      </w:r>
      <w:r>
        <w:rPr>
          <w:sz w:val="24"/>
        </w:rPr>
        <w:t>with</w:t>
      </w:r>
      <w:r>
        <w:rPr>
          <w:spacing w:val="33"/>
          <w:sz w:val="24"/>
        </w:rPr>
        <w:t> </w:t>
      </w:r>
      <w:r>
        <w:rPr>
          <w:sz w:val="24"/>
        </w:rPr>
        <w:t>an</w:t>
      </w:r>
      <w:r>
        <w:rPr>
          <w:spacing w:val="33"/>
          <w:sz w:val="24"/>
        </w:rPr>
        <w:t> </w:t>
      </w:r>
      <w:r>
        <w:rPr>
          <w:sz w:val="24"/>
        </w:rPr>
        <w:t>ectopic</w:t>
      </w:r>
      <w:r>
        <w:rPr>
          <w:spacing w:val="33"/>
          <w:sz w:val="24"/>
        </w:rPr>
        <w:t> </w:t>
      </w:r>
      <w:r>
        <w:rPr>
          <w:sz w:val="24"/>
        </w:rPr>
        <w:t>ureter</w:t>
      </w:r>
      <w:r>
        <w:rPr>
          <w:spacing w:val="32"/>
          <w:sz w:val="24"/>
        </w:rPr>
        <w:t> </w:t>
      </w:r>
      <w:r>
        <w:rPr>
          <w:sz w:val="24"/>
        </w:rPr>
        <w:t>voiding</w:t>
      </w:r>
      <w:r>
        <w:rPr>
          <w:spacing w:val="32"/>
          <w:sz w:val="24"/>
        </w:rPr>
        <w:t> </w:t>
      </w:r>
      <w:r>
        <w:rPr>
          <w:sz w:val="24"/>
        </w:rPr>
        <w:t>to</w:t>
      </w:r>
      <w:r>
        <w:rPr>
          <w:spacing w:val="33"/>
          <w:sz w:val="24"/>
        </w:rPr>
        <w:t> </w:t>
      </w:r>
      <w:r>
        <w:rPr>
          <w:sz w:val="24"/>
        </w:rPr>
        <w:t>the</w:t>
      </w:r>
    </w:p>
    <w:p>
      <w:pPr>
        <w:spacing w:line="116" w:lineRule="exact" w:before="0"/>
        <w:ind w:left="160" w:right="0" w:firstLine="0"/>
        <w:jc w:val="left"/>
        <w:rPr>
          <w:sz w:val="20"/>
        </w:rPr>
      </w:pPr>
      <w:r>
        <w:rPr>
          <w:sz w:val="20"/>
        </w:rPr>
        <w:t>28</w:t>
      </w:r>
    </w:p>
    <w:p>
      <w:pPr>
        <w:pStyle w:val="ListParagraph"/>
        <w:numPr>
          <w:ilvl w:val="0"/>
          <w:numId w:val="59"/>
        </w:numPr>
        <w:tabs>
          <w:tab w:pos="1132" w:val="left" w:leader="none"/>
          <w:tab w:pos="1133" w:val="left" w:leader="none"/>
        </w:tabs>
        <w:spacing w:line="253" w:lineRule="exact" w:before="0" w:after="0"/>
        <w:ind w:left="1132" w:right="0" w:hanging="972"/>
        <w:jc w:val="left"/>
        <w:rPr>
          <w:sz w:val="24"/>
        </w:rPr>
      </w:pPr>
      <w:r>
        <w:rPr>
          <w:sz w:val="24"/>
        </w:rPr>
        <w:t>vagina,</w:t>
      </w:r>
      <w:r>
        <w:rPr>
          <w:spacing w:val="17"/>
          <w:sz w:val="24"/>
        </w:rPr>
        <w:t> </w:t>
      </w:r>
      <w:r>
        <w:rPr>
          <w:sz w:val="24"/>
        </w:rPr>
        <w:t>which</w:t>
      </w:r>
      <w:r>
        <w:rPr>
          <w:spacing w:val="15"/>
          <w:sz w:val="24"/>
        </w:rPr>
        <w:t> </w:t>
      </w:r>
      <w:r>
        <w:rPr>
          <w:sz w:val="24"/>
        </w:rPr>
        <w:t>is</w:t>
      </w:r>
      <w:r>
        <w:rPr>
          <w:spacing w:val="16"/>
          <w:sz w:val="24"/>
        </w:rPr>
        <w:t> </w:t>
      </w:r>
      <w:r>
        <w:rPr>
          <w:sz w:val="24"/>
        </w:rPr>
        <w:t>a</w:t>
      </w:r>
      <w:r>
        <w:rPr>
          <w:spacing w:val="16"/>
          <w:sz w:val="24"/>
        </w:rPr>
        <w:t> </w:t>
      </w:r>
      <w:r>
        <w:rPr>
          <w:sz w:val="24"/>
        </w:rPr>
        <w:t>congenital</w:t>
      </w:r>
      <w:r>
        <w:rPr>
          <w:spacing w:val="15"/>
          <w:sz w:val="24"/>
        </w:rPr>
        <w:t> </w:t>
      </w:r>
      <w:r>
        <w:rPr>
          <w:sz w:val="24"/>
        </w:rPr>
        <w:t>anatomic</w:t>
      </w:r>
      <w:r>
        <w:rPr>
          <w:spacing w:val="16"/>
          <w:sz w:val="24"/>
        </w:rPr>
        <w:t> </w:t>
      </w:r>
      <w:r>
        <w:rPr>
          <w:sz w:val="24"/>
        </w:rPr>
        <w:t>abnormality,</w:t>
      </w:r>
      <w:r>
        <w:rPr>
          <w:spacing w:val="16"/>
          <w:sz w:val="24"/>
        </w:rPr>
        <w:t> </w:t>
      </w:r>
      <w:r>
        <w:rPr>
          <w:sz w:val="24"/>
        </w:rPr>
        <w:t>wherein</w:t>
      </w:r>
      <w:r>
        <w:rPr>
          <w:spacing w:val="16"/>
          <w:sz w:val="24"/>
        </w:rPr>
        <w:t> </w:t>
      </w:r>
      <w:r>
        <w:rPr>
          <w:sz w:val="24"/>
        </w:rPr>
        <w:t>one</w:t>
      </w:r>
      <w:r>
        <w:rPr>
          <w:spacing w:val="16"/>
          <w:sz w:val="24"/>
        </w:rPr>
        <w:t> </w:t>
      </w:r>
      <w:r>
        <w:rPr>
          <w:sz w:val="24"/>
        </w:rPr>
        <w:t>or</w:t>
      </w:r>
      <w:r>
        <w:rPr>
          <w:spacing w:val="15"/>
          <w:sz w:val="24"/>
        </w:rPr>
        <w:t> </w:t>
      </w:r>
      <w:r>
        <w:rPr>
          <w:sz w:val="24"/>
        </w:rPr>
        <w:t>both</w:t>
      </w:r>
      <w:r>
        <w:rPr>
          <w:spacing w:val="16"/>
          <w:sz w:val="24"/>
        </w:rPr>
        <w:t> </w:t>
      </w:r>
      <w:r>
        <w:rPr>
          <w:sz w:val="24"/>
        </w:rPr>
        <w:t>ureters</w:t>
      </w:r>
      <w:r>
        <w:rPr>
          <w:spacing w:val="16"/>
          <w:sz w:val="24"/>
        </w:rPr>
        <w:t> </w:t>
      </w:r>
      <w:r>
        <w:rPr>
          <w:sz w:val="24"/>
        </w:rPr>
        <w:t>usually</w:t>
      </w:r>
      <w:r>
        <w:rPr>
          <w:spacing w:val="15"/>
          <w:sz w:val="24"/>
        </w:rPr>
        <w:t> </w:t>
      </w:r>
      <w:r>
        <w:rPr>
          <w:sz w:val="24"/>
        </w:rPr>
        <w:t>end</w:t>
      </w:r>
      <w:r>
        <w:rPr>
          <w:spacing w:val="15"/>
          <w:sz w:val="24"/>
        </w:rPr>
        <w:t> </w:t>
      </w:r>
      <w:r>
        <w:rPr>
          <w:sz w:val="24"/>
        </w:rPr>
        <w:t>in</w:t>
      </w:r>
    </w:p>
    <w:p>
      <w:pPr>
        <w:pStyle w:val="ListParagraph"/>
        <w:numPr>
          <w:ilvl w:val="0"/>
          <w:numId w:val="59"/>
        </w:numPr>
        <w:tabs>
          <w:tab w:pos="1132" w:val="left" w:leader="none"/>
          <w:tab w:pos="1133" w:val="left" w:leader="none"/>
        </w:tabs>
        <w:spacing w:line="261" w:lineRule="exact" w:before="0" w:after="0"/>
        <w:ind w:left="1132" w:right="0" w:hanging="972"/>
        <w:jc w:val="left"/>
        <w:rPr>
          <w:sz w:val="24"/>
        </w:rPr>
      </w:pPr>
      <w:r>
        <w:rPr>
          <w:position w:val="2"/>
          <w:sz w:val="24"/>
        </w:rPr>
        <w:t>the  vagina  instead  of  flowing  into  the  bladder  trigone  and  causes  urinary  incontinence.</w:t>
      </w:r>
      <w:r>
        <w:rPr>
          <w:spacing w:val="3"/>
          <w:position w:val="2"/>
          <w:sz w:val="24"/>
        </w:rPr>
        <w:t> </w:t>
      </w:r>
      <w:r>
        <w:rPr>
          <w:position w:val="2"/>
          <w:sz w:val="24"/>
        </w:rPr>
        <w:t>The</w:t>
      </w:r>
    </w:p>
    <w:p>
      <w:pPr>
        <w:pStyle w:val="ListParagraph"/>
        <w:numPr>
          <w:ilvl w:val="0"/>
          <w:numId w:val="59"/>
        </w:numPr>
        <w:tabs>
          <w:tab w:pos="1132" w:val="left" w:leader="none"/>
          <w:tab w:pos="1133" w:val="left" w:leader="none"/>
        </w:tabs>
        <w:spacing w:line="258" w:lineRule="exact" w:before="0" w:after="0"/>
        <w:ind w:left="1132" w:right="0" w:hanging="972"/>
        <w:jc w:val="left"/>
        <w:rPr>
          <w:sz w:val="24"/>
        </w:rPr>
      </w:pPr>
      <w:r>
        <w:rPr>
          <w:sz w:val="24"/>
        </w:rPr>
        <w:t>incidence  of  this  disease  has  been  estimated  as  0.016%,  considering  the  Poodle  breed  </w:t>
      </w:r>
      <w:r>
        <w:rPr>
          <w:spacing w:val="37"/>
          <w:sz w:val="24"/>
        </w:rPr>
        <w:t> </w:t>
      </w:r>
      <w:r>
        <w:rPr>
          <w:sz w:val="24"/>
        </w:rPr>
        <w:t>like</w:t>
      </w:r>
    </w:p>
    <w:p>
      <w:pPr>
        <w:pStyle w:val="ListParagraph"/>
        <w:numPr>
          <w:ilvl w:val="0"/>
          <w:numId w:val="59"/>
        </w:numPr>
        <w:tabs>
          <w:tab w:pos="1132" w:val="left" w:leader="none"/>
          <w:tab w:pos="1133" w:val="left" w:leader="none"/>
        </w:tabs>
        <w:spacing w:line="257" w:lineRule="exact" w:before="0" w:after="0"/>
        <w:ind w:left="1132" w:right="0" w:hanging="972"/>
        <w:jc w:val="left"/>
        <w:rPr>
          <w:sz w:val="24"/>
        </w:rPr>
      </w:pPr>
      <w:r>
        <w:rPr>
          <w:sz w:val="24"/>
        </w:rPr>
        <w:t>increased risk for this disease (Hayes 1994). In general, urinary incontinence related to  </w:t>
      </w:r>
      <w:r>
        <w:rPr>
          <w:spacing w:val="12"/>
          <w:sz w:val="24"/>
        </w:rPr>
        <w:t> </w:t>
      </w:r>
      <w:r>
        <w:rPr>
          <w:sz w:val="24"/>
        </w:rPr>
        <w:t>urethral</w:t>
      </w:r>
    </w:p>
    <w:p>
      <w:pPr>
        <w:pStyle w:val="ListParagraph"/>
        <w:numPr>
          <w:ilvl w:val="0"/>
          <w:numId w:val="59"/>
        </w:numPr>
        <w:tabs>
          <w:tab w:pos="1132" w:val="left" w:leader="none"/>
          <w:tab w:pos="1133" w:val="left" w:leader="none"/>
        </w:tabs>
        <w:spacing w:line="259" w:lineRule="exact" w:before="0" w:after="0"/>
        <w:ind w:left="1132" w:right="0" w:hanging="972"/>
        <w:jc w:val="left"/>
        <w:rPr>
          <w:sz w:val="24"/>
        </w:rPr>
      </w:pPr>
      <w:r>
        <w:rPr>
          <w:sz w:val="24"/>
        </w:rPr>
        <w:t>sphincter</w:t>
      </w:r>
      <w:r>
        <w:rPr>
          <w:spacing w:val="46"/>
          <w:sz w:val="24"/>
        </w:rPr>
        <w:t> </w:t>
      </w:r>
      <w:r>
        <w:rPr>
          <w:sz w:val="24"/>
        </w:rPr>
        <w:t>incompetence</w:t>
      </w:r>
      <w:r>
        <w:rPr>
          <w:spacing w:val="48"/>
          <w:sz w:val="24"/>
        </w:rPr>
        <w:t> </w:t>
      </w:r>
      <w:r>
        <w:rPr>
          <w:sz w:val="24"/>
        </w:rPr>
        <w:t>is</w:t>
      </w:r>
      <w:r>
        <w:rPr>
          <w:spacing w:val="47"/>
          <w:sz w:val="24"/>
        </w:rPr>
        <w:t> </w:t>
      </w:r>
      <w:r>
        <w:rPr>
          <w:sz w:val="24"/>
        </w:rPr>
        <w:t>the</w:t>
      </w:r>
      <w:r>
        <w:rPr>
          <w:spacing w:val="48"/>
          <w:sz w:val="24"/>
        </w:rPr>
        <w:t> </w:t>
      </w:r>
      <w:r>
        <w:rPr>
          <w:sz w:val="24"/>
        </w:rPr>
        <w:t>most</w:t>
      </w:r>
      <w:r>
        <w:rPr>
          <w:spacing w:val="47"/>
          <w:sz w:val="24"/>
        </w:rPr>
        <w:t> </w:t>
      </w:r>
      <w:r>
        <w:rPr>
          <w:sz w:val="24"/>
        </w:rPr>
        <w:t>common</w:t>
      </w:r>
      <w:r>
        <w:rPr>
          <w:spacing w:val="45"/>
          <w:sz w:val="24"/>
        </w:rPr>
        <w:t> </w:t>
      </w:r>
      <w:r>
        <w:rPr>
          <w:sz w:val="24"/>
        </w:rPr>
        <w:t>MD</w:t>
      </w:r>
      <w:r>
        <w:rPr>
          <w:spacing w:val="47"/>
          <w:sz w:val="24"/>
        </w:rPr>
        <w:t> </w:t>
      </w:r>
      <w:r>
        <w:rPr>
          <w:sz w:val="24"/>
        </w:rPr>
        <w:t>associated</w:t>
      </w:r>
      <w:r>
        <w:rPr>
          <w:spacing w:val="46"/>
          <w:sz w:val="24"/>
        </w:rPr>
        <w:t> </w:t>
      </w:r>
      <w:r>
        <w:rPr>
          <w:sz w:val="24"/>
        </w:rPr>
        <w:t>with</w:t>
      </w:r>
      <w:r>
        <w:rPr>
          <w:spacing w:val="47"/>
          <w:sz w:val="24"/>
        </w:rPr>
        <w:t> </w:t>
      </w:r>
      <w:r>
        <w:rPr>
          <w:sz w:val="24"/>
        </w:rPr>
        <w:t>an</w:t>
      </w:r>
      <w:r>
        <w:rPr>
          <w:spacing w:val="48"/>
          <w:sz w:val="24"/>
        </w:rPr>
        <w:t> </w:t>
      </w:r>
      <w:r>
        <w:rPr>
          <w:sz w:val="24"/>
        </w:rPr>
        <w:t>early</w:t>
      </w:r>
      <w:r>
        <w:rPr>
          <w:spacing w:val="46"/>
          <w:sz w:val="24"/>
        </w:rPr>
        <w:t> </w:t>
      </w:r>
      <w:r>
        <w:rPr>
          <w:sz w:val="24"/>
        </w:rPr>
        <w:t>castration.</w:t>
      </w:r>
      <w:r>
        <w:rPr>
          <w:spacing w:val="48"/>
          <w:sz w:val="24"/>
        </w:rPr>
        <w:t> </w:t>
      </w:r>
      <w:r>
        <w:rPr>
          <w:sz w:val="24"/>
        </w:rPr>
        <w:t>In</w:t>
      </w:r>
      <w:r>
        <w:rPr>
          <w:spacing w:val="45"/>
          <w:sz w:val="24"/>
        </w:rPr>
        <w:t> </w:t>
      </w:r>
      <w:r>
        <w:rPr>
          <w:sz w:val="24"/>
        </w:rPr>
        <w:t>our</w:t>
      </w:r>
    </w:p>
    <w:p>
      <w:pPr>
        <w:spacing w:line="115" w:lineRule="exact" w:before="0"/>
        <w:ind w:left="160" w:right="0" w:firstLine="0"/>
        <w:jc w:val="left"/>
        <w:rPr>
          <w:sz w:val="20"/>
        </w:rPr>
      </w:pPr>
      <w:r>
        <w:rPr>
          <w:sz w:val="20"/>
        </w:rPr>
        <w:t>34</w:t>
      </w:r>
    </w:p>
    <w:p>
      <w:pPr>
        <w:pStyle w:val="ListParagraph"/>
        <w:numPr>
          <w:ilvl w:val="0"/>
          <w:numId w:val="60"/>
        </w:numPr>
        <w:tabs>
          <w:tab w:pos="1132" w:val="left" w:leader="none"/>
          <w:tab w:pos="1133" w:val="left" w:leader="none"/>
        </w:tabs>
        <w:spacing w:line="258" w:lineRule="exact" w:before="0" w:after="0"/>
        <w:ind w:left="1132" w:right="0" w:hanging="972"/>
        <w:jc w:val="left"/>
        <w:rPr>
          <w:sz w:val="24"/>
        </w:rPr>
      </w:pPr>
      <w:r>
        <w:rPr>
          <w:sz w:val="24"/>
        </w:rPr>
        <w:t>results,  this  disease  was  uncommon  in  the  population  studied,  and  the  explanation  for </w:t>
      </w:r>
      <w:r>
        <w:rPr>
          <w:spacing w:val="30"/>
          <w:sz w:val="24"/>
        </w:rPr>
        <w:t> </w:t>
      </w:r>
      <w:r>
        <w:rPr>
          <w:sz w:val="24"/>
        </w:rPr>
        <w:t>this</w:t>
      </w:r>
    </w:p>
    <w:p>
      <w:pPr>
        <w:pStyle w:val="ListParagraph"/>
        <w:numPr>
          <w:ilvl w:val="0"/>
          <w:numId w:val="60"/>
        </w:numPr>
        <w:tabs>
          <w:tab w:pos="1132" w:val="left" w:leader="none"/>
          <w:tab w:pos="1133" w:val="left" w:leader="none"/>
        </w:tabs>
        <w:spacing w:line="256" w:lineRule="exact" w:before="0" w:after="0"/>
        <w:ind w:left="1132" w:right="0" w:hanging="972"/>
        <w:jc w:val="left"/>
        <w:rPr>
          <w:sz w:val="24"/>
        </w:rPr>
      </w:pPr>
      <w:r>
        <w:rPr>
          <w:position w:val="1"/>
          <w:sz w:val="24"/>
        </w:rPr>
        <w:t>finding may be that early sterilization is not a routine practice in our geographic area, unlike  </w:t>
      </w:r>
      <w:r>
        <w:rPr>
          <w:spacing w:val="17"/>
          <w:position w:val="1"/>
          <w:sz w:val="24"/>
        </w:rPr>
        <w:t> </w:t>
      </w:r>
      <w:r>
        <w:rPr>
          <w:position w:val="1"/>
          <w:sz w:val="24"/>
        </w:rPr>
        <w:t>the</w:t>
      </w:r>
    </w:p>
    <w:p>
      <w:pPr>
        <w:pStyle w:val="ListParagraph"/>
        <w:numPr>
          <w:ilvl w:val="0"/>
          <w:numId w:val="60"/>
        </w:numPr>
        <w:tabs>
          <w:tab w:pos="1132" w:val="left" w:leader="none"/>
          <w:tab w:pos="1133" w:val="left" w:leader="none"/>
        </w:tabs>
        <w:spacing w:line="259" w:lineRule="exact" w:before="0" w:after="0"/>
        <w:ind w:left="1132" w:right="0" w:hanging="972"/>
        <w:jc w:val="left"/>
        <w:rPr>
          <w:sz w:val="24"/>
        </w:rPr>
      </w:pPr>
      <w:r>
        <w:rPr>
          <w:sz w:val="24"/>
        </w:rPr>
        <w:t>protocols in other countries, such as the USA, Canada, or some countries from</w:t>
      </w:r>
      <w:r>
        <w:rPr>
          <w:spacing w:val="-32"/>
          <w:sz w:val="24"/>
        </w:rPr>
        <w:t> </w:t>
      </w:r>
      <w:r>
        <w:rPr>
          <w:sz w:val="24"/>
        </w:rPr>
        <w:t>Europe.</w:t>
      </w:r>
    </w:p>
    <w:p>
      <w:pPr>
        <w:spacing w:line="208" w:lineRule="exact" w:before="0"/>
        <w:ind w:left="160" w:right="0" w:firstLine="0"/>
        <w:jc w:val="left"/>
        <w:rPr>
          <w:sz w:val="20"/>
        </w:rPr>
      </w:pPr>
      <w:r>
        <w:rPr>
          <w:sz w:val="20"/>
        </w:rPr>
        <w:t>38</w:t>
      </w:r>
    </w:p>
    <w:p>
      <w:pPr>
        <w:pStyle w:val="ListParagraph"/>
        <w:numPr>
          <w:ilvl w:val="0"/>
          <w:numId w:val="61"/>
        </w:numPr>
        <w:tabs>
          <w:tab w:pos="1840" w:val="left" w:leader="none"/>
          <w:tab w:pos="1841" w:val="left" w:leader="none"/>
        </w:tabs>
        <w:spacing w:line="261" w:lineRule="exact" w:before="6" w:after="0"/>
        <w:ind w:left="1840" w:right="0" w:hanging="1680"/>
        <w:jc w:val="left"/>
        <w:rPr>
          <w:sz w:val="24"/>
        </w:rPr>
      </w:pPr>
      <w:r>
        <w:rPr>
          <w:sz w:val="24"/>
        </w:rPr>
        <w:t>Urolithiasis</w:t>
      </w:r>
      <w:r>
        <w:rPr>
          <w:spacing w:val="18"/>
          <w:sz w:val="24"/>
        </w:rPr>
        <w:t> </w:t>
      </w:r>
      <w:r>
        <w:rPr>
          <w:sz w:val="24"/>
        </w:rPr>
        <w:t>was</w:t>
      </w:r>
      <w:r>
        <w:rPr>
          <w:spacing w:val="18"/>
          <w:sz w:val="24"/>
        </w:rPr>
        <w:t> </w:t>
      </w:r>
      <w:r>
        <w:rPr>
          <w:sz w:val="24"/>
        </w:rPr>
        <w:t>the</w:t>
      </w:r>
      <w:r>
        <w:rPr>
          <w:spacing w:val="19"/>
          <w:sz w:val="24"/>
        </w:rPr>
        <w:t> </w:t>
      </w:r>
      <w:r>
        <w:rPr>
          <w:sz w:val="24"/>
        </w:rPr>
        <w:t>third</w:t>
      </w:r>
      <w:r>
        <w:rPr>
          <w:spacing w:val="17"/>
          <w:sz w:val="24"/>
        </w:rPr>
        <w:t> </w:t>
      </w:r>
      <w:r>
        <w:rPr>
          <w:sz w:val="24"/>
        </w:rPr>
        <w:t>most</w:t>
      </w:r>
      <w:r>
        <w:rPr>
          <w:spacing w:val="21"/>
          <w:sz w:val="24"/>
        </w:rPr>
        <w:t> </w:t>
      </w:r>
      <w:r>
        <w:rPr>
          <w:sz w:val="24"/>
        </w:rPr>
        <w:t>frequent</w:t>
      </w:r>
      <w:r>
        <w:rPr>
          <w:spacing w:val="18"/>
          <w:sz w:val="24"/>
        </w:rPr>
        <w:t> </w:t>
      </w:r>
      <w:r>
        <w:rPr>
          <w:sz w:val="24"/>
        </w:rPr>
        <w:t>pathology</w:t>
      </w:r>
      <w:r>
        <w:rPr>
          <w:spacing w:val="18"/>
          <w:sz w:val="24"/>
        </w:rPr>
        <w:t> </w:t>
      </w:r>
      <w:r>
        <w:rPr>
          <w:sz w:val="24"/>
        </w:rPr>
        <w:t>in</w:t>
      </w:r>
      <w:r>
        <w:rPr>
          <w:spacing w:val="19"/>
          <w:sz w:val="24"/>
        </w:rPr>
        <w:t> </w:t>
      </w:r>
      <w:r>
        <w:rPr>
          <w:sz w:val="24"/>
        </w:rPr>
        <w:t>our</w:t>
      </w:r>
      <w:r>
        <w:rPr>
          <w:spacing w:val="17"/>
          <w:sz w:val="24"/>
        </w:rPr>
        <w:t> </w:t>
      </w:r>
      <w:r>
        <w:rPr>
          <w:sz w:val="24"/>
        </w:rPr>
        <w:t>study</w:t>
      </w:r>
      <w:r>
        <w:rPr>
          <w:spacing w:val="20"/>
          <w:sz w:val="24"/>
        </w:rPr>
        <w:t> </w:t>
      </w:r>
      <w:r>
        <w:rPr>
          <w:sz w:val="24"/>
        </w:rPr>
        <w:t>(20.16%).</w:t>
      </w:r>
      <w:r>
        <w:rPr>
          <w:spacing w:val="19"/>
          <w:sz w:val="24"/>
        </w:rPr>
        <w:t> </w:t>
      </w:r>
      <w:r>
        <w:rPr>
          <w:sz w:val="24"/>
        </w:rPr>
        <w:t>Uroliths</w:t>
      </w:r>
      <w:r>
        <w:rPr>
          <w:spacing w:val="18"/>
          <w:sz w:val="24"/>
        </w:rPr>
        <w:t> </w:t>
      </w:r>
      <w:r>
        <w:rPr>
          <w:sz w:val="24"/>
        </w:rPr>
        <w:t>were</w:t>
      </w:r>
    </w:p>
    <w:p>
      <w:pPr>
        <w:pStyle w:val="ListParagraph"/>
        <w:numPr>
          <w:ilvl w:val="0"/>
          <w:numId w:val="61"/>
        </w:numPr>
        <w:tabs>
          <w:tab w:pos="1132" w:val="left" w:leader="none"/>
          <w:tab w:pos="1133" w:val="left" w:leader="none"/>
        </w:tabs>
        <w:spacing w:line="256" w:lineRule="exact" w:before="0" w:after="0"/>
        <w:ind w:left="1132" w:right="0" w:hanging="972"/>
        <w:jc w:val="left"/>
        <w:rPr>
          <w:sz w:val="24"/>
        </w:rPr>
      </w:pPr>
      <w:r>
        <w:rPr>
          <w:sz w:val="24"/>
        </w:rPr>
        <w:t>more likely to be found in males, in agreement with reports by Lulich et al. (1993) and</w:t>
      </w:r>
      <w:r>
        <w:rPr>
          <w:spacing w:val="-27"/>
          <w:sz w:val="24"/>
        </w:rPr>
        <w:t> </w:t>
      </w:r>
      <w:r>
        <w:rPr>
          <w:sz w:val="24"/>
        </w:rPr>
        <w:t>Inkelmann</w:t>
      </w:r>
    </w:p>
    <w:p>
      <w:pPr>
        <w:pStyle w:val="ListParagraph"/>
        <w:numPr>
          <w:ilvl w:val="0"/>
          <w:numId w:val="61"/>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714737pt;width:11.15pt;height:10pt;mso-position-horizontal-relative:page;mso-position-vertical-relative:paragraph;z-index:-92608" type="#_x0000_t202" filled="false" stroked="false">
            <v:textbox inset="0,0,0,0">
              <w:txbxContent>
                <w:p>
                  <w:pPr>
                    <w:spacing w:line="196" w:lineRule="exact" w:before="0"/>
                    <w:ind w:left="0" w:right="-20" w:firstLine="0"/>
                    <w:jc w:val="left"/>
                    <w:rPr>
                      <w:sz w:val="20"/>
                    </w:rPr>
                  </w:pPr>
                  <w:r>
                    <w:rPr>
                      <w:sz w:val="20"/>
                    </w:rPr>
                    <w:t>42</w:t>
                  </w:r>
                </w:p>
              </w:txbxContent>
            </v:textbox>
            <w10:wrap type="none"/>
          </v:shape>
        </w:pict>
      </w:r>
      <w:r>
        <w:rPr>
          <w:sz w:val="24"/>
        </w:rPr>
        <w:t>et al. (2012b), which can be attributed to the anatomical characteristics of the male urethra  </w:t>
      </w:r>
      <w:r>
        <w:rPr>
          <w:spacing w:val="41"/>
          <w:sz w:val="24"/>
        </w:rPr>
        <w:t> </w:t>
      </w:r>
      <w:r>
        <w:rPr>
          <w:sz w:val="24"/>
        </w:rPr>
        <w:t>that</w:t>
      </w:r>
    </w:p>
    <w:p>
      <w:pPr>
        <w:pStyle w:val="ListParagraph"/>
        <w:numPr>
          <w:ilvl w:val="0"/>
          <w:numId w:val="62"/>
        </w:numPr>
        <w:tabs>
          <w:tab w:pos="1132" w:val="left" w:leader="none"/>
          <w:tab w:pos="1133" w:val="left" w:leader="none"/>
        </w:tabs>
        <w:spacing w:line="296" w:lineRule="exact" w:before="2" w:after="0"/>
        <w:ind w:left="1132" w:right="0" w:hanging="972"/>
        <w:jc w:val="left"/>
        <w:rPr>
          <w:sz w:val="24"/>
        </w:rPr>
      </w:pPr>
      <w:r>
        <w:rPr>
          <w:sz w:val="24"/>
        </w:rPr>
        <w:t>favors the permanence of small uroliths, unlike females who can expel some small uroliths</w:t>
      </w:r>
      <w:r>
        <w:rPr>
          <w:spacing w:val="-36"/>
          <w:sz w:val="24"/>
        </w:rPr>
        <w:t> </w:t>
      </w:r>
      <w:r>
        <w:rPr>
          <w:sz w:val="24"/>
        </w:rPr>
        <w:t>during</w:t>
      </w:r>
    </w:p>
    <w:p>
      <w:pPr>
        <w:pStyle w:val="ListParagraph"/>
        <w:numPr>
          <w:ilvl w:val="0"/>
          <w:numId w:val="62"/>
        </w:numPr>
        <w:tabs>
          <w:tab w:pos="1132" w:val="left" w:leader="none"/>
          <w:tab w:pos="1133" w:val="left" w:leader="none"/>
        </w:tabs>
        <w:spacing w:line="256" w:lineRule="exact" w:before="0" w:after="0"/>
        <w:ind w:left="1132" w:right="0" w:hanging="972"/>
        <w:jc w:val="left"/>
        <w:rPr>
          <w:sz w:val="24"/>
        </w:rPr>
      </w:pPr>
      <w:r>
        <w:rPr>
          <w:sz w:val="24"/>
        </w:rPr>
        <w:t>urination,</w:t>
      </w:r>
      <w:r>
        <w:rPr>
          <w:spacing w:val="13"/>
          <w:sz w:val="24"/>
        </w:rPr>
        <w:t> </w:t>
      </w:r>
      <w:r>
        <w:rPr>
          <w:sz w:val="24"/>
        </w:rPr>
        <w:t>but</w:t>
      </w:r>
      <w:r>
        <w:rPr>
          <w:spacing w:val="13"/>
          <w:sz w:val="24"/>
        </w:rPr>
        <w:t> </w:t>
      </w:r>
      <w:r>
        <w:rPr>
          <w:sz w:val="24"/>
        </w:rPr>
        <w:t>both</w:t>
      </w:r>
      <w:r>
        <w:rPr>
          <w:spacing w:val="12"/>
          <w:sz w:val="24"/>
        </w:rPr>
        <w:t> </w:t>
      </w:r>
      <w:r>
        <w:rPr>
          <w:sz w:val="24"/>
        </w:rPr>
        <w:t>sexes</w:t>
      </w:r>
      <w:r>
        <w:rPr>
          <w:spacing w:val="12"/>
          <w:sz w:val="24"/>
        </w:rPr>
        <w:t> </w:t>
      </w:r>
      <w:r>
        <w:rPr>
          <w:sz w:val="24"/>
        </w:rPr>
        <w:t>are</w:t>
      </w:r>
      <w:r>
        <w:rPr>
          <w:spacing w:val="13"/>
          <w:sz w:val="24"/>
        </w:rPr>
        <w:t> </w:t>
      </w:r>
      <w:r>
        <w:rPr>
          <w:sz w:val="24"/>
        </w:rPr>
        <w:t>equally</w:t>
      </w:r>
      <w:r>
        <w:rPr>
          <w:spacing w:val="11"/>
          <w:sz w:val="24"/>
        </w:rPr>
        <w:t> </w:t>
      </w:r>
      <w:r>
        <w:rPr>
          <w:sz w:val="24"/>
        </w:rPr>
        <w:t>prone</w:t>
      </w:r>
      <w:r>
        <w:rPr>
          <w:spacing w:val="13"/>
          <w:sz w:val="24"/>
        </w:rPr>
        <w:t> </w:t>
      </w:r>
      <w:r>
        <w:rPr>
          <w:sz w:val="24"/>
        </w:rPr>
        <w:t>to</w:t>
      </w:r>
      <w:r>
        <w:rPr>
          <w:spacing w:val="12"/>
          <w:sz w:val="24"/>
        </w:rPr>
        <w:t> </w:t>
      </w:r>
      <w:r>
        <w:rPr>
          <w:sz w:val="24"/>
        </w:rPr>
        <w:t>form</w:t>
      </w:r>
      <w:r>
        <w:rPr>
          <w:spacing w:val="11"/>
          <w:sz w:val="24"/>
        </w:rPr>
        <w:t> </w:t>
      </w:r>
      <w:r>
        <w:rPr>
          <w:sz w:val="24"/>
        </w:rPr>
        <w:t>uroliths.</w:t>
      </w:r>
      <w:r>
        <w:rPr>
          <w:spacing w:val="13"/>
          <w:sz w:val="24"/>
        </w:rPr>
        <w:t> </w:t>
      </w:r>
      <w:r>
        <w:rPr>
          <w:sz w:val="24"/>
        </w:rPr>
        <w:t>In</w:t>
      </w:r>
      <w:r>
        <w:rPr>
          <w:spacing w:val="13"/>
          <w:sz w:val="24"/>
        </w:rPr>
        <w:t> </w:t>
      </w:r>
      <w:r>
        <w:rPr>
          <w:sz w:val="24"/>
        </w:rPr>
        <w:t>our</w:t>
      </w:r>
      <w:r>
        <w:rPr>
          <w:spacing w:val="11"/>
          <w:sz w:val="24"/>
        </w:rPr>
        <w:t> </w:t>
      </w:r>
      <w:r>
        <w:rPr>
          <w:sz w:val="24"/>
        </w:rPr>
        <w:t>study,</w:t>
      </w:r>
      <w:r>
        <w:rPr>
          <w:spacing w:val="13"/>
          <w:sz w:val="24"/>
        </w:rPr>
        <w:t> </w:t>
      </w:r>
      <w:r>
        <w:rPr>
          <w:sz w:val="24"/>
        </w:rPr>
        <w:t>we</w:t>
      </w:r>
      <w:r>
        <w:rPr>
          <w:spacing w:val="13"/>
          <w:sz w:val="24"/>
        </w:rPr>
        <w:t> </w:t>
      </w:r>
      <w:r>
        <w:rPr>
          <w:sz w:val="24"/>
        </w:rPr>
        <w:t>found</w:t>
      </w:r>
      <w:r>
        <w:rPr>
          <w:spacing w:val="11"/>
          <w:sz w:val="24"/>
        </w:rPr>
        <w:t> </w:t>
      </w:r>
      <w:r>
        <w:rPr>
          <w:sz w:val="24"/>
        </w:rPr>
        <w:t>that</w:t>
      </w:r>
      <w:r>
        <w:rPr>
          <w:spacing w:val="12"/>
          <w:sz w:val="24"/>
        </w:rPr>
        <w:t> </w:t>
      </w:r>
      <w:r>
        <w:rPr>
          <w:sz w:val="24"/>
        </w:rPr>
        <w:t>55%</w:t>
      </w:r>
      <w:r>
        <w:rPr>
          <w:spacing w:val="12"/>
          <w:sz w:val="24"/>
        </w:rPr>
        <w:t> </w:t>
      </w:r>
      <w:r>
        <w:rPr>
          <w:sz w:val="24"/>
        </w:rPr>
        <w:t>of</w:t>
      </w:r>
    </w:p>
    <w:p>
      <w:pPr>
        <w:pStyle w:val="ListParagraph"/>
        <w:numPr>
          <w:ilvl w:val="0"/>
          <w:numId w:val="62"/>
        </w:numPr>
        <w:tabs>
          <w:tab w:pos="1132" w:val="left" w:leader="none"/>
          <w:tab w:pos="1133" w:val="left" w:leader="none"/>
        </w:tabs>
        <w:spacing w:line="256" w:lineRule="exact" w:before="0" w:after="0"/>
        <w:ind w:left="1132" w:right="0" w:hanging="972"/>
        <w:jc w:val="left"/>
        <w:rPr>
          <w:sz w:val="24"/>
        </w:rPr>
      </w:pPr>
      <w:r>
        <w:rPr>
          <w:sz w:val="24"/>
        </w:rPr>
        <w:t>the</w:t>
      </w:r>
      <w:r>
        <w:rPr>
          <w:spacing w:val="19"/>
          <w:sz w:val="24"/>
        </w:rPr>
        <w:t> </w:t>
      </w:r>
      <w:r>
        <w:rPr>
          <w:sz w:val="24"/>
        </w:rPr>
        <w:t>uroliths</w:t>
      </w:r>
      <w:r>
        <w:rPr>
          <w:spacing w:val="18"/>
          <w:sz w:val="24"/>
        </w:rPr>
        <w:t> </w:t>
      </w:r>
      <w:r>
        <w:rPr>
          <w:sz w:val="24"/>
        </w:rPr>
        <w:t>were</w:t>
      </w:r>
      <w:r>
        <w:rPr>
          <w:spacing w:val="19"/>
          <w:sz w:val="24"/>
        </w:rPr>
        <w:t> </w:t>
      </w:r>
      <w:r>
        <w:rPr>
          <w:sz w:val="24"/>
        </w:rPr>
        <w:t>silicate,</w:t>
      </w:r>
      <w:r>
        <w:rPr>
          <w:spacing w:val="19"/>
          <w:sz w:val="24"/>
        </w:rPr>
        <w:t> </w:t>
      </w:r>
      <w:r>
        <w:rPr>
          <w:sz w:val="24"/>
        </w:rPr>
        <w:t>followed</w:t>
      </w:r>
      <w:r>
        <w:rPr>
          <w:spacing w:val="17"/>
          <w:sz w:val="24"/>
        </w:rPr>
        <w:t> </w:t>
      </w:r>
      <w:r>
        <w:rPr>
          <w:sz w:val="24"/>
        </w:rPr>
        <w:t>by</w:t>
      </w:r>
      <w:r>
        <w:rPr>
          <w:spacing w:val="17"/>
          <w:sz w:val="24"/>
        </w:rPr>
        <w:t> </w:t>
      </w:r>
      <w:r>
        <w:rPr>
          <w:sz w:val="24"/>
        </w:rPr>
        <w:t>struvite</w:t>
      </w:r>
      <w:r>
        <w:rPr>
          <w:spacing w:val="19"/>
          <w:sz w:val="24"/>
        </w:rPr>
        <w:t> </w:t>
      </w:r>
      <w:r>
        <w:rPr>
          <w:sz w:val="24"/>
        </w:rPr>
        <w:t>and</w:t>
      </w:r>
      <w:r>
        <w:rPr>
          <w:spacing w:val="17"/>
          <w:sz w:val="24"/>
        </w:rPr>
        <w:t> </w:t>
      </w:r>
      <w:r>
        <w:rPr>
          <w:sz w:val="24"/>
        </w:rPr>
        <w:t>calcium</w:t>
      </w:r>
      <w:r>
        <w:rPr>
          <w:spacing w:val="18"/>
          <w:sz w:val="24"/>
        </w:rPr>
        <w:t> </w:t>
      </w:r>
      <w:r>
        <w:rPr>
          <w:sz w:val="24"/>
        </w:rPr>
        <w:t>oxalate.</w:t>
      </w:r>
      <w:r>
        <w:rPr>
          <w:spacing w:val="19"/>
          <w:sz w:val="24"/>
        </w:rPr>
        <w:t> </w:t>
      </w:r>
      <w:r>
        <w:rPr>
          <w:sz w:val="24"/>
        </w:rPr>
        <w:t>Silicate</w:t>
      </w:r>
      <w:r>
        <w:rPr>
          <w:spacing w:val="19"/>
          <w:sz w:val="24"/>
        </w:rPr>
        <w:t> </w:t>
      </w:r>
      <w:r>
        <w:rPr>
          <w:sz w:val="24"/>
        </w:rPr>
        <w:t>and</w:t>
      </w:r>
      <w:r>
        <w:rPr>
          <w:spacing w:val="17"/>
          <w:sz w:val="24"/>
        </w:rPr>
        <w:t> </w:t>
      </w:r>
      <w:r>
        <w:rPr>
          <w:sz w:val="24"/>
        </w:rPr>
        <w:t>calcium</w:t>
      </w:r>
      <w:r>
        <w:rPr>
          <w:spacing w:val="18"/>
          <w:sz w:val="24"/>
        </w:rPr>
        <w:t> </w:t>
      </w:r>
      <w:r>
        <w:rPr>
          <w:sz w:val="24"/>
        </w:rPr>
        <w:t>oxalate</w:t>
      </w:r>
    </w:p>
    <w:p>
      <w:pPr>
        <w:pStyle w:val="ListParagraph"/>
        <w:numPr>
          <w:ilvl w:val="0"/>
          <w:numId w:val="62"/>
        </w:numPr>
        <w:tabs>
          <w:tab w:pos="1132" w:val="left" w:leader="none"/>
          <w:tab w:pos="1133" w:val="left" w:leader="none"/>
        </w:tabs>
        <w:spacing w:line="257" w:lineRule="exact" w:before="0" w:after="0"/>
        <w:ind w:left="1132" w:right="0" w:hanging="972"/>
        <w:jc w:val="left"/>
        <w:rPr>
          <w:sz w:val="24"/>
        </w:rPr>
      </w:pPr>
      <w:r>
        <w:rPr>
          <w:sz w:val="24"/>
        </w:rPr>
        <w:t>uroliths are generally small, and so the females can expel them more easily. In our study,</w:t>
      </w:r>
      <w:r>
        <w:rPr>
          <w:spacing w:val="43"/>
          <w:sz w:val="24"/>
        </w:rPr>
        <w:t> </w:t>
      </w:r>
      <w:r>
        <w:rPr>
          <w:sz w:val="24"/>
        </w:rPr>
        <w:t>93.75%</w:t>
      </w:r>
    </w:p>
    <w:p>
      <w:pPr>
        <w:pStyle w:val="ListParagraph"/>
        <w:numPr>
          <w:ilvl w:val="0"/>
          <w:numId w:val="62"/>
        </w:numPr>
        <w:tabs>
          <w:tab w:pos="1132" w:val="left" w:leader="none"/>
          <w:tab w:pos="1133" w:val="left" w:leader="none"/>
        </w:tabs>
        <w:spacing w:line="342" w:lineRule="exact" w:before="0" w:after="0"/>
        <w:ind w:left="1132" w:right="0" w:hanging="972"/>
        <w:jc w:val="left"/>
        <w:rPr>
          <w:sz w:val="24"/>
        </w:rPr>
      </w:pPr>
      <w:r>
        <w:rPr/>
        <w:pict>
          <v:shape style="position:absolute;margin-left:8pt;margin-top:10.58674pt;width:11.15pt;height:10pt;mso-position-horizontal-relative:page;mso-position-vertical-relative:paragraph;z-index:-92584" type="#_x0000_t202" filled="false" stroked="false">
            <v:textbox inset="0,0,0,0">
              <w:txbxContent>
                <w:p>
                  <w:pPr>
                    <w:spacing w:line="196" w:lineRule="exact" w:before="0"/>
                    <w:ind w:left="0" w:right="-20" w:firstLine="0"/>
                    <w:jc w:val="left"/>
                    <w:rPr>
                      <w:sz w:val="20"/>
                    </w:rPr>
                  </w:pPr>
                  <w:r>
                    <w:rPr>
                      <w:sz w:val="20"/>
                    </w:rPr>
                    <w:t>48</w:t>
                  </w:r>
                </w:p>
              </w:txbxContent>
            </v:textbox>
            <w10:wrap type="none"/>
          </v:shape>
        </w:pict>
      </w:r>
      <w:r>
        <w:rPr>
          <w:sz w:val="24"/>
        </w:rPr>
        <w:t>of males with urolithiasis had urethral</w:t>
      </w:r>
      <w:r>
        <w:rPr>
          <w:spacing w:val="-23"/>
          <w:sz w:val="24"/>
        </w:rPr>
        <w:t> </w:t>
      </w:r>
      <w:r>
        <w:rPr>
          <w:sz w:val="24"/>
        </w:rPr>
        <w:t>obstruction.</w:t>
      </w:r>
    </w:p>
    <w:p>
      <w:pPr>
        <w:spacing w:line="180" w:lineRule="exact" w:before="69"/>
        <w:ind w:left="160" w:right="0" w:firstLine="0"/>
        <w:jc w:val="left"/>
        <w:rPr>
          <w:sz w:val="20"/>
        </w:rPr>
      </w:pPr>
      <w:r>
        <w:rPr>
          <w:sz w:val="20"/>
        </w:rPr>
        <w:t>49</w:t>
      </w:r>
    </w:p>
    <w:p>
      <w:pPr>
        <w:pStyle w:val="ListParagraph"/>
        <w:numPr>
          <w:ilvl w:val="0"/>
          <w:numId w:val="63"/>
        </w:numPr>
        <w:tabs>
          <w:tab w:pos="1840" w:val="left" w:leader="none"/>
          <w:tab w:pos="1841" w:val="left" w:leader="none"/>
        </w:tabs>
        <w:spacing w:line="253" w:lineRule="exact" w:before="0" w:after="0"/>
        <w:ind w:left="1840" w:right="0" w:hanging="1680"/>
        <w:jc w:val="left"/>
        <w:rPr>
          <w:sz w:val="24"/>
        </w:rPr>
      </w:pPr>
      <w:r>
        <w:rPr>
          <w:sz w:val="24"/>
        </w:rPr>
        <w:t>The</w:t>
      </w:r>
      <w:r>
        <w:rPr>
          <w:spacing w:val="35"/>
          <w:sz w:val="24"/>
        </w:rPr>
        <w:t> </w:t>
      </w:r>
      <w:r>
        <w:rPr>
          <w:sz w:val="24"/>
        </w:rPr>
        <w:t>frequency</w:t>
      </w:r>
      <w:r>
        <w:rPr>
          <w:spacing w:val="33"/>
          <w:sz w:val="24"/>
        </w:rPr>
        <w:t> </w:t>
      </w:r>
      <w:r>
        <w:rPr>
          <w:sz w:val="24"/>
        </w:rPr>
        <w:t>of</w:t>
      </w:r>
      <w:r>
        <w:rPr>
          <w:spacing w:val="33"/>
          <w:sz w:val="24"/>
        </w:rPr>
        <w:t> </w:t>
      </w:r>
      <w:r>
        <w:rPr>
          <w:sz w:val="24"/>
        </w:rPr>
        <w:t>presentation</w:t>
      </w:r>
      <w:r>
        <w:rPr>
          <w:spacing w:val="35"/>
          <w:sz w:val="24"/>
        </w:rPr>
        <w:t> </w:t>
      </w:r>
      <w:r>
        <w:rPr>
          <w:sz w:val="24"/>
        </w:rPr>
        <w:t>of</w:t>
      </w:r>
      <w:r>
        <w:rPr>
          <w:spacing w:val="33"/>
          <w:sz w:val="24"/>
        </w:rPr>
        <w:t> </w:t>
      </w:r>
      <w:r>
        <w:rPr>
          <w:sz w:val="24"/>
        </w:rPr>
        <w:t>the</w:t>
      </w:r>
      <w:r>
        <w:rPr>
          <w:spacing w:val="35"/>
          <w:sz w:val="24"/>
        </w:rPr>
        <w:t> </w:t>
      </w:r>
      <w:r>
        <w:rPr>
          <w:sz w:val="24"/>
        </w:rPr>
        <w:t>different</w:t>
      </w:r>
      <w:r>
        <w:rPr>
          <w:spacing w:val="34"/>
          <w:sz w:val="24"/>
        </w:rPr>
        <w:t> </w:t>
      </w:r>
      <w:r>
        <w:rPr>
          <w:sz w:val="24"/>
        </w:rPr>
        <w:t>types</w:t>
      </w:r>
      <w:r>
        <w:rPr>
          <w:spacing w:val="34"/>
          <w:sz w:val="24"/>
        </w:rPr>
        <w:t> </w:t>
      </w:r>
      <w:r>
        <w:rPr>
          <w:sz w:val="24"/>
        </w:rPr>
        <w:t>of</w:t>
      </w:r>
      <w:r>
        <w:rPr>
          <w:spacing w:val="33"/>
          <w:sz w:val="24"/>
        </w:rPr>
        <w:t> </w:t>
      </w:r>
      <w:r>
        <w:rPr>
          <w:sz w:val="24"/>
        </w:rPr>
        <w:t>uroliths</w:t>
      </w:r>
      <w:r>
        <w:rPr>
          <w:spacing w:val="34"/>
          <w:sz w:val="24"/>
        </w:rPr>
        <w:t> </w:t>
      </w:r>
      <w:r>
        <w:rPr>
          <w:sz w:val="24"/>
        </w:rPr>
        <w:t>differs</w:t>
      </w:r>
      <w:r>
        <w:rPr>
          <w:spacing w:val="34"/>
          <w:sz w:val="24"/>
        </w:rPr>
        <w:t> </w:t>
      </w:r>
      <w:r>
        <w:rPr>
          <w:sz w:val="24"/>
        </w:rPr>
        <w:t>from</w:t>
      </w:r>
      <w:r>
        <w:rPr>
          <w:spacing w:val="34"/>
          <w:sz w:val="24"/>
        </w:rPr>
        <w:t> </w:t>
      </w:r>
      <w:r>
        <w:rPr>
          <w:sz w:val="24"/>
        </w:rPr>
        <w:t>previously</w:t>
      </w:r>
    </w:p>
    <w:p>
      <w:pPr>
        <w:pStyle w:val="ListParagraph"/>
        <w:numPr>
          <w:ilvl w:val="0"/>
          <w:numId w:val="63"/>
        </w:numPr>
        <w:tabs>
          <w:tab w:pos="1132" w:val="left" w:leader="none"/>
          <w:tab w:pos="1133" w:val="left" w:leader="none"/>
        </w:tabs>
        <w:spacing w:line="262" w:lineRule="exact" w:before="0" w:after="0"/>
        <w:ind w:left="1132" w:right="0" w:hanging="972"/>
        <w:jc w:val="left"/>
        <w:rPr>
          <w:sz w:val="24"/>
        </w:rPr>
      </w:pPr>
      <w:r>
        <w:rPr>
          <w:position w:val="2"/>
          <w:sz w:val="24"/>
        </w:rPr>
        <w:t>published data in Mexico by Del Angel-Caraza et al. (2010) who reported struvite in 38% of</w:t>
      </w:r>
      <w:r>
        <w:rPr>
          <w:spacing w:val="15"/>
          <w:position w:val="2"/>
          <w:sz w:val="24"/>
        </w:rPr>
        <w:t> </w:t>
      </w:r>
      <w:r>
        <w:rPr>
          <w:position w:val="2"/>
          <w:sz w:val="24"/>
        </w:rPr>
        <w:t>cases</w:t>
      </w:r>
    </w:p>
    <w:p>
      <w:pPr>
        <w:pStyle w:val="ListParagraph"/>
        <w:numPr>
          <w:ilvl w:val="0"/>
          <w:numId w:val="63"/>
        </w:numPr>
        <w:tabs>
          <w:tab w:pos="1132" w:val="left" w:leader="none"/>
          <w:tab w:pos="1133" w:val="left" w:leader="none"/>
        </w:tabs>
        <w:spacing w:line="260" w:lineRule="exact" w:before="0" w:after="0"/>
        <w:ind w:left="1132" w:right="0" w:hanging="972"/>
        <w:jc w:val="left"/>
        <w:rPr>
          <w:sz w:val="24"/>
        </w:rPr>
      </w:pPr>
      <w:r>
        <w:rPr>
          <w:sz w:val="24"/>
        </w:rPr>
        <w:t>as  the  most  common  uroliths,  followed  by  calcium  oxalate  (26%)  and  silicate  (13%).</w:t>
      </w:r>
      <w:r>
        <w:rPr>
          <w:spacing w:val="50"/>
          <w:sz w:val="24"/>
        </w:rPr>
        <w:t> </w:t>
      </w:r>
      <w:r>
        <w:rPr>
          <w:sz w:val="24"/>
        </w:rPr>
        <w:t>Other</w:t>
      </w:r>
    </w:p>
    <w:p>
      <w:pPr>
        <w:pStyle w:val="ListParagraph"/>
        <w:numPr>
          <w:ilvl w:val="0"/>
          <w:numId w:val="63"/>
        </w:numPr>
        <w:tabs>
          <w:tab w:pos="1132" w:val="left" w:leader="none"/>
          <w:tab w:pos="1133" w:val="left" w:leader="none"/>
        </w:tabs>
        <w:spacing w:line="256" w:lineRule="exact" w:before="0" w:after="0"/>
        <w:ind w:left="1132" w:right="0" w:hanging="972"/>
        <w:jc w:val="left"/>
        <w:rPr>
          <w:sz w:val="24"/>
        </w:rPr>
      </w:pPr>
      <w:r>
        <w:rPr>
          <w:sz w:val="24"/>
        </w:rPr>
        <w:t>studies in different geographic areas of North America, Europe, and Brazil have reported</w:t>
      </w:r>
      <w:r>
        <w:rPr>
          <w:spacing w:val="38"/>
          <w:sz w:val="24"/>
        </w:rPr>
        <w:t> </w:t>
      </w:r>
      <w:r>
        <w:rPr>
          <w:sz w:val="24"/>
        </w:rPr>
        <w:t>calcium</w:t>
      </w:r>
    </w:p>
    <w:p>
      <w:pPr>
        <w:pStyle w:val="ListParagraph"/>
        <w:numPr>
          <w:ilvl w:val="0"/>
          <w:numId w:val="63"/>
        </w:numPr>
        <w:tabs>
          <w:tab w:pos="1132" w:val="left" w:leader="none"/>
          <w:tab w:pos="1133" w:val="left" w:leader="none"/>
        </w:tabs>
        <w:spacing w:line="258" w:lineRule="exact" w:before="0" w:after="0"/>
        <w:ind w:left="1132" w:right="0" w:hanging="972"/>
        <w:jc w:val="left"/>
        <w:rPr>
          <w:sz w:val="24"/>
        </w:rPr>
      </w:pPr>
      <w:r>
        <w:rPr>
          <w:sz w:val="24"/>
        </w:rPr>
        <w:t>oxalate uroliths as being the most common, followed by struvite and purine, and silicate </w:t>
      </w:r>
      <w:r>
        <w:rPr>
          <w:spacing w:val="33"/>
          <w:sz w:val="24"/>
        </w:rPr>
        <w:t> </w:t>
      </w:r>
      <w:r>
        <w:rPr>
          <w:sz w:val="24"/>
        </w:rPr>
        <w:t>uroliths</w:t>
      </w:r>
    </w:p>
    <w:p>
      <w:pPr>
        <w:spacing w:line="115" w:lineRule="exact" w:before="0"/>
        <w:ind w:left="160" w:right="0" w:firstLine="0"/>
        <w:jc w:val="left"/>
        <w:rPr>
          <w:sz w:val="20"/>
        </w:rPr>
      </w:pPr>
      <w:r>
        <w:rPr>
          <w:sz w:val="20"/>
        </w:rPr>
        <w:t>55</w:t>
      </w:r>
    </w:p>
    <w:p>
      <w:pPr>
        <w:pStyle w:val="ListParagraph"/>
        <w:numPr>
          <w:ilvl w:val="0"/>
          <w:numId w:val="64"/>
        </w:numPr>
        <w:tabs>
          <w:tab w:pos="1132" w:val="left" w:leader="none"/>
          <w:tab w:pos="1133" w:val="left" w:leader="none"/>
        </w:tabs>
        <w:spacing w:line="258" w:lineRule="exact" w:before="0" w:after="0"/>
        <w:ind w:left="1132" w:right="0" w:hanging="972"/>
        <w:jc w:val="left"/>
        <w:rPr>
          <w:sz w:val="24"/>
        </w:rPr>
      </w:pPr>
      <w:r>
        <w:rPr>
          <w:sz w:val="24"/>
        </w:rPr>
        <w:t>as</w:t>
      </w:r>
      <w:r>
        <w:rPr>
          <w:spacing w:val="18"/>
          <w:sz w:val="24"/>
        </w:rPr>
        <w:t> </w:t>
      </w:r>
      <w:r>
        <w:rPr>
          <w:sz w:val="24"/>
        </w:rPr>
        <w:t>having</w:t>
      </w:r>
      <w:r>
        <w:rPr>
          <w:spacing w:val="17"/>
          <w:sz w:val="24"/>
        </w:rPr>
        <w:t> </w:t>
      </w:r>
      <w:r>
        <w:rPr>
          <w:sz w:val="24"/>
        </w:rPr>
        <w:t>a</w:t>
      </w:r>
      <w:r>
        <w:rPr>
          <w:spacing w:val="19"/>
          <w:sz w:val="24"/>
        </w:rPr>
        <w:t> </w:t>
      </w:r>
      <w:r>
        <w:rPr>
          <w:sz w:val="24"/>
        </w:rPr>
        <w:t>frequency</w:t>
      </w:r>
      <w:r>
        <w:rPr>
          <w:spacing w:val="20"/>
          <w:sz w:val="24"/>
        </w:rPr>
        <w:t> </w:t>
      </w:r>
      <w:r>
        <w:rPr>
          <w:sz w:val="24"/>
        </w:rPr>
        <w:t>of</w:t>
      </w:r>
      <w:r>
        <w:rPr>
          <w:spacing w:val="18"/>
          <w:sz w:val="24"/>
        </w:rPr>
        <w:t> </w:t>
      </w:r>
      <w:r>
        <w:rPr>
          <w:sz w:val="24"/>
        </w:rPr>
        <w:t>&lt;1%</w:t>
      </w:r>
      <w:r>
        <w:rPr>
          <w:spacing w:val="21"/>
          <w:sz w:val="24"/>
        </w:rPr>
        <w:t> </w:t>
      </w:r>
      <w:r>
        <w:rPr>
          <w:sz w:val="24"/>
        </w:rPr>
        <w:t>(Osborne</w:t>
      </w:r>
      <w:r>
        <w:rPr>
          <w:spacing w:val="19"/>
          <w:sz w:val="24"/>
        </w:rPr>
        <w:t> </w:t>
      </w:r>
      <w:r>
        <w:rPr>
          <w:sz w:val="24"/>
        </w:rPr>
        <w:t>et</w:t>
      </w:r>
      <w:r>
        <w:rPr>
          <w:spacing w:val="19"/>
          <w:sz w:val="24"/>
        </w:rPr>
        <w:t> </w:t>
      </w:r>
      <w:r>
        <w:rPr>
          <w:sz w:val="24"/>
        </w:rPr>
        <w:t>al.</w:t>
      </w:r>
      <w:r>
        <w:rPr>
          <w:spacing w:val="22"/>
          <w:sz w:val="24"/>
        </w:rPr>
        <w:t> </w:t>
      </w:r>
      <w:r>
        <w:rPr>
          <w:sz w:val="24"/>
        </w:rPr>
        <w:t>2008,</w:t>
      </w:r>
      <w:r>
        <w:rPr>
          <w:spacing w:val="19"/>
          <w:sz w:val="24"/>
        </w:rPr>
        <w:t> </w:t>
      </w:r>
      <w:r>
        <w:rPr>
          <w:sz w:val="24"/>
        </w:rPr>
        <w:t>Vraveloba</w:t>
      </w:r>
      <w:r>
        <w:rPr>
          <w:spacing w:val="19"/>
          <w:sz w:val="24"/>
        </w:rPr>
        <w:t> </w:t>
      </w:r>
      <w:r>
        <w:rPr>
          <w:sz w:val="24"/>
        </w:rPr>
        <w:t>et</w:t>
      </w:r>
      <w:r>
        <w:rPr>
          <w:spacing w:val="19"/>
          <w:sz w:val="24"/>
        </w:rPr>
        <w:t> </w:t>
      </w:r>
      <w:r>
        <w:rPr>
          <w:sz w:val="24"/>
        </w:rPr>
        <w:t>al.</w:t>
      </w:r>
      <w:r>
        <w:rPr>
          <w:spacing w:val="22"/>
          <w:sz w:val="24"/>
        </w:rPr>
        <w:t> </w:t>
      </w:r>
      <w:r>
        <w:rPr>
          <w:sz w:val="24"/>
        </w:rPr>
        <w:t>2011,</w:t>
      </w:r>
      <w:r>
        <w:rPr>
          <w:spacing w:val="19"/>
          <w:sz w:val="24"/>
        </w:rPr>
        <w:t> </w:t>
      </w:r>
      <w:r>
        <w:rPr>
          <w:sz w:val="24"/>
        </w:rPr>
        <w:t>Oyafuso</w:t>
      </w:r>
      <w:r>
        <w:rPr>
          <w:spacing w:val="18"/>
          <w:sz w:val="24"/>
        </w:rPr>
        <w:t> </w:t>
      </w:r>
      <w:r>
        <w:rPr>
          <w:sz w:val="24"/>
        </w:rPr>
        <w:t>et</w:t>
      </w:r>
      <w:r>
        <w:rPr>
          <w:spacing w:val="19"/>
          <w:sz w:val="24"/>
        </w:rPr>
        <w:t> </w:t>
      </w:r>
      <w:r>
        <w:rPr>
          <w:sz w:val="24"/>
        </w:rPr>
        <w:t>al.</w:t>
      </w:r>
      <w:r>
        <w:rPr>
          <w:spacing w:val="19"/>
          <w:sz w:val="24"/>
        </w:rPr>
        <w:t> </w:t>
      </w:r>
      <w:r>
        <w:rPr>
          <w:sz w:val="24"/>
        </w:rPr>
        <w:t>2010).</w:t>
      </w:r>
    </w:p>
    <w:p>
      <w:pPr>
        <w:pStyle w:val="ListParagraph"/>
        <w:numPr>
          <w:ilvl w:val="0"/>
          <w:numId w:val="64"/>
        </w:numPr>
        <w:tabs>
          <w:tab w:pos="1132" w:val="left" w:leader="none"/>
          <w:tab w:pos="1133" w:val="left" w:leader="none"/>
        </w:tabs>
        <w:spacing w:line="256" w:lineRule="exact" w:before="0" w:after="0"/>
        <w:ind w:left="1132" w:right="0" w:hanging="972"/>
        <w:jc w:val="left"/>
        <w:rPr>
          <w:sz w:val="24"/>
        </w:rPr>
      </w:pPr>
      <w:r>
        <w:rPr>
          <w:position w:val="1"/>
          <w:sz w:val="24"/>
        </w:rPr>
        <w:t>Results of our previous studies (Del Angel-Caraza et al., 2010) suggest that the high frequency </w:t>
      </w:r>
      <w:r>
        <w:rPr>
          <w:spacing w:val="45"/>
          <w:position w:val="1"/>
          <w:sz w:val="24"/>
        </w:rPr>
        <w:t> </w:t>
      </w:r>
      <w:r>
        <w:rPr>
          <w:position w:val="1"/>
          <w:sz w:val="24"/>
        </w:rPr>
        <w:t>of</w:t>
      </w:r>
    </w:p>
    <w:p>
      <w:pPr>
        <w:pStyle w:val="ListParagraph"/>
        <w:numPr>
          <w:ilvl w:val="0"/>
          <w:numId w:val="64"/>
        </w:numPr>
        <w:tabs>
          <w:tab w:pos="1132" w:val="left" w:leader="none"/>
          <w:tab w:pos="1133" w:val="left" w:leader="none"/>
        </w:tabs>
        <w:spacing w:line="240" w:lineRule="auto" w:before="2" w:after="0"/>
        <w:ind w:left="1132" w:right="0" w:hanging="972"/>
        <w:jc w:val="left"/>
        <w:rPr>
          <w:sz w:val="24"/>
        </w:rPr>
      </w:pPr>
      <w:r>
        <w:rPr>
          <w:sz w:val="24"/>
        </w:rPr>
        <w:t>silicate</w:t>
      </w:r>
      <w:r>
        <w:rPr>
          <w:spacing w:val="45"/>
          <w:sz w:val="24"/>
        </w:rPr>
        <w:t> </w:t>
      </w:r>
      <w:r>
        <w:rPr>
          <w:sz w:val="24"/>
        </w:rPr>
        <w:t>uroliths</w:t>
      </w:r>
      <w:r>
        <w:rPr>
          <w:spacing w:val="45"/>
          <w:sz w:val="24"/>
        </w:rPr>
        <w:t> </w:t>
      </w:r>
      <w:r>
        <w:rPr>
          <w:sz w:val="24"/>
        </w:rPr>
        <w:t>in</w:t>
      </w:r>
      <w:r>
        <w:rPr>
          <w:spacing w:val="45"/>
          <w:sz w:val="24"/>
        </w:rPr>
        <w:t> </w:t>
      </w:r>
      <w:r>
        <w:rPr>
          <w:sz w:val="24"/>
        </w:rPr>
        <w:t>dogs</w:t>
      </w:r>
      <w:r>
        <w:rPr>
          <w:spacing w:val="45"/>
          <w:sz w:val="24"/>
        </w:rPr>
        <w:t> </w:t>
      </w:r>
      <w:r>
        <w:rPr>
          <w:sz w:val="24"/>
        </w:rPr>
        <w:t>of</w:t>
      </w:r>
      <w:r>
        <w:rPr>
          <w:spacing w:val="45"/>
          <w:sz w:val="24"/>
        </w:rPr>
        <w:t> </w:t>
      </w:r>
      <w:r>
        <w:rPr>
          <w:sz w:val="24"/>
        </w:rPr>
        <w:t>Mexico</w:t>
      </w:r>
      <w:r>
        <w:rPr>
          <w:spacing w:val="45"/>
          <w:sz w:val="24"/>
        </w:rPr>
        <w:t> </w:t>
      </w:r>
      <w:r>
        <w:rPr>
          <w:sz w:val="24"/>
        </w:rPr>
        <w:t>is</w:t>
      </w:r>
      <w:r>
        <w:rPr>
          <w:spacing w:val="45"/>
          <w:sz w:val="24"/>
        </w:rPr>
        <w:t> </w:t>
      </w:r>
      <w:r>
        <w:rPr>
          <w:sz w:val="24"/>
        </w:rPr>
        <w:t>associated</w:t>
      </w:r>
      <w:r>
        <w:rPr>
          <w:spacing w:val="45"/>
          <w:sz w:val="24"/>
        </w:rPr>
        <w:t> </w:t>
      </w:r>
      <w:r>
        <w:rPr>
          <w:sz w:val="24"/>
        </w:rPr>
        <w:t>with</w:t>
      </w:r>
      <w:r>
        <w:rPr>
          <w:spacing w:val="45"/>
          <w:sz w:val="24"/>
        </w:rPr>
        <w:t> </w:t>
      </w:r>
      <w:r>
        <w:rPr>
          <w:sz w:val="24"/>
        </w:rPr>
        <w:t>the</w:t>
      </w:r>
      <w:r>
        <w:rPr>
          <w:spacing w:val="45"/>
          <w:sz w:val="24"/>
        </w:rPr>
        <w:t> </w:t>
      </w:r>
      <w:r>
        <w:rPr>
          <w:sz w:val="24"/>
        </w:rPr>
        <w:t>geographical</w:t>
      </w:r>
      <w:r>
        <w:rPr>
          <w:spacing w:val="45"/>
          <w:sz w:val="24"/>
        </w:rPr>
        <w:t> </w:t>
      </w:r>
      <w:r>
        <w:rPr>
          <w:sz w:val="24"/>
        </w:rPr>
        <w:t>area.</w:t>
      </w:r>
      <w:r>
        <w:rPr>
          <w:spacing w:val="46"/>
          <w:sz w:val="24"/>
        </w:rPr>
        <w:t> </w:t>
      </w:r>
      <w:r>
        <w:rPr>
          <w:sz w:val="24"/>
        </w:rPr>
        <w:t>For</w:t>
      </w:r>
      <w:r>
        <w:rPr>
          <w:spacing w:val="45"/>
          <w:sz w:val="24"/>
        </w:rPr>
        <w:t> </w:t>
      </w:r>
      <w:r>
        <w:rPr>
          <w:sz w:val="24"/>
        </w:rPr>
        <w:t>5</w:t>
      </w:r>
      <w:r>
        <w:rPr>
          <w:spacing w:val="45"/>
          <w:sz w:val="24"/>
        </w:rPr>
        <w:t> </w:t>
      </w:r>
      <w:r>
        <w:rPr>
          <w:sz w:val="24"/>
        </w:rPr>
        <w:t>years,</w:t>
      </w:r>
      <w:r>
        <w:rPr>
          <w:spacing w:val="48"/>
          <w:sz w:val="24"/>
        </w:rPr>
        <w:t> </w:t>
      </w:r>
      <w:r>
        <w:rPr>
          <w:sz w:val="24"/>
        </w:rPr>
        <w:t>our</w:t>
      </w:r>
    </w:p>
    <w:p>
      <w:pPr>
        <w:spacing w:after="0" w:line="240" w:lineRule="auto"/>
        <w:jc w:val="left"/>
        <w:rPr>
          <w:sz w:val="24"/>
        </w:rPr>
        <w:sectPr>
          <w:headerReference w:type="default" r:id="rId63"/>
          <w:footerReference w:type="default" r:id="rId64"/>
          <w:pgSz w:w="12240" w:h="15840"/>
          <w:pgMar w:header="0" w:footer="1111" w:top="140" w:bottom="1300" w:left="0" w:right="40"/>
        </w:sectPr>
      </w:pPr>
    </w:p>
    <w:p>
      <w:pPr>
        <w:tabs>
          <w:tab w:pos="4652" w:val="left" w:leader="none"/>
        </w:tabs>
        <w:spacing w:before="56"/>
        <w:ind w:left="160" w:right="0" w:firstLine="0"/>
        <w:jc w:val="left"/>
        <w:rPr>
          <w:b/>
          <w:sz w:val="20"/>
        </w:rPr>
      </w:pPr>
      <w:r>
        <w:rPr>
          <w:b/>
          <w:sz w:val="20"/>
        </w:rPr>
        <w:t>Page 7</w:t>
      </w:r>
      <w:r>
        <w:rPr>
          <w:b/>
          <w:spacing w:val="-1"/>
          <w:sz w:val="20"/>
        </w:rPr>
        <w:t> </w:t>
      </w:r>
      <w:r>
        <w:rPr>
          <w:b/>
          <w:sz w:val="20"/>
        </w:rPr>
        <w:t>of</w:t>
      </w:r>
      <w:r>
        <w:rPr>
          <w:b/>
          <w:spacing w:val="-1"/>
          <w:sz w:val="20"/>
        </w:rPr>
        <w:t> </w:t>
      </w:r>
      <w:r>
        <w:rPr>
          <w:b/>
          <w:sz w:val="20"/>
        </w:rPr>
        <w:t>13</w:t>
        <w:tab/>
        <w:t>Pesquisa Veterinária</w:t>
      </w:r>
      <w:r>
        <w:rPr>
          <w:b/>
          <w:spacing w:val="-11"/>
          <w:sz w:val="20"/>
        </w:rPr>
        <w:t> </w:t>
      </w:r>
      <w:r>
        <w:rPr>
          <w:b/>
          <w:sz w:val="20"/>
        </w:rPr>
        <w:t>Brasileira</w:t>
      </w:r>
    </w:p>
    <w:p>
      <w:pPr>
        <w:pStyle w:val="BodyText"/>
        <w:spacing w:before="4"/>
        <w:rPr>
          <w:b/>
          <w:sz w:val="19"/>
        </w:rPr>
      </w:pPr>
    </w:p>
    <w:p>
      <w:pPr>
        <w:spacing w:line="230" w:lineRule="exact" w:before="56"/>
        <w:ind w:left="0" w:right="111" w:firstLine="0"/>
        <w:jc w:val="right"/>
        <w:rPr>
          <w:rFonts w:ascii="Calibri"/>
          <w:sz w:val="22"/>
        </w:rPr>
      </w:pPr>
      <w:r>
        <w:rPr>
          <w:rFonts w:ascii="Calibri"/>
          <w:w w:val="100"/>
          <w:sz w:val="22"/>
        </w:rPr>
        <w:t>7</w:t>
      </w:r>
    </w:p>
    <w:p>
      <w:pPr>
        <w:spacing w:line="191" w:lineRule="exact" w:before="0"/>
        <w:ind w:left="160" w:right="0" w:firstLine="0"/>
        <w:jc w:val="left"/>
        <w:rPr>
          <w:sz w:val="20"/>
        </w:rPr>
      </w:pPr>
      <w:r>
        <w:rPr>
          <w:sz w:val="20"/>
        </w:rPr>
        <w:t>1</w:t>
      </w:r>
    </w:p>
    <w:p>
      <w:pPr>
        <w:pStyle w:val="ListParagraph"/>
        <w:numPr>
          <w:ilvl w:val="0"/>
          <w:numId w:val="65"/>
        </w:numPr>
        <w:tabs>
          <w:tab w:pos="1132" w:val="left" w:leader="none"/>
          <w:tab w:pos="1133" w:val="left" w:leader="none"/>
        </w:tabs>
        <w:spacing w:line="258" w:lineRule="exact" w:before="6" w:after="0"/>
        <w:ind w:left="1132" w:right="0" w:hanging="972"/>
        <w:jc w:val="left"/>
        <w:rPr>
          <w:sz w:val="24"/>
        </w:rPr>
      </w:pPr>
      <w:r>
        <w:rPr>
          <w:sz w:val="24"/>
        </w:rPr>
        <w:t>hospital has  been  a  referral center for the  analysis  of uroliths  from  different  animal species</w:t>
      </w:r>
      <w:r>
        <w:rPr>
          <w:spacing w:val="-25"/>
          <w:sz w:val="24"/>
        </w:rPr>
        <w:t> </w:t>
      </w:r>
      <w:r>
        <w:rPr>
          <w:sz w:val="24"/>
        </w:rPr>
        <w:t>in</w:t>
      </w:r>
    </w:p>
    <w:p>
      <w:pPr>
        <w:pStyle w:val="ListParagraph"/>
        <w:numPr>
          <w:ilvl w:val="0"/>
          <w:numId w:val="65"/>
        </w:numPr>
        <w:tabs>
          <w:tab w:pos="1132" w:val="left" w:leader="none"/>
          <w:tab w:pos="1133" w:val="left" w:leader="none"/>
        </w:tabs>
        <w:spacing w:line="257" w:lineRule="exact" w:before="0" w:after="0"/>
        <w:ind w:left="1132" w:right="0" w:hanging="972"/>
        <w:jc w:val="left"/>
        <w:rPr>
          <w:sz w:val="24"/>
        </w:rPr>
      </w:pPr>
      <w:r>
        <w:rPr>
          <w:sz w:val="24"/>
        </w:rPr>
        <w:t>Mexico,  and  it  is  common  to  find  that  silicate  uroliths  are  present  in  animal      </w:t>
      </w:r>
      <w:r>
        <w:rPr>
          <w:spacing w:val="21"/>
          <w:sz w:val="24"/>
        </w:rPr>
        <w:t> </w:t>
      </w:r>
      <w:r>
        <w:rPr>
          <w:sz w:val="24"/>
        </w:rPr>
        <w:t>populations</w:t>
      </w:r>
    </w:p>
    <w:p>
      <w:pPr>
        <w:pStyle w:val="ListParagraph"/>
        <w:numPr>
          <w:ilvl w:val="0"/>
          <w:numId w:val="65"/>
        </w:numPr>
        <w:tabs>
          <w:tab w:pos="1132" w:val="left" w:leader="none"/>
          <w:tab w:pos="1133" w:val="left" w:leader="none"/>
        </w:tabs>
        <w:spacing w:line="331" w:lineRule="exact" w:before="0" w:after="0"/>
        <w:ind w:left="1132" w:right="0" w:hanging="972"/>
        <w:jc w:val="left"/>
        <w:rPr>
          <w:sz w:val="24"/>
        </w:rPr>
      </w:pPr>
      <w:r>
        <w:rPr/>
        <w:pict>
          <v:shape style="position:absolute;margin-left:8pt;margin-top:10.785737pt;width:5.6pt;height:10pt;mso-position-horizontal-relative:page;mso-position-vertical-relative:paragraph;z-index:-92536" type="#_x0000_t202" filled="false" stroked="false">
            <v:textbox inset="0,0,0,0">
              <w:txbxContent>
                <w:p>
                  <w:pPr>
                    <w:spacing w:line="196" w:lineRule="exact" w:before="0"/>
                    <w:ind w:left="0" w:right="0" w:firstLine="0"/>
                    <w:jc w:val="left"/>
                    <w:rPr>
                      <w:sz w:val="20"/>
                    </w:rPr>
                  </w:pPr>
                  <w:r>
                    <w:rPr>
                      <w:sz w:val="20"/>
                    </w:rPr>
                    <w:t>5</w:t>
                  </w:r>
                </w:p>
              </w:txbxContent>
            </v:textbox>
            <w10:wrap type="none"/>
          </v:shape>
        </w:pict>
      </w:r>
      <w:r>
        <w:rPr>
          <w:sz w:val="24"/>
        </w:rPr>
        <w:t>inhabiting the Trans-Mexican neovolcanic axis, extending transversely from the Pacific Ocean  </w:t>
      </w:r>
      <w:r>
        <w:rPr>
          <w:spacing w:val="24"/>
          <w:sz w:val="24"/>
        </w:rPr>
        <w:t> </w:t>
      </w:r>
      <w:r>
        <w:rPr>
          <w:sz w:val="24"/>
        </w:rPr>
        <w:t>to</w:t>
      </w:r>
    </w:p>
    <w:p>
      <w:pPr>
        <w:pStyle w:val="ListParagraph"/>
        <w:numPr>
          <w:ilvl w:val="0"/>
          <w:numId w:val="66"/>
        </w:numPr>
        <w:tabs>
          <w:tab w:pos="1132" w:val="left" w:leader="none"/>
          <w:tab w:pos="1133" w:val="left" w:leader="none"/>
        </w:tabs>
        <w:spacing w:line="295" w:lineRule="exact" w:before="0" w:after="0"/>
        <w:ind w:left="1132" w:right="0" w:hanging="972"/>
        <w:jc w:val="left"/>
        <w:rPr>
          <w:sz w:val="24"/>
        </w:rPr>
      </w:pPr>
      <w:r>
        <w:rPr>
          <w:sz w:val="24"/>
        </w:rPr>
        <w:t>the</w:t>
      </w:r>
      <w:r>
        <w:rPr>
          <w:spacing w:val="10"/>
          <w:sz w:val="24"/>
        </w:rPr>
        <w:t> </w:t>
      </w:r>
      <w:r>
        <w:rPr>
          <w:sz w:val="24"/>
        </w:rPr>
        <w:t>Gulf</w:t>
      </w:r>
      <w:r>
        <w:rPr>
          <w:spacing w:val="11"/>
          <w:sz w:val="24"/>
        </w:rPr>
        <w:t> </w:t>
      </w:r>
      <w:r>
        <w:rPr>
          <w:sz w:val="24"/>
        </w:rPr>
        <w:t>of</w:t>
      </w:r>
      <w:r>
        <w:rPr>
          <w:spacing w:val="9"/>
          <w:sz w:val="24"/>
        </w:rPr>
        <w:t> </w:t>
      </w:r>
      <w:r>
        <w:rPr>
          <w:sz w:val="24"/>
        </w:rPr>
        <w:t>Mexico.</w:t>
      </w:r>
      <w:r>
        <w:rPr>
          <w:spacing w:val="11"/>
          <w:sz w:val="24"/>
        </w:rPr>
        <w:t> </w:t>
      </w:r>
      <w:r>
        <w:rPr>
          <w:sz w:val="24"/>
        </w:rPr>
        <w:t>It</w:t>
      </w:r>
      <w:r>
        <w:rPr>
          <w:spacing w:val="12"/>
          <w:sz w:val="24"/>
        </w:rPr>
        <w:t> </w:t>
      </w:r>
      <w:r>
        <w:rPr>
          <w:sz w:val="24"/>
        </w:rPr>
        <w:t>is</w:t>
      </w:r>
      <w:r>
        <w:rPr>
          <w:spacing w:val="12"/>
          <w:sz w:val="24"/>
        </w:rPr>
        <w:t> </w:t>
      </w:r>
      <w:r>
        <w:rPr>
          <w:sz w:val="24"/>
        </w:rPr>
        <w:t>feasible</w:t>
      </w:r>
      <w:r>
        <w:rPr>
          <w:spacing w:val="10"/>
          <w:sz w:val="24"/>
        </w:rPr>
        <w:t> </w:t>
      </w:r>
      <w:r>
        <w:rPr>
          <w:sz w:val="24"/>
        </w:rPr>
        <w:t>that</w:t>
      </w:r>
      <w:r>
        <w:rPr>
          <w:spacing w:val="10"/>
          <w:sz w:val="24"/>
        </w:rPr>
        <w:t> </w:t>
      </w:r>
      <w:r>
        <w:rPr>
          <w:sz w:val="24"/>
        </w:rPr>
        <w:t>the</w:t>
      </w:r>
      <w:r>
        <w:rPr>
          <w:spacing w:val="10"/>
          <w:sz w:val="24"/>
        </w:rPr>
        <w:t> </w:t>
      </w:r>
      <w:r>
        <w:rPr>
          <w:sz w:val="24"/>
        </w:rPr>
        <w:t>water</w:t>
      </w:r>
      <w:r>
        <w:rPr>
          <w:spacing w:val="11"/>
          <w:sz w:val="24"/>
        </w:rPr>
        <w:t> </w:t>
      </w:r>
      <w:r>
        <w:rPr>
          <w:sz w:val="24"/>
        </w:rPr>
        <w:t>in</w:t>
      </w:r>
      <w:r>
        <w:rPr>
          <w:spacing w:val="10"/>
          <w:sz w:val="24"/>
        </w:rPr>
        <w:t> </w:t>
      </w:r>
      <w:r>
        <w:rPr>
          <w:sz w:val="24"/>
        </w:rPr>
        <w:t>the</w:t>
      </w:r>
      <w:r>
        <w:rPr>
          <w:spacing w:val="10"/>
          <w:sz w:val="24"/>
        </w:rPr>
        <w:t> </w:t>
      </w:r>
      <w:r>
        <w:rPr>
          <w:sz w:val="24"/>
        </w:rPr>
        <w:t>aquifer</w:t>
      </w:r>
      <w:r>
        <w:rPr>
          <w:spacing w:val="9"/>
          <w:sz w:val="24"/>
        </w:rPr>
        <w:t> </w:t>
      </w:r>
      <w:r>
        <w:rPr>
          <w:sz w:val="24"/>
        </w:rPr>
        <w:t>mantles</w:t>
      </w:r>
      <w:r>
        <w:rPr>
          <w:spacing w:val="12"/>
          <w:sz w:val="24"/>
        </w:rPr>
        <w:t> </w:t>
      </w:r>
      <w:r>
        <w:rPr>
          <w:sz w:val="24"/>
        </w:rPr>
        <w:t>of</w:t>
      </w:r>
      <w:r>
        <w:rPr>
          <w:spacing w:val="9"/>
          <w:sz w:val="24"/>
        </w:rPr>
        <w:t> </w:t>
      </w:r>
      <w:r>
        <w:rPr>
          <w:sz w:val="24"/>
        </w:rPr>
        <w:t>the</w:t>
      </w:r>
      <w:r>
        <w:rPr>
          <w:spacing w:val="10"/>
          <w:sz w:val="24"/>
        </w:rPr>
        <w:t> </w:t>
      </w:r>
      <w:r>
        <w:rPr>
          <w:sz w:val="24"/>
        </w:rPr>
        <w:t>region</w:t>
      </w:r>
      <w:r>
        <w:rPr>
          <w:spacing w:val="10"/>
          <w:sz w:val="24"/>
        </w:rPr>
        <w:t> </w:t>
      </w:r>
      <w:r>
        <w:rPr>
          <w:sz w:val="24"/>
        </w:rPr>
        <w:t>contains</w:t>
      </w:r>
      <w:r>
        <w:rPr>
          <w:spacing w:val="10"/>
          <w:sz w:val="24"/>
        </w:rPr>
        <w:t> </w:t>
      </w:r>
      <w:r>
        <w:rPr>
          <w:sz w:val="24"/>
        </w:rPr>
        <w:t>high</w:t>
      </w:r>
    </w:p>
    <w:p>
      <w:pPr>
        <w:pStyle w:val="ListParagraph"/>
        <w:numPr>
          <w:ilvl w:val="0"/>
          <w:numId w:val="66"/>
        </w:numPr>
        <w:tabs>
          <w:tab w:pos="1132" w:val="left" w:leader="none"/>
          <w:tab w:pos="1133" w:val="left" w:leader="none"/>
        </w:tabs>
        <w:spacing w:line="263" w:lineRule="exact" w:before="0" w:after="0"/>
        <w:ind w:left="1132" w:right="0" w:hanging="972"/>
        <w:jc w:val="left"/>
        <w:rPr>
          <w:sz w:val="24"/>
        </w:rPr>
      </w:pPr>
      <w:r>
        <w:rPr>
          <w:sz w:val="24"/>
        </w:rPr>
        <w:t>levels</w:t>
      </w:r>
      <w:r>
        <w:rPr>
          <w:spacing w:val="38"/>
          <w:sz w:val="24"/>
        </w:rPr>
        <w:t> </w:t>
      </w:r>
      <w:r>
        <w:rPr>
          <w:sz w:val="24"/>
        </w:rPr>
        <w:t>of</w:t>
      </w:r>
      <w:r>
        <w:rPr>
          <w:spacing w:val="37"/>
          <w:sz w:val="24"/>
        </w:rPr>
        <w:t> </w:t>
      </w:r>
      <w:r>
        <w:rPr>
          <w:sz w:val="24"/>
        </w:rPr>
        <w:t>silicates,</w:t>
      </w:r>
      <w:r>
        <w:rPr>
          <w:spacing w:val="39"/>
          <w:sz w:val="24"/>
        </w:rPr>
        <w:t> </w:t>
      </w:r>
      <w:r>
        <w:rPr>
          <w:sz w:val="24"/>
        </w:rPr>
        <w:t>and</w:t>
      </w:r>
      <w:r>
        <w:rPr>
          <w:spacing w:val="37"/>
          <w:sz w:val="24"/>
        </w:rPr>
        <w:t> </w:t>
      </w:r>
      <w:r>
        <w:rPr>
          <w:sz w:val="24"/>
        </w:rPr>
        <w:t>settlements</w:t>
      </w:r>
      <w:r>
        <w:rPr>
          <w:spacing w:val="38"/>
          <w:sz w:val="24"/>
        </w:rPr>
        <w:t> </w:t>
      </w:r>
      <w:r>
        <w:rPr>
          <w:sz w:val="24"/>
        </w:rPr>
        <w:t>in</w:t>
      </w:r>
      <w:r>
        <w:rPr>
          <w:spacing w:val="38"/>
          <w:sz w:val="24"/>
        </w:rPr>
        <w:t> </w:t>
      </w:r>
      <w:r>
        <w:rPr>
          <w:sz w:val="24"/>
        </w:rPr>
        <w:t>this</w:t>
      </w:r>
      <w:r>
        <w:rPr>
          <w:spacing w:val="35"/>
          <w:sz w:val="24"/>
        </w:rPr>
        <w:t> </w:t>
      </w:r>
      <w:r>
        <w:rPr>
          <w:sz w:val="24"/>
        </w:rPr>
        <w:t>area</w:t>
      </w:r>
      <w:r>
        <w:rPr>
          <w:spacing w:val="38"/>
          <w:sz w:val="24"/>
        </w:rPr>
        <w:t> </w:t>
      </w:r>
      <w:r>
        <w:rPr>
          <w:sz w:val="24"/>
        </w:rPr>
        <w:t>supply</w:t>
      </w:r>
      <w:r>
        <w:rPr>
          <w:spacing w:val="37"/>
          <w:sz w:val="24"/>
        </w:rPr>
        <w:t> </w:t>
      </w:r>
      <w:r>
        <w:rPr>
          <w:sz w:val="24"/>
        </w:rPr>
        <w:t>their</w:t>
      </w:r>
      <w:r>
        <w:rPr>
          <w:spacing w:val="37"/>
          <w:sz w:val="24"/>
        </w:rPr>
        <w:t> </w:t>
      </w:r>
      <w:r>
        <w:rPr>
          <w:sz w:val="24"/>
        </w:rPr>
        <w:t>water</w:t>
      </w:r>
      <w:r>
        <w:rPr>
          <w:spacing w:val="37"/>
          <w:sz w:val="24"/>
        </w:rPr>
        <w:t> </w:t>
      </w:r>
      <w:r>
        <w:rPr>
          <w:sz w:val="24"/>
        </w:rPr>
        <w:t>consumption</w:t>
      </w:r>
      <w:r>
        <w:rPr>
          <w:spacing w:val="38"/>
          <w:sz w:val="24"/>
        </w:rPr>
        <w:t> </w:t>
      </w:r>
      <w:r>
        <w:rPr>
          <w:sz w:val="24"/>
        </w:rPr>
        <w:t>from</w:t>
      </w:r>
      <w:r>
        <w:rPr>
          <w:spacing w:val="37"/>
          <w:sz w:val="24"/>
        </w:rPr>
        <w:t> </w:t>
      </w:r>
      <w:r>
        <w:rPr>
          <w:sz w:val="24"/>
        </w:rPr>
        <w:t>aquifers</w:t>
      </w:r>
    </w:p>
    <w:p>
      <w:pPr>
        <w:pStyle w:val="ListParagraph"/>
        <w:numPr>
          <w:ilvl w:val="0"/>
          <w:numId w:val="66"/>
        </w:numPr>
        <w:tabs>
          <w:tab w:pos="1132" w:val="left" w:leader="none"/>
          <w:tab w:pos="1133" w:val="left" w:leader="none"/>
        </w:tabs>
        <w:spacing w:line="257" w:lineRule="exact" w:before="0" w:after="0"/>
        <w:ind w:left="1132" w:right="0" w:hanging="972"/>
        <w:jc w:val="left"/>
        <w:rPr>
          <w:sz w:val="24"/>
        </w:rPr>
      </w:pPr>
      <w:r>
        <w:rPr>
          <w:sz w:val="24"/>
        </w:rPr>
        <w:t>(Del-Angel-Caraza et al. 2010). This phenomenon has been considered as a risk factor for </w:t>
      </w:r>
      <w:r>
        <w:rPr>
          <w:spacing w:val="16"/>
          <w:sz w:val="24"/>
        </w:rPr>
        <w:t> </w:t>
      </w:r>
      <w:r>
        <w:rPr>
          <w:sz w:val="24"/>
        </w:rPr>
        <w:t>silicate</w:t>
      </w:r>
    </w:p>
    <w:p>
      <w:pPr>
        <w:pStyle w:val="ListParagraph"/>
        <w:numPr>
          <w:ilvl w:val="0"/>
          <w:numId w:val="66"/>
        </w:numPr>
        <w:tabs>
          <w:tab w:pos="1132" w:val="left" w:leader="none"/>
          <w:tab w:pos="1133" w:val="left" w:leader="none"/>
        </w:tabs>
        <w:spacing w:line="256" w:lineRule="exact" w:before="0" w:after="0"/>
        <w:ind w:left="1132" w:right="0" w:hanging="972"/>
        <w:jc w:val="left"/>
        <w:rPr>
          <w:sz w:val="24"/>
        </w:rPr>
      </w:pPr>
      <w:r>
        <w:rPr>
          <w:sz w:val="24"/>
        </w:rPr>
        <w:t>urolithiasis for dogs in Japan (Tasaki et al. 2013). Because the formation of this kind of uroliths</w:t>
      </w:r>
      <w:r>
        <w:rPr>
          <w:spacing w:val="1"/>
          <w:sz w:val="24"/>
        </w:rPr>
        <w:t> </w:t>
      </w:r>
      <w:r>
        <w:rPr>
          <w:sz w:val="24"/>
        </w:rPr>
        <w:t>in</w:t>
      </w:r>
    </w:p>
    <w:p>
      <w:pPr>
        <w:pStyle w:val="ListParagraph"/>
        <w:numPr>
          <w:ilvl w:val="0"/>
          <w:numId w:val="66"/>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71773pt;width:11.15pt;height:10pt;mso-position-horizontal-relative:page;mso-position-vertical-relative:paragraph;z-index:-92512" type="#_x0000_t202" filled="false" stroked="false">
            <v:textbox inset="0,0,0,0">
              <w:txbxContent>
                <w:p>
                  <w:pPr>
                    <w:spacing w:line="196" w:lineRule="exact" w:before="0"/>
                    <w:ind w:left="0" w:right="-20" w:firstLine="0"/>
                    <w:jc w:val="left"/>
                    <w:rPr>
                      <w:sz w:val="20"/>
                    </w:rPr>
                  </w:pPr>
                  <w:r>
                    <w:rPr>
                      <w:sz w:val="20"/>
                    </w:rPr>
                    <w:t>11</w:t>
                  </w:r>
                </w:p>
              </w:txbxContent>
            </v:textbox>
            <w10:wrap type="none"/>
          </v:shape>
        </w:pict>
      </w:r>
      <w:r>
        <w:rPr>
          <w:sz w:val="24"/>
        </w:rPr>
        <w:t>dogs</w:t>
      </w:r>
      <w:r>
        <w:rPr>
          <w:spacing w:val="40"/>
          <w:sz w:val="24"/>
        </w:rPr>
        <w:t> </w:t>
      </w:r>
      <w:r>
        <w:rPr>
          <w:sz w:val="24"/>
        </w:rPr>
        <w:t>requires</w:t>
      </w:r>
      <w:r>
        <w:rPr>
          <w:spacing w:val="40"/>
          <w:sz w:val="24"/>
        </w:rPr>
        <w:t> </w:t>
      </w:r>
      <w:r>
        <w:rPr>
          <w:sz w:val="24"/>
        </w:rPr>
        <w:t>a</w:t>
      </w:r>
      <w:r>
        <w:rPr>
          <w:spacing w:val="40"/>
          <w:sz w:val="24"/>
        </w:rPr>
        <w:t> </w:t>
      </w:r>
      <w:r>
        <w:rPr>
          <w:sz w:val="24"/>
        </w:rPr>
        <w:t>constant</w:t>
      </w:r>
      <w:r>
        <w:rPr>
          <w:spacing w:val="40"/>
          <w:sz w:val="24"/>
        </w:rPr>
        <w:t> </w:t>
      </w:r>
      <w:r>
        <w:rPr>
          <w:sz w:val="24"/>
        </w:rPr>
        <w:t>intake</w:t>
      </w:r>
      <w:r>
        <w:rPr>
          <w:spacing w:val="41"/>
          <w:sz w:val="24"/>
        </w:rPr>
        <w:t> </w:t>
      </w:r>
      <w:r>
        <w:rPr>
          <w:sz w:val="24"/>
        </w:rPr>
        <w:t>of</w:t>
      </w:r>
      <w:r>
        <w:rPr>
          <w:spacing w:val="39"/>
          <w:sz w:val="24"/>
        </w:rPr>
        <w:t> </w:t>
      </w:r>
      <w:r>
        <w:rPr>
          <w:sz w:val="24"/>
        </w:rPr>
        <w:t>silica</w:t>
      </w:r>
      <w:r>
        <w:rPr>
          <w:spacing w:val="38"/>
          <w:sz w:val="24"/>
        </w:rPr>
        <w:t> </w:t>
      </w:r>
      <w:r>
        <w:rPr>
          <w:sz w:val="24"/>
        </w:rPr>
        <w:t>in</w:t>
      </w:r>
      <w:r>
        <w:rPr>
          <w:spacing w:val="38"/>
          <w:sz w:val="24"/>
        </w:rPr>
        <w:t> </w:t>
      </w:r>
      <w:r>
        <w:rPr>
          <w:sz w:val="24"/>
        </w:rPr>
        <w:t>the</w:t>
      </w:r>
      <w:r>
        <w:rPr>
          <w:spacing w:val="41"/>
          <w:sz w:val="24"/>
        </w:rPr>
        <w:t> </w:t>
      </w:r>
      <w:r>
        <w:rPr>
          <w:sz w:val="24"/>
        </w:rPr>
        <w:t>diet</w:t>
      </w:r>
      <w:r>
        <w:rPr>
          <w:spacing w:val="40"/>
          <w:sz w:val="24"/>
        </w:rPr>
        <w:t> </w:t>
      </w:r>
      <w:r>
        <w:rPr>
          <w:sz w:val="24"/>
        </w:rPr>
        <w:t>or</w:t>
      </w:r>
      <w:r>
        <w:rPr>
          <w:spacing w:val="39"/>
          <w:sz w:val="24"/>
        </w:rPr>
        <w:t> </w:t>
      </w:r>
      <w:r>
        <w:rPr>
          <w:sz w:val="24"/>
        </w:rPr>
        <w:t>water,</w:t>
      </w:r>
      <w:r>
        <w:rPr>
          <w:spacing w:val="38"/>
          <w:sz w:val="24"/>
        </w:rPr>
        <w:t> </w:t>
      </w:r>
      <w:r>
        <w:rPr>
          <w:sz w:val="24"/>
        </w:rPr>
        <w:t>have</w:t>
      </w:r>
      <w:r>
        <w:rPr>
          <w:spacing w:val="38"/>
          <w:sz w:val="24"/>
        </w:rPr>
        <w:t> </w:t>
      </w:r>
      <w:r>
        <w:rPr>
          <w:sz w:val="24"/>
        </w:rPr>
        <w:t>also</w:t>
      </w:r>
      <w:r>
        <w:rPr>
          <w:spacing w:val="40"/>
          <w:sz w:val="24"/>
        </w:rPr>
        <w:t> </w:t>
      </w:r>
      <w:r>
        <w:rPr>
          <w:sz w:val="24"/>
        </w:rPr>
        <w:t>been</w:t>
      </w:r>
      <w:r>
        <w:rPr>
          <w:spacing w:val="41"/>
          <w:sz w:val="24"/>
        </w:rPr>
        <w:t> </w:t>
      </w:r>
      <w:r>
        <w:rPr>
          <w:sz w:val="24"/>
        </w:rPr>
        <w:t>considered</w:t>
      </w:r>
      <w:r>
        <w:rPr>
          <w:spacing w:val="36"/>
          <w:sz w:val="24"/>
        </w:rPr>
        <w:t> </w:t>
      </w:r>
      <w:r>
        <w:rPr>
          <w:sz w:val="24"/>
        </w:rPr>
        <w:t>risk</w:t>
      </w:r>
    </w:p>
    <w:p>
      <w:pPr>
        <w:pStyle w:val="BodyText"/>
        <w:tabs>
          <w:tab w:pos="1132" w:val="left" w:leader="none"/>
        </w:tabs>
        <w:spacing w:line="310" w:lineRule="exact"/>
        <w:ind w:left="160"/>
        <w:rPr>
          <w:rFonts w:ascii="Cambria"/>
        </w:rPr>
      </w:pPr>
      <w:r>
        <w:rPr>
          <w:position w:val="-3"/>
          <w:sz w:val="20"/>
        </w:rPr>
        <w:t>12</w:t>
        <w:tab/>
      </w:r>
      <w:r>
        <w:rPr>
          <w:rFonts w:ascii="Cambria"/>
        </w:rPr>
        <w:t>factors in affected</w:t>
      </w:r>
      <w:r>
        <w:rPr>
          <w:rFonts w:ascii="Cambria"/>
          <w:spacing w:val="-14"/>
        </w:rPr>
        <w:t> </w:t>
      </w:r>
      <w:r>
        <w:rPr>
          <w:rFonts w:ascii="Cambria"/>
        </w:rPr>
        <w:t>animals.</w:t>
      </w:r>
    </w:p>
    <w:p>
      <w:pPr>
        <w:spacing w:line="200" w:lineRule="exact" w:before="1"/>
        <w:ind w:left="160" w:right="0" w:firstLine="0"/>
        <w:jc w:val="left"/>
        <w:rPr>
          <w:sz w:val="20"/>
        </w:rPr>
      </w:pPr>
      <w:r>
        <w:rPr>
          <w:sz w:val="20"/>
        </w:rPr>
        <w:t>13</w:t>
      </w:r>
    </w:p>
    <w:p>
      <w:pPr>
        <w:pStyle w:val="ListParagraph"/>
        <w:numPr>
          <w:ilvl w:val="0"/>
          <w:numId w:val="67"/>
        </w:numPr>
        <w:tabs>
          <w:tab w:pos="1840" w:val="left" w:leader="none"/>
          <w:tab w:pos="1841" w:val="left" w:leader="none"/>
        </w:tabs>
        <w:spacing w:line="256" w:lineRule="exact" w:before="0" w:after="0"/>
        <w:ind w:left="1840" w:right="0" w:hanging="1680"/>
        <w:jc w:val="left"/>
        <w:rPr>
          <w:sz w:val="24"/>
        </w:rPr>
      </w:pPr>
      <w:r>
        <w:rPr/>
        <w:pict>
          <v:shape style="position:absolute;margin-left:116.872412pt;margin-top:172.930189pt;width:376.45pt;height:48pt;mso-position-horizontal-relative:page;mso-position-vertical-relative:paragraph;z-index:-92560;rotation:51" type="#_x0000_t136" fillcolor="#d6f1fe" stroked="f">
            <o:extrusion v:ext="view" autorotationcenter="t"/>
            <v:textpath style="font-family:&amp;quot;Arial&amp;quot;;font-size:48pt;v-text-kern:t;mso-text-shadow:auto;font-weight:bold" string="For Review Only"/>
            <w10:wrap type="none"/>
          </v:shape>
        </w:pict>
      </w:r>
      <w:r>
        <w:rPr>
          <w:sz w:val="24"/>
        </w:rPr>
        <w:t>The</w:t>
      </w:r>
      <w:r>
        <w:rPr>
          <w:spacing w:val="22"/>
          <w:sz w:val="24"/>
        </w:rPr>
        <w:t> </w:t>
      </w:r>
      <w:r>
        <w:rPr>
          <w:sz w:val="24"/>
        </w:rPr>
        <w:t>second</w:t>
      </w:r>
      <w:r>
        <w:rPr>
          <w:spacing w:val="20"/>
          <w:sz w:val="24"/>
        </w:rPr>
        <w:t> </w:t>
      </w:r>
      <w:r>
        <w:rPr>
          <w:sz w:val="24"/>
        </w:rPr>
        <w:t>most</w:t>
      </w:r>
      <w:r>
        <w:rPr>
          <w:spacing w:val="21"/>
          <w:sz w:val="24"/>
        </w:rPr>
        <w:t> </w:t>
      </w:r>
      <w:r>
        <w:rPr>
          <w:sz w:val="24"/>
        </w:rPr>
        <w:t>frequent</w:t>
      </w:r>
      <w:r>
        <w:rPr>
          <w:spacing w:val="21"/>
          <w:sz w:val="24"/>
        </w:rPr>
        <w:t> </w:t>
      </w:r>
      <w:r>
        <w:rPr>
          <w:sz w:val="24"/>
        </w:rPr>
        <w:t>type</w:t>
      </w:r>
      <w:r>
        <w:rPr>
          <w:spacing w:val="19"/>
          <w:sz w:val="24"/>
        </w:rPr>
        <w:t> </w:t>
      </w:r>
      <w:r>
        <w:rPr>
          <w:sz w:val="24"/>
        </w:rPr>
        <w:t>was</w:t>
      </w:r>
      <w:r>
        <w:rPr>
          <w:spacing w:val="21"/>
          <w:sz w:val="24"/>
        </w:rPr>
        <w:t> </w:t>
      </w:r>
      <w:r>
        <w:rPr>
          <w:sz w:val="24"/>
        </w:rPr>
        <w:t>struvite</w:t>
      </w:r>
      <w:r>
        <w:rPr>
          <w:spacing w:val="22"/>
          <w:sz w:val="24"/>
        </w:rPr>
        <w:t> </w:t>
      </w:r>
      <w:r>
        <w:rPr>
          <w:sz w:val="24"/>
        </w:rPr>
        <w:t>uroliths.</w:t>
      </w:r>
      <w:r>
        <w:rPr>
          <w:spacing w:val="22"/>
          <w:sz w:val="24"/>
        </w:rPr>
        <w:t> </w:t>
      </w:r>
      <w:r>
        <w:rPr>
          <w:sz w:val="24"/>
        </w:rPr>
        <w:t>Pathophysiologically,</w:t>
      </w:r>
      <w:r>
        <w:rPr>
          <w:spacing w:val="22"/>
          <w:sz w:val="24"/>
        </w:rPr>
        <w:t> </w:t>
      </w:r>
      <w:r>
        <w:rPr>
          <w:sz w:val="24"/>
        </w:rPr>
        <w:t>such</w:t>
      </w:r>
      <w:r>
        <w:rPr>
          <w:spacing w:val="21"/>
          <w:sz w:val="24"/>
        </w:rPr>
        <w:t> </w:t>
      </w:r>
      <w:r>
        <w:rPr>
          <w:sz w:val="24"/>
        </w:rPr>
        <w:t>mineral</w:t>
      </w:r>
    </w:p>
    <w:p>
      <w:pPr>
        <w:pStyle w:val="ListParagraph"/>
        <w:numPr>
          <w:ilvl w:val="0"/>
          <w:numId w:val="67"/>
        </w:numPr>
        <w:tabs>
          <w:tab w:pos="1132" w:val="left" w:leader="none"/>
          <w:tab w:pos="1133" w:val="left" w:leader="none"/>
        </w:tabs>
        <w:spacing w:line="261" w:lineRule="exact" w:before="0" w:after="0"/>
        <w:ind w:left="1132" w:right="0" w:hanging="972"/>
        <w:jc w:val="left"/>
        <w:rPr>
          <w:sz w:val="24"/>
        </w:rPr>
      </w:pPr>
      <w:r>
        <w:rPr>
          <w:sz w:val="24"/>
        </w:rPr>
        <w:t>precipitates</w:t>
      </w:r>
      <w:r>
        <w:rPr>
          <w:spacing w:val="22"/>
          <w:sz w:val="24"/>
        </w:rPr>
        <w:t> </w:t>
      </w:r>
      <w:r>
        <w:rPr>
          <w:sz w:val="24"/>
        </w:rPr>
        <w:t>are</w:t>
      </w:r>
      <w:r>
        <w:rPr>
          <w:spacing w:val="23"/>
          <w:sz w:val="24"/>
        </w:rPr>
        <w:t> </w:t>
      </w:r>
      <w:r>
        <w:rPr>
          <w:sz w:val="24"/>
        </w:rPr>
        <w:t>found</w:t>
      </w:r>
      <w:r>
        <w:rPr>
          <w:spacing w:val="22"/>
          <w:sz w:val="24"/>
        </w:rPr>
        <w:t> </w:t>
      </w:r>
      <w:r>
        <w:rPr>
          <w:sz w:val="24"/>
        </w:rPr>
        <w:t>in</w:t>
      </w:r>
      <w:r>
        <w:rPr>
          <w:spacing w:val="23"/>
          <w:sz w:val="24"/>
        </w:rPr>
        <w:t> </w:t>
      </w:r>
      <w:r>
        <w:rPr>
          <w:sz w:val="24"/>
        </w:rPr>
        <w:t>the</w:t>
      </w:r>
      <w:r>
        <w:rPr>
          <w:spacing w:val="23"/>
          <w:sz w:val="24"/>
        </w:rPr>
        <w:t> </w:t>
      </w:r>
      <w:r>
        <w:rPr>
          <w:sz w:val="24"/>
        </w:rPr>
        <w:t>presence</w:t>
      </w:r>
      <w:r>
        <w:rPr>
          <w:spacing w:val="23"/>
          <w:sz w:val="24"/>
        </w:rPr>
        <w:t> </w:t>
      </w:r>
      <w:r>
        <w:rPr>
          <w:sz w:val="24"/>
        </w:rPr>
        <w:t>of</w:t>
      </w:r>
      <w:r>
        <w:rPr>
          <w:spacing w:val="22"/>
          <w:sz w:val="24"/>
        </w:rPr>
        <w:t> </w:t>
      </w:r>
      <w:r>
        <w:rPr>
          <w:sz w:val="24"/>
        </w:rPr>
        <w:t>oversaturated</w:t>
      </w:r>
      <w:r>
        <w:rPr>
          <w:spacing w:val="22"/>
          <w:sz w:val="24"/>
        </w:rPr>
        <w:t> </w:t>
      </w:r>
      <w:r>
        <w:rPr>
          <w:sz w:val="24"/>
        </w:rPr>
        <w:t>urine</w:t>
      </w:r>
      <w:r>
        <w:rPr>
          <w:spacing w:val="23"/>
          <w:sz w:val="24"/>
        </w:rPr>
        <w:t> </w:t>
      </w:r>
      <w:r>
        <w:rPr>
          <w:sz w:val="24"/>
        </w:rPr>
        <w:t>with</w:t>
      </w:r>
      <w:r>
        <w:rPr>
          <w:spacing w:val="23"/>
          <w:sz w:val="24"/>
        </w:rPr>
        <w:t> </w:t>
      </w:r>
      <w:r>
        <w:rPr>
          <w:sz w:val="24"/>
        </w:rPr>
        <w:t>phosphate,</w:t>
      </w:r>
      <w:r>
        <w:rPr>
          <w:spacing w:val="23"/>
          <w:sz w:val="24"/>
        </w:rPr>
        <w:t> </w:t>
      </w:r>
      <w:r>
        <w:rPr>
          <w:sz w:val="24"/>
        </w:rPr>
        <w:t>magnesium,</w:t>
      </w:r>
      <w:r>
        <w:rPr>
          <w:spacing w:val="22"/>
          <w:sz w:val="24"/>
        </w:rPr>
        <w:t> </w:t>
      </w:r>
      <w:r>
        <w:rPr>
          <w:sz w:val="24"/>
        </w:rPr>
        <w:t>and</w:t>
      </w:r>
    </w:p>
    <w:p>
      <w:pPr>
        <w:pStyle w:val="ListParagraph"/>
        <w:numPr>
          <w:ilvl w:val="0"/>
          <w:numId w:val="67"/>
        </w:numPr>
        <w:tabs>
          <w:tab w:pos="1132" w:val="left" w:leader="none"/>
          <w:tab w:pos="1133" w:val="left" w:leader="none"/>
        </w:tabs>
        <w:spacing w:line="257" w:lineRule="exact" w:before="0" w:after="0"/>
        <w:ind w:left="1132" w:right="0" w:hanging="972"/>
        <w:jc w:val="left"/>
        <w:rPr>
          <w:sz w:val="24"/>
        </w:rPr>
      </w:pPr>
      <w:r>
        <w:rPr>
          <w:sz w:val="24"/>
        </w:rPr>
        <w:t>ammonium   in   dogs,   especially   related   to   a   BUTI   by   urease-positive   bacteria,   such    </w:t>
      </w:r>
      <w:r>
        <w:rPr>
          <w:spacing w:val="17"/>
          <w:sz w:val="24"/>
        </w:rPr>
        <w:t> </w:t>
      </w:r>
      <w:r>
        <w:rPr>
          <w:sz w:val="24"/>
        </w:rPr>
        <w:t>as</w:t>
      </w:r>
    </w:p>
    <w:p>
      <w:pPr>
        <w:pStyle w:val="ListParagraph"/>
        <w:numPr>
          <w:ilvl w:val="0"/>
          <w:numId w:val="67"/>
        </w:numPr>
        <w:tabs>
          <w:tab w:pos="1132" w:val="left" w:leader="none"/>
          <w:tab w:pos="1133" w:val="left" w:leader="none"/>
        </w:tabs>
        <w:spacing w:line="257" w:lineRule="exact" w:before="0" w:after="0"/>
        <w:ind w:left="1132" w:right="0" w:hanging="972"/>
        <w:jc w:val="left"/>
        <w:rPr>
          <w:sz w:val="24"/>
        </w:rPr>
      </w:pPr>
      <w:r>
        <w:rPr>
          <w:i/>
          <w:sz w:val="24"/>
        </w:rPr>
        <w:t>Staphylococcus, Streptococcus </w:t>
      </w:r>
      <w:r>
        <w:rPr>
          <w:sz w:val="24"/>
        </w:rPr>
        <w:t>and </w:t>
      </w:r>
      <w:r>
        <w:rPr>
          <w:i/>
          <w:sz w:val="24"/>
        </w:rPr>
        <w:t>Proteus spp</w:t>
      </w:r>
      <w:r>
        <w:rPr>
          <w:sz w:val="24"/>
        </w:rPr>
        <w:t>., and so females are primarily affected (Osborne  et</w:t>
      </w:r>
    </w:p>
    <w:p>
      <w:pPr>
        <w:spacing w:line="115" w:lineRule="exact" w:before="0"/>
        <w:ind w:left="160" w:right="0" w:firstLine="0"/>
        <w:jc w:val="left"/>
        <w:rPr>
          <w:sz w:val="20"/>
        </w:rPr>
      </w:pPr>
      <w:r>
        <w:rPr>
          <w:sz w:val="20"/>
        </w:rPr>
        <w:t>18</w:t>
      </w:r>
    </w:p>
    <w:p>
      <w:pPr>
        <w:tabs>
          <w:tab w:pos="1132" w:val="left" w:leader="none"/>
        </w:tabs>
        <w:spacing w:line="280" w:lineRule="exact" w:before="0"/>
        <w:ind w:left="160" w:right="0" w:firstLine="0"/>
        <w:jc w:val="left"/>
        <w:rPr>
          <w:rFonts w:ascii="Cambria"/>
          <w:sz w:val="24"/>
        </w:rPr>
      </w:pPr>
      <w:r>
        <w:rPr>
          <w:position w:val="-5"/>
          <w:sz w:val="20"/>
        </w:rPr>
        <w:t>19</w:t>
        <w:tab/>
      </w:r>
      <w:r>
        <w:rPr>
          <w:rFonts w:ascii="Cambria"/>
          <w:sz w:val="24"/>
        </w:rPr>
        <w:t>al.</w:t>
      </w:r>
      <w:r>
        <w:rPr>
          <w:rFonts w:ascii="Cambria"/>
          <w:spacing w:val="-7"/>
          <w:sz w:val="24"/>
        </w:rPr>
        <w:t> </w:t>
      </w:r>
      <w:r>
        <w:rPr>
          <w:rFonts w:ascii="Cambria"/>
          <w:sz w:val="24"/>
        </w:rPr>
        <w:t>2008).</w:t>
      </w:r>
    </w:p>
    <w:p>
      <w:pPr>
        <w:spacing w:line="186" w:lineRule="exact" w:before="7"/>
        <w:ind w:left="160" w:right="0" w:firstLine="0"/>
        <w:jc w:val="left"/>
        <w:rPr>
          <w:sz w:val="20"/>
        </w:rPr>
      </w:pPr>
      <w:r>
        <w:rPr>
          <w:sz w:val="20"/>
        </w:rPr>
        <w:t>20</w:t>
      </w:r>
    </w:p>
    <w:p>
      <w:pPr>
        <w:pStyle w:val="ListParagraph"/>
        <w:numPr>
          <w:ilvl w:val="0"/>
          <w:numId w:val="68"/>
        </w:numPr>
        <w:tabs>
          <w:tab w:pos="1840" w:val="left" w:leader="none"/>
          <w:tab w:pos="1841" w:val="left" w:leader="none"/>
        </w:tabs>
        <w:spacing w:line="258" w:lineRule="exact" w:before="0" w:after="0"/>
        <w:ind w:left="1840" w:right="0" w:hanging="1680"/>
        <w:jc w:val="left"/>
        <w:rPr>
          <w:sz w:val="24"/>
        </w:rPr>
      </w:pPr>
      <w:r>
        <w:rPr>
          <w:sz w:val="24"/>
        </w:rPr>
        <w:t>Calcium</w:t>
      </w:r>
      <w:r>
        <w:rPr>
          <w:spacing w:val="17"/>
          <w:sz w:val="24"/>
        </w:rPr>
        <w:t> </w:t>
      </w:r>
      <w:r>
        <w:rPr>
          <w:sz w:val="24"/>
        </w:rPr>
        <w:t>oxalate</w:t>
      </w:r>
      <w:r>
        <w:rPr>
          <w:spacing w:val="20"/>
          <w:sz w:val="24"/>
        </w:rPr>
        <w:t> </w:t>
      </w:r>
      <w:r>
        <w:rPr>
          <w:sz w:val="24"/>
        </w:rPr>
        <w:t>was</w:t>
      </w:r>
      <w:r>
        <w:rPr>
          <w:spacing w:val="17"/>
          <w:sz w:val="24"/>
        </w:rPr>
        <w:t> </w:t>
      </w:r>
      <w:r>
        <w:rPr>
          <w:sz w:val="24"/>
        </w:rPr>
        <w:t>the</w:t>
      </w:r>
      <w:r>
        <w:rPr>
          <w:spacing w:val="18"/>
          <w:sz w:val="24"/>
        </w:rPr>
        <w:t> </w:t>
      </w:r>
      <w:r>
        <w:rPr>
          <w:sz w:val="24"/>
        </w:rPr>
        <w:t>third</w:t>
      </w:r>
      <w:r>
        <w:rPr>
          <w:spacing w:val="16"/>
          <w:sz w:val="24"/>
        </w:rPr>
        <w:t> </w:t>
      </w:r>
      <w:r>
        <w:rPr>
          <w:sz w:val="24"/>
        </w:rPr>
        <w:t>type</w:t>
      </w:r>
      <w:r>
        <w:rPr>
          <w:spacing w:val="18"/>
          <w:sz w:val="24"/>
        </w:rPr>
        <w:t> </w:t>
      </w:r>
      <w:r>
        <w:rPr>
          <w:sz w:val="24"/>
        </w:rPr>
        <w:t>of</w:t>
      </w:r>
      <w:r>
        <w:rPr>
          <w:spacing w:val="16"/>
          <w:sz w:val="24"/>
        </w:rPr>
        <w:t> </w:t>
      </w:r>
      <w:r>
        <w:rPr>
          <w:sz w:val="24"/>
        </w:rPr>
        <w:t>mineral</w:t>
      </w:r>
      <w:r>
        <w:rPr>
          <w:spacing w:val="19"/>
          <w:sz w:val="24"/>
        </w:rPr>
        <w:t> </w:t>
      </w:r>
      <w:r>
        <w:rPr>
          <w:sz w:val="24"/>
        </w:rPr>
        <w:t>present</w:t>
      </w:r>
      <w:r>
        <w:rPr>
          <w:spacing w:val="17"/>
          <w:sz w:val="24"/>
        </w:rPr>
        <w:t> </w:t>
      </w:r>
      <w:r>
        <w:rPr>
          <w:sz w:val="24"/>
        </w:rPr>
        <w:t>in</w:t>
      </w:r>
      <w:r>
        <w:rPr>
          <w:spacing w:val="17"/>
          <w:sz w:val="24"/>
        </w:rPr>
        <w:t> </w:t>
      </w:r>
      <w:r>
        <w:rPr>
          <w:sz w:val="24"/>
        </w:rPr>
        <w:t>our</w:t>
      </w:r>
      <w:r>
        <w:rPr>
          <w:spacing w:val="16"/>
          <w:sz w:val="24"/>
        </w:rPr>
        <w:t> </w:t>
      </w:r>
      <w:r>
        <w:rPr>
          <w:sz w:val="24"/>
        </w:rPr>
        <w:t>study.</w:t>
      </w:r>
      <w:r>
        <w:rPr>
          <w:spacing w:val="18"/>
          <w:sz w:val="24"/>
        </w:rPr>
        <w:t> </w:t>
      </w:r>
      <w:r>
        <w:rPr>
          <w:sz w:val="24"/>
        </w:rPr>
        <w:t>In</w:t>
      </w:r>
      <w:r>
        <w:rPr>
          <w:spacing w:val="17"/>
          <w:sz w:val="24"/>
        </w:rPr>
        <w:t> </w:t>
      </w:r>
      <w:r>
        <w:rPr>
          <w:sz w:val="24"/>
        </w:rPr>
        <w:t>Brazil,</w:t>
      </w:r>
      <w:r>
        <w:rPr>
          <w:spacing w:val="18"/>
          <w:sz w:val="24"/>
        </w:rPr>
        <w:t> </w:t>
      </w:r>
      <w:r>
        <w:rPr>
          <w:sz w:val="24"/>
        </w:rPr>
        <w:t>it</w:t>
      </w:r>
      <w:r>
        <w:rPr>
          <w:spacing w:val="17"/>
          <w:sz w:val="24"/>
        </w:rPr>
        <w:t> </w:t>
      </w:r>
      <w:r>
        <w:rPr>
          <w:sz w:val="24"/>
        </w:rPr>
        <w:t>has</w:t>
      </w:r>
      <w:r>
        <w:rPr>
          <w:spacing w:val="17"/>
          <w:sz w:val="24"/>
        </w:rPr>
        <w:t> </w:t>
      </w:r>
      <w:r>
        <w:rPr>
          <w:sz w:val="24"/>
        </w:rPr>
        <w:t>been</w:t>
      </w:r>
    </w:p>
    <w:p>
      <w:pPr>
        <w:pStyle w:val="ListParagraph"/>
        <w:numPr>
          <w:ilvl w:val="0"/>
          <w:numId w:val="68"/>
        </w:numPr>
        <w:tabs>
          <w:tab w:pos="1132" w:val="left" w:leader="none"/>
          <w:tab w:pos="1133" w:val="left" w:leader="none"/>
        </w:tabs>
        <w:spacing w:line="258" w:lineRule="exact" w:before="0" w:after="0"/>
        <w:ind w:left="1132" w:right="0" w:hanging="972"/>
        <w:jc w:val="left"/>
        <w:rPr>
          <w:sz w:val="24"/>
        </w:rPr>
      </w:pPr>
      <w:r>
        <w:rPr>
          <w:sz w:val="24"/>
        </w:rPr>
        <w:t>reported</w:t>
      </w:r>
      <w:r>
        <w:rPr>
          <w:spacing w:val="10"/>
          <w:sz w:val="24"/>
        </w:rPr>
        <w:t> </w:t>
      </w:r>
      <w:r>
        <w:rPr>
          <w:sz w:val="24"/>
        </w:rPr>
        <w:t>as</w:t>
      </w:r>
      <w:r>
        <w:rPr>
          <w:spacing w:val="11"/>
          <w:sz w:val="24"/>
        </w:rPr>
        <w:t> </w:t>
      </w:r>
      <w:r>
        <w:rPr>
          <w:sz w:val="24"/>
        </w:rPr>
        <w:t>the</w:t>
      </w:r>
      <w:r>
        <w:rPr>
          <w:spacing w:val="12"/>
          <w:sz w:val="24"/>
        </w:rPr>
        <w:t> </w:t>
      </w:r>
      <w:r>
        <w:rPr>
          <w:sz w:val="24"/>
        </w:rPr>
        <w:t>second</w:t>
      </w:r>
      <w:r>
        <w:rPr>
          <w:spacing w:val="12"/>
          <w:sz w:val="24"/>
        </w:rPr>
        <w:t> </w:t>
      </w:r>
      <w:r>
        <w:rPr>
          <w:sz w:val="24"/>
        </w:rPr>
        <w:t>most</w:t>
      </w:r>
      <w:r>
        <w:rPr>
          <w:spacing w:val="11"/>
          <w:sz w:val="24"/>
        </w:rPr>
        <w:t> </w:t>
      </w:r>
      <w:r>
        <w:rPr>
          <w:sz w:val="24"/>
        </w:rPr>
        <w:t>common</w:t>
      </w:r>
      <w:r>
        <w:rPr>
          <w:spacing w:val="12"/>
          <w:sz w:val="24"/>
        </w:rPr>
        <w:t> </w:t>
      </w:r>
      <w:r>
        <w:rPr>
          <w:sz w:val="24"/>
        </w:rPr>
        <w:t>mineral</w:t>
      </w:r>
      <w:r>
        <w:rPr>
          <w:spacing w:val="13"/>
          <w:sz w:val="24"/>
        </w:rPr>
        <w:t> </w:t>
      </w:r>
      <w:r>
        <w:rPr>
          <w:sz w:val="24"/>
        </w:rPr>
        <w:t>(Oyafuso</w:t>
      </w:r>
      <w:r>
        <w:rPr>
          <w:spacing w:val="10"/>
          <w:sz w:val="24"/>
        </w:rPr>
        <w:t> </w:t>
      </w:r>
      <w:r>
        <w:rPr>
          <w:sz w:val="24"/>
        </w:rPr>
        <w:t>et</w:t>
      </w:r>
      <w:r>
        <w:rPr>
          <w:spacing w:val="11"/>
          <w:sz w:val="24"/>
        </w:rPr>
        <w:t> </w:t>
      </w:r>
      <w:r>
        <w:rPr>
          <w:sz w:val="24"/>
        </w:rPr>
        <w:t>al.</w:t>
      </w:r>
      <w:r>
        <w:rPr>
          <w:spacing w:val="12"/>
          <w:sz w:val="24"/>
        </w:rPr>
        <w:t> </w:t>
      </w:r>
      <w:r>
        <w:rPr>
          <w:sz w:val="24"/>
        </w:rPr>
        <w:t>2010),</w:t>
      </w:r>
      <w:r>
        <w:rPr>
          <w:spacing w:val="12"/>
          <w:sz w:val="24"/>
        </w:rPr>
        <w:t> </w:t>
      </w:r>
      <w:r>
        <w:rPr>
          <w:sz w:val="24"/>
        </w:rPr>
        <w:t>in</w:t>
      </w:r>
      <w:r>
        <w:rPr>
          <w:spacing w:val="12"/>
          <w:sz w:val="24"/>
        </w:rPr>
        <w:t> </w:t>
      </w:r>
      <w:r>
        <w:rPr>
          <w:sz w:val="24"/>
        </w:rPr>
        <w:t>contrast</w:t>
      </w:r>
      <w:r>
        <w:rPr>
          <w:spacing w:val="11"/>
          <w:sz w:val="24"/>
        </w:rPr>
        <w:t> </w:t>
      </w:r>
      <w:r>
        <w:rPr>
          <w:sz w:val="24"/>
        </w:rPr>
        <w:t>to</w:t>
      </w:r>
      <w:r>
        <w:rPr>
          <w:spacing w:val="11"/>
          <w:sz w:val="24"/>
        </w:rPr>
        <w:t> </w:t>
      </w:r>
      <w:r>
        <w:rPr>
          <w:sz w:val="24"/>
        </w:rPr>
        <w:t>other</w:t>
      </w:r>
      <w:r>
        <w:rPr>
          <w:spacing w:val="10"/>
          <w:sz w:val="24"/>
        </w:rPr>
        <w:t> </w:t>
      </w:r>
      <w:r>
        <w:rPr>
          <w:sz w:val="24"/>
        </w:rPr>
        <w:t>studies</w:t>
      </w:r>
    </w:p>
    <w:p>
      <w:pPr>
        <w:pStyle w:val="ListParagraph"/>
        <w:numPr>
          <w:ilvl w:val="0"/>
          <w:numId w:val="68"/>
        </w:numPr>
        <w:tabs>
          <w:tab w:pos="1132" w:val="left" w:leader="none"/>
          <w:tab w:pos="1133" w:val="left" w:leader="none"/>
        </w:tabs>
        <w:spacing w:line="261" w:lineRule="exact" w:before="0" w:after="0"/>
        <w:ind w:left="1132" w:right="0" w:hanging="972"/>
        <w:jc w:val="left"/>
        <w:rPr>
          <w:sz w:val="24"/>
        </w:rPr>
      </w:pPr>
      <w:r>
        <w:rPr>
          <w:sz w:val="24"/>
        </w:rPr>
        <w:t>where</w:t>
      </w:r>
      <w:r>
        <w:rPr>
          <w:spacing w:val="40"/>
          <w:sz w:val="24"/>
        </w:rPr>
        <w:t> </w:t>
      </w:r>
      <w:r>
        <w:rPr>
          <w:sz w:val="24"/>
        </w:rPr>
        <w:t>calcium</w:t>
      </w:r>
      <w:r>
        <w:rPr>
          <w:spacing w:val="39"/>
          <w:sz w:val="24"/>
        </w:rPr>
        <w:t> </w:t>
      </w:r>
      <w:r>
        <w:rPr>
          <w:sz w:val="24"/>
        </w:rPr>
        <w:t>oxalate</w:t>
      </w:r>
      <w:r>
        <w:rPr>
          <w:spacing w:val="42"/>
          <w:sz w:val="24"/>
        </w:rPr>
        <w:t> </w:t>
      </w:r>
      <w:r>
        <w:rPr>
          <w:sz w:val="24"/>
        </w:rPr>
        <w:t>uroliths</w:t>
      </w:r>
      <w:r>
        <w:rPr>
          <w:spacing w:val="39"/>
          <w:sz w:val="24"/>
        </w:rPr>
        <w:t> </w:t>
      </w:r>
      <w:r>
        <w:rPr>
          <w:sz w:val="24"/>
        </w:rPr>
        <w:t>were</w:t>
      </w:r>
      <w:r>
        <w:rPr>
          <w:spacing w:val="39"/>
          <w:sz w:val="24"/>
        </w:rPr>
        <w:t> </w:t>
      </w:r>
      <w:r>
        <w:rPr>
          <w:sz w:val="24"/>
        </w:rPr>
        <w:t>most</w:t>
      </w:r>
      <w:r>
        <w:rPr>
          <w:spacing w:val="39"/>
          <w:sz w:val="24"/>
        </w:rPr>
        <w:t> </w:t>
      </w:r>
      <w:r>
        <w:rPr>
          <w:sz w:val="24"/>
        </w:rPr>
        <w:t>frequent</w:t>
      </w:r>
      <w:r>
        <w:rPr>
          <w:spacing w:val="39"/>
          <w:sz w:val="24"/>
        </w:rPr>
        <w:t> </w:t>
      </w:r>
      <w:r>
        <w:rPr>
          <w:sz w:val="24"/>
        </w:rPr>
        <w:t>in</w:t>
      </w:r>
      <w:r>
        <w:rPr>
          <w:spacing w:val="40"/>
          <w:sz w:val="24"/>
        </w:rPr>
        <w:t> </w:t>
      </w:r>
      <w:r>
        <w:rPr>
          <w:sz w:val="24"/>
        </w:rPr>
        <w:t>comparison</w:t>
      </w:r>
      <w:r>
        <w:rPr>
          <w:spacing w:val="38"/>
          <w:sz w:val="24"/>
        </w:rPr>
        <w:t> </w:t>
      </w:r>
      <w:r>
        <w:rPr>
          <w:sz w:val="24"/>
        </w:rPr>
        <w:t>to</w:t>
      </w:r>
      <w:r>
        <w:rPr>
          <w:spacing w:val="39"/>
          <w:sz w:val="24"/>
        </w:rPr>
        <w:t> </w:t>
      </w:r>
      <w:r>
        <w:rPr>
          <w:sz w:val="24"/>
        </w:rPr>
        <w:t>struvite</w:t>
      </w:r>
      <w:r>
        <w:rPr>
          <w:spacing w:val="40"/>
          <w:sz w:val="24"/>
        </w:rPr>
        <w:t> </w:t>
      </w:r>
      <w:r>
        <w:rPr>
          <w:sz w:val="24"/>
        </w:rPr>
        <w:t>(Houston</w:t>
      </w:r>
      <w:r>
        <w:rPr>
          <w:spacing w:val="40"/>
          <w:sz w:val="24"/>
        </w:rPr>
        <w:t> </w:t>
      </w:r>
      <w:r>
        <w:rPr>
          <w:sz w:val="24"/>
        </w:rPr>
        <w:t>et</w:t>
      </w:r>
      <w:r>
        <w:rPr>
          <w:spacing w:val="39"/>
          <w:sz w:val="24"/>
        </w:rPr>
        <w:t> </w:t>
      </w:r>
      <w:r>
        <w:rPr>
          <w:sz w:val="24"/>
        </w:rPr>
        <w:t>al.</w:t>
      </w:r>
    </w:p>
    <w:p>
      <w:pPr>
        <w:pStyle w:val="ListParagraph"/>
        <w:numPr>
          <w:ilvl w:val="0"/>
          <w:numId w:val="68"/>
        </w:numPr>
        <w:tabs>
          <w:tab w:pos="1132" w:val="left" w:leader="none"/>
          <w:tab w:pos="1133" w:val="left" w:leader="none"/>
        </w:tabs>
        <w:spacing w:line="256" w:lineRule="exact" w:before="0" w:after="0"/>
        <w:ind w:left="1132" w:right="0" w:hanging="972"/>
        <w:jc w:val="left"/>
        <w:rPr>
          <w:sz w:val="24"/>
        </w:rPr>
      </w:pPr>
      <w:r>
        <w:rPr>
          <w:sz w:val="24"/>
        </w:rPr>
        <w:t>2004, Vraveloba et al. 2011). These differences in the findings of Latin countries are possibly</w:t>
      </w:r>
      <w:r>
        <w:rPr>
          <w:spacing w:val="39"/>
          <w:sz w:val="24"/>
        </w:rPr>
        <w:t> </w:t>
      </w:r>
      <w:r>
        <w:rPr>
          <w:sz w:val="24"/>
        </w:rPr>
        <w:t>due</w:t>
      </w:r>
    </w:p>
    <w:p>
      <w:pPr>
        <w:pStyle w:val="ListParagraph"/>
        <w:numPr>
          <w:ilvl w:val="0"/>
          <w:numId w:val="68"/>
        </w:numPr>
        <w:tabs>
          <w:tab w:pos="1132" w:val="left" w:leader="none"/>
          <w:tab w:pos="1133" w:val="left" w:leader="none"/>
        </w:tabs>
        <w:spacing w:line="331" w:lineRule="exact" w:before="0" w:after="0"/>
        <w:ind w:left="1132" w:right="0" w:hanging="972"/>
        <w:jc w:val="left"/>
        <w:rPr>
          <w:sz w:val="24"/>
        </w:rPr>
      </w:pPr>
      <w:r>
        <w:rPr/>
        <w:pict>
          <v:shape style="position:absolute;margin-left:8pt;margin-top:10.752744pt;width:11.15pt;height:10pt;mso-position-horizontal-relative:page;mso-position-vertical-relative:paragraph;z-index:-92488" type="#_x0000_t202" filled="false" stroked="false">
            <v:textbox inset="0,0,0,0">
              <w:txbxContent>
                <w:p>
                  <w:pPr>
                    <w:spacing w:line="196" w:lineRule="exact" w:before="0"/>
                    <w:ind w:left="0" w:right="-20" w:firstLine="0"/>
                    <w:jc w:val="left"/>
                    <w:rPr>
                      <w:sz w:val="20"/>
                    </w:rPr>
                  </w:pPr>
                  <w:r>
                    <w:rPr>
                      <w:sz w:val="20"/>
                    </w:rPr>
                    <w:t>26</w:t>
                  </w:r>
                </w:p>
              </w:txbxContent>
            </v:textbox>
            <w10:wrap type="none"/>
          </v:shape>
        </w:pict>
      </w:r>
      <w:r>
        <w:rPr>
          <w:sz w:val="24"/>
        </w:rPr>
        <w:t>to demographic factors, nutritional changes, racial preferences, and perhaps a lack of protocols</w:t>
      </w:r>
      <w:r>
        <w:rPr>
          <w:spacing w:val="-14"/>
          <w:sz w:val="24"/>
        </w:rPr>
        <w:t> </w:t>
      </w:r>
      <w:r>
        <w:rPr>
          <w:sz w:val="24"/>
        </w:rPr>
        <w:t>to</w:t>
      </w:r>
    </w:p>
    <w:p>
      <w:pPr>
        <w:pStyle w:val="ListParagraph"/>
        <w:numPr>
          <w:ilvl w:val="0"/>
          <w:numId w:val="69"/>
        </w:numPr>
        <w:tabs>
          <w:tab w:pos="1132" w:val="left" w:leader="none"/>
          <w:tab w:pos="1133" w:val="left" w:leader="none"/>
        </w:tabs>
        <w:spacing w:line="296" w:lineRule="exact" w:before="2" w:after="0"/>
        <w:ind w:left="1132" w:right="0" w:hanging="972"/>
        <w:jc w:val="left"/>
        <w:rPr>
          <w:sz w:val="24"/>
        </w:rPr>
      </w:pPr>
      <w:r>
        <w:rPr>
          <w:sz w:val="24"/>
        </w:rPr>
        <w:t>dissolve</w:t>
      </w:r>
      <w:r>
        <w:rPr>
          <w:spacing w:val="40"/>
          <w:sz w:val="24"/>
        </w:rPr>
        <w:t> </w:t>
      </w:r>
      <w:r>
        <w:rPr>
          <w:sz w:val="24"/>
        </w:rPr>
        <w:t>struvite</w:t>
      </w:r>
      <w:r>
        <w:rPr>
          <w:spacing w:val="40"/>
          <w:sz w:val="24"/>
        </w:rPr>
        <w:t> </w:t>
      </w:r>
      <w:r>
        <w:rPr>
          <w:sz w:val="24"/>
        </w:rPr>
        <w:t>uroliths</w:t>
      </w:r>
      <w:r>
        <w:rPr>
          <w:spacing w:val="39"/>
          <w:sz w:val="24"/>
        </w:rPr>
        <w:t> </w:t>
      </w:r>
      <w:r>
        <w:rPr>
          <w:sz w:val="24"/>
        </w:rPr>
        <w:t>in</w:t>
      </w:r>
      <w:r>
        <w:rPr>
          <w:spacing w:val="40"/>
          <w:sz w:val="24"/>
        </w:rPr>
        <w:t> </w:t>
      </w:r>
      <w:r>
        <w:rPr>
          <w:sz w:val="24"/>
        </w:rPr>
        <w:t>the</w:t>
      </w:r>
      <w:r>
        <w:rPr>
          <w:spacing w:val="40"/>
          <w:sz w:val="24"/>
        </w:rPr>
        <w:t> </w:t>
      </w:r>
      <w:r>
        <w:rPr>
          <w:sz w:val="24"/>
        </w:rPr>
        <w:t>clinic.</w:t>
      </w:r>
      <w:r>
        <w:rPr>
          <w:spacing w:val="40"/>
          <w:sz w:val="24"/>
        </w:rPr>
        <w:t> </w:t>
      </w:r>
      <w:r>
        <w:rPr>
          <w:sz w:val="24"/>
        </w:rPr>
        <w:t>The</w:t>
      </w:r>
      <w:r>
        <w:rPr>
          <w:spacing w:val="37"/>
          <w:sz w:val="24"/>
        </w:rPr>
        <w:t> </w:t>
      </w:r>
      <w:r>
        <w:rPr>
          <w:sz w:val="24"/>
        </w:rPr>
        <w:t>pathophysiological</w:t>
      </w:r>
      <w:r>
        <w:rPr>
          <w:spacing w:val="38"/>
          <w:sz w:val="24"/>
        </w:rPr>
        <w:t> </w:t>
      </w:r>
      <w:r>
        <w:rPr>
          <w:sz w:val="24"/>
        </w:rPr>
        <w:t>mechanisms</w:t>
      </w:r>
      <w:r>
        <w:rPr>
          <w:spacing w:val="39"/>
          <w:sz w:val="24"/>
        </w:rPr>
        <w:t> </w:t>
      </w:r>
      <w:r>
        <w:rPr>
          <w:sz w:val="24"/>
        </w:rPr>
        <w:t>of</w:t>
      </w:r>
      <w:r>
        <w:rPr>
          <w:spacing w:val="38"/>
          <w:sz w:val="24"/>
        </w:rPr>
        <w:t> </w:t>
      </w:r>
      <w:r>
        <w:rPr>
          <w:sz w:val="24"/>
        </w:rPr>
        <w:t>calcium</w:t>
      </w:r>
      <w:r>
        <w:rPr>
          <w:spacing w:val="39"/>
          <w:sz w:val="24"/>
        </w:rPr>
        <w:t> </w:t>
      </w:r>
      <w:r>
        <w:rPr>
          <w:sz w:val="24"/>
        </w:rPr>
        <w:t>oxalate</w:t>
      </w:r>
    </w:p>
    <w:p>
      <w:pPr>
        <w:pStyle w:val="ListParagraph"/>
        <w:numPr>
          <w:ilvl w:val="0"/>
          <w:numId w:val="69"/>
        </w:numPr>
        <w:tabs>
          <w:tab w:pos="1132" w:val="left" w:leader="none"/>
          <w:tab w:pos="1133" w:val="left" w:leader="none"/>
        </w:tabs>
        <w:spacing w:line="261" w:lineRule="exact" w:before="0" w:after="0"/>
        <w:ind w:left="1132" w:right="0" w:hanging="972"/>
        <w:jc w:val="left"/>
        <w:rPr>
          <w:sz w:val="24"/>
        </w:rPr>
      </w:pPr>
      <w:r>
        <w:rPr>
          <w:sz w:val="24"/>
        </w:rPr>
        <w:t>depends on the presence of hyperoxaluria and hypercalciuria, and are usually the idiopathic</w:t>
      </w:r>
      <w:r>
        <w:rPr>
          <w:spacing w:val="29"/>
          <w:sz w:val="24"/>
        </w:rPr>
        <w:t> </w:t>
      </w:r>
      <w:r>
        <w:rPr>
          <w:sz w:val="24"/>
        </w:rPr>
        <w:t>type</w:t>
      </w:r>
    </w:p>
    <w:p>
      <w:pPr>
        <w:pStyle w:val="ListParagraph"/>
        <w:numPr>
          <w:ilvl w:val="0"/>
          <w:numId w:val="69"/>
        </w:numPr>
        <w:tabs>
          <w:tab w:pos="1132" w:val="left" w:leader="none"/>
          <w:tab w:pos="1133" w:val="left" w:leader="none"/>
        </w:tabs>
        <w:spacing w:line="256" w:lineRule="exact" w:before="0" w:after="0"/>
        <w:ind w:left="1132" w:right="0" w:hanging="972"/>
        <w:jc w:val="left"/>
        <w:rPr>
          <w:sz w:val="24"/>
        </w:rPr>
      </w:pPr>
      <w:r>
        <w:rPr>
          <w:sz w:val="24"/>
        </w:rPr>
        <w:t>or related to hyperadrenocorticism and chronic metabolic acidosis associated with the</w:t>
      </w:r>
      <w:r>
        <w:rPr>
          <w:spacing w:val="14"/>
          <w:sz w:val="24"/>
        </w:rPr>
        <w:t> </w:t>
      </w:r>
      <w:r>
        <w:rPr>
          <w:sz w:val="24"/>
        </w:rPr>
        <w:t>formation</w:t>
      </w:r>
    </w:p>
    <w:p>
      <w:pPr>
        <w:pStyle w:val="ListParagraph"/>
        <w:numPr>
          <w:ilvl w:val="0"/>
          <w:numId w:val="69"/>
        </w:numPr>
        <w:tabs>
          <w:tab w:pos="1132" w:val="left" w:leader="none"/>
          <w:tab w:pos="1133" w:val="left" w:leader="none"/>
        </w:tabs>
        <w:spacing w:line="257" w:lineRule="exact" w:before="0" w:after="0"/>
        <w:ind w:left="1132" w:right="0" w:hanging="972"/>
        <w:jc w:val="left"/>
        <w:rPr>
          <w:sz w:val="24"/>
        </w:rPr>
      </w:pPr>
      <w:r>
        <w:rPr>
          <w:sz w:val="24"/>
        </w:rPr>
        <w:t>of </w:t>
      </w:r>
      <w:r>
        <w:rPr>
          <w:spacing w:val="22"/>
          <w:sz w:val="24"/>
        </w:rPr>
        <w:t> </w:t>
      </w:r>
      <w:r>
        <w:rPr>
          <w:sz w:val="24"/>
        </w:rPr>
        <w:t>this </w:t>
      </w:r>
      <w:r>
        <w:rPr>
          <w:spacing w:val="23"/>
          <w:sz w:val="24"/>
        </w:rPr>
        <w:t> </w:t>
      </w:r>
      <w:r>
        <w:rPr>
          <w:sz w:val="24"/>
        </w:rPr>
        <w:t>type </w:t>
      </w:r>
      <w:r>
        <w:rPr>
          <w:spacing w:val="24"/>
          <w:sz w:val="24"/>
        </w:rPr>
        <w:t> </w:t>
      </w:r>
      <w:r>
        <w:rPr>
          <w:sz w:val="24"/>
        </w:rPr>
        <w:t>of </w:t>
      </w:r>
      <w:r>
        <w:rPr>
          <w:spacing w:val="22"/>
          <w:sz w:val="24"/>
        </w:rPr>
        <w:t> </w:t>
      </w:r>
      <w:r>
        <w:rPr>
          <w:sz w:val="24"/>
        </w:rPr>
        <w:t>urolith </w:t>
      </w:r>
      <w:r>
        <w:rPr>
          <w:spacing w:val="23"/>
          <w:sz w:val="24"/>
        </w:rPr>
        <w:t> </w:t>
      </w:r>
      <w:r>
        <w:rPr>
          <w:sz w:val="24"/>
        </w:rPr>
        <w:t>(Osborne </w:t>
      </w:r>
      <w:r>
        <w:rPr>
          <w:spacing w:val="24"/>
          <w:sz w:val="24"/>
        </w:rPr>
        <w:t> </w:t>
      </w:r>
      <w:r>
        <w:rPr>
          <w:sz w:val="24"/>
        </w:rPr>
        <w:t>et </w:t>
      </w:r>
      <w:r>
        <w:rPr>
          <w:spacing w:val="23"/>
          <w:sz w:val="24"/>
        </w:rPr>
        <w:t> </w:t>
      </w:r>
      <w:r>
        <w:rPr>
          <w:sz w:val="24"/>
        </w:rPr>
        <w:t>al. </w:t>
      </w:r>
      <w:r>
        <w:rPr>
          <w:spacing w:val="24"/>
          <w:sz w:val="24"/>
        </w:rPr>
        <w:t> </w:t>
      </w:r>
      <w:r>
        <w:rPr>
          <w:sz w:val="24"/>
        </w:rPr>
        <w:t>2008). </w:t>
      </w:r>
      <w:r>
        <w:rPr>
          <w:spacing w:val="24"/>
          <w:sz w:val="24"/>
        </w:rPr>
        <w:t> </w:t>
      </w:r>
      <w:r>
        <w:rPr>
          <w:sz w:val="24"/>
        </w:rPr>
        <w:t>In </w:t>
      </w:r>
      <w:r>
        <w:rPr>
          <w:spacing w:val="24"/>
          <w:sz w:val="24"/>
        </w:rPr>
        <w:t> </w:t>
      </w:r>
      <w:r>
        <w:rPr>
          <w:sz w:val="24"/>
        </w:rPr>
        <w:t>mammals, </w:t>
      </w:r>
      <w:r>
        <w:rPr>
          <w:spacing w:val="25"/>
          <w:sz w:val="24"/>
        </w:rPr>
        <w:t> </w:t>
      </w:r>
      <w:r>
        <w:rPr>
          <w:i/>
          <w:sz w:val="24"/>
        </w:rPr>
        <w:t>Oxalobacter </w:t>
      </w:r>
      <w:r>
        <w:rPr>
          <w:i/>
          <w:spacing w:val="24"/>
          <w:sz w:val="24"/>
        </w:rPr>
        <w:t> </w:t>
      </w:r>
      <w:r>
        <w:rPr>
          <w:i/>
          <w:sz w:val="24"/>
        </w:rPr>
        <w:t>forgimenes </w:t>
      </w:r>
      <w:r>
        <w:rPr>
          <w:i/>
          <w:spacing w:val="23"/>
          <w:sz w:val="24"/>
        </w:rPr>
        <w:t> </w:t>
      </w:r>
      <w:r>
        <w:rPr>
          <w:sz w:val="24"/>
        </w:rPr>
        <w:t>in </w:t>
      </w:r>
      <w:r>
        <w:rPr>
          <w:spacing w:val="21"/>
          <w:sz w:val="24"/>
        </w:rPr>
        <w:t> </w:t>
      </w:r>
      <w:r>
        <w:rPr>
          <w:sz w:val="24"/>
        </w:rPr>
        <w:t>the</w:t>
      </w:r>
    </w:p>
    <w:p>
      <w:pPr>
        <w:pStyle w:val="ListParagraph"/>
        <w:numPr>
          <w:ilvl w:val="0"/>
          <w:numId w:val="69"/>
        </w:numPr>
        <w:tabs>
          <w:tab w:pos="1132" w:val="left" w:leader="none"/>
          <w:tab w:pos="1133" w:val="left" w:leader="none"/>
        </w:tabs>
        <w:spacing w:line="337" w:lineRule="exact" w:before="0" w:after="0"/>
        <w:ind w:left="1132" w:right="0" w:hanging="972"/>
        <w:jc w:val="left"/>
        <w:rPr>
          <w:sz w:val="24"/>
        </w:rPr>
      </w:pPr>
      <w:r>
        <w:rPr/>
        <w:pict>
          <v:shape style="position:absolute;margin-left:8pt;margin-top:10.624739pt;width:11.15pt;height:10pt;mso-position-horizontal-relative:page;mso-position-vertical-relative:paragraph;z-index:-92464" type="#_x0000_t202" filled="false" stroked="false">
            <v:textbox inset="0,0,0,0">
              <w:txbxContent>
                <w:p>
                  <w:pPr>
                    <w:spacing w:line="196" w:lineRule="exact" w:before="0"/>
                    <w:ind w:left="0" w:right="-20" w:firstLine="0"/>
                    <w:jc w:val="left"/>
                    <w:rPr>
                      <w:sz w:val="20"/>
                    </w:rPr>
                  </w:pPr>
                  <w:r>
                    <w:rPr>
                      <w:sz w:val="20"/>
                    </w:rPr>
                    <w:t>32</w:t>
                  </w:r>
                </w:p>
              </w:txbxContent>
            </v:textbox>
            <w10:wrap type="none"/>
          </v:shape>
        </w:pict>
      </w:r>
      <w:r>
        <w:rPr>
          <w:sz w:val="24"/>
        </w:rPr>
        <w:t>gastrointestinal</w:t>
      </w:r>
      <w:r>
        <w:rPr>
          <w:spacing w:val="26"/>
          <w:sz w:val="24"/>
        </w:rPr>
        <w:t> </w:t>
      </w:r>
      <w:r>
        <w:rPr>
          <w:sz w:val="24"/>
        </w:rPr>
        <w:t>tract</w:t>
      </w:r>
      <w:r>
        <w:rPr>
          <w:spacing w:val="27"/>
          <w:sz w:val="24"/>
        </w:rPr>
        <w:t> </w:t>
      </w:r>
      <w:r>
        <w:rPr>
          <w:sz w:val="24"/>
        </w:rPr>
        <w:t>has</w:t>
      </w:r>
      <w:r>
        <w:rPr>
          <w:spacing w:val="27"/>
          <w:sz w:val="24"/>
        </w:rPr>
        <w:t> </w:t>
      </w:r>
      <w:r>
        <w:rPr>
          <w:sz w:val="24"/>
        </w:rPr>
        <w:t>been</w:t>
      </w:r>
      <w:r>
        <w:rPr>
          <w:spacing w:val="27"/>
          <w:sz w:val="24"/>
        </w:rPr>
        <w:t> </w:t>
      </w:r>
      <w:r>
        <w:rPr>
          <w:sz w:val="24"/>
        </w:rPr>
        <w:t>identified,</w:t>
      </w:r>
      <w:r>
        <w:rPr>
          <w:spacing w:val="28"/>
          <w:sz w:val="24"/>
        </w:rPr>
        <w:t> </w:t>
      </w:r>
      <w:r>
        <w:rPr>
          <w:sz w:val="24"/>
        </w:rPr>
        <w:t>which</w:t>
      </w:r>
      <w:r>
        <w:rPr>
          <w:spacing w:val="27"/>
          <w:sz w:val="24"/>
        </w:rPr>
        <w:t> </w:t>
      </w:r>
      <w:r>
        <w:rPr>
          <w:sz w:val="24"/>
        </w:rPr>
        <w:t>is</w:t>
      </w:r>
      <w:r>
        <w:rPr>
          <w:spacing w:val="27"/>
          <w:sz w:val="24"/>
        </w:rPr>
        <w:t> </w:t>
      </w:r>
      <w:r>
        <w:rPr>
          <w:sz w:val="24"/>
        </w:rPr>
        <w:t>a</w:t>
      </w:r>
      <w:r>
        <w:rPr>
          <w:spacing w:val="27"/>
          <w:sz w:val="24"/>
        </w:rPr>
        <w:t> </w:t>
      </w:r>
      <w:r>
        <w:rPr>
          <w:sz w:val="24"/>
        </w:rPr>
        <w:t>bacteria</w:t>
      </w:r>
      <w:r>
        <w:rPr>
          <w:spacing w:val="27"/>
          <w:sz w:val="24"/>
        </w:rPr>
        <w:t> </w:t>
      </w:r>
      <w:r>
        <w:rPr>
          <w:sz w:val="24"/>
        </w:rPr>
        <w:t>that</w:t>
      </w:r>
      <w:r>
        <w:rPr>
          <w:spacing w:val="27"/>
          <w:sz w:val="24"/>
        </w:rPr>
        <w:t> </w:t>
      </w:r>
      <w:r>
        <w:rPr>
          <w:sz w:val="24"/>
        </w:rPr>
        <w:t>degrades</w:t>
      </w:r>
      <w:r>
        <w:rPr>
          <w:spacing w:val="27"/>
          <w:sz w:val="24"/>
        </w:rPr>
        <w:t> </w:t>
      </w:r>
      <w:r>
        <w:rPr>
          <w:sz w:val="24"/>
        </w:rPr>
        <w:t>oxalate</w:t>
      </w:r>
      <w:r>
        <w:rPr>
          <w:spacing w:val="27"/>
          <w:sz w:val="24"/>
        </w:rPr>
        <w:t> </w:t>
      </w:r>
      <w:r>
        <w:rPr>
          <w:sz w:val="24"/>
        </w:rPr>
        <w:t>for</w:t>
      </w:r>
      <w:r>
        <w:rPr>
          <w:spacing w:val="26"/>
          <w:sz w:val="24"/>
        </w:rPr>
        <w:t> </w:t>
      </w:r>
      <w:r>
        <w:rPr>
          <w:sz w:val="24"/>
        </w:rPr>
        <w:t>energy,</w:t>
      </w:r>
    </w:p>
    <w:p>
      <w:pPr>
        <w:pStyle w:val="ListParagraph"/>
        <w:numPr>
          <w:ilvl w:val="0"/>
          <w:numId w:val="70"/>
        </w:numPr>
        <w:tabs>
          <w:tab w:pos="1132" w:val="left" w:leader="none"/>
          <w:tab w:pos="1133" w:val="left" w:leader="none"/>
        </w:tabs>
        <w:spacing w:line="295" w:lineRule="exact" w:before="0" w:after="0"/>
        <w:ind w:left="1132" w:right="0" w:hanging="972"/>
        <w:jc w:val="left"/>
        <w:rPr>
          <w:sz w:val="24"/>
        </w:rPr>
      </w:pPr>
      <w:r>
        <w:rPr>
          <w:sz w:val="24"/>
        </w:rPr>
        <w:t>and its presence has been suggested to play an important role in preventing formation of</w:t>
      </w:r>
      <w:r>
        <w:rPr>
          <w:spacing w:val="21"/>
          <w:sz w:val="24"/>
        </w:rPr>
        <w:t> </w:t>
      </w:r>
      <w:r>
        <w:rPr>
          <w:sz w:val="24"/>
        </w:rPr>
        <w:t>calcium</w:t>
      </w:r>
    </w:p>
    <w:p>
      <w:pPr>
        <w:pStyle w:val="ListParagraph"/>
        <w:numPr>
          <w:ilvl w:val="0"/>
          <w:numId w:val="70"/>
        </w:numPr>
        <w:tabs>
          <w:tab w:pos="1132" w:val="left" w:leader="none"/>
          <w:tab w:pos="1133" w:val="left" w:leader="none"/>
        </w:tabs>
        <w:spacing w:line="257" w:lineRule="exact" w:before="0" w:after="0"/>
        <w:ind w:left="1132" w:right="0" w:hanging="972"/>
        <w:jc w:val="left"/>
        <w:rPr>
          <w:sz w:val="24"/>
        </w:rPr>
      </w:pPr>
      <w:r>
        <w:rPr>
          <w:sz w:val="24"/>
        </w:rPr>
        <w:t>oxalate uroliths in dogs (Gnanandarajah et al.</w:t>
      </w:r>
      <w:r>
        <w:rPr>
          <w:spacing w:val="-26"/>
          <w:sz w:val="24"/>
        </w:rPr>
        <w:t> </w:t>
      </w:r>
      <w:r>
        <w:rPr>
          <w:sz w:val="24"/>
        </w:rPr>
        <w:t>2012).</w:t>
      </w:r>
    </w:p>
    <w:p>
      <w:pPr>
        <w:spacing w:line="216" w:lineRule="exact" w:before="0"/>
        <w:ind w:left="160" w:right="0" w:firstLine="0"/>
        <w:jc w:val="left"/>
        <w:rPr>
          <w:sz w:val="20"/>
        </w:rPr>
      </w:pPr>
      <w:r>
        <w:rPr>
          <w:sz w:val="20"/>
        </w:rPr>
        <w:t>35</w:t>
      </w:r>
    </w:p>
    <w:p>
      <w:pPr>
        <w:pStyle w:val="ListParagraph"/>
        <w:numPr>
          <w:ilvl w:val="0"/>
          <w:numId w:val="71"/>
        </w:numPr>
        <w:tabs>
          <w:tab w:pos="1840" w:val="left" w:leader="none"/>
          <w:tab w:pos="1841" w:val="left" w:leader="none"/>
        </w:tabs>
        <w:spacing w:line="257" w:lineRule="exact" w:before="0" w:after="0"/>
        <w:ind w:left="1840" w:right="0" w:hanging="1680"/>
        <w:jc w:val="left"/>
        <w:rPr>
          <w:sz w:val="24"/>
        </w:rPr>
      </w:pPr>
      <w:r>
        <w:rPr>
          <w:sz w:val="24"/>
        </w:rPr>
        <w:t>Prostate  diseases  were  present  in  14.43%,  and  prostatic  hyperplasia  was  found  in</w:t>
      </w:r>
      <w:r>
        <w:rPr>
          <w:spacing w:val="-17"/>
          <w:sz w:val="24"/>
        </w:rPr>
        <w:t> </w:t>
      </w:r>
      <w:r>
        <w:rPr>
          <w:sz w:val="24"/>
        </w:rPr>
        <w:t>all</w:t>
      </w:r>
    </w:p>
    <w:p>
      <w:pPr>
        <w:pStyle w:val="ListParagraph"/>
        <w:numPr>
          <w:ilvl w:val="0"/>
          <w:numId w:val="71"/>
        </w:numPr>
        <w:tabs>
          <w:tab w:pos="1132" w:val="left" w:leader="none"/>
          <w:tab w:pos="1133" w:val="left" w:leader="none"/>
        </w:tabs>
        <w:spacing w:line="261" w:lineRule="exact" w:before="0" w:after="0"/>
        <w:ind w:left="1132" w:right="0" w:hanging="972"/>
        <w:jc w:val="left"/>
        <w:rPr>
          <w:sz w:val="24"/>
        </w:rPr>
      </w:pPr>
      <w:r>
        <w:rPr>
          <w:sz w:val="24"/>
        </w:rPr>
        <w:t>clinical  cases  studied.  Prostatic  hyperplasia  is  a  normal  clinical  condition  that  includes    </w:t>
      </w:r>
      <w:r>
        <w:rPr>
          <w:spacing w:val="41"/>
          <w:sz w:val="24"/>
        </w:rPr>
        <w:t> </w:t>
      </w:r>
      <w:r>
        <w:rPr>
          <w:sz w:val="24"/>
        </w:rPr>
        <w:t>an</w:t>
      </w:r>
    </w:p>
    <w:p>
      <w:pPr>
        <w:pStyle w:val="ListParagraph"/>
        <w:numPr>
          <w:ilvl w:val="0"/>
          <w:numId w:val="71"/>
        </w:numPr>
        <w:tabs>
          <w:tab w:pos="1132" w:val="left" w:leader="none"/>
          <w:tab w:pos="1133" w:val="left" w:leader="none"/>
        </w:tabs>
        <w:spacing w:line="256" w:lineRule="exact" w:before="0" w:after="0"/>
        <w:ind w:left="1132" w:right="0" w:hanging="972"/>
        <w:jc w:val="left"/>
        <w:rPr>
          <w:sz w:val="24"/>
        </w:rPr>
      </w:pPr>
      <w:r>
        <w:rPr>
          <w:sz w:val="24"/>
        </w:rPr>
        <w:t>increase</w:t>
      </w:r>
      <w:r>
        <w:rPr>
          <w:spacing w:val="45"/>
          <w:sz w:val="24"/>
        </w:rPr>
        <w:t> </w:t>
      </w:r>
      <w:r>
        <w:rPr>
          <w:sz w:val="24"/>
        </w:rPr>
        <w:t>in</w:t>
      </w:r>
      <w:r>
        <w:rPr>
          <w:spacing w:val="45"/>
          <w:sz w:val="24"/>
        </w:rPr>
        <w:t> </w:t>
      </w:r>
      <w:r>
        <w:rPr>
          <w:sz w:val="24"/>
        </w:rPr>
        <w:t>the</w:t>
      </w:r>
      <w:r>
        <w:rPr>
          <w:spacing w:val="45"/>
          <w:sz w:val="24"/>
        </w:rPr>
        <w:t> </w:t>
      </w:r>
      <w:r>
        <w:rPr>
          <w:sz w:val="24"/>
        </w:rPr>
        <w:t>cell</w:t>
      </w:r>
      <w:r>
        <w:rPr>
          <w:spacing w:val="44"/>
          <w:sz w:val="24"/>
        </w:rPr>
        <w:t> </w:t>
      </w:r>
      <w:r>
        <w:rPr>
          <w:sz w:val="24"/>
        </w:rPr>
        <w:t>number</w:t>
      </w:r>
      <w:r>
        <w:rPr>
          <w:spacing w:val="44"/>
          <w:sz w:val="24"/>
        </w:rPr>
        <w:t> </w:t>
      </w:r>
      <w:r>
        <w:rPr>
          <w:sz w:val="24"/>
        </w:rPr>
        <w:t>and</w:t>
      </w:r>
      <w:r>
        <w:rPr>
          <w:spacing w:val="44"/>
          <w:sz w:val="24"/>
        </w:rPr>
        <w:t> </w:t>
      </w:r>
      <w:r>
        <w:rPr>
          <w:sz w:val="24"/>
        </w:rPr>
        <w:t>an</w:t>
      </w:r>
      <w:r>
        <w:rPr>
          <w:spacing w:val="45"/>
          <w:sz w:val="24"/>
        </w:rPr>
        <w:t> </w:t>
      </w:r>
      <w:r>
        <w:rPr>
          <w:sz w:val="24"/>
        </w:rPr>
        <w:t>increase</w:t>
      </w:r>
      <w:r>
        <w:rPr>
          <w:spacing w:val="43"/>
          <w:sz w:val="24"/>
        </w:rPr>
        <w:t> </w:t>
      </w:r>
      <w:r>
        <w:rPr>
          <w:sz w:val="24"/>
        </w:rPr>
        <w:t>in</w:t>
      </w:r>
      <w:r>
        <w:rPr>
          <w:spacing w:val="45"/>
          <w:sz w:val="24"/>
        </w:rPr>
        <w:t> </w:t>
      </w:r>
      <w:r>
        <w:rPr>
          <w:sz w:val="24"/>
        </w:rPr>
        <w:t>the</w:t>
      </w:r>
      <w:r>
        <w:rPr>
          <w:spacing w:val="47"/>
          <w:sz w:val="24"/>
        </w:rPr>
        <w:t> </w:t>
      </w:r>
      <w:r>
        <w:rPr>
          <w:sz w:val="24"/>
        </w:rPr>
        <w:t>size</w:t>
      </w:r>
      <w:r>
        <w:rPr>
          <w:spacing w:val="45"/>
          <w:sz w:val="24"/>
        </w:rPr>
        <w:t> </w:t>
      </w:r>
      <w:r>
        <w:rPr>
          <w:sz w:val="24"/>
        </w:rPr>
        <w:t>of</w:t>
      </w:r>
      <w:r>
        <w:rPr>
          <w:spacing w:val="44"/>
          <w:sz w:val="24"/>
        </w:rPr>
        <w:t> </w:t>
      </w:r>
      <w:r>
        <w:rPr>
          <w:sz w:val="24"/>
        </w:rPr>
        <w:t>these</w:t>
      </w:r>
      <w:r>
        <w:rPr>
          <w:spacing w:val="45"/>
          <w:sz w:val="24"/>
        </w:rPr>
        <w:t> </w:t>
      </w:r>
      <w:r>
        <w:rPr>
          <w:sz w:val="24"/>
        </w:rPr>
        <w:t>due</w:t>
      </w:r>
      <w:r>
        <w:rPr>
          <w:spacing w:val="45"/>
          <w:sz w:val="24"/>
        </w:rPr>
        <w:t> </w:t>
      </w:r>
      <w:r>
        <w:rPr>
          <w:sz w:val="24"/>
        </w:rPr>
        <w:t>to</w:t>
      </w:r>
      <w:r>
        <w:rPr>
          <w:spacing w:val="45"/>
          <w:sz w:val="24"/>
        </w:rPr>
        <w:t> </w:t>
      </w:r>
      <w:r>
        <w:rPr>
          <w:sz w:val="24"/>
        </w:rPr>
        <w:t>progressive</w:t>
      </w:r>
      <w:r>
        <w:rPr>
          <w:spacing w:val="45"/>
          <w:sz w:val="24"/>
        </w:rPr>
        <w:t> </w:t>
      </w:r>
      <w:r>
        <w:rPr>
          <w:sz w:val="24"/>
        </w:rPr>
        <w:t>changes</w:t>
      </w:r>
    </w:p>
    <w:p>
      <w:pPr>
        <w:spacing w:line="115" w:lineRule="exact" w:before="0"/>
        <w:ind w:left="160" w:right="0" w:firstLine="0"/>
        <w:jc w:val="left"/>
        <w:rPr>
          <w:sz w:val="20"/>
        </w:rPr>
      </w:pPr>
      <w:r>
        <w:rPr>
          <w:sz w:val="20"/>
        </w:rPr>
        <w:t>39</w:t>
      </w:r>
    </w:p>
    <w:p>
      <w:pPr>
        <w:pStyle w:val="ListParagraph"/>
        <w:numPr>
          <w:ilvl w:val="0"/>
          <w:numId w:val="72"/>
        </w:numPr>
        <w:tabs>
          <w:tab w:pos="1132" w:val="left" w:leader="none"/>
          <w:tab w:pos="1133" w:val="left" w:leader="none"/>
        </w:tabs>
        <w:spacing w:line="258" w:lineRule="exact" w:before="0" w:after="0"/>
        <w:ind w:left="1132" w:right="0" w:hanging="972"/>
        <w:jc w:val="left"/>
        <w:rPr>
          <w:sz w:val="24"/>
        </w:rPr>
      </w:pPr>
      <w:r>
        <w:rPr>
          <w:sz w:val="24"/>
        </w:rPr>
        <w:t>related</w:t>
      </w:r>
      <w:r>
        <w:rPr>
          <w:spacing w:val="34"/>
          <w:sz w:val="24"/>
        </w:rPr>
        <w:t> </w:t>
      </w:r>
      <w:r>
        <w:rPr>
          <w:sz w:val="24"/>
        </w:rPr>
        <w:t>to</w:t>
      </w:r>
      <w:r>
        <w:rPr>
          <w:spacing w:val="35"/>
          <w:sz w:val="24"/>
        </w:rPr>
        <w:t> </w:t>
      </w:r>
      <w:r>
        <w:rPr>
          <w:sz w:val="24"/>
        </w:rPr>
        <w:t>age</w:t>
      </w:r>
      <w:r>
        <w:rPr>
          <w:spacing w:val="36"/>
          <w:sz w:val="24"/>
        </w:rPr>
        <w:t> </w:t>
      </w:r>
      <w:r>
        <w:rPr>
          <w:sz w:val="24"/>
        </w:rPr>
        <w:t>and</w:t>
      </w:r>
      <w:r>
        <w:rPr>
          <w:spacing w:val="34"/>
          <w:sz w:val="24"/>
        </w:rPr>
        <w:t> </w:t>
      </w:r>
      <w:r>
        <w:rPr>
          <w:sz w:val="24"/>
        </w:rPr>
        <w:t>testosterone</w:t>
      </w:r>
      <w:r>
        <w:rPr>
          <w:spacing w:val="36"/>
          <w:sz w:val="24"/>
        </w:rPr>
        <w:t> </w:t>
      </w:r>
      <w:r>
        <w:rPr>
          <w:sz w:val="24"/>
        </w:rPr>
        <w:t>exposure</w:t>
      </w:r>
      <w:r>
        <w:rPr>
          <w:spacing w:val="36"/>
          <w:sz w:val="24"/>
        </w:rPr>
        <w:t> </w:t>
      </w:r>
      <w:r>
        <w:rPr>
          <w:sz w:val="24"/>
        </w:rPr>
        <w:t>in</w:t>
      </w:r>
      <w:r>
        <w:rPr>
          <w:spacing w:val="33"/>
          <w:sz w:val="24"/>
        </w:rPr>
        <w:t> </w:t>
      </w:r>
      <w:r>
        <w:rPr>
          <w:sz w:val="24"/>
        </w:rPr>
        <w:t>dogs</w:t>
      </w:r>
      <w:r>
        <w:rPr>
          <w:spacing w:val="35"/>
          <w:sz w:val="24"/>
        </w:rPr>
        <w:t> </w:t>
      </w:r>
      <w:r>
        <w:rPr>
          <w:sz w:val="24"/>
        </w:rPr>
        <w:t>(Smith</w:t>
      </w:r>
      <w:r>
        <w:rPr>
          <w:spacing w:val="35"/>
          <w:sz w:val="24"/>
        </w:rPr>
        <w:t> </w:t>
      </w:r>
      <w:r>
        <w:rPr>
          <w:sz w:val="24"/>
        </w:rPr>
        <w:t>2008).</w:t>
      </w:r>
      <w:r>
        <w:rPr>
          <w:spacing w:val="36"/>
          <w:sz w:val="24"/>
        </w:rPr>
        <w:t> </w:t>
      </w:r>
      <w:r>
        <w:rPr>
          <w:sz w:val="24"/>
        </w:rPr>
        <w:t>The</w:t>
      </w:r>
      <w:r>
        <w:rPr>
          <w:spacing w:val="36"/>
          <w:sz w:val="24"/>
        </w:rPr>
        <w:t> </w:t>
      </w:r>
      <w:r>
        <w:rPr>
          <w:sz w:val="24"/>
        </w:rPr>
        <w:t>median</w:t>
      </w:r>
      <w:r>
        <w:rPr>
          <w:spacing w:val="36"/>
          <w:sz w:val="24"/>
        </w:rPr>
        <w:t> </w:t>
      </w:r>
      <w:r>
        <w:rPr>
          <w:sz w:val="24"/>
        </w:rPr>
        <w:t>age</w:t>
      </w:r>
      <w:r>
        <w:rPr>
          <w:spacing w:val="36"/>
          <w:sz w:val="24"/>
        </w:rPr>
        <w:t> </w:t>
      </w:r>
      <w:r>
        <w:rPr>
          <w:sz w:val="24"/>
        </w:rPr>
        <w:t>was</w:t>
      </w:r>
      <w:r>
        <w:rPr>
          <w:spacing w:val="35"/>
          <w:sz w:val="24"/>
        </w:rPr>
        <w:t> </w:t>
      </w:r>
      <w:r>
        <w:rPr>
          <w:sz w:val="24"/>
        </w:rPr>
        <w:t>9</w:t>
      </w:r>
      <w:r>
        <w:rPr>
          <w:spacing w:val="34"/>
          <w:sz w:val="24"/>
        </w:rPr>
        <w:t> </w:t>
      </w:r>
      <w:r>
        <w:rPr>
          <w:sz w:val="24"/>
        </w:rPr>
        <w:t>years,</w:t>
      </w:r>
    </w:p>
    <w:p>
      <w:pPr>
        <w:pStyle w:val="ListParagraph"/>
        <w:numPr>
          <w:ilvl w:val="0"/>
          <w:numId w:val="72"/>
        </w:numPr>
        <w:tabs>
          <w:tab w:pos="1132" w:val="left" w:leader="none"/>
          <w:tab w:pos="1133" w:val="left" w:leader="none"/>
        </w:tabs>
        <w:spacing w:line="257" w:lineRule="exact" w:before="0" w:after="0"/>
        <w:ind w:left="1132" w:right="0" w:hanging="972"/>
        <w:jc w:val="left"/>
        <w:rPr>
          <w:sz w:val="24"/>
        </w:rPr>
      </w:pPr>
      <w:r>
        <w:rPr>
          <w:position w:val="1"/>
          <w:sz w:val="24"/>
        </w:rPr>
        <w:t>agreeing</w:t>
      </w:r>
      <w:r>
        <w:rPr>
          <w:spacing w:val="32"/>
          <w:position w:val="1"/>
          <w:sz w:val="24"/>
        </w:rPr>
        <w:t> </w:t>
      </w:r>
      <w:r>
        <w:rPr>
          <w:position w:val="1"/>
          <w:sz w:val="24"/>
        </w:rPr>
        <w:t>with</w:t>
      </w:r>
      <w:r>
        <w:rPr>
          <w:spacing w:val="32"/>
          <w:position w:val="1"/>
          <w:sz w:val="24"/>
        </w:rPr>
        <w:t> </w:t>
      </w:r>
      <w:r>
        <w:rPr>
          <w:position w:val="1"/>
          <w:sz w:val="24"/>
        </w:rPr>
        <w:t>those</w:t>
      </w:r>
      <w:r>
        <w:rPr>
          <w:spacing w:val="33"/>
          <w:position w:val="1"/>
          <w:sz w:val="24"/>
        </w:rPr>
        <w:t> </w:t>
      </w:r>
      <w:r>
        <w:rPr>
          <w:position w:val="1"/>
          <w:sz w:val="24"/>
        </w:rPr>
        <w:t>reported</w:t>
      </w:r>
      <w:r>
        <w:rPr>
          <w:spacing w:val="32"/>
          <w:position w:val="1"/>
          <w:sz w:val="24"/>
        </w:rPr>
        <w:t> </w:t>
      </w:r>
      <w:r>
        <w:rPr>
          <w:position w:val="1"/>
          <w:sz w:val="24"/>
        </w:rPr>
        <w:t>by</w:t>
      </w:r>
      <w:r>
        <w:rPr>
          <w:spacing w:val="32"/>
          <w:position w:val="1"/>
          <w:sz w:val="24"/>
        </w:rPr>
        <w:t> </w:t>
      </w:r>
      <w:r>
        <w:rPr>
          <w:position w:val="1"/>
          <w:sz w:val="24"/>
        </w:rPr>
        <w:t>Gobello</w:t>
      </w:r>
      <w:r>
        <w:rPr>
          <w:spacing w:val="33"/>
          <w:position w:val="1"/>
          <w:sz w:val="24"/>
        </w:rPr>
        <w:t> </w:t>
      </w:r>
      <w:r>
        <w:rPr>
          <w:position w:val="1"/>
          <w:sz w:val="24"/>
        </w:rPr>
        <w:t>et</w:t>
      </w:r>
      <w:r>
        <w:rPr>
          <w:spacing w:val="33"/>
          <w:position w:val="1"/>
          <w:sz w:val="24"/>
        </w:rPr>
        <w:t> </w:t>
      </w:r>
      <w:r>
        <w:rPr>
          <w:position w:val="1"/>
          <w:sz w:val="24"/>
        </w:rPr>
        <w:t>al.</w:t>
      </w:r>
      <w:r>
        <w:rPr>
          <w:spacing w:val="34"/>
          <w:position w:val="1"/>
          <w:sz w:val="24"/>
        </w:rPr>
        <w:t> </w:t>
      </w:r>
      <w:r>
        <w:rPr>
          <w:position w:val="1"/>
          <w:sz w:val="24"/>
        </w:rPr>
        <w:t>(2002).</w:t>
      </w:r>
      <w:r>
        <w:rPr>
          <w:spacing w:val="34"/>
          <w:position w:val="1"/>
          <w:sz w:val="24"/>
        </w:rPr>
        <w:t> </w:t>
      </w:r>
      <w:r>
        <w:rPr>
          <w:position w:val="1"/>
          <w:sz w:val="24"/>
        </w:rPr>
        <w:t>Prostatic</w:t>
      </w:r>
      <w:r>
        <w:rPr>
          <w:spacing w:val="33"/>
          <w:position w:val="1"/>
          <w:sz w:val="24"/>
        </w:rPr>
        <w:t> </w:t>
      </w:r>
      <w:r>
        <w:rPr>
          <w:position w:val="1"/>
          <w:sz w:val="24"/>
        </w:rPr>
        <w:t>cysts</w:t>
      </w:r>
      <w:r>
        <w:rPr>
          <w:spacing w:val="33"/>
          <w:position w:val="1"/>
          <w:sz w:val="24"/>
        </w:rPr>
        <w:t> </w:t>
      </w:r>
      <w:r>
        <w:rPr>
          <w:position w:val="1"/>
          <w:sz w:val="24"/>
        </w:rPr>
        <w:t>were</w:t>
      </w:r>
      <w:r>
        <w:rPr>
          <w:spacing w:val="33"/>
          <w:position w:val="1"/>
          <w:sz w:val="24"/>
        </w:rPr>
        <w:t> </w:t>
      </w:r>
      <w:r>
        <w:rPr>
          <w:position w:val="1"/>
          <w:sz w:val="24"/>
        </w:rPr>
        <w:t>found</w:t>
      </w:r>
      <w:r>
        <w:rPr>
          <w:spacing w:val="32"/>
          <w:position w:val="1"/>
          <w:sz w:val="24"/>
        </w:rPr>
        <w:t> </w:t>
      </w:r>
      <w:r>
        <w:rPr>
          <w:position w:val="1"/>
          <w:sz w:val="24"/>
        </w:rPr>
        <w:t>in</w:t>
      </w:r>
      <w:r>
        <w:rPr>
          <w:spacing w:val="33"/>
          <w:position w:val="1"/>
          <w:sz w:val="24"/>
        </w:rPr>
        <w:t> </w:t>
      </w:r>
      <w:r>
        <w:rPr>
          <w:position w:val="1"/>
          <w:sz w:val="24"/>
        </w:rPr>
        <w:t>only</w:t>
      </w:r>
      <w:r>
        <w:rPr>
          <w:spacing w:val="34"/>
          <w:position w:val="1"/>
          <w:sz w:val="24"/>
        </w:rPr>
        <w:t> </w:t>
      </w:r>
      <w:r>
        <w:rPr>
          <w:position w:val="1"/>
          <w:sz w:val="24"/>
        </w:rPr>
        <w:t>two</w:t>
      </w:r>
    </w:p>
    <w:p>
      <w:pPr>
        <w:pStyle w:val="ListParagraph"/>
        <w:numPr>
          <w:ilvl w:val="0"/>
          <w:numId w:val="72"/>
        </w:numPr>
        <w:tabs>
          <w:tab w:pos="1132" w:val="left" w:leader="none"/>
          <w:tab w:pos="1133" w:val="left" w:leader="none"/>
        </w:tabs>
        <w:spacing w:line="259" w:lineRule="exact" w:before="0" w:after="0"/>
        <w:ind w:left="1132" w:right="0" w:hanging="972"/>
        <w:jc w:val="left"/>
        <w:rPr>
          <w:sz w:val="24"/>
        </w:rPr>
      </w:pPr>
      <w:r>
        <w:rPr>
          <w:sz w:val="24"/>
        </w:rPr>
        <w:t>animals,  simultaneously with prostatic  hyperplasia.  Black et  al.  (1998) reported prevalence </w:t>
      </w:r>
      <w:r>
        <w:rPr>
          <w:spacing w:val="37"/>
          <w:sz w:val="24"/>
        </w:rPr>
        <w:t> </w:t>
      </w:r>
      <w:r>
        <w:rPr>
          <w:sz w:val="24"/>
        </w:rPr>
        <w:t>of</w:t>
      </w:r>
    </w:p>
    <w:p>
      <w:pPr>
        <w:pStyle w:val="ListParagraph"/>
        <w:numPr>
          <w:ilvl w:val="0"/>
          <w:numId w:val="72"/>
        </w:numPr>
        <w:tabs>
          <w:tab w:pos="1132" w:val="left" w:leader="none"/>
          <w:tab w:pos="1133" w:val="left" w:leader="none"/>
        </w:tabs>
        <w:spacing w:line="256" w:lineRule="exact" w:before="0" w:after="0"/>
        <w:ind w:left="1132" w:right="0" w:hanging="972"/>
        <w:jc w:val="left"/>
        <w:rPr>
          <w:sz w:val="24"/>
        </w:rPr>
      </w:pPr>
      <w:r>
        <w:rPr>
          <w:sz w:val="24"/>
        </w:rPr>
        <w:t>14%, as well as in relation to prostatic hyperplasia, which is consistent with our results. None  </w:t>
      </w:r>
      <w:r>
        <w:rPr>
          <w:spacing w:val="28"/>
          <w:sz w:val="24"/>
        </w:rPr>
        <w:t> </w:t>
      </w:r>
      <w:r>
        <w:rPr>
          <w:sz w:val="24"/>
        </w:rPr>
        <w:t>of</w:t>
      </w:r>
    </w:p>
    <w:p>
      <w:pPr>
        <w:pStyle w:val="ListParagraph"/>
        <w:numPr>
          <w:ilvl w:val="0"/>
          <w:numId w:val="72"/>
        </w:numPr>
        <w:tabs>
          <w:tab w:pos="1132" w:val="left" w:leader="none"/>
          <w:tab w:pos="1133" w:val="left" w:leader="none"/>
        </w:tabs>
        <w:spacing w:line="257" w:lineRule="exact" w:before="0" w:after="0"/>
        <w:ind w:left="1132" w:right="0" w:hanging="972"/>
        <w:jc w:val="left"/>
        <w:rPr>
          <w:sz w:val="24"/>
        </w:rPr>
      </w:pPr>
      <w:r>
        <w:rPr>
          <w:sz w:val="24"/>
        </w:rPr>
        <w:t>the animals studied was castrated, which is considered as a factor in the development of</w:t>
      </w:r>
      <w:r>
        <w:rPr>
          <w:spacing w:val="-33"/>
          <w:sz w:val="24"/>
        </w:rPr>
        <w:t> </w:t>
      </w:r>
      <w:r>
        <w:rPr>
          <w:sz w:val="24"/>
        </w:rPr>
        <w:t>prostatic</w:t>
      </w:r>
    </w:p>
    <w:p>
      <w:pPr>
        <w:spacing w:line="116" w:lineRule="exact" w:before="0"/>
        <w:ind w:left="160" w:right="0" w:firstLine="0"/>
        <w:jc w:val="left"/>
        <w:rPr>
          <w:sz w:val="20"/>
        </w:rPr>
      </w:pPr>
      <w:r>
        <w:rPr>
          <w:sz w:val="20"/>
        </w:rPr>
        <w:t>45</w:t>
      </w:r>
    </w:p>
    <w:p>
      <w:pPr>
        <w:pStyle w:val="ListParagraph"/>
        <w:numPr>
          <w:ilvl w:val="0"/>
          <w:numId w:val="73"/>
        </w:numPr>
        <w:tabs>
          <w:tab w:pos="1132" w:val="left" w:leader="none"/>
          <w:tab w:pos="1133" w:val="left" w:leader="none"/>
        </w:tabs>
        <w:spacing w:line="253" w:lineRule="exact" w:before="0" w:after="0"/>
        <w:ind w:left="1132" w:right="0" w:hanging="972"/>
        <w:jc w:val="left"/>
        <w:rPr>
          <w:sz w:val="24"/>
        </w:rPr>
      </w:pPr>
      <w:r>
        <w:rPr>
          <w:sz w:val="24"/>
        </w:rPr>
        <w:t>hyperplasia  because  they  were  exposed  to  hormonal  stimulation.  Physiologically,  the    </w:t>
      </w:r>
      <w:r>
        <w:rPr>
          <w:spacing w:val="33"/>
          <w:sz w:val="24"/>
        </w:rPr>
        <w:t> </w:t>
      </w:r>
      <w:r>
        <w:rPr>
          <w:sz w:val="24"/>
        </w:rPr>
        <w:t>dogs</w:t>
      </w:r>
    </w:p>
    <w:p>
      <w:pPr>
        <w:pStyle w:val="ListParagraph"/>
        <w:numPr>
          <w:ilvl w:val="0"/>
          <w:numId w:val="73"/>
        </w:numPr>
        <w:tabs>
          <w:tab w:pos="1132" w:val="left" w:leader="none"/>
          <w:tab w:pos="1133" w:val="left" w:leader="none"/>
        </w:tabs>
        <w:spacing w:line="260" w:lineRule="exact" w:before="0" w:after="0"/>
        <w:ind w:left="1132" w:right="0" w:hanging="972"/>
        <w:jc w:val="left"/>
        <w:rPr>
          <w:sz w:val="24"/>
        </w:rPr>
      </w:pPr>
      <w:r>
        <w:rPr>
          <w:position w:val="1"/>
          <w:sz w:val="24"/>
        </w:rPr>
        <w:t>exhibit a progressive enlargement of the prostate after puberty related to exposure to  </w:t>
      </w:r>
      <w:r>
        <w:rPr>
          <w:spacing w:val="25"/>
          <w:position w:val="1"/>
          <w:sz w:val="24"/>
        </w:rPr>
        <w:t> </w:t>
      </w:r>
      <w:r>
        <w:rPr>
          <w:position w:val="1"/>
          <w:sz w:val="24"/>
        </w:rPr>
        <w:t>increased</w:t>
      </w:r>
    </w:p>
    <w:p>
      <w:pPr>
        <w:pStyle w:val="ListParagraph"/>
        <w:numPr>
          <w:ilvl w:val="0"/>
          <w:numId w:val="73"/>
        </w:numPr>
        <w:tabs>
          <w:tab w:pos="1132" w:val="left" w:leader="none"/>
          <w:tab w:pos="1133" w:val="left" w:leader="none"/>
        </w:tabs>
        <w:spacing w:line="256" w:lineRule="exact" w:before="2" w:after="0"/>
        <w:ind w:left="1132" w:right="0" w:hanging="972"/>
        <w:jc w:val="left"/>
        <w:rPr>
          <w:sz w:val="24"/>
        </w:rPr>
      </w:pPr>
      <w:r>
        <w:rPr>
          <w:sz w:val="24"/>
        </w:rPr>
        <w:t>testosterone  concentrations.  In prostatic  hyperplasia, there  is an  alteration  in the</w:t>
      </w:r>
      <w:r>
        <w:rPr>
          <w:spacing w:val="29"/>
          <w:sz w:val="24"/>
        </w:rPr>
        <w:t> </w:t>
      </w:r>
      <w:r>
        <w:rPr>
          <w:sz w:val="24"/>
        </w:rPr>
        <w:t>relationship</w:t>
      </w:r>
    </w:p>
    <w:p>
      <w:pPr>
        <w:pStyle w:val="ListParagraph"/>
        <w:numPr>
          <w:ilvl w:val="0"/>
          <w:numId w:val="73"/>
        </w:numPr>
        <w:tabs>
          <w:tab w:pos="1132" w:val="left" w:leader="none"/>
          <w:tab w:pos="1133" w:val="left" w:leader="none"/>
        </w:tabs>
        <w:spacing w:line="256" w:lineRule="exact" w:before="0" w:after="0"/>
        <w:ind w:left="1132" w:right="0" w:hanging="972"/>
        <w:jc w:val="left"/>
        <w:rPr>
          <w:sz w:val="24"/>
        </w:rPr>
      </w:pPr>
      <w:r>
        <w:rPr>
          <w:sz w:val="24"/>
        </w:rPr>
        <w:t>between estrogen and androgens. Estrogens increase the chance of developing hyperplasia as   </w:t>
      </w:r>
      <w:r>
        <w:rPr>
          <w:spacing w:val="12"/>
          <w:sz w:val="24"/>
        </w:rPr>
        <w:t> </w:t>
      </w:r>
      <w:r>
        <w:rPr>
          <w:sz w:val="24"/>
        </w:rPr>
        <w:t>it</w:t>
      </w:r>
    </w:p>
    <w:p>
      <w:pPr>
        <w:pStyle w:val="ListParagraph"/>
        <w:numPr>
          <w:ilvl w:val="0"/>
          <w:numId w:val="73"/>
        </w:numPr>
        <w:tabs>
          <w:tab w:pos="1132" w:val="left" w:leader="none"/>
          <w:tab w:pos="1133" w:val="left" w:leader="none"/>
        </w:tabs>
        <w:spacing w:line="331" w:lineRule="exact" w:before="0" w:after="0"/>
        <w:ind w:left="1132" w:right="0" w:hanging="972"/>
        <w:jc w:val="left"/>
        <w:rPr>
          <w:sz w:val="24"/>
        </w:rPr>
      </w:pPr>
      <w:r>
        <w:rPr/>
        <w:pict>
          <v:shape style="position:absolute;margin-left:8pt;margin-top:11.067736pt;width:11.15pt;height:10pt;mso-position-horizontal-relative:page;mso-position-vertical-relative:paragraph;z-index:-92440" type="#_x0000_t202" filled="false" stroked="false">
            <v:textbox inset="0,0,0,0">
              <w:txbxContent>
                <w:p>
                  <w:pPr>
                    <w:spacing w:line="196" w:lineRule="exact" w:before="0"/>
                    <w:ind w:left="0" w:right="-20" w:firstLine="0"/>
                    <w:jc w:val="left"/>
                    <w:rPr>
                      <w:sz w:val="20"/>
                    </w:rPr>
                  </w:pPr>
                  <w:r>
                    <w:rPr>
                      <w:sz w:val="20"/>
                    </w:rPr>
                    <w:t>51</w:t>
                  </w:r>
                </w:p>
              </w:txbxContent>
            </v:textbox>
            <w10:wrap type="none"/>
          </v:shape>
        </w:pict>
      </w:r>
      <w:r>
        <w:rPr>
          <w:sz w:val="24"/>
        </w:rPr>
        <w:t>increases   the   number   of   androgen   receptors.   Also,   this   size   increase   is   related   to   </w:t>
      </w:r>
      <w:r>
        <w:rPr>
          <w:spacing w:val="10"/>
          <w:sz w:val="24"/>
        </w:rPr>
        <w:t> </w:t>
      </w:r>
      <w:r>
        <w:rPr>
          <w:sz w:val="24"/>
        </w:rPr>
        <w:t>an</w:t>
      </w:r>
    </w:p>
    <w:p>
      <w:pPr>
        <w:pStyle w:val="ListParagraph"/>
        <w:numPr>
          <w:ilvl w:val="0"/>
          <w:numId w:val="74"/>
        </w:numPr>
        <w:tabs>
          <w:tab w:pos="1132" w:val="left" w:leader="none"/>
          <w:tab w:pos="1133" w:val="left" w:leader="none"/>
        </w:tabs>
        <w:spacing w:line="301" w:lineRule="exact" w:before="2" w:after="0"/>
        <w:ind w:left="1132" w:right="0" w:hanging="972"/>
        <w:jc w:val="left"/>
        <w:rPr>
          <w:sz w:val="24"/>
        </w:rPr>
      </w:pPr>
      <w:r>
        <w:rPr>
          <w:sz w:val="24"/>
        </w:rPr>
        <w:t>overproduction of the dihydrotestosterone metabolite, which is the main stimulator of  </w:t>
      </w:r>
      <w:r>
        <w:rPr>
          <w:spacing w:val="27"/>
          <w:sz w:val="24"/>
        </w:rPr>
        <w:t> </w:t>
      </w:r>
      <w:r>
        <w:rPr>
          <w:sz w:val="24"/>
        </w:rPr>
        <w:t>prostatic</w:t>
      </w:r>
    </w:p>
    <w:p>
      <w:pPr>
        <w:pStyle w:val="ListParagraph"/>
        <w:numPr>
          <w:ilvl w:val="0"/>
          <w:numId w:val="74"/>
        </w:numPr>
        <w:tabs>
          <w:tab w:pos="1132" w:val="left" w:leader="none"/>
          <w:tab w:pos="1133" w:val="left" w:leader="none"/>
        </w:tabs>
        <w:spacing w:line="258" w:lineRule="exact" w:before="0" w:after="0"/>
        <w:ind w:left="1132" w:right="0" w:hanging="972"/>
        <w:jc w:val="left"/>
        <w:rPr>
          <w:sz w:val="24"/>
        </w:rPr>
      </w:pPr>
      <w:r>
        <w:rPr>
          <w:sz w:val="24"/>
        </w:rPr>
        <w:t>hyperplasia (Smith</w:t>
      </w:r>
      <w:r>
        <w:rPr>
          <w:spacing w:val="-13"/>
          <w:sz w:val="24"/>
        </w:rPr>
        <w:t> </w:t>
      </w:r>
      <w:r>
        <w:rPr>
          <w:sz w:val="24"/>
        </w:rPr>
        <w:t>2008).</w:t>
      </w:r>
    </w:p>
    <w:p>
      <w:pPr>
        <w:spacing w:line="215" w:lineRule="exact" w:before="0"/>
        <w:ind w:left="160" w:right="0" w:firstLine="0"/>
        <w:jc w:val="left"/>
        <w:rPr>
          <w:sz w:val="20"/>
        </w:rPr>
      </w:pPr>
      <w:r>
        <w:rPr>
          <w:sz w:val="20"/>
        </w:rPr>
        <w:t>54</w:t>
      </w:r>
    </w:p>
    <w:p>
      <w:pPr>
        <w:pStyle w:val="ListParagraph"/>
        <w:numPr>
          <w:ilvl w:val="0"/>
          <w:numId w:val="75"/>
        </w:numPr>
        <w:tabs>
          <w:tab w:pos="1840" w:val="left" w:leader="none"/>
          <w:tab w:pos="1841" w:val="left" w:leader="none"/>
        </w:tabs>
        <w:spacing w:line="260" w:lineRule="exact" w:before="0" w:after="0"/>
        <w:ind w:left="1840" w:right="0" w:hanging="1680"/>
        <w:jc w:val="left"/>
        <w:rPr>
          <w:sz w:val="24"/>
        </w:rPr>
      </w:pPr>
      <w:r>
        <w:rPr>
          <w:sz w:val="24"/>
        </w:rPr>
        <w:t>Problems</w:t>
      </w:r>
      <w:r>
        <w:rPr>
          <w:spacing w:val="45"/>
          <w:sz w:val="24"/>
        </w:rPr>
        <w:t> </w:t>
      </w:r>
      <w:r>
        <w:rPr>
          <w:sz w:val="24"/>
        </w:rPr>
        <w:t>due</w:t>
      </w:r>
      <w:r>
        <w:rPr>
          <w:spacing w:val="45"/>
          <w:sz w:val="24"/>
        </w:rPr>
        <w:t> </w:t>
      </w:r>
      <w:r>
        <w:rPr>
          <w:sz w:val="24"/>
        </w:rPr>
        <w:t>to</w:t>
      </w:r>
      <w:r>
        <w:rPr>
          <w:spacing w:val="45"/>
          <w:sz w:val="24"/>
        </w:rPr>
        <w:t> </w:t>
      </w:r>
      <w:r>
        <w:rPr>
          <w:sz w:val="24"/>
        </w:rPr>
        <w:t>trauma</w:t>
      </w:r>
      <w:r>
        <w:rPr>
          <w:spacing w:val="45"/>
          <w:sz w:val="24"/>
        </w:rPr>
        <w:t> </w:t>
      </w:r>
      <w:r>
        <w:rPr>
          <w:sz w:val="24"/>
        </w:rPr>
        <w:t>represented</w:t>
      </w:r>
      <w:r>
        <w:rPr>
          <w:spacing w:val="44"/>
          <w:sz w:val="24"/>
        </w:rPr>
        <w:t> </w:t>
      </w:r>
      <w:r>
        <w:rPr>
          <w:sz w:val="24"/>
        </w:rPr>
        <w:t>8.24%.</w:t>
      </w:r>
      <w:r>
        <w:rPr>
          <w:spacing w:val="46"/>
          <w:sz w:val="24"/>
        </w:rPr>
        <w:t> </w:t>
      </w:r>
      <w:r>
        <w:rPr>
          <w:sz w:val="24"/>
        </w:rPr>
        <w:t>These</w:t>
      </w:r>
      <w:r>
        <w:rPr>
          <w:spacing w:val="45"/>
          <w:sz w:val="24"/>
        </w:rPr>
        <w:t> </w:t>
      </w:r>
      <w:r>
        <w:rPr>
          <w:sz w:val="24"/>
        </w:rPr>
        <w:t>alterations</w:t>
      </w:r>
      <w:r>
        <w:rPr>
          <w:spacing w:val="45"/>
          <w:sz w:val="24"/>
        </w:rPr>
        <w:t> </w:t>
      </w:r>
      <w:r>
        <w:rPr>
          <w:sz w:val="24"/>
        </w:rPr>
        <w:t>are</w:t>
      </w:r>
      <w:r>
        <w:rPr>
          <w:spacing w:val="43"/>
          <w:sz w:val="24"/>
        </w:rPr>
        <w:t> </w:t>
      </w:r>
      <w:r>
        <w:rPr>
          <w:sz w:val="24"/>
        </w:rPr>
        <w:t>often</w:t>
      </w:r>
      <w:r>
        <w:rPr>
          <w:spacing w:val="45"/>
          <w:sz w:val="24"/>
        </w:rPr>
        <w:t> </w:t>
      </w:r>
      <w:r>
        <w:rPr>
          <w:sz w:val="24"/>
        </w:rPr>
        <w:t>generated</w:t>
      </w:r>
      <w:r>
        <w:rPr>
          <w:spacing w:val="44"/>
          <w:sz w:val="24"/>
        </w:rPr>
        <w:t> </w:t>
      </w:r>
      <w:r>
        <w:rPr>
          <w:sz w:val="24"/>
        </w:rPr>
        <w:t>by</w:t>
      </w:r>
    </w:p>
    <w:p>
      <w:pPr>
        <w:pStyle w:val="ListParagraph"/>
        <w:numPr>
          <w:ilvl w:val="0"/>
          <w:numId w:val="75"/>
        </w:numPr>
        <w:tabs>
          <w:tab w:pos="1132" w:val="left" w:leader="none"/>
          <w:tab w:pos="1133" w:val="left" w:leader="none"/>
        </w:tabs>
        <w:spacing w:line="256" w:lineRule="exact" w:before="0" w:after="0"/>
        <w:ind w:left="1132" w:right="0" w:hanging="972"/>
        <w:jc w:val="left"/>
        <w:rPr>
          <w:sz w:val="24"/>
        </w:rPr>
      </w:pPr>
      <w:r>
        <w:rPr>
          <w:sz w:val="24"/>
        </w:rPr>
        <w:t>lesions  in  the  musculoskeletal  system,  especially  fractures  of  the  femur  or  pelvis,  and    </w:t>
      </w:r>
      <w:r>
        <w:rPr>
          <w:spacing w:val="33"/>
          <w:sz w:val="24"/>
        </w:rPr>
        <w:t> </w:t>
      </w:r>
      <w:r>
        <w:rPr>
          <w:sz w:val="24"/>
        </w:rPr>
        <w:t>the</w:t>
      </w:r>
    </w:p>
    <w:p>
      <w:pPr>
        <w:pStyle w:val="ListParagraph"/>
        <w:numPr>
          <w:ilvl w:val="0"/>
          <w:numId w:val="75"/>
        </w:numPr>
        <w:tabs>
          <w:tab w:pos="1132" w:val="left" w:leader="none"/>
          <w:tab w:pos="1133" w:val="left" w:leader="none"/>
        </w:tabs>
        <w:spacing w:line="256" w:lineRule="exact" w:before="0" w:after="0"/>
        <w:ind w:left="1132" w:right="0" w:hanging="972"/>
        <w:jc w:val="left"/>
        <w:rPr>
          <w:sz w:val="24"/>
        </w:rPr>
      </w:pPr>
      <w:r>
        <w:rPr>
          <w:sz w:val="24"/>
        </w:rPr>
        <w:t>abdominal</w:t>
      </w:r>
      <w:r>
        <w:rPr>
          <w:spacing w:val="17"/>
          <w:sz w:val="24"/>
        </w:rPr>
        <w:t> </w:t>
      </w:r>
      <w:r>
        <w:rPr>
          <w:sz w:val="24"/>
        </w:rPr>
        <w:t>cavity</w:t>
      </w:r>
      <w:r>
        <w:rPr>
          <w:spacing w:val="17"/>
          <w:sz w:val="24"/>
        </w:rPr>
        <w:t> </w:t>
      </w:r>
      <w:r>
        <w:rPr>
          <w:sz w:val="24"/>
        </w:rPr>
        <w:t>affecting</w:t>
      </w:r>
      <w:r>
        <w:rPr>
          <w:spacing w:val="17"/>
          <w:sz w:val="24"/>
        </w:rPr>
        <w:t> </w:t>
      </w:r>
      <w:r>
        <w:rPr>
          <w:sz w:val="24"/>
        </w:rPr>
        <w:t>the</w:t>
      </w:r>
      <w:r>
        <w:rPr>
          <w:spacing w:val="18"/>
          <w:sz w:val="24"/>
        </w:rPr>
        <w:t> </w:t>
      </w:r>
      <w:r>
        <w:rPr>
          <w:sz w:val="24"/>
        </w:rPr>
        <w:t>walls</w:t>
      </w:r>
      <w:r>
        <w:rPr>
          <w:spacing w:val="18"/>
          <w:sz w:val="24"/>
        </w:rPr>
        <w:t> </w:t>
      </w:r>
      <w:r>
        <w:rPr>
          <w:sz w:val="24"/>
        </w:rPr>
        <w:t>of</w:t>
      </w:r>
      <w:r>
        <w:rPr>
          <w:spacing w:val="18"/>
          <w:sz w:val="24"/>
        </w:rPr>
        <w:t> </w:t>
      </w:r>
      <w:r>
        <w:rPr>
          <w:sz w:val="24"/>
        </w:rPr>
        <w:t>the</w:t>
      </w:r>
      <w:r>
        <w:rPr>
          <w:spacing w:val="18"/>
          <w:sz w:val="24"/>
        </w:rPr>
        <w:t> </w:t>
      </w:r>
      <w:r>
        <w:rPr>
          <w:sz w:val="24"/>
        </w:rPr>
        <w:t>urethra</w:t>
      </w:r>
      <w:r>
        <w:rPr>
          <w:spacing w:val="18"/>
          <w:sz w:val="24"/>
        </w:rPr>
        <w:t> </w:t>
      </w:r>
      <w:r>
        <w:rPr>
          <w:sz w:val="24"/>
        </w:rPr>
        <w:t>or</w:t>
      </w:r>
      <w:r>
        <w:rPr>
          <w:spacing w:val="18"/>
          <w:sz w:val="24"/>
        </w:rPr>
        <w:t> </w:t>
      </w:r>
      <w:r>
        <w:rPr>
          <w:sz w:val="24"/>
        </w:rPr>
        <w:t>bladder,</w:t>
      </w:r>
      <w:r>
        <w:rPr>
          <w:spacing w:val="18"/>
          <w:sz w:val="24"/>
        </w:rPr>
        <w:t> </w:t>
      </w:r>
      <w:r>
        <w:rPr>
          <w:sz w:val="24"/>
        </w:rPr>
        <w:t>including</w:t>
      </w:r>
      <w:r>
        <w:rPr>
          <w:spacing w:val="17"/>
          <w:sz w:val="24"/>
        </w:rPr>
        <w:t> </w:t>
      </w:r>
      <w:r>
        <w:rPr>
          <w:sz w:val="24"/>
        </w:rPr>
        <w:t>ruptures.</w:t>
      </w:r>
      <w:r>
        <w:rPr>
          <w:spacing w:val="18"/>
          <w:sz w:val="24"/>
        </w:rPr>
        <w:t> </w:t>
      </w:r>
      <w:r>
        <w:rPr>
          <w:sz w:val="24"/>
        </w:rPr>
        <w:t>In</w:t>
      </w:r>
      <w:r>
        <w:rPr>
          <w:spacing w:val="18"/>
          <w:sz w:val="24"/>
        </w:rPr>
        <w:t> </w:t>
      </w:r>
      <w:r>
        <w:rPr>
          <w:sz w:val="24"/>
        </w:rPr>
        <w:t>our</w:t>
      </w:r>
      <w:r>
        <w:rPr>
          <w:spacing w:val="18"/>
          <w:sz w:val="24"/>
        </w:rPr>
        <w:t> </w:t>
      </w:r>
      <w:r>
        <w:rPr>
          <w:sz w:val="24"/>
        </w:rPr>
        <w:t>study,</w:t>
      </w:r>
    </w:p>
    <w:p>
      <w:pPr>
        <w:pStyle w:val="ListParagraph"/>
        <w:numPr>
          <w:ilvl w:val="0"/>
          <w:numId w:val="75"/>
        </w:numPr>
        <w:tabs>
          <w:tab w:pos="1132" w:val="left" w:leader="none"/>
          <w:tab w:pos="1133" w:val="left" w:leader="none"/>
        </w:tabs>
        <w:spacing w:line="341" w:lineRule="exact" w:before="0" w:after="0"/>
        <w:ind w:left="1132" w:right="0" w:hanging="972"/>
        <w:jc w:val="left"/>
        <w:rPr>
          <w:sz w:val="24"/>
        </w:rPr>
      </w:pPr>
      <w:r>
        <w:rPr>
          <w:sz w:val="24"/>
        </w:rPr>
        <w:t>hemorrhagic</w:t>
      </w:r>
      <w:r>
        <w:rPr>
          <w:spacing w:val="36"/>
          <w:sz w:val="24"/>
        </w:rPr>
        <w:t> </w:t>
      </w:r>
      <w:r>
        <w:rPr>
          <w:sz w:val="24"/>
        </w:rPr>
        <w:t>cystitis,</w:t>
      </w:r>
      <w:r>
        <w:rPr>
          <w:spacing w:val="35"/>
          <w:sz w:val="24"/>
        </w:rPr>
        <w:t> </w:t>
      </w:r>
      <w:r>
        <w:rPr>
          <w:sz w:val="24"/>
        </w:rPr>
        <w:t>and</w:t>
      </w:r>
      <w:r>
        <w:rPr>
          <w:spacing w:val="33"/>
          <w:sz w:val="24"/>
        </w:rPr>
        <w:t> </w:t>
      </w:r>
      <w:r>
        <w:rPr>
          <w:sz w:val="24"/>
        </w:rPr>
        <w:t>vesical</w:t>
      </w:r>
      <w:r>
        <w:rPr>
          <w:spacing w:val="34"/>
          <w:sz w:val="24"/>
        </w:rPr>
        <w:t> </w:t>
      </w:r>
      <w:r>
        <w:rPr>
          <w:sz w:val="24"/>
        </w:rPr>
        <w:t>or</w:t>
      </w:r>
      <w:r>
        <w:rPr>
          <w:spacing w:val="36"/>
          <w:sz w:val="24"/>
        </w:rPr>
        <w:t> </w:t>
      </w:r>
      <w:r>
        <w:rPr>
          <w:sz w:val="24"/>
        </w:rPr>
        <w:t>urethral</w:t>
      </w:r>
      <w:r>
        <w:rPr>
          <w:spacing w:val="36"/>
          <w:sz w:val="24"/>
        </w:rPr>
        <w:t> </w:t>
      </w:r>
      <w:r>
        <w:rPr>
          <w:sz w:val="24"/>
        </w:rPr>
        <w:t>rupture</w:t>
      </w:r>
      <w:r>
        <w:rPr>
          <w:spacing w:val="35"/>
          <w:sz w:val="24"/>
        </w:rPr>
        <w:t> </w:t>
      </w:r>
      <w:r>
        <w:rPr>
          <w:sz w:val="24"/>
        </w:rPr>
        <w:t>were</w:t>
      </w:r>
      <w:r>
        <w:rPr>
          <w:spacing w:val="35"/>
          <w:sz w:val="24"/>
        </w:rPr>
        <w:t> </w:t>
      </w:r>
      <w:r>
        <w:rPr>
          <w:sz w:val="24"/>
        </w:rPr>
        <w:t>the</w:t>
      </w:r>
      <w:r>
        <w:rPr>
          <w:spacing w:val="35"/>
          <w:sz w:val="24"/>
        </w:rPr>
        <w:t> </w:t>
      </w:r>
      <w:r>
        <w:rPr>
          <w:sz w:val="24"/>
        </w:rPr>
        <w:t>most</w:t>
      </w:r>
      <w:r>
        <w:rPr>
          <w:spacing w:val="37"/>
          <w:sz w:val="24"/>
        </w:rPr>
        <w:t> </w:t>
      </w:r>
      <w:r>
        <w:rPr>
          <w:sz w:val="24"/>
        </w:rPr>
        <w:t>common</w:t>
      </w:r>
      <w:r>
        <w:rPr>
          <w:spacing w:val="35"/>
          <w:sz w:val="24"/>
        </w:rPr>
        <w:t> </w:t>
      </w:r>
      <w:r>
        <w:rPr>
          <w:sz w:val="24"/>
        </w:rPr>
        <w:t>diagnoses.</w:t>
      </w:r>
      <w:r>
        <w:rPr>
          <w:spacing w:val="35"/>
          <w:sz w:val="24"/>
        </w:rPr>
        <w:t> </w:t>
      </w:r>
      <w:r>
        <w:rPr>
          <w:sz w:val="24"/>
        </w:rPr>
        <w:t>Most</w:t>
      </w:r>
    </w:p>
    <w:p>
      <w:pPr>
        <w:spacing w:after="0" w:line="341" w:lineRule="exact"/>
        <w:jc w:val="left"/>
        <w:rPr>
          <w:sz w:val="24"/>
        </w:rPr>
        <w:sectPr>
          <w:headerReference w:type="default" r:id="rId65"/>
          <w:footerReference w:type="default" r:id="rId66"/>
          <w:pgSz w:w="12240" w:h="15840"/>
          <w:pgMar w:header="0" w:footer="993" w:top="140" w:bottom="1180" w:left="0" w:right="1020"/>
        </w:sectPr>
      </w:pPr>
    </w:p>
    <w:p>
      <w:pPr>
        <w:tabs>
          <w:tab w:pos="10912" w:val="left" w:leader="none"/>
        </w:tabs>
        <w:spacing w:before="56"/>
        <w:ind w:left="4652" w:right="0" w:firstLine="0"/>
        <w:jc w:val="left"/>
        <w:rPr>
          <w:b/>
          <w:sz w:val="20"/>
        </w:rPr>
      </w:pPr>
      <w:r>
        <w:rPr>
          <w:b/>
          <w:sz w:val="20"/>
        </w:rPr>
        <w:t>Pesquisa</w:t>
      </w:r>
      <w:r>
        <w:rPr>
          <w:b/>
          <w:spacing w:val="-3"/>
          <w:sz w:val="20"/>
        </w:rPr>
        <w:t> </w:t>
      </w:r>
      <w:r>
        <w:rPr>
          <w:b/>
          <w:sz w:val="20"/>
        </w:rPr>
        <w:t>Veterinária</w:t>
      </w:r>
      <w:r>
        <w:rPr>
          <w:b/>
          <w:spacing w:val="-4"/>
          <w:sz w:val="20"/>
        </w:rPr>
        <w:t> </w:t>
      </w:r>
      <w:r>
        <w:rPr>
          <w:b/>
          <w:sz w:val="20"/>
        </w:rPr>
        <w:t>Brasileira</w:t>
        <w:tab/>
        <w:t>Page 8 of</w:t>
      </w:r>
      <w:r>
        <w:rPr>
          <w:b/>
          <w:spacing w:val="-2"/>
          <w:sz w:val="20"/>
        </w:rPr>
        <w:t> </w:t>
      </w:r>
      <w:r>
        <w:rPr>
          <w:b/>
          <w:sz w:val="20"/>
        </w:rPr>
        <w:t>13</w:t>
      </w:r>
    </w:p>
    <w:p>
      <w:pPr>
        <w:pStyle w:val="BodyText"/>
        <w:spacing w:before="4"/>
        <w:rPr>
          <w:b/>
          <w:sz w:val="19"/>
        </w:rPr>
      </w:pPr>
    </w:p>
    <w:p>
      <w:pPr>
        <w:spacing w:line="230" w:lineRule="exact" w:before="56"/>
        <w:ind w:left="0" w:right="1091" w:firstLine="0"/>
        <w:jc w:val="right"/>
        <w:rPr>
          <w:rFonts w:ascii="Calibri"/>
          <w:sz w:val="22"/>
        </w:rPr>
      </w:pPr>
      <w:r>
        <w:rPr>
          <w:rFonts w:ascii="Calibri"/>
          <w:w w:val="100"/>
          <w:sz w:val="22"/>
        </w:rPr>
        <w:t>8</w:t>
      </w:r>
    </w:p>
    <w:p>
      <w:pPr>
        <w:spacing w:line="191" w:lineRule="exact" w:before="0"/>
        <w:ind w:left="160" w:right="0" w:firstLine="0"/>
        <w:jc w:val="left"/>
        <w:rPr>
          <w:sz w:val="20"/>
        </w:rPr>
      </w:pPr>
      <w:r>
        <w:rPr>
          <w:sz w:val="20"/>
        </w:rPr>
        <w:t>1</w:t>
      </w:r>
    </w:p>
    <w:p>
      <w:pPr>
        <w:pStyle w:val="ListParagraph"/>
        <w:numPr>
          <w:ilvl w:val="0"/>
          <w:numId w:val="76"/>
        </w:numPr>
        <w:tabs>
          <w:tab w:pos="1132" w:val="left" w:leader="none"/>
          <w:tab w:pos="1133" w:val="left" w:leader="none"/>
        </w:tabs>
        <w:spacing w:line="258" w:lineRule="exact" w:before="6" w:after="0"/>
        <w:ind w:left="1132" w:right="0" w:hanging="972"/>
        <w:jc w:val="left"/>
        <w:rPr>
          <w:sz w:val="24"/>
        </w:rPr>
      </w:pPr>
      <w:r>
        <w:rPr>
          <w:sz w:val="24"/>
        </w:rPr>
        <w:t>cases</w:t>
      </w:r>
      <w:r>
        <w:rPr>
          <w:spacing w:val="10"/>
          <w:sz w:val="24"/>
        </w:rPr>
        <w:t> </w:t>
      </w:r>
      <w:r>
        <w:rPr>
          <w:sz w:val="24"/>
        </w:rPr>
        <w:t>were</w:t>
      </w:r>
      <w:r>
        <w:rPr>
          <w:spacing w:val="10"/>
          <w:sz w:val="24"/>
        </w:rPr>
        <w:t> </w:t>
      </w:r>
      <w:r>
        <w:rPr>
          <w:sz w:val="24"/>
        </w:rPr>
        <w:t>present</w:t>
      </w:r>
      <w:r>
        <w:rPr>
          <w:spacing w:val="10"/>
          <w:sz w:val="24"/>
        </w:rPr>
        <w:t> </w:t>
      </w:r>
      <w:r>
        <w:rPr>
          <w:sz w:val="24"/>
        </w:rPr>
        <w:t>in</w:t>
      </w:r>
      <w:r>
        <w:rPr>
          <w:spacing w:val="10"/>
          <w:sz w:val="24"/>
        </w:rPr>
        <w:t> </w:t>
      </w:r>
      <w:r>
        <w:rPr>
          <w:sz w:val="24"/>
        </w:rPr>
        <w:t>animals</w:t>
      </w:r>
      <w:r>
        <w:rPr>
          <w:spacing w:val="10"/>
          <w:sz w:val="24"/>
        </w:rPr>
        <w:t> </w:t>
      </w:r>
      <w:r>
        <w:rPr>
          <w:sz w:val="24"/>
        </w:rPr>
        <w:t>hit</w:t>
      </w:r>
      <w:r>
        <w:rPr>
          <w:spacing w:val="10"/>
          <w:sz w:val="24"/>
        </w:rPr>
        <w:t> </w:t>
      </w:r>
      <w:r>
        <w:rPr>
          <w:sz w:val="24"/>
        </w:rPr>
        <w:t>by</w:t>
      </w:r>
      <w:r>
        <w:rPr>
          <w:spacing w:val="9"/>
          <w:sz w:val="24"/>
        </w:rPr>
        <w:t> </w:t>
      </w:r>
      <w:r>
        <w:rPr>
          <w:sz w:val="24"/>
        </w:rPr>
        <w:t>a</w:t>
      </w:r>
      <w:r>
        <w:rPr>
          <w:spacing w:val="10"/>
          <w:sz w:val="24"/>
        </w:rPr>
        <w:t> </w:t>
      </w:r>
      <w:r>
        <w:rPr>
          <w:sz w:val="24"/>
        </w:rPr>
        <w:t>car.</w:t>
      </w:r>
      <w:r>
        <w:rPr>
          <w:spacing w:val="10"/>
          <w:sz w:val="24"/>
        </w:rPr>
        <w:t> </w:t>
      </w:r>
      <w:r>
        <w:rPr>
          <w:sz w:val="24"/>
        </w:rPr>
        <w:t>Anderson</w:t>
      </w:r>
      <w:r>
        <w:rPr>
          <w:spacing w:val="10"/>
          <w:sz w:val="24"/>
        </w:rPr>
        <w:t> </w:t>
      </w:r>
      <w:r>
        <w:rPr>
          <w:sz w:val="24"/>
        </w:rPr>
        <w:t>et</w:t>
      </w:r>
      <w:r>
        <w:rPr>
          <w:spacing w:val="10"/>
          <w:sz w:val="24"/>
        </w:rPr>
        <w:t> </w:t>
      </w:r>
      <w:r>
        <w:rPr>
          <w:sz w:val="24"/>
        </w:rPr>
        <w:t>al.</w:t>
      </w:r>
      <w:r>
        <w:rPr>
          <w:spacing w:val="11"/>
          <w:sz w:val="24"/>
        </w:rPr>
        <w:t> </w:t>
      </w:r>
      <w:r>
        <w:rPr>
          <w:sz w:val="24"/>
        </w:rPr>
        <w:t>(2006)</w:t>
      </w:r>
      <w:r>
        <w:rPr>
          <w:spacing w:val="12"/>
          <w:sz w:val="24"/>
        </w:rPr>
        <w:t> </w:t>
      </w:r>
      <w:r>
        <w:rPr>
          <w:sz w:val="24"/>
        </w:rPr>
        <w:t>reported</w:t>
      </w:r>
      <w:r>
        <w:rPr>
          <w:spacing w:val="8"/>
          <w:sz w:val="24"/>
        </w:rPr>
        <w:t> </w:t>
      </w:r>
      <w:r>
        <w:rPr>
          <w:sz w:val="24"/>
        </w:rPr>
        <w:t>this</w:t>
      </w:r>
      <w:r>
        <w:rPr>
          <w:spacing w:val="10"/>
          <w:sz w:val="24"/>
        </w:rPr>
        <w:t> </w:t>
      </w:r>
      <w:r>
        <w:rPr>
          <w:sz w:val="24"/>
        </w:rPr>
        <w:t>type</w:t>
      </w:r>
      <w:r>
        <w:rPr>
          <w:spacing w:val="10"/>
          <w:sz w:val="24"/>
        </w:rPr>
        <w:t> </w:t>
      </w:r>
      <w:r>
        <w:rPr>
          <w:sz w:val="24"/>
        </w:rPr>
        <w:t>of</w:t>
      </w:r>
      <w:r>
        <w:rPr>
          <w:spacing w:val="9"/>
          <w:sz w:val="24"/>
        </w:rPr>
        <w:t> </w:t>
      </w:r>
      <w:r>
        <w:rPr>
          <w:sz w:val="24"/>
        </w:rPr>
        <w:t>injury</w:t>
      </w:r>
      <w:r>
        <w:rPr>
          <w:spacing w:val="9"/>
          <w:sz w:val="24"/>
        </w:rPr>
        <w:t> </w:t>
      </w:r>
      <w:r>
        <w:rPr>
          <w:sz w:val="24"/>
        </w:rPr>
        <w:t>as</w:t>
      </w:r>
    </w:p>
    <w:p>
      <w:pPr>
        <w:pStyle w:val="ListParagraph"/>
        <w:numPr>
          <w:ilvl w:val="0"/>
          <w:numId w:val="76"/>
        </w:numPr>
        <w:tabs>
          <w:tab w:pos="1132" w:val="left" w:leader="none"/>
          <w:tab w:pos="1133" w:val="left" w:leader="none"/>
        </w:tabs>
        <w:spacing w:line="257" w:lineRule="exact" w:before="0" w:after="0"/>
        <w:ind w:left="1132" w:right="0" w:hanging="972"/>
        <w:jc w:val="left"/>
        <w:rPr>
          <w:sz w:val="24"/>
        </w:rPr>
      </w:pPr>
      <w:r>
        <w:rPr>
          <w:sz w:val="24"/>
        </w:rPr>
        <w:t>the most common cause of rupture of the urethra. Urethral injury most commonly occurs in</w:t>
      </w:r>
      <w:r>
        <w:rPr>
          <w:spacing w:val="26"/>
          <w:sz w:val="24"/>
        </w:rPr>
        <w:t> </w:t>
      </w:r>
      <w:r>
        <w:rPr>
          <w:sz w:val="24"/>
        </w:rPr>
        <w:t>male</w:t>
      </w:r>
    </w:p>
    <w:p>
      <w:pPr>
        <w:pStyle w:val="ListParagraph"/>
        <w:numPr>
          <w:ilvl w:val="0"/>
          <w:numId w:val="76"/>
        </w:numPr>
        <w:tabs>
          <w:tab w:pos="1132" w:val="left" w:leader="none"/>
          <w:tab w:pos="1133" w:val="left" w:leader="none"/>
        </w:tabs>
        <w:spacing w:line="331" w:lineRule="exact" w:before="0" w:after="0"/>
        <w:ind w:left="1132" w:right="0" w:hanging="972"/>
        <w:jc w:val="left"/>
        <w:rPr>
          <w:sz w:val="24"/>
        </w:rPr>
      </w:pPr>
      <w:r>
        <w:rPr/>
        <w:pict>
          <v:shape style="position:absolute;margin-left:8pt;margin-top:10.785737pt;width:5.6pt;height:10pt;mso-position-horizontal-relative:page;mso-position-vertical-relative:paragraph;z-index:-92392" type="#_x0000_t202" filled="false" stroked="false">
            <v:textbox inset="0,0,0,0">
              <w:txbxContent>
                <w:p>
                  <w:pPr>
                    <w:spacing w:line="196" w:lineRule="exact" w:before="0"/>
                    <w:ind w:left="0" w:right="0" w:firstLine="0"/>
                    <w:jc w:val="left"/>
                    <w:rPr>
                      <w:sz w:val="20"/>
                    </w:rPr>
                  </w:pPr>
                  <w:r>
                    <w:rPr>
                      <w:sz w:val="20"/>
                    </w:rPr>
                    <w:t>5</w:t>
                  </w:r>
                </w:p>
              </w:txbxContent>
            </v:textbox>
            <w10:wrap type="none"/>
          </v:shape>
        </w:pict>
      </w:r>
      <w:r>
        <w:rPr>
          <w:sz w:val="24"/>
        </w:rPr>
        <w:t>dogs</w:t>
      </w:r>
      <w:r>
        <w:rPr>
          <w:spacing w:val="-2"/>
          <w:sz w:val="24"/>
        </w:rPr>
        <w:t> </w:t>
      </w:r>
      <w:r>
        <w:rPr>
          <w:sz w:val="24"/>
        </w:rPr>
        <w:t>and</w:t>
      </w:r>
      <w:r>
        <w:rPr>
          <w:spacing w:val="-3"/>
          <w:sz w:val="24"/>
        </w:rPr>
        <w:t> </w:t>
      </w:r>
      <w:r>
        <w:rPr>
          <w:sz w:val="24"/>
        </w:rPr>
        <w:t>cats,</w:t>
      </w:r>
      <w:r>
        <w:rPr>
          <w:spacing w:val="-1"/>
          <w:sz w:val="24"/>
        </w:rPr>
        <w:t> </w:t>
      </w:r>
      <w:r>
        <w:rPr>
          <w:sz w:val="24"/>
        </w:rPr>
        <w:t>in</w:t>
      </w:r>
      <w:r>
        <w:rPr>
          <w:spacing w:val="-2"/>
          <w:sz w:val="24"/>
        </w:rPr>
        <w:t> </w:t>
      </w:r>
      <w:r>
        <w:rPr>
          <w:sz w:val="24"/>
        </w:rPr>
        <w:t>part</w:t>
      </w:r>
      <w:r>
        <w:rPr>
          <w:spacing w:val="-2"/>
          <w:sz w:val="24"/>
        </w:rPr>
        <w:t> </w:t>
      </w:r>
      <w:r>
        <w:rPr>
          <w:sz w:val="24"/>
        </w:rPr>
        <w:t>because</w:t>
      </w:r>
      <w:r>
        <w:rPr>
          <w:spacing w:val="-2"/>
          <w:sz w:val="24"/>
        </w:rPr>
        <w:t> </w:t>
      </w:r>
      <w:r>
        <w:rPr>
          <w:sz w:val="24"/>
        </w:rPr>
        <w:t>the</w:t>
      </w:r>
      <w:r>
        <w:rPr>
          <w:spacing w:val="-2"/>
          <w:sz w:val="24"/>
        </w:rPr>
        <w:t> </w:t>
      </w:r>
      <w:r>
        <w:rPr>
          <w:sz w:val="24"/>
        </w:rPr>
        <w:t>length</w:t>
      </w:r>
      <w:r>
        <w:rPr>
          <w:spacing w:val="-3"/>
          <w:sz w:val="24"/>
        </w:rPr>
        <w:t> </w:t>
      </w:r>
      <w:r>
        <w:rPr>
          <w:sz w:val="24"/>
        </w:rPr>
        <w:t>of</w:t>
      </w:r>
      <w:r>
        <w:rPr>
          <w:spacing w:val="-3"/>
          <w:sz w:val="24"/>
        </w:rPr>
        <w:t> </w:t>
      </w:r>
      <w:r>
        <w:rPr>
          <w:sz w:val="24"/>
        </w:rPr>
        <w:t>the</w:t>
      </w:r>
      <w:r>
        <w:rPr>
          <w:spacing w:val="-2"/>
          <w:sz w:val="24"/>
        </w:rPr>
        <w:t> </w:t>
      </w:r>
      <w:r>
        <w:rPr>
          <w:sz w:val="24"/>
        </w:rPr>
        <w:t>urethra,</w:t>
      </w:r>
      <w:r>
        <w:rPr>
          <w:spacing w:val="-1"/>
          <w:sz w:val="24"/>
        </w:rPr>
        <w:t> </w:t>
      </w:r>
      <w:r>
        <w:rPr>
          <w:sz w:val="24"/>
        </w:rPr>
        <w:t>and</w:t>
      </w:r>
      <w:r>
        <w:rPr>
          <w:spacing w:val="-3"/>
          <w:sz w:val="24"/>
        </w:rPr>
        <w:t> </w:t>
      </w:r>
      <w:r>
        <w:rPr>
          <w:sz w:val="24"/>
        </w:rPr>
        <w:t>a</w:t>
      </w:r>
      <w:r>
        <w:rPr>
          <w:spacing w:val="-2"/>
          <w:sz w:val="24"/>
        </w:rPr>
        <w:t> </w:t>
      </w:r>
      <w:r>
        <w:rPr>
          <w:sz w:val="24"/>
        </w:rPr>
        <w:t>lesser</w:t>
      </w:r>
      <w:r>
        <w:rPr>
          <w:spacing w:val="-3"/>
          <w:sz w:val="24"/>
        </w:rPr>
        <w:t> </w:t>
      </w:r>
      <w:r>
        <w:rPr>
          <w:sz w:val="24"/>
        </w:rPr>
        <w:t>ability</w:t>
      </w:r>
      <w:r>
        <w:rPr>
          <w:spacing w:val="-3"/>
          <w:sz w:val="24"/>
        </w:rPr>
        <w:t> </w:t>
      </w:r>
      <w:r>
        <w:rPr>
          <w:sz w:val="24"/>
        </w:rPr>
        <w:t>to</w:t>
      </w:r>
      <w:r>
        <w:rPr>
          <w:spacing w:val="-3"/>
          <w:sz w:val="24"/>
        </w:rPr>
        <w:t> </w:t>
      </w:r>
      <w:r>
        <w:rPr>
          <w:sz w:val="24"/>
        </w:rPr>
        <w:t>relax,</w:t>
      </w:r>
      <w:r>
        <w:rPr>
          <w:spacing w:val="-1"/>
          <w:sz w:val="24"/>
        </w:rPr>
        <w:t> </w:t>
      </w:r>
      <w:r>
        <w:rPr>
          <w:sz w:val="24"/>
        </w:rPr>
        <w:t>and</w:t>
      </w:r>
      <w:r>
        <w:rPr>
          <w:spacing w:val="-3"/>
          <w:sz w:val="24"/>
        </w:rPr>
        <w:t> </w:t>
      </w:r>
      <w:r>
        <w:rPr>
          <w:sz w:val="24"/>
        </w:rPr>
        <w:t>hence</w:t>
      </w:r>
      <w:r>
        <w:rPr>
          <w:spacing w:val="-2"/>
          <w:sz w:val="24"/>
        </w:rPr>
        <w:t> </w:t>
      </w:r>
      <w:r>
        <w:rPr>
          <w:sz w:val="24"/>
        </w:rPr>
        <w:t>the</w:t>
      </w:r>
    </w:p>
    <w:p>
      <w:pPr>
        <w:pStyle w:val="ListParagraph"/>
        <w:numPr>
          <w:ilvl w:val="0"/>
          <w:numId w:val="77"/>
        </w:numPr>
        <w:tabs>
          <w:tab w:pos="1132" w:val="left" w:leader="none"/>
          <w:tab w:pos="1133" w:val="left" w:leader="none"/>
        </w:tabs>
        <w:spacing w:line="295" w:lineRule="exact" w:before="0" w:after="0"/>
        <w:ind w:left="1132" w:right="0" w:hanging="972"/>
        <w:jc w:val="left"/>
        <w:rPr>
          <w:sz w:val="24"/>
        </w:rPr>
      </w:pPr>
      <w:r>
        <w:rPr>
          <w:sz w:val="24"/>
        </w:rPr>
        <w:t>urethra</w:t>
      </w:r>
      <w:r>
        <w:rPr>
          <w:spacing w:val="23"/>
          <w:sz w:val="24"/>
        </w:rPr>
        <w:t> </w:t>
      </w:r>
      <w:r>
        <w:rPr>
          <w:sz w:val="24"/>
        </w:rPr>
        <w:t>is</w:t>
      </w:r>
      <w:r>
        <w:rPr>
          <w:spacing w:val="23"/>
          <w:sz w:val="24"/>
        </w:rPr>
        <w:t> </w:t>
      </w:r>
      <w:r>
        <w:rPr>
          <w:sz w:val="24"/>
        </w:rPr>
        <w:t>more</w:t>
      </w:r>
      <w:r>
        <w:rPr>
          <w:spacing w:val="23"/>
          <w:sz w:val="24"/>
        </w:rPr>
        <w:t> </w:t>
      </w:r>
      <w:r>
        <w:rPr>
          <w:sz w:val="24"/>
        </w:rPr>
        <w:t>prone</w:t>
      </w:r>
      <w:r>
        <w:rPr>
          <w:spacing w:val="21"/>
          <w:sz w:val="24"/>
        </w:rPr>
        <w:t> </w:t>
      </w:r>
      <w:r>
        <w:rPr>
          <w:sz w:val="24"/>
        </w:rPr>
        <w:t>to</w:t>
      </w:r>
      <w:r>
        <w:rPr>
          <w:spacing w:val="23"/>
          <w:sz w:val="24"/>
        </w:rPr>
        <w:t> </w:t>
      </w:r>
      <w:r>
        <w:rPr>
          <w:sz w:val="24"/>
        </w:rPr>
        <w:t>clogging,</w:t>
      </w:r>
      <w:r>
        <w:rPr>
          <w:spacing w:val="23"/>
          <w:sz w:val="24"/>
        </w:rPr>
        <w:t> </w:t>
      </w:r>
      <w:r>
        <w:rPr>
          <w:sz w:val="24"/>
        </w:rPr>
        <w:t>laceration,</w:t>
      </w:r>
      <w:r>
        <w:rPr>
          <w:spacing w:val="19"/>
          <w:sz w:val="24"/>
        </w:rPr>
        <w:t> </w:t>
      </w:r>
      <w:r>
        <w:rPr>
          <w:sz w:val="24"/>
        </w:rPr>
        <w:t>and</w:t>
      </w:r>
      <w:r>
        <w:rPr>
          <w:spacing w:val="21"/>
          <w:sz w:val="24"/>
        </w:rPr>
        <w:t> </w:t>
      </w:r>
      <w:r>
        <w:rPr>
          <w:sz w:val="24"/>
        </w:rPr>
        <w:t>transection</w:t>
      </w:r>
      <w:r>
        <w:rPr>
          <w:spacing w:val="21"/>
          <w:sz w:val="24"/>
        </w:rPr>
        <w:t> </w:t>
      </w:r>
      <w:r>
        <w:rPr>
          <w:sz w:val="24"/>
        </w:rPr>
        <w:t>(Selcer,</w:t>
      </w:r>
      <w:r>
        <w:rPr>
          <w:spacing w:val="23"/>
          <w:sz w:val="24"/>
        </w:rPr>
        <w:t> </w:t>
      </w:r>
      <w:r>
        <w:rPr>
          <w:sz w:val="24"/>
        </w:rPr>
        <w:t>1982).</w:t>
      </w:r>
      <w:r>
        <w:rPr>
          <w:spacing w:val="23"/>
          <w:sz w:val="24"/>
        </w:rPr>
        <w:t> </w:t>
      </w:r>
      <w:r>
        <w:rPr>
          <w:sz w:val="24"/>
        </w:rPr>
        <w:t>In</w:t>
      </w:r>
      <w:r>
        <w:rPr>
          <w:spacing w:val="23"/>
          <w:sz w:val="24"/>
        </w:rPr>
        <w:t> </w:t>
      </w:r>
      <w:r>
        <w:rPr>
          <w:sz w:val="24"/>
        </w:rPr>
        <w:t>the</w:t>
      </w:r>
      <w:r>
        <w:rPr>
          <w:spacing w:val="23"/>
          <w:sz w:val="24"/>
        </w:rPr>
        <w:t> </w:t>
      </w:r>
      <w:r>
        <w:rPr>
          <w:sz w:val="24"/>
        </w:rPr>
        <w:t>case</w:t>
      </w:r>
      <w:r>
        <w:rPr>
          <w:spacing w:val="21"/>
          <w:sz w:val="24"/>
        </w:rPr>
        <w:t> </w:t>
      </w:r>
      <w:r>
        <w:rPr>
          <w:sz w:val="24"/>
        </w:rPr>
        <w:t>of</w:t>
      </w:r>
      <w:r>
        <w:rPr>
          <w:spacing w:val="20"/>
          <w:sz w:val="24"/>
        </w:rPr>
        <w:t> </w:t>
      </w:r>
      <w:r>
        <w:rPr>
          <w:sz w:val="24"/>
        </w:rPr>
        <w:t>the</w:t>
      </w:r>
    </w:p>
    <w:p>
      <w:pPr>
        <w:pStyle w:val="ListParagraph"/>
        <w:numPr>
          <w:ilvl w:val="0"/>
          <w:numId w:val="77"/>
        </w:numPr>
        <w:tabs>
          <w:tab w:pos="1132" w:val="left" w:leader="none"/>
          <w:tab w:pos="1133" w:val="left" w:leader="none"/>
        </w:tabs>
        <w:spacing w:line="263" w:lineRule="exact" w:before="0" w:after="0"/>
        <w:ind w:left="1132" w:right="0" w:hanging="972"/>
        <w:jc w:val="left"/>
        <w:rPr>
          <w:sz w:val="24"/>
        </w:rPr>
      </w:pPr>
      <w:r>
        <w:rPr>
          <w:sz w:val="24"/>
        </w:rPr>
        <w:t>bladder,  rupture  mechanisms  include  direct  penetration  of  fractured  fragments  or  a</w:t>
      </w:r>
      <w:r>
        <w:rPr>
          <w:spacing w:val="36"/>
          <w:sz w:val="24"/>
        </w:rPr>
        <w:t> </w:t>
      </w:r>
      <w:r>
        <w:rPr>
          <w:sz w:val="24"/>
        </w:rPr>
        <w:t>sudden</w:t>
      </w:r>
    </w:p>
    <w:p>
      <w:pPr>
        <w:pStyle w:val="ListParagraph"/>
        <w:numPr>
          <w:ilvl w:val="0"/>
          <w:numId w:val="77"/>
        </w:numPr>
        <w:tabs>
          <w:tab w:pos="1132" w:val="left" w:leader="none"/>
          <w:tab w:pos="1133" w:val="left" w:leader="none"/>
        </w:tabs>
        <w:spacing w:line="257" w:lineRule="exact" w:before="0" w:after="0"/>
        <w:ind w:left="1132" w:right="0" w:hanging="972"/>
        <w:jc w:val="left"/>
        <w:rPr>
          <w:sz w:val="24"/>
        </w:rPr>
      </w:pPr>
      <w:r>
        <w:rPr>
          <w:sz w:val="24"/>
        </w:rPr>
        <w:t>increase  in  intravesical  pressure;  it  is  more  common  in  males  because  the  lesser     </w:t>
      </w:r>
      <w:r>
        <w:rPr>
          <w:spacing w:val="25"/>
          <w:sz w:val="24"/>
        </w:rPr>
        <w:t> </w:t>
      </w:r>
      <w:r>
        <w:rPr>
          <w:sz w:val="24"/>
        </w:rPr>
        <w:t>urethra</w:t>
      </w:r>
    </w:p>
    <w:p>
      <w:pPr>
        <w:pStyle w:val="ListParagraph"/>
        <w:numPr>
          <w:ilvl w:val="0"/>
          <w:numId w:val="77"/>
        </w:numPr>
        <w:tabs>
          <w:tab w:pos="1132" w:val="left" w:leader="none"/>
          <w:tab w:pos="1133" w:val="left" w:leader="none"/>
        </w:tabs>
        <w:spacing w:line="256" w:lineRule="exact" w:before="0" w:after="0"/>
        <w:ind w:left="1132" w:right="0" w:hanging="972"/>
        <w:jc w:val="left"/>
        <w:rPr>
          <w:sz w:val="24"/>
        </w:rPr>
      </w:pPr>
      <w:r>
        <w:rPr>
          <w:sz w:val="24"/>
        </w:rPr>
        <w:t>compliance  favors  the  increase  of  intravesical  pressure  (Thornhill  et  al.  1981).  We  had   </w:t>
      </w:r>
      <w:r>
        <w:rPr>
          <w:spacing w:val="21"/>
          <w:sz w:val="24"/>
        </w:rPr>
        <w:t> </w:t>
      </w:r>
      <w:r>
        <w:rPr>
          <w:sz w:val="24"/>
        </w:rPr>
        <w:t>an</w:t>
      </w:r>
    </w:p>
    <w:p>
      <w:pPr>
        <w:pStyle w:val="ListParagraph"/>
        <w:numPr>
          <w:ilvl w:val="0"/>
          <w:numId w:val="77"/>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71773pt;width:11.15pt;height:10pt;mso-position-horizontal-relative:page;mso-position-vertical-relative:paragraph;z-index:-92368" type="#_x0000_t202" filled="false" stroked="false">
            <v:textbox inset="0,0,0,0">
              <w:txbxContent>
                <w:p>
                  <w:pPr>
                    <w:spacing w:line="196" w:lineRule="exact" w:before="0"/>
                    <w:ind w:left="0" w:right="-20" w:firstLine="0"/>
                    <w:jc w:val="left"/>
                    <w:rPr>
                      <w:sz w:val="20"/>
                    </w:rPr>
                  </w:pPr>
                  <w:r>
                    <w:rPr>
                      <w:sz w:val="20"/>
                    </w:rPr>
                    <w:t>11</w:t>
                  </w:r>
                </w:p>
              </w:txbxContent>
            </v:textbox>
            <w10:wrap type="none"/>
          </v:shape>
        </w:pict>
      </w:r>
      <w:r>
        <w:rPr>
          <w:sz w:val="24"/>
        </w:rPr>
        <w:t>interesting</w:t>
      </w:r>
      <w:r>
        <w:rPr>
          <w:spacing w:val="14"/>
          <w:sz w:val="24"/>
        </w:rPr>
        <w:t> </w:t>
      </w:r>
      <w:r>
        <w:rPr>
          <w:sz w:val="24"/>
        </w:rPr>
        <w:t>case</w:t>
      </w:r>
      <w:r>
        <w:rPr>
          <w:spacing w:val="15"/>
          <w:sz w:val="24"/>
        </w:rPr>
        <w:t> </w:t>
      </w:r>
      <w:r>
        <w:rPr>
          <w:sz w:val="24"/>
        </w:rPr>
        <w:t>of</w:t>
      </w:r>
      <w:r>
        <w:rPr>
          <w:spacing w:val="14"/>
          <w:sz w:val="24"/>
        </w:rPr>
        <w:t> </w:t>
      </w:r>
      <w:r>
        <w:rPr>
          <w:sz w:val="24"/>
        </w:rPr>
        <w:t>necrosis</w:t>
      </w:r>
      <w:r>
        <w:rPr>
          <w:spacing w:val="15"/>
          <w:sz w:val="24"/>
        </w:rPr>
        <w:t> </w:t>
      </w:r>
      <w:r>
        <w:rPr>
          <w:sz w:val="24"/>
        </w:rPr>
        <w:t>of</w:t>
      </w:r>
      <w:r>
        <w:rPr>
          <w:spacing w:val="14"/>
          <w:sz w:val="24"/>
        </w:rPr>
        <w:t> </w:t>
      </w:r>
      <w:r>
        <w:rPr>
          <w:sz w:val="24"/>
        </w:rPr>
        <w:t>the</w:t>
      </w:r>
      <w:r>
        <w:rPr>
          <w:spacing w:val="15"/>
          <w:sz w:val="24"/>
        </w:rPr>
        <w:t> </w:t>
      </w:r>
      <w:r>
        <w:rPr>
          <w:sz w:val="24"/>
        </w:rPr>
        <w:t>pelvic</w:t>
      </w:r>
      <w:r>
        <w:rPr>
          <w:spacing w:val="17"/>
          <w:sz w:val="24"/>
        </w:rPr>
        <w:t> </w:t>
      </w:r>
      <w:r>
        <w:rPr>
          <w:sz w:val="24"/>
        </w:rPr>
        <w:t>urethra</w:t>
      </w:r>
      <w:r>
        <w:rPr>
          <w:spacing w:val="15"/>
          <w:sz w:val="24"/>
        </w:rPr>
        <w:t> </w:t>
      </w:r>
      <w:r>
        <w:rPr>
          <w:sz w:val="24"/>
        </w:rPr>
        <w:t>by</w:t>
      </w:r>
      <w:r>
        <w:rPr>
          <w:spacing w:val="14"/>
          <w:sz w:val="24"/>
        </w:rPr>
        <w:t> </w:t>
      </w:r>
      <w:r>
        <w:rPr>
          <w:sz w:val="24"/>
        </w:rPr>
        <w:t>an</w:t>
      </w:r>
      <w:r>
        <w:rPr>
          <w:spacing w:val="15"/>
          <w:sz w:val="24"/>
        </w:rPr>
        <w:t> </w:t>
      </w:r>
      <w:r>
        <w:rPr>
          <w:sz w:val="24"/>
        </w:rPr>
        <w:t>entrapment</w:t>
      </w:r>
      <w:r>
        <w:rPr>
          <w:spacing w:val="15"/>
          <w:sz w:val="24"/>
        </w:rPr>
        <w:t> </w:t>
      </w:r>
      <w:r>
        <w:rPr>
          <w:sz w:val="24"/>
        </w:rPr>
        <w:t>of</w:t>
      </w:r>
      <w:r>
        <w:rPr>
          <w:spacing w:val="16"/>
          <w:sz w:val="24"/>
        </w:rPr>
        <w:t> </w:t>
      </w:r>
      <w:r>
        <w:rPr>
          <w:sz w:val="24"/>
        </w:rPr>
        <w:t>the</w:t>
      </w:r>
      <w:r>
        <w:rPr>
          <w:spacing w:val="15"/>
          <w:sz w:val="24"/>
        </w:rPr>
        <w:t> </w:t>
      </w:r>
      <w:r>
        <w:rPr>
          <w:sz w:val="24"/>
        </w:rPr>
        <w:t>urethra</w:t>
      </w:r>
      <w:r>
        <w:rPr>
          <w:spacing w:val="17"/>
          <w:sz w:val="24"/>
        </w:rPr>
        <w:t> </w:t>
      </w:r>
      <w:r>
        <w:rPr>
          <w:sz w:val="24"/>
        </w:rPr>
        <w:t>in</w:t>
      </w:r>
      <w:r>
        <w:rPr>
          <w:spacing w:val="15"/>
          <w:sz w:val="24"/>
        </w:rPr>
        <w:t> </w:t>
      </w:r>
      <w:r>
        <w:rPr>
          <w:sz w:val="24"/>
        </w:rPr>
        <w:t>a</w:t>
      </w:r>
      <w:r>
        <w:rPr>
          <w:spacing w:val="15"/>
          <w:sz w:val="24"/>
        </w:rPr>
        <w:t> </w:t>
      </w:r>
      <w:r>
        <w:rPr>
          <w:sz w:val="24"/>
        </w:rPr>
        <w:t>fractured</w:t>
      </w:r>
    </w:p>
    <w:p>
      <w:pPr>
        <w:pStyle w:val="ListParagraph"/>
        <w:numPr>
          <w:ilvl w:val="0"/>
          <w:numId w:val="78"/>
        </w:numPr>
        <w:tabs>
          <w:tab w:pos="1132" w:val="left" w:leader="none"/>
          <w:tab w:pos="1133" w:val="left" w:leader="none"/>
        </w:tabs>
        <w:spacing w:line="297" w:lineRule="exact" w:before="0" w:after="0"/>
        <w:ind w:left="1132" w:right="0" w:hanging="972"/>
        <w:jc w:val="left"/>
        <w:rPr>
          <w:sz w:val="24"/>
        </w:rPr>
      </w:pPr>
      <w:r>
        <w:rPr>
          <w:sz w:val="24"/>
        </w:rPr>
        <w:t>pubis</w:t>
      </w:r>
      <w:r>
        <w:rPr>
          <w:spacing w:val="39"/>
          <w:sz w:val="24"/>
        </w:rPr>
        <w:t> </w:t>
      </w:r>
      <w:r>
        <w:rPr>
          <w:sz w:val="24"/>
        </w:rPr>
        <w:t>in</w:t>
      </w:r>
      <w:r>
        <w:rPr>
          <w:spacing w:val="39"/>
          <w:sz w:val="24"/>
        </w:rPr>
        <w:t> </w:t>
      </w:r>
      <w:r>
        <w:rPr>
          <w:sz w:val="24"/>
        </w:rPr>
        <w:t>a</w:t>
      </w:r>
      <w:r>
        <w:rPr>
          <w:spacing w:val="39"/>
          <w:sz w:val="24"/>
        </w:rPr>
        <w:t> </w:t>
      </w:r>
      <w:r>
        <w:rPr>
          <w:sz w:val="24"/>
        </w:rPr>
        <w:t>puppy;</w:t>
      </w:r>
      <w:r>
        <w:rPr>
          <w:spacing w:val="38"/>
          <w:sz w:val="24"/>
        </w:rPr>
        <w:t> </w:t>
      </w:r>
      <w:r>
        <w:rPr>
          <w:sz w:val="24"/>
        </w:rPr>
        <w:t>a</w:t>
      </w:r>
      <w:r>
        <w:rPr>
          <w:spacing w:val="39"/>
          <w:sz w:val="24"/>
        </w:rPr>
        <w:t> </w:t>
      </w:r>
      <w:r>
        <w:rPr>
          <w:sz w:val="24"/>
        </w:rPr>
        <w:t>similar</w:t>
      </w:r>
      <w:r>
        <w:rPr>
          <w:spacing w:val="38"/>
          <w:sz w:val="24"/>
        </w:rPr>
        <w:t> </w:t>
      </w:r>
      <w:r>
        <w:rPr>
          <w:sz w:val="24"/>
        </w:rPr>
        <w:t>case</w:t>
      </w:r>
      <w:r>
        <w:rPr>
          <w:spacing w:val="39"/>
          <w:sz w:val="24"/>
        </w:rPr>
        <w:t> </w:t>
      </w:r>
      <w:r>
        <w:rPr>
          <w:sz w:val="24"/>
        </w:rPr>
        <w:t>has</w:t>
      </w:r>
      <w:r>
        <w:rPr>
          <w:spacing w:val="39"/>
          <w:sz w:val="24"/>
        </w:rPr>
        <w:t> </w:t>
      </w:r>
      <w:r>
        <w:rPr>
          <w:sz w:val="24"/>
        </w:rPr>
        <w:t>been</w:t>
      </w:r>
      <w:r>
        <w:rPr>
          <w:spacing w:val="39"/>
          <w:sz w:val="24"/>
        </w:rPr>
        <w:t> </w:t>
      </w:r>
      <w:r>
        <w:rPr>
          <w:sz w:val="24"/>
        </w:rPr>
        <w:t>reported</w:t>
      </w:r>
      <w:r>
        <w:rPr>
          <w:spacing w:val="37"/>
          <w:sz w:val="24"/>
        </w:rPr>
        <w:t> </w:t>
      </w:r>
      <w:r>
        <w:rPr>
          <w:sz w:val="24"/>
        </w:rPr>
        <w:t>by</w:t>
      </w:r>
      <w:r>
        <w:rPr>
          <w:spacing w:val="38"/>
          <w:sz w:val="24"/>
        </w:rPr>
        <w:t> </w:t>
      </w:r>
      <w:r>
        <w:rPr>
          <w:sz w:val="24"/>
        </w:rPr>
        <w:t>Messmer</w:t>
      </w:r>
      <w:r>
        <w:rPr>
          <w:spacing w:val="38"/>
          <w:sz w:val="24"/>
        </w:rPr>
        <w:t> </w:t>
      </w:r>
      <w:r>
        <w:rPr>
          <w:sz w:val="24"/>
        </w:rPr>
        <w:t>et</w:t>
      </w:r>
      <w:r>
        <w:rPr>
          <w:spacing w:val="41"/>
          <w:sz w:val="24"/>
        </w:rPr>
        <w:t> </w:t>
      </w:r>
      <w:r>
        <w:rPr>
          <w:sz w:val="24"/>
        </w:rPr>
        <w:t>al.</w:t>
      </w:r>
      <w:r>
        <w:rPr>
          <w:spacing w:val="40"/>
          <w:sz w:val="24"/>
        </w:rPr>
        <w:t> </w:t>
      </w:r>
      <w:r>
        <w:rPr>
          <w:sz w:val="24"/>
        </w:rPr>
        <w:t>(2001).</w:t>
      </w:r>
      <w:r>
        <w:rPr>
          <w:spacing w:val="40"/>
          <w:sz w:val="24"/>
        </w:rPr>
        <w:t> </w:t>
      </w:r>
      <w:r>
        <w:rPr>
          <w:sz w:val="24"/>
        </w:rPr>
        <w:t>Other</w:t>
      </w:r>
      <w:r>
        <w:rPr>
          <w:spacing w:val="40"/>
          <w:sz w:val="24"/>
        </w:rPr>
        <w:t> </w:t>
      </w:r>
      <w:r>
        <w:rPr>
          <w:sz w:val="24"/>
        </w:rPr>
        <w:t>possible</w:t>
      </w:r>
    </w:p>
    <w:p>
      <w:pPr>
        <w:pStyle w:val="ListParagraph"/>
        <w:numPr>
          <w:ilvl w:val="0"/>
          <w:numId w:val="78"/>
        </w:numPr>
        <w:tabs>
          <w:tab w:pos="1132" w:val="left" w:leader="none"/>
          <w:tab w:pos="1133" w:val="left" w:leader="none"/>
        </w:tabs>
        <w:spacing w:line="258" w:lineRule="exact" w:before="0" w:after="0"/>
        <w:ind w:left="1132" w:right="0" w:hanging="972"/>
        <w:jc w:val="left"/>
        <w:rPr>
          <w:sz w:val="24"/>
        </w:rPr>
      </w:pPr>
      <w:r>
        <w:rPr>
          <w:sz w:val="24"/>
        </w:rPr>
        <w:t>causes</w:t>
      </w:r>
      <w:r>
        <w:rPr>
          <w:spacing w:val="-3"/>
          <w:sz w:val="24"/>
        </w:rPr>
        <w:t> </w:t>
      </w:r>
      <w:r>
        <w:rPr>
          <w:sz w:val="24"/>
        </w:rPr>
        <w:t>of</w:t>
      </w:r>
      <w:r>
        <w:rPr>
          <w:spacing w:val="-4"/>
          <w:sz w:val="24"/>
        </w:rPr>
        <w:t> </w:t>
      </w:r>
      <w:r>
        <w:rPr>
          <w:sz w:val="24"/>
        </w:rPr>
        <w:t>urinary</w:t>
      </w:r>
      <w:r>
        <w:rPr>
          <w:spacing w:val="-2"/>
          <w:sz w:val="24"/>
        </w:rPr>
        <w:t> </w:t>
      </w:r>
      <w:r>
        <w:rPr>
          <w:sz w:val="24"/>
        </w:rPr>
        <w:t>bladder</w:t>
      </w:r>
      <w:r>
        <w:rPr>
          <w:spacing w:val="-4"/>
          <w:sz w:val="24"/>
        </w:rPr>
        <w:t> </w:t>
      </w:r>
      <w:r>
        <w:rPr>
          <w:sz w:val="24"/>
        </w:rPr>
        <w:t>or</w:t>
      </w:r>
      <w:r>
        <w:rPr>
          <w:spacing w:val="-4"/>
          <w:sz w:val="24"/>
        </w:rPr>
        <w:t> </w:t>
      </w:r>
      <w:r>
        <w:rPr>
          <w:sz w:val="24"/>
        </w:rPr>
        <w:t>urethral</w:t>
      </w:r>
      <w:r>
        <w:rPr>
          <w:spacing w:val="-4"/>
          <w:sz w:val="24"/>
        </w:rPr>
        <w:t> </w:t>
      </w:r>
      <w:r>
        <w:rPr>
          <w:sz w:val="24"/>
        </w:rPr>
        <w:t>injury</w:t>
      </w:r>
      <w:r>
        <w:rPr>
          <w:spacing w:val="-4"/>
          <w:sz w:val="24"/>
        </w:rPr>
        <w:t> </w:t>
      </w:r>
      <w:r>
        <w:rPr>
          <w:sz w:val="24"/>
        </w:rPr>
        <w:t>may</w:t>
      </w:r>
      <w:r>
        <w:rPr>
          <w:spacing w:val="-4"/>
          <w:sz w:val="24"/>
        </w:rPr>
        <w:t> </w:t>
      </w:r>
      <w:r>
        <w:rPr>
          <w:sz w:val="24"/>
        </w:rPr>
        <w:t>be</w:t>
      </w:r>
      <w:r>
        <w:rPr>
          <w:spacing w:val="-2"/>
          <w:sz w:val="24"/>
        </w:rPr>
        <w:t> </w:t>
      </w:r>
      <w:r>
        <w:rPr>
          <w:sz w:val="24"/>
        </w:rPr>
        <w:t>the</w:t>
      </w:r>
      <w:r>
        <w:rPr>
          <w:spacing w:val="-3"/>
          <w:sz w:val="24"/>
        </w:rPr>
        <w:t> </w:t>
      </w:r>
      <w:r>
        <w:rPr>
          <w:sz w:val="24"/>
        </w:rPr>
        <w:t>urethral</w:t>
      </w:r>
      <w:r>
        <w:rPr>
          <w:spacing w:val="-4"/>
          <w:sz w:val="24"/>
        </w:rPr>
        <w:t> </w:t>
      </w:r>
      <w:r>
        <w:rPr>
          <w:sz w:val="24"/>
        </w:rPr>
        <w:t>catheter</w:t>
      </w:r>
      <w:r>
        <w:rPr>
          <w:spacing w:val="-4"/>
          <w:sz w:val="24"/>
        </w:rPr>
        <w:t> </w:t>
      </w:r>
      <w:r>
        <w:rPr>
          <w:sz w:val="24"/>
        </w:rPr>
        <w:t>placement,</w:t>
      </w:r>
      <w:r>
        <w:rPr>
          <w:spacing w:val="-2"/>
          <w:sz w:val="24"/>
        </w:rPr>
        <w:t> </w:t>
      </w:r>
      <w:r>
        <w:rPr>
          <w:sz w:val="24"/>
        </w:rPr>
        <w:t>bite</w:t>
      </w:r>
      <w:r>
        <w:rPr>
          <w:spacing w:val="-3"/>
          <w:sz w:val="24"/>
        </w:rPr>
        <w:t> </w:t>
      </w:r>
      <w:r>
        <w:rPr>
          <w:sz w:val="24"/>
        </w:rPr>
        <w:t>wounds,</w:t>
      </w:r>
    </w:p>
    <w:p>
      <w:pPr>
        <w:pStyle w:val="ListParagraph"/>
        <w:numPr>
          <w:ilvl w:val="0"/>
          <w:numId w:val="78"/>
        </w:numPr>
        <w:tabs>
          <w:tab w:pos="1132" w:val="left" w:leader="none"/>
          <w:tab w:pos="1133" w:val="left" w:leader="none"/>
        </w:tabs>
        <w:spacing w:line="256" w:lineRule="exact" w:before="0" w:after="0"/>
        <w:ind w:left="1132" w:right="0" w:hanging="972"/>
        <w:jc w:val="left"/>
        <w:rPr>
          <w:sz w:val="24"/>
        </w:rPr>
      </w:pPr>
      <w:r>
        <w:rPr/>
        <w:pict>
          <v:shape style="position:absolute;margin-left:116.872412pt;margin-top:170.818006pt;width:376.45pt;height:48pt;mso-position-horizontal-relative:page;mso-position-vertical-relative:paragraph;z-index:-92416;rotation:51" type="#_x0000_t136" fillcolor="#d6f1fe" stroked="f">
            <o:extrusion v:ext="view" autorotationcenter="t"/>
            <v:textpath style="font-family:&amp;quot;Arial&amp;quot;;font-size:48pt;v-text-kern:t;mso-text-shadow:auto;font-weight:bold" string="For Review Only"/>
            <w10:wrap type="none"/>
          </v:shape>
        </w:pict>
      </w:r>
      <w:r>
        <w:rPr>
          <w:sz w:val="24"/>
        </w:rPr>
        <w:t>pelvic  fractures,  gunshot  wounds,  bone  penis  fractures,  and  obstruction  by  urinary    </w:t>
      </w:r>
      <w:r>
        <w:rPr>
          <w:spacing w:val="33"/>
          <w:sz w:val="24"/>
        </w:rPr>
        <w:t> </w:t>
      </w:r>
      <w:r>
        <w:rPr>
          <w:sz w:val="24"/>
        </w:rPr>
        <w:t>calculi</w:t>
      </w:r>
    </w:p>
    <w:p>
      <w:pPr>
        <w:pStyle w:val="ListParagraph"/>
        <w:numPr>
          <w:ilvl w:val="0"/>
          <w:numId w:val="78"/>
        </w:numPr>
        <w:tabs>
          <w:tab w:pos="1132" w:val="left" w:leader="none"/>
          <w:tab w:pos="1133" w:val="left" w:leader="none"/>
        </w:tabs>
        <w:spacing w:line="261" w:lineRule="exact" w:before="0" w:after="0"/>
        <w:ind w:left="1132" w:right="0" w:hanging="972"/>
        <w:jc w:val="left"/>
        <w:rPr>
          <w:sz w:val="24"/>
        </w:rPr>
      </w:pPr>
      <w:r>
        <w:rPr>
          <w:sz w:val="24"/>
        </w:rPr>
        <w:t>(Gannon  &amp;  Moses  2002),  plus  iatrogenic  causes,  such  as  cystocentesis  or  traumatic</w:t>
      </w:r>
      <w:r>
        <w:rPr>
          <w:spacing w:val="22"/>
          <w:sz w:val="24"/>
        </w:rPr>
        <w:t> </w:t>
      </w:r>
      <w:r>
        <w:rPr>
          <w:sz w:val="24"/>
        </w:rPr>
        <w:t>urethral</w:t>
      </w:r>
    </w:p>
    <w:p>
      <w:pPr>
        <w:pStyle w:val="ListParagraph"/>
        <w:numPr>
          <w:ilvl w:val="0"/>
          <w:numId w:val="78"/>
        </w:numPr>
        <w:tabs>
          <w:tab w:pos="1132" w:val="left" w:leader="none"/>
          <w:tab w:pos="1133" w:val="left" w:leader="none"/>
          <w:tab w:pos="2320" w:val="left" w:leader="none"/>
          <w:tab w:pos="3726" w:val="left" w:leader="none"/>
          <w:tab w:pos="5149" w:val="left" w:leader="none"/>
          <w:tab w:pos="5684" w:val="left" w:leader="none"/>
          <w:tab w:pos="6250" w:val="left" w:leader="none"/>
          <w:tab w:pos="7256" w:val="left" w:leader="none"/>
          <w:tab w:pos="9561" w:val="left" w:leader="none"/>
        </w:tabs>
        <w:spacing w:line="336" w:lineRule="exact" w:before="0" w:after="0"/>
        <w:ind w:left="1132" w:right="0" w:hanging="972"/>
        <w:jc w:val="left"/>
        <w:rPr>
          <w:sz w:val="24"/>
        </w:rPr>
      </w:pPr>
      <w:r>
        <w:rPr/>
        <w:pict>
          <v:shape style="position:absolute;margin-left:8pt;margin-top:10.399722pt;width:11.15pt;height:10pt;mso-position-horizontal-relative:page;mso-position-vertical-relative:paragraph;z-index:-92344" type="#_x0000_t202" filled="false" stroked="false">
            <v:textbox inset="0,0,0,0">
              <w:txbxContent>
                <w:p>
                  <w:pPr>
                    <w:spacing w:line="196" w:lineRule="exact" w:before="0"/>
                    <w:ind w:left="0" w:right="-20" w:firstLine="0"/>
                    <w:jc w:val="left"/>
                    <w:rPr>
                      <w:sz w:val="20"/>
                    </w:rPr>
                  </w:pPr>
                  <w:r>
                    <w:rPr>
                      <w:sz w:val="20"/>
                    </w:rPr>
                    <w:t>17</w:t>
                  </w:r>
                </w:p>
              </w:txbxContent>
            </v:textbox>
            <w10:wrap type="none"/>
          </v:shape>
        </w:pict>
      </w:r>
      <w:r>
        <w:rPr>
          <w:sz w:val="24"/>
        </w:rPr>
        <w:t>catheter</w:t>
        <w:tab/>
        <w:t>placement</w:t>
        <w:tab/>
        <w:t>(Anderson</w:t>
        <w:tab/>
        <w:t>et</w:t>
        <w:tab/>
        <w:t>al.</w:t>
        <w:tab/>
        <w:t>2006),</w:t>
        <w:tab/>
        <w:t>urethrocystoscopy,</w:t>
        <w:tab/>
        <w:t>prostatectomy,</w:t>
      </w:r>
    </w:p>
    <w:p>
      <w:pPr>
        <w:pStyle w:val="ListParagraph"/>
        <w:numPr>
          <w:ilvl w:val="0"/>
          <w:numId w:val="79"/>
        </w:numPr>
        <w:tabs>
          <w:tab w:pos="1132" w:val="left" w:leader="none"/>
          <w:tab w:pos="1133" w:val="left" w:leader="none"/>
        </w:tabs>
        <w:spacing w:line="291" w:lineRule="exact" w:before="2" w:after="0"/>
        <w:ind w:left="1132" w:right="0" w:hanging="972"/>
        <w:jc w:val="left"/>
        <w:rPr>
          <w:sz w:val="24"/>
        </w:rPr>
      </w:pPr>
      <w:r>
        <w:rPr>
          <w:sz w:val="24"/>
        </w:rPr>
        <w:t>cryptorchidectomy (Schulz et al. 1996) or perianal hernia corrections (Sereda et al. 2002). In</w:t>
      </w:r>
      <w:r>
        <w:rPr>
          <w:spacing w:val="52"/>
          <w:sz w:val="24"/>
        </w:rPr>
        <w:t> </w:t>
      </w:r>
      <w:r>
        <w:rPr>
          <w:sz w:val="24"/>
        </w:rPr>
        <w:t>our</w:t>
      </w:r>
    </w:p>
    <w:p>
      <w:pPr>
        <w:pStyle w:val="ListParagraph"/>
        <w:numPr>
          <w:ilvl w:val="0"/>
          <w:numId w:val="79"/>
        </w:numPr>
        <w:tabs>
          <w:tab w:pos="1132" w:val="left" w:leader="none"/>
          <w:tab w:pos="1133" w:val="left" w:leader="none"/>
        </w:tabs>
        <w:spacing w:line="256" w:lineRule="exact" w:before="0" w:after="0"/>
        <w:ind w:left="1132" w:right="0" w:hanging="972"/>
        <w:jc w:val="left"/>
        <w:rPr>
          <w:sz w:val="24"/>
        </w:rPr>
      </w:pPr>
      <w:r>
        <w:rPr>
          <w:sz w:val="24"/>
        </w:rPr>
        <w:t>study,</w:t>
      </w:r>
      <w:r>
        <w:rPr>
          <w:spacing w:val="17"/>
          <w:sz w:val="24"/>
        </w:rPr>
        <w:t> </w:t>
      </w:r>
      <w:r>
        <w:rPr>
          <w:sz w:val="24"/>
        </w:rPr>
        <w:t>we</w:t>
      </w:r>
      <w:r>
        <w:rPr>
          <w:spacing w:val="16"/>
          <w:sz w:val="24"/>
        </w:rPr>
        <w:t> </w:t>
      </w:r>
      <w:r>
        <w:rPr>
          <w:sz w:val="24"/>
        </w:rPr>
        <w:t>found</w:t>
      </w:r>
      <w:r>
        <w:rPr>
          <w:spacing w:val="15"/>
          <w:sz w:val="24"/>
        </w:rPr>
        <w:t> </w:t>
      </w:r>
      <w:r>
        <w:rPr>
          <w:sz w:val="24"/>
        </w:rPr>
        <w:t>only</w:t>
      </w:r>
      <w:r>
        <w:rPr>
          <w:spacing w:val="15"/>
          <w:sz w:val="24"/>
        </w:rPr>
        <w:t> </w:t>
      </w:r>
      <w:r>
        <w:rPr>
          <w:sz w:val="24"/>
        </w:rPr>
        <w:t>one</w:t>
      </w:r>
      <w:r>
        <w:rPr>
          <w:spacing w:val="16"/>
          <w:sz w:val="24"/>
        </w:rPr>
        <w:t> </w:t>
      </w:r>
      <w:r>
        <w:rPr>
          <w:sz w:val="24"/>
        </w:rPr>
        <w:t>case</w:t>
      </w:r>
      <w:r>
        <w:rPr>
          <w:spacing w:val="16"/>
          <w:sz w:val="24"/>
        </w:rPr>
        <w:t> </w:t>
      </w:r>
      <w:r>
        <w:rPr>
          <w:sz w:val="24"/>
        </w:rPr>
        <w:t>of</w:t>
      </w:r>
      <w:r>
        <w:rPr>
          <w:spacing w:val="13"/>
          <w:sz w:val="24"/>
        </w:rPr>
        <w:t> </w:t>
      </w:r>
      <w:r>
        <w:rPr>
          <w:sz w:val="24"/>
        </w:rPr>
        <w:t>secondary</w:t>
      </w:r>
      <w:r>
        <w:rPr>
          <w:spacing w:val="15"/>
          <w:sz w:val="24"/>
        </w:rPr>
        <w:t> </w:t>
      </w:r>
      <w:r>
        <w:rPr>
          <w:sz w:val="24"/>
        </w:rPr>
        <w:t>urethral</w:t>
      </w:r>
      <w:r>
        <w:rPr>
          <w:spacing w:val="15"/>
          <w:sz w:val="24"/>
        </w:rPr>
        <w:t> </w:t>
      </w:r>
      <w:r>
        <w:rPr>
          <w:sz w:val="24"/>
        </w:rPr>
        <w:t>obstruction</w:t>
      </w:r>
      <w:r>
        <w:rPr>
          <w:spacing w:val="16"/>
          <w:sz w:val="24"/>
        </w:rPr>
        <w:t> </w:t>
      </w:r>
      <w:r>
        <w:rPr>
          <w:sz w:val="24"/>
        </w:rPr>
        <w:t>due</w:t>
      </w:r>
      <w:r>
        <w:rPr>
          <w:spacing w:val="16"/>
          <w:sz w:val="24"/>
        </w:rPr>
        <w:t> </w:t>
      </w:r>
      <w:r>
        <w:rPr>
          <w:sz w:val="24"/>
        </w:rPr>
        <w:t>to</w:t>
      </w:r>
      <w:r>
        <w:rPr>
          <w:spacing w:val="16"/>
          <w:sz w:val="24"/>
        </w:rPr>
        <w:t> </w:t>
      </w:r>
      <w:r>
        <w:rPr>
          <w:sz w:val="24"/>
        </w:rPr>
        <w:t>correction</w:t>
      </w:r>
      <w:r>
        <w:rPr>
          <w:spacing w:val="16"/>
          <w:sz w:val="24"/>
        </w:rPr>
        <w:t> </w:t>
      </w:r>
      <w:r>
        <w:rPr>
          <w:sz w:val="24"/>
        </w:rPr>
        <w:t>of</w:t>
      </w:r>
      <w:r>
        <w:rPr>
          <w:spacing w:val="15"/>
          <w:sz w:val="24"/>
        </w:rPr>
        <w:t> </w:t>
      </w:r>
      <w:r>
        <w:rPr>
          <w:sz w:val="24"/>
        </w:rPr>
        <w:t>a</w:t>
      </w:r>
      <w:r>
        <w:rPr>
          <w:spacing w:val="14"/>
          <w:sz w:val="24"/>
        </w:rPr>
        <w:t> </w:t>
      </w:r>
      <w:r>
        <w:rPr>
          <w:sz w:val="24"/>
        </w:rPr>
        <w:t>perianal</w:t>
      </w:r>
    </w:p>
    <w:p>
      <w:pPr>
        <w:pStyle w:val="ListParagraph"/>
        <w:numPr>
          <w:ilvl w:val="0"/>
          <w:numId w:val="79"/>
        </w:numPr>
        <w:tabs>
          <w:tab w:pos="1132" w:val="left" w:leader="none"/>
          <w:tab w:pos="1133" w:val="left" w:leader="none"/>
        </w:tabs>
        <w:spacing w:line="259" w:lineRule="exact" w:before="0" w:after="0"/>
        <w:ind w:left="1132" w:right="0" w:hanging="972"/>
        <w:jc w:val="left"/>
        <w:rPr>
          <w:sz w:val="24"/>
        </w:rPr>
      </w:pPr>
      <w:r>
        <w:rPr>
          <w:sz w:val="24"/>
        </w:rPr>
        <w:t>hernia.</w:t>
      </w:r>
    </w:p>
    <w:p>
      <w:pPr>
        <w:spacing w:line="194" w:lineRule="exact" w:before="0"/>
        <w:ind w:left="160" w:right="0" w:firstLine="0"/>
        <w:jc w:val="left"/>
        <w:rPr>
          <w:sz w:val="20"/>
        </w:rPr>
      </w:pPr>
      <w:r>
        <w:rPr>
          <w:sz w:val="20"/>
        </w:rPr>
        <w:t>21</w:t>
      </w:r>
    </w:p>
    <w:p>
      <w:pPr>
        <w:tabs>
          <w:tab w:pos="1840" w:val="left" w:leader="none"/>
        </w:tabs>
        <w:spacing w:line="277" w:lineRule="exact" w:before="4"/>
        <w:ind w:left="160" w:right="0" w:firstLine="0"/>
        <w:jc w:val="left"/>
        <w:rPr>
          <w:rFonts w:ascii="Cambria"/>
          <w:b/>
          <w:sz w:val="24"/>
        </w:rPr>
      </w:pPr>
      <w:r>
        <w:rPr>
          <w:position w:val="8"/>
          <w:sz w:val="20"/>
        </w:rPr>
        <w:t>22</w:t>
        <w:tab/>
      </w:r>
      <w:r>
        <w:rPr>
          <w:rFonts w:ascii="Cambria"/>
          <w:b/>
          <w:sz w:val="24"/>
        </w:rPr>
        <w:t>CONCLUSIONS</w:t>
      </w:r>
    </w:p>
    <w:p>
      <w:pPr>
        <w:spacing w:line="186" w:lineRule="exact" w:before="0"/>
        <w:ind w:left="160" w:right="0" w:firstLine="0"/>
        <w:jc w:val="left"/>
        <w:rPr>
          <w:sz w:val="20"/>
        </w:rPr>
      </w:pPr>
      <w:r>
        <w:rPr>
          <w:sz w:val="20"/>
        </w:rPr>
        <w:t>23</w:t>
      </w:r>
    </w:p>
    <w:p>
      <w:pPr>
        <w:pStyle w:val="ListParagraph"/>
        <w:numPr>
          <w:ilvl w:val="0"/>
          <w:numId w:val="80"/>
        </w:numPr>
        <w:tabs>
          <w:tab w:pos="1840" w:val="left" w:leader="none"/>
          <w:tab w:pos="1841" w:val="left" w:leader="none"/>
        </w:tabs>
        <w:spacing w:line="281" w:lineRule="exact" w:before="7" w:after="0"/>
        <w:ind w:left="1840" w:right="0" w:hanging="1680"/>
        <w:jc w:val="left"/>
        <w:rPr>
          <w:sz w:val="24"/>
        </w:rPr>
      </w:pPr>
      <w:r>
        <w:rPr>
          <w:sz w:val="24"/>
        </w:rPr>
        <w:t>We</w:t>
      </w:r>
      <w:r>
        <w:rPr>
          <w:spacing w:val="14"/>
          <w:sz w:val="24"/>
        </w:rPr>
        <w:t> </w:t>
      </w:r>
      <w:r>
        <w:rPr>
          <w:sz w:val="24"/>
        </w:rPr>
        <w:t>conclude</w:t>
      </w:r>
      <w:r>
        <w:rPr>
          <w:spacing w:val="14"/>
          <w:sz w:val="24"/>
        </w:rPr>
        <w:t> </w:t>
      </w:r>
      <w:r>
        <w:rPr>
          <w:sz w:val="24"/>
        </w:rPr>
        <w:t>that</w:t>
      </w:r>
      <w:r>
        <w:rPr>
          <w:spacing w:val="14"/>
          <w:sz w:val="24"/>
        </w:rPr>
        <w:t> </w:t>
      </w:r>
      <w:r>
        <w:rPr>
          <w:sz w:val="24"/>
        </w:rPr>
        <w:t>LUTD</w:t>
      </w:r>
      <w:r>
        <w:rPr>
          <w:spacing w:val="13"/>
          <w:sz w:val="24"/>
        </w:rPr>
        <w:t> </w:t>
      </w:r>
      <w:r>
        <w:rPr>
          <w:sz w:val="24"/>
        </w:rPr>
        <w:t>more</w:t>
      </w:r>
      <w:r>
        <w:rPr>
          <w:spacing w:val="14"/>
          <w:sz w:val="24"/>
        </w:rPr>
        <w:t> </w:t>
      </w:r>
      <w:r>
        <w:rPr>
          <w:sz w:val="24"/>
        </w:rPr>
        <w:t>frequent</w:t>
      </w:r>
      <w:r>
        <w:rPr>
          <w:spacing w:val="14"/>
          <w:sz w:val="24"/>
        </w:rPr>
        <w:t> </w:t>
      </w:r>
      <w:r>
        <w:rPr>
          <w:sz w:val="24"/>
        </w:rPr>
        <w:t>affecting</w:t>
      </w:r>
      <w:r>
        <w:rPr>
          <w:spacing w:val="12"/>
          <w:sz w:val="24"/>
        </w:rPr>
        <w:t> </w:t>
      </w:r>
      <w:r>
        <w:rPr>
          <w:sz w:val="24"/>
        </w:rPr>
        <w:t>the</w:t>
      </w:r>
      <w:r>
        <w:rPr>
          <w:spacing w:val="14"/>
          <w:sz w:val="24"/>
        </w:rPr>
        <w:t> </w:t>
      </w:r>
      <w:r>
        <w:rPr>
          <w:sz w:val="24"/>
        </w:rPr>
        <w:t>67%</w:t>
      </w:r>
      <w:r>
        <w:rPr>
          <w:spacing w:val="14"/>
          <w:sz w:val="24"/>
        </w:rPr>
        <w:t> </w:t>
      </w:r>
      <w:r>
        <w:rPr>
          <w:sz w:val="24"/>
        </w:rPr>
        <w:t>of</w:t>
      </w:r>
      <w:r>
        <w:rPr>
          <w:spacing w:val="13"/>
          <w:sz w:val="24"/>
        </w:rPr>
        <w:t> </w:t>
      </w:r>
      <w:r>
        <w:rPr>
          <w:sz w:val="24"/>
        </w:rPr>
        <w:t>dog</w:t>
      </w:r>
      <w:r>
        <w:rPr>
          <w:spacing w:val="12"/>
          <w:sz w:val="24"/>
        </w:rPr>
        <w:t> </w:t>
      </w:r>
      <w:r>
        <w:rPr>
          <w:sz w:val="24"/>
        </w:rPr>
        <w:t>population</w:t>
      </w:r>
      <w:r>
        <w:rPr>
          <w:spacing w:val="14"/>
          <w:sz w:val="24"/>
        </w:rPr>
        <w:t> </w:t>
      </w:r>
      <w:r>
        <w:rPr>
          <w:sz w:val="24"/>
        </w:rPr>
        <w:t>studied</w:t>
      </w:r>
      <w:r>
        <w:rPr>
          <w:spacing w:val="12"/>
          <w:sz w:val="24"/>
        </w:rPr>
        <w:t> </w:t>
      </w:r>
      <w:r>
        <w:rPr>
          <w:sz w:val="24"/>
        </w:rPr>
        <w:t>were</w:t>
      </w:r>
    </w:p>
    <w:p>
      <w:pPr>
        <w:pStyle w:val="ListParagraph"/>
        <w:numPr>
          <w:ilvl w:val="0"/>
          <w:numId w:val="80"/>
        </w:numPr>
        <w:tabs>
          <w:tab w:pos="1132" w:val="left" w:leader="none"/>
          <w:tab w:pos="1133" w:val="left" w:leader="none"/>
        </w:tabs>
        <w:spacing w:line="331" w:lineRule="exact" w:before="0" w:after="0"/>
        <w:ind w:left="1132" w:right="0" w:hanging="972"/>
        <w:jc w:val="left"/>
        <w:rPr>
          <w:sz w:val="24"/>
        </w:rPr>
      </w:pPr>
      <w:r>
        <w:rPr/>
        <w:pict>
          <v:shape style="position:absolute;margin-left:8pt;margin-top:10.752744pt;width:11.15pt;height:10pt;mso-position-horizontal-relative:page;mso-position-vertical-relative:paragraph;z-index:-92320" type="#_x0000_t202" filled="false" stroked="false">
            <v:textbox inset="0,0,0,0">
              <w:txbxContent>
                <w:p>
                  <w:pPr>
                    <w:spacing w:line="196" w:lineRule="exact" w:before="0"/>
                    <w:ind w:left="0" w:right="-20" w:firstLine="0"/>
                    <w:jc w:val="left"/>
                    <w:rPr>
                      <w:sz w:val="20"/>
                    </w:rPr>
                  </w:pPr>
                  <w:r>
                    <w:rPr>
                      <w:sz w:val="20"/>
                    </w:rPr>
                    <w:t>26</w:t>
                  </w:r>
                </w:p>
              </w:txbxContent>
            </v:textbox>
            <w10:wrap type="none"/>
          </v:shape>
        </w:pict>
      </w:r>
      <w:r>
        <w:rPr>
          <w:sz w:val="24"/>
        </w:rPr>
        <w:t>specific  diseases  as  uncomplicated  and  complicated  bacterial  urinary  tract  infection,</w:t>
      </w:r>
      <w:r>
        <w:rPr>
          <w:spacing w:val="31"/>
          <w:sz w:val="24"/>
        </w:rPr>
        <w:t> </w:t>
      </w:r>
      <w:r>
        <w:rPr>
          <w:sz w:val="24"/>
        </w:rPr>
        <w:t>urinary</w:t>
      </w:r>
    </w:p>
    <w:p>
      <w:pPr>
        <w:pStyle w:val="ListParagraph"/>
        <w:numPr>
          <w:ilvl w:val="0"/>
          <w:numId w:val="81"/>
        </w:numPr>
        <w:tabs>
          <w:tab w:pos="1132" w:val="left" w:leader="none"/>
          <w:tab w:pos="1133" w:val="left" w:leader="none"/>
        </w:tabs>
        <w:spacing w:line="296" w:lineRule="exact" w:before="2" w:after="0"/>
        <w:ind w:left="1132" w:right="0" w:hanging="972"/>
        <w:jc w:val="left"/>
        <w:rPr>
          <w:sz w:val="24"/>
        </w:rPr>
      </w:pPr>
      <w:r>
        <w:rPr>
          <w:sz w:val="24"/>
        </w:rPr>
        <w:t>retention  by  neurologic  origin  due  to  spinal  cord  disease  and  silica  urolithiasis.  As  in</w:t>
      </w:r>
      <w:r>
        <w:rPr>
          <w:spacing w:val="-4"/>
          <w:sz w:val="24"/>
        </w:rPr>
        <w:t> </w:t>
      </w:r>
      <w:r>
        <w:rPr>
          <w:sz w:val="24"/>
        </w:rPr>
        <w:t>LUTD</w:t>
      </w:r>
    </w:p>
    <w:p>
      <w:pPr>
        <w:pStyle w:val="ListParagraph"/>
        <w:numPr>
          <w:ilvl w:val="0"/>
          <w:numId w:val="81"/>
        </w:numPr>
        <w:tabs>
          <w:tab w:pos="1132" w:val="left" w:leader="none"/>
          <w:tab w:pos="1133" w:val="left" w:leader="none"/>
        </w:tabs>
        <w:spacing w:line="261" w:lineRule="exact" w:before="0" w:after="0"/>
        <w:ind w:left="1132" w:right="0" w:hanging="972"/>
        <w:jc w:val="left"/>
        <w:rPr>
          <w:sz w:val="24"/>
        </w:rPr>
      </w:pPr>
      <w:r>
        <w:rPr>
          <w:sz w:val="24"/>
        </w:rPr>
        <w:t>pathologies  studied,  males  considered  old   were  the   most  affected,  with  the  exception      </w:t>
      </w:r>
      <w:r>
        <w:rPr>
          <w:spacing w:val="4"/>
          <w:sz w:val="24"/>
        </w:rPr>
        <w:t> </w:t>
      </w:r>
      <w:r>
        <w:rPr>
          <w:sz w:val="24"/>
        </w:rPr>
        <w:t>of</w:t>
      </w:r>
    </w:p>
    <w:p>
      <w:pPr>
        <w:pStyle w:val="ListParagraph"/>
        <w:numPr>
          <w:ilvl w:val="0"/>
          <w:numId w:val="81"/>
        </w:numPr>
        <w:tabs>
          <w:tab w:pos="1132" w:val="left" w:leader="none"/>
          <w:tab w:pos="1133" w:val="left" w:leader="none"/>
        </w:tabs>
        <w:spacing w:line="256" w:lineRule="exact" w:before="0" w:after="0"/>
        <w:ind w:left="1132" w:right="0" w:hanging="972"/>
        <w:jc w:val="left"/>
        <w:rPr>
          <w:sz w:val="24"/>
        </w:rPr>
      </w:pPr>
      <w:r>
        <w:rPr>
          <w:sz w:val="24"/>
        </w:rPr>
        <w:t>traumatic problems encountered in male young adult animals. The results of this work are a</w:t>
      </w:r>
      <w:r>
        <w:rPr>
          <w:spacing w:val="-36"/>
          <w:sz w:val="24"/>
        </w:rPr>
        <w:t> </w:t>
      </w:r>
      <w:r>
        <w:rPr>
          <w:sz w:val="24"/>
        </w:rPr>
        <w:t>basis</w:t>
      </w:r>
    </w:p>
    <w:p>
      <w:pPr>
        <w:pStyle w:val="ListParagraph"/>
        <w:numPr>
          <w:ilvl w:val="0"/>
          <w:numId w:val="81"/>
        </w:numPr>
        <w:tabs>
          <w:tab w:pos="1132" w:val="left" w:leader="none"/>
          <w:tab w:pos="1133" w:val="left" w:leader="none"/>
        </w:tabs>
        <w:spacing w:line="257" w:lineRule="exact" w:before="0" w:after="0"/>
        <w:ind w:left="1132" w:right="0" w:hanging="972"/>
        <w:jc w:val="left"/>
        <w:rPr>
          <w:sz w:val="24"/>
        </w:rPr>
      </w:pPr>
      <w:r>
        <w:rPr>
          <w:sz w:val="24"/>
        </w:rPr>
        <w:t>to considering establishing protocols  for early diagnosis  and not  waiting until the  presence   </w:t>
      </w:r>
      <w:r>
        <w:rPr>
          <w:spacing w:val="33"/>
          <w:sz w:val="24"/>
        </w:rPr>
        <w:t> </w:t>
      </w:r>
      <w:r>
        <w:rPr>
          <w:sz w:val="24"/>
        </w:rPr>
        <w:t>of</w:t>
      </w:r>
    </w:p>
    <w:p>
      <w:pPr>
        <w:pStyle w:val="ListParagraph"/>
        <w:numPr>
          <w:ilvl w:val="0"/>
          <w:numId w:val="81"/>
        </w:numPr>
        <w:tabs>
          <w:tab w:pos="1132" w:val="left" w:leader="none"/>
          <w:tab w:pos="1133" w:val="left" w:leader="none"/>
        </w:tabs>
        <w:spacing w:line="337" w:lineRule="exact" w:before="0" w:after="0"/>
        <w:ind w:left="1132" w:right="0" w:hanging="972"/>
        <w:jc w:val="left"/>
        <w:rPr>
          <w:sz w:val="24"/>
        </w:rPr>
      </w:pPr>
      <w:r>
        <w:rPr/>
        <w:pict>
          <v:shape style="position:absolute;margin-left:8pt;margin-top:10.624739pt;width:11.15pt;height:10pt;mso-position-horizontal-relative:page;mso-position-vertical-relative:paragraph;z-index:-92296" type="#_x0000_t202" filled="false" stroked="false">
            <v:textbox inset="0,0,0,0">
              <w:txbxContent>
                <w:p>
                  <w:pPr>
                    <w:spacing w:line="196" w:lineRule="exact" w:before="0"/>
                    <w:ind w:left="0" w:right="-20" w:firstLine="0"/>
                    <w:jc w:val="left"/>
                    <w:rPr>
                      <w:sz w:val="20"/>
                    </w:rPr>
                  </w:pPr>
                  <w:r>
                    <w:rPr>
                      <w:sz w:val="20"/>
                    </w:rPr>
                    <w:t>32</w:t>
                  </w:r>
                </w:p>
              </w:txbxContent>
            </v:textbox>
            <w10:wrap type="none"/>
          </v:shape>
        </w:pict>
      </w:r>
      <w:r>
        <w:rPr>
          <w:sz w:val="24"/>
        </w:rPr>
        <w:t>clinical signs of LUTD in</w:t>
      </w:r>
      <w:r>
        <w:rPr>
          <w:spacing w:val="-13"/>
          <w:sz w:val="24"/>
        </w:rPr>
        <w:t> </w:t>
      </w:r>
      <w:r>
        <w:rPr>
          <w:sz w:val="24"/>
        </w:rPr>
        <w:t>dogs.</w:t>
      </w:r>
    </w:p>
    <w:p>
      <w:pPr>
        <w:spacing w:before="75"/>
        <w:ind w:left="160" w:right="0" w:firstLine="0"/>
        <w:jc w:val="left"/>
        <w:rPr>
          <w:sz w:val="20"/>
        </w:rPr>
      </w:pPr>
      <w:r>
        <w:rPr>
          <w:sz w:val="20"/>
        </w:rPr>
        <w:t>33</w:t>
      </w:r>
    </w:p>
    <w:p>
      <w:pPr>
        <w:spacing w:before="3"/>
        <w:ind w:left="160" w:right="0" w:firstLine="0"/>
        <w:jc w:val="left"/>
        <w:rPr>
          <w:sz w:val="20"/>
        </w:rPr>
      </w:pPr>
      <w:r>
        <w:rPr>
          <w:sz w:val="20"/>
        </w:rPr>
        <w:t>34</w:t>
      </w:r>
    </w:p>
    <w:p>
      <w:pPr>
        <w:spacing w:line="185" w:lineRule="exact" w:before="3"/>
        <w:ind w:left="160" w:right="0" w:firstLine="0"/>
        <w:jc w:val="left"/>
        <w:rPr>
          <w:sz w:val="20"/>
        </w:rPr>
      </w:pPr>
      <w:r>
        <w:rPr>
          <w:sz w:val="20"/>
        </w:rPr>
        <w:t>35</w:t>
      </w:r>
    </w:p>
    <w:p>
      <w:pPr>
        <w:pStyle w:val="ListParagraph"/>
        <w:numPr>
          <w:ilvl w:val="0"/>
          <w:numId w:val="82"/>
        </w:numPr>
        <w:tabs>
          <w:tab w:pos="1132" w:val="left" w:leader="none"/>
          <w:tab w:pos="1133" w:val="left" w:leader="none"/>
        </w:tabs>
        <w:spacing w:line="253" w:lineRule="exact" w:before="0" w:after="0"/>
        <w:ind w:left="1132" w:right="0" w:hanging="972"/>
        <w:jc w:val="left"/>
        <w:rPr>
          <w:sz w:val="24"/>
        </w:rPr>
      </w:pPr>
      <w:r>
        <w:rPr>
          <w:b/>
          <w:sz w:val="24"/>
        </w:rPr>
        <w:t>Acknowledgements.- </w:t>
      </w:r>
      <w:r>
        <w:rPr>
          <w:sz w:val="24"/>
        </w:rPr>
        <w:t>The authors gratefully acknowledge the medical personnel of the</w:t>
      </w:r>
      <w:r>
        <w:rPr>
          <w:spacing w:val="30"/>
          <w:sz w:val="24"/>
        </w:rPr>
        <w:t> </w:t>
      </w:r>
      <w:r>
        <w:rPr>
          <w:sz w:val="24"/>
        </w:rPr>
        <w:t>Hospital</w:t>
      </w:r>
    </w:p>
    <w:p>
      <w:pPr>
        <w:pStyle w:val="ListParagraph"/>
        <w:numPr>
          <w:ilvl w:val="0"/>
          <w:numId w:val="82"/>
        </w:numPr>
        <w:tabs>
          <w:tab w:pos="1132" w:val="left" w:leader="none"/>
          <w:tab w:pos="1133" w:val="left" w:leader="none"/>
        </w:tabs>
        <w:spacing w:line="260" w:lineRule="exact" w:before="0" w:after="0"/>
        <w:ind w:left="1132" w:right="0" w:hanging="972"/>
        <w:jc w:val="left"/>
        <w:rPr>
          <w:sz w:val="24"/>
        </w:rPr>
      </w:pPr>
      <w:r>
        <w:rPr>
          <w:position w:val="1"/>
          <w:sz w:val="24"/>
        </w:rPr>
        <w:t>Veterinario</w:t>
      </w:r>
      <w:r>
        <w:rPr>
          <w:spacing w:val="39"/>
          <w:position w:val="1"/>
          <w:sz w:val="24"/>
        </w:rPr>
        <w:t> </w:t>
      </w:r>
      <w:r>
        <w:rPr>
          <w:position w:val="1"/>
          <w:sz w:val="24"/>
        </w:rPr>
        <w:t>para</w:t>
      </w:r>
      <w:r>
        <w:rPr>
          <w:spacing w:val="39"/>
          <w:position w:val="1"/>
          <w:sz w:val="24"/>
        </w:rPr>
        <w:t> </w:t>
      </w:r>
      <w:r>
        <w:rPr>
          <w:position w:val="1"/>
          <w:sz w:val="24"/>
        </w:rPr>
        <w:t>Pequeñas</w:t>
      </w:r>
      <w:r>
        <w:rPr>
          <w:spacing w:val="39"/>
          <w:position w:val="1"/>
          <w:sz w:val="24"/>
        </w:rPr>
        <w:t> </w:t>
      </w:r>
      <w:r>
        <w:rPr>
          <w:position w:val="1"/>
          <w:sz w:val="24"/>
        </w:rPr>
        <w:t>Especies</w:t>
      </w:r>
      <w:r>
        <w:rPr>
          <w:spacing w:val="39"/>
          <w:position w:val="1"/>
          <w:sz w:val="24"/>
        </w:rPr>
        <w:t> </w:t>
      </w:r>
      <w:r>
        <w:rPr>
          <w:position w:val="1"/>
          <w:sz w:val="24"/>
        </w:rPr>
        <w:t>de</w:t>
      </w:r>
      <w:r>
        <w:rPr>
          <w:spacing w:val="40"/>
          <w:position w:val="1"/>
          <w:sz w:val="24"/>
        </w:rPr>
        <w:t> </w:t>
      </w:r>
      <w:r>
        <w:rPr>
          <w:position w:val="1"/>
          <w:sz w:val="24"/>
        </w:rPr>
        <w:t>la</w:t>
      </w:r>
      <w:r>
        <w:rPr>
          <w:spacing w:val="37"/>
          <w:position w:val="1"/>
          <w:sz w:val="24"/>
        </w:rPr>
        <w:t> </w:t>
      </w:r>
      <w:r>
        <w:rPr>
          <w:position w:val="1"/>
          <w:sz w:val="24"/>
        </w:rPr>
        <w:t>Facultad</w:t>
      </w:r>
      <w:r>
        <w:rPr>
          <w:spacing w:val="38"/>
          <w:position w:val="1"/>
          <w:sz w:val="24"/>
        </w:rPr>
        <w:t> </w:t>
      </w:r>
      <w:r>
        <w:rPr>
          <w:position w:val="1"/>
          <w:sz w:val="24"/>
        </w:rPr>
        <w:t>de</w:t>
      </w:r>
      <w:r>
        <w:rPr>
          <w:spacing w:val="40"/>
          <w:position w:val="1"/>
          <w:sz w:val="24"/>
        </w:rPr>
        <w:t> </w:t>
      </w:r>
      <w:r>
        <w:rPr>
          <w:position w:val="1"/>
          <w:sz w:val="24"/>
        </w:rPr>
        <w:t>Medicina</w:t>
      </w:r>
      <w:r>
        <w:rPr>
          <w:spacing w:val="39"/>
          <w:position w:val="1"/>
          <w:sz w:val="24"/>
        </w:rPr>
        <w:t> </w:t>
      </w:r>
      <w:r>
        <w:rPr>
          <w:position w:val="1"/>
          <w:sz w:val="24"/>
        </w:rPr>
        <w:t>Veterinaria</w:t>
      </w:r>
      <w:r>
        <w:rPr>
          <w:spacing w:val="40"/>
          <w:position w:val="1"/>
          <w:sz w:val="24"/>
        </w:rPr>
        <w:t> </w:t>
      </w:r>
      <w:r>
        <w:rPr>
          <w:position w:val="1"/>
          <w:sz w:val="24"/>
        </w:rPr>
        <w:t>y</w:t>
      </w:r>
      <w:r>
        <w:rPr>
          <w:spacing w:val="38"/>
          <w:position w:val="1"/>
          <w:sz w:val="24"/>
        </w:rPr>
        <w:t> </w:t>
      </w:r>
      <w:r>
        <w:rPr>
          <w:position w:val="1"/>
          <w:sz w:val="24"/>
        </w:rPr>
        <w:t>Zootecnia</w:t>
      </w:r>
      <w:r>
        <w:rPr>
          <w:spacing w:val="37"/>
          <w:position w:val="1"/>
          <w:sz w:val="24"/>
        </w:rPr>
        <w:t> </w:t>
      </w:r>
      <w:r>
        <w:rPr>
          <w:position w:val="1"/>
          <w:sz w:val="24"/>
        </w:rPr>
        <w:t>de</w:t>
      </w:r>
      <w:r>
        <w:rPr>
          <w:spacing w:val="39"/>
          <w:position w:val="1"/>
          <w:sz w:val="24"/>
        </w:rPr>
        <w:t> </w:t>
      </w:r>
      <w:r>
        <w:rPr>
          <w:position w:val="1"/>
          <w:sz w:val="24"/>
        </w:rPr>
        <w:t>la</w:t>
      </w:r>
    </w:p>
    <w:p>
      <w:pPr>
        <w:pStyle w:val="ListParagraph"/>
        <w:numPr>
          <w:ilvl w:val="0"/>
          <w:numId w:val="82"/>
        </w:numPr>
        <w:tabs>
          <w:tab w:pos="1132" w:val="left" w:leader="none"/>
          <w:tab w:pos="1133" w:val="left" w:leader="none"/>
        </w:tabs>
        <w:spacing w:line="256" w:lineRule="exact" w:before="3" w:after="0"/>
        <w:ind w:left="1132" w:right="0" w:hanging="972"/>
        <w:jc w:val="left"/>
        <w:rPr>
          <w:sz w:val="24"/>
        </w:rPr>
      </w:pPr>
      <w:r>
        <w:rPr>
          <w:sz w:val="24"/>
        </w:rPr>
        <w:t>Universdad</w:t>
      </w:r>
      <w:r>
        <w:rPr>
          <w:spacing w:val="33"/>
          <w:sz w:val="24"/>
        </w:rPr>
        <w:t> </w:t>
      </w:r>
      <w:r>
        <w:rPr>
          <w:sz w:val="24"/>
        </w:rPr>
        <w:t>Autónoma</w:t>
      </w:r>
      <w:r>
        <w:rPr>
          <w:spacing w:val="37"/>
          <w:sz w:val="24"/>
        </w:rPr>
        <w:t> </w:t>
      </w:r>
      <w:r>
        <w:rPr>
          <w:sz w:val="24"/>
        </w:rPr>
        <w:t>del</w:t>
      </w:r>
      <w:r>
        <w:rPr>
          <w:spacing w:val="34"/>
          <w:sz w:val="24"/>
        </w:rPr>
        <w:t> </w:t>
      </w:r>
      <w:r>
        <w:rPr>
          <w:sz w:val="24"/>
        </w:rPr>
        <w:t>Estado</w:t>
      </w:r>
      <w:r>
        <w:rPr>
          <w:spacing w:val="34"/>
          <w:sz w:val="24"/>
        </w:rPr>
        <w:t> </w:t>
      </w:r>
      <w:r>
        <w:rPr>
          <w:sz w:val="24"/>
        </w:rPr>
        <w:t>de</w:t>
      </w:r>
      <w:r>
        <w:rPr>
          <w:spacing w:val="35"/>
          <w:sz w:val="24"/>
        </w:rPr>
        <w:t> </w:t>
      </w:r>
      <w:r>
        <w:rPr>
          <w:sz w:val="24"/>
        </w:rPr>
        <w:t>México.</w:t>
      </w:r>
      <w:r>
        <w:rPr>
          <w:spacing w:val="35"/>
          <w:sz w:val="24"/>
        </w:rPr>
        <w:t> </w:t>
      </w:r>
      <w:r>
        <w:rPr>
          <w:sz w:val="24"/>
        </w:rPr>
        <w:t>Claudia</w:t>
      </w:r>
      <w:r>
        <w:rPr>
          <w:spacing w:val="35"/>
          <w:sz w:val="24"/>
        </w:rPr>
        <w:t> </w:t>
      </w:r>
      <w:r>
        <w:rPr>
          <w:sz w:val="24"/>
        </w:rPr>
        <w:t>Iveth</w:t>
      </w:r>
      <w:r>
        <w:rPr>
          <w:spacing w:val="34"/>
          <w:sz w:val="24"/>
        </w:rPr>
        <w:t> </w:t>
      </w:r>
      <w:r>
        <w:rPr>
          <w:sz w:val="24"/>
        </w:rPr>
        <w:t>Mendóza-López</w:t>
      </w:r>
      <w:r>
        <w:rPr>
          <w:spacing w:val="33"/>
          <w:sz w:val="24"/>
        </w:rPr>
        <w:t> </w:t>
      </w:r>
      <w:r>
        <w:rPr>
          <w:sz w:val="24"/>
        </w:rPr>
        <w:t>held</w:t>
      </w:r>
      <w:r>
        <w:rPr>
          <w:spacing w:val="33"/>
          <w:sz w:val="24"/>
        </w:rPr>
        <w:t> </w:t>
      </w:r>
      <w:r>
        <w:rPr>
          <w:sz w:val="24"/>
        </w:rPr>
        <w:t>a</w:t>
      </w:r>
      <w:r>
        <w:rPr>
          <w:spacing w:val="35"/>
          <w:sz w:val="24"/>
        </w:rPr>
        <w:t> </w:t>
      </w:r>
      <w:r>
        <w:rPr>
          <w:sz w:val="24"/>
        </w:rPr>
        <w:t>scholarship</w:t>
      </w:r>
    </w:p>
    <w:p>
      <w:pPr>
        <w:pStyle w:val="ListParagraph"/>
        <w:numPr>
          <w:ilvl w:val="0"/>
          <w:numId w:val="82"/>
        </w:numPr>
        <w:tabs>
          <w:tab w:pos="1132" w:val="left" w:leader="none"/>
          <w:tab w:pos="1133" w:val="left" w:leader="none"/>
        </w:tabs>
        <w:spacing w:line="258" w:lineRule="exact" w:before="0" w:after="0"/>
        <w:ind w:left="1132" w:right="0" w:hanging="972"/>
        <w:jc w:val="left"/>
        <w:rPr>
          <w:sz w:val="24"/>
        </w:rPr>
      </w:pPr>
      <w:r>
        <w:rPr>
          <w:sz w:val="24"/>
        </w:rPr>
        <w:t>from the Consejo Nacional de Ciencia y Tecnología (CONACyT),</w:t>
      </w:r>
      <w:r>
        <w:rPr>
          <w:spacing w:val="-28"/>
          <w:sz w:val="24"/>
        </w:rPr>
        <w:t> </w:t>
      </w:r>
      <w:r>
        <w:rPr>
          <w:sz w:val="24"/>
        </w:rPr>
        <w:t>México.</w:t>
      </w:r>
    </w:p>
    <w:p>
      <w:pPr>
        <w:spacing w:line="182" w:lineRule="exact" w:before="0"/>
        <w:ind w:left="160" w:right="0" w:firstLine="0"/>
        <w:jc w:val="left"/>
        <w:rPr>
          <w:sz w:val="20"/>
        </w:rPr>
      </w:pPr>
      <w:r>
        <w:rPr>
          <w:sz w:val="20"/>
        </w:rPr>
        <w:t>40</w:t>
      </w:r>
    </w:p>
    <w:p>
      <w:pPr>
        <w:spacing w:before="3"/>
        <w:ind w:left="160" w:right="0" w:firstLine="0"/>
        <w:jc w:val="left"/>
        <w:rPr>
          <w:sz w:val="20"/>
        </w:rPr>
      </w:pPr>
      <w:r>
        <w:rPr>
          <w:sz w:val="20"/>
        </w:rPr>
        <w:t>41</w:t>
      </w:r>
    </w:p>
    <w:p>
      <w:pPr>
        <w:spacing w:before="3"/>
        <w:ind w:left="160" w:right="0" w:firstLine="0"/>
        <w:jc w:val="left"/>
        <w:rPr>
          <w:sz w:val="20"/>
        </w:rPr>
      </w:pPr>
      <w:r>
        <w:rPr>
          <w:sz w:val="20"/>
        </w:rPr>
        <w:t>42</w:t>
      </w:r>
    </w:p>
    <w:p>
      <w:pPr>
        <w:tabs>
          <w:tab w:pos="1132" w:val="left" w:leader="none"/>
        </w:tabs>
        <w:spacing w:line="297" w:lineRule="exact" w:before="3"/>
        <w:ind w:left="160" w:right="0" w:firstLine="0"/>
        <w:jc w:val="left"/>
        <w:rPr>
          <w:rFonts w:ascii="Cambria"/>
          <w:sz w:val="24"/>
        </w:rPr>
      </w:pPr>
      <w:r>
        <w:rPr>
          <w:position w:val="12"/>
          <w:sz w:val="20"/>
        </w:rPr>
        <w:t>43</w:t>
        <w:tab/>
      </w:r>
      <w:r>
        <w:rPr>
          <w:rFonts w:ascii="Cambria"/>
          <w:b/>
          <w:sz w:val="24"/>
        </w:rPr>
        <w:t>Conflict</w:t>
      </w:r>
      <w:r>
        <w:rPr>
          <w:rFonts w:ascii="Cambria"/>
          <w:b/>
          <w:spacing w:val="19"/>
          <w:sz w:val="24"/>
        </w:rPr>
        <w:t> </w:t>
      </w:r>
      <w:r>
        <w:rPr>
          <w:rFonts w:ascii="Cambria"/>
          <w:b/>
          <w:sz w:val="24"/>
        </w:rPr>
        <w:t>of</w:t>
      </w:r>
      <w:r>
        <w:rPr>
          <w:rFonts w:ascii="Cambria"/>
          <w:b/>
          <w:spacing w:val="19"/>
          <w:sz w:val="24"/>
        </w:rPr>
        <w:t> </w:t>
      </w:r>
      <w:r>
        <w:rPr>
          <w:rFonts w:ascii="Cambria"/>
          <w:b/>
          <w:sz w:val="24"/>
        </w:rPr>
        <w:t>interests.-</w:t>
      </w:r>
      <w:r>
        <w:rPr>
          <w:rFonts w:ascii="Cambria"/>
          <w:b/>
          <w:spacing w:val="19"/>
          <w:sz w:val="24"/>
        </w:rPr>
        <w:t> </w:t>
      </w:r>
      <w:r>
        <w:rPr>
          <w:rFonts w:ascii="Cambria"/>
          <w:sz w:val="24"/>
        </w:rPr>
        <w:t>The</w:t>
      </w:r>
      <w:r>
        <w:rPr>
          <w:rFonts w:ascii="Cambria"/>
          <w:spacing w:val="19"/>
          <w:sz w:val="24"/>
        </w:rPr>
        <w:t> </w:t>
      </w:r>
      <w:r>
        <w:rPr>
          <w:rFonts w:ascii="Cambria"/>
          <w:sz w:val="24"/>
        </w:rPr>
        <w:t>authors</w:t>
      </w:r>
      <w:r>
        <w:rPr>
          <w:rFonts w:ascii="Cambria"/>
          <w:spacing w:val="18"/>
          <w:sz w:val="24"/>
        </w:rPr>
        <w:t> </w:t>
      </w:r>
      <w:r>
        <w:rPr>
          <w:rFonts w:ascii="Cambria"/>
          <w:sz w:val="24"/>
        </w:rPr>
        <w:t>declare</w:t>
      </w:r>
      <w:r>
        <w:rPr>
          <w:rFonts w:ascii="Cambria"/>
          <w:spacing w:val="19"/>
          <w:sz w:val="24"/>
        </w:rPr>
        <w:t> </w:t>
      </w:r>
      <w:r>
        <w:rPr>
          <w:rFonts w:ascii="Cambria"/>
          <w:sz w:val="24"/>
        </w:rPr>
        <w:t>no</w:t>
      </w:r>
      <w:r>
        <w:rPr>
          <w:rFonts w:ascii="Cambria"/>
          <w:spacing w:val="18"/>
          <w:sz w:val="24"/>
        </w:rPr>
        <w:t> </w:t>
      </w:r>
      <w:r>
        <w:rPr>
          <w:rFonts w:ascii="Cambria"/>
          <w:sz w:val="24"/>
        </w:rPr>
        <w:t>potential</w:t>
      </w:r>
      <w:r>
        <w:rPr>
          <w:rFonts w:ascii="Cambria"/>
          <w:spacing w:val="18"/>
          <w:sz w:val="24"/>
        </w:rPr>
        <w:t> </w:t>
      </w:r>
      <w:r>
        <w:rPr>
          <w:rFonts w:ascii="Cambria"/>
          <w:sz w:val="24"/>
        </w:rPr>
        <w:t>conflicts</w:t>
      </w:r>
      <w:r>
        <w:rPr>
          <w:rFonts w:ascii="Cambria"/>
          <w:spacing w:val="18"/>
          <w:sz w:val="24"/>
        </w:rPr>
        <w:t> </w:t>
      </w:r>
      <w:r>
        <w:rPr>
          <w:rFonts w:ascii="Cambria"/>
          <w:sz w:val="24"/>
        </w:rPr>
        <w:t>of</w:t>
      </w:r>
      <w:r>
        <w:rPr>
          <w:rFonts w:ascii="Cambria"/>
          <w:spacing w:val="17"/>
          <w:sz w:val="24"/>
        </w:rPr>
        <w:t> </w:t>
      </w:r>
      <w:r>
        <w:rPr>
          <w:rFonts w:ascii="Cambria"/>
          <w:sz w:val="24"/>
        </w:rPr>
        <w:t>interest</w:t>
      </w:r>
      <w:r>
        <w:rPr>
          <w:rFonts w:ascii="Cambria"/>
          <w:spacing w:val="18"/>
          <w:sz w:val="24"/>
        </w:rPr>
        <w:t> </w:t>
      </w:r>
      <w:r>
        <w:rPr>
          <w:rFonts w:ascii="Cambria"/>
          <w:sz w:val="24"/>
        </w:rPr>
        <w:t>with</w:t>
      </w:r>
      <w:r>
        <w:rPr>
          <w:rFonts w:ascii="Cambria"/>
          <w:spacing w:val="18"/>
          <w:sz w:val="24"/>
        </w:rPr>
        <w:t> </w:t>
      </w:r>
      <w:r>
        <w:rPr>
          <w:rFonts w:ascii="Cambria"/>
          <w:sz w:val="24"/>
        </w:rPr>
        <w:t>respect</w:t>
      </w:r>
      <w:r>
        <w:rPr>
          <w:rFonts w:ascii="Cambria"/>
          <w:spacing w:val="18"/>
          <w:sz w:val="24"/>
        </w:rPr>
        <w:t> </w:t>
      </w:r>
      <w:r>
        <w:rPr>
          <w:rFonts w:ascii="Cambria"/>
          <w:sz w:val="24"/>
        </w:rPr>
        <w:t>to</w:t>
      </w:r>
      <w:r>
        <w:rPr>
          <w:rFonts w:ascii="Cambria"/>
          <w:spacing w:val="16"/>
          <w:sz w:val="24"/>
        </w:rPr>
        <w:t> </w:t>
      </w:r>
      <w:r>
        <w:rPr>
          <w:rFonts w:ascii="Cambria"/>
          <w:sz w:val="24"/>
        </w:rPr>
        <w:t>the</w:t>
      </w:r>
    </w:p>
    <w:p>
      <w:pPr>
        <w:spacing w:line="115" w:lineRule="exact" w:before="0"/>
        <w:ind w:left="160" w:right="0" w:firstLine="0"/>
        <w:jc w:val="left"/>
        <w:rPr>
          <w:sz w:val="20"/>
        </w:rPr>
      </w:pPr>
      <w:r>
        <w:rPr>
          <w:sz w:val="20"/>
        </w:rPr>
        <w:t>44</w:t>
      </w:r>
    </w:p>
    <w:p>
      <w:pPr>
        <w:pStyle w:val="BodyText"/>
        <w:tabs>
          <w:tab w:pos="1132" w:val="left" w:leader="none"/>
        </w:tabs>
        <w:spacing w:line="289" w:lineRule="exact"/>
        <w:ind w:left="160"/>
        <w:rPr>
          <w:rFonts w:ascii="Cambria"/>
        </w:rPr>
      </w:pPr>
      <w:r>
        <w:rPr>
          <w:position w:val="-6"/>
          <w:sz w:val="20"/>
        </w:rPr>
        <w:t>45</w:t>
        <w:tab/>
      </w:r>
      <w:r>
        <w:rPr>
          <w:rFonts w:ascii="Cambria"/>
        </w:rPr>
        <w:t>research, authorship, and/or publication of this</w:t>
      </w:r>
      <w:r>
        <w:rPr>
          <w:rFonts w:ascii="Cambria"/>
          <w:spacing w:val="-26"/>
        </w:rPr>
        <w:t> </w:t>
      </w:r>
      <w:r>
        <w:rPr>
          <w:rFonts w:ascii="Cambria"/>
        </w:rPr>
        <w:t>article.</w:t>
      </w:r>
    </w:p>
    <w:p>
      <w:pPr>
        <w:spacing w:line="230" w:lineRule="exact" w:before="0"/>
        <w:ind w:left="160" w:right="0" w:firstLine="0"/>
        <w:jc w:val="left"/>
        <w:rPr>
          <w:sz w:val="20"/>
        </w:rPr>
      </w:pPr>
      <w:r>
        <w:rPr>
          <w:sz w:val="20"/>
        </w:rPr>
        <w:t>46</w:t>
      </w:r>
    </w:p>
    <w:p>
      <w:pPr>
        <w:spacing w:before="3"/>
        <w:ind w:left="160" w:right="0" w:firstLine="0"/>
        <w:jc w:val="left"/>
        <w:rPr>
          <w:sz w:val="20"/>
        </w:rPr>
      </w:pPr>
      <w:r>
        <w:rPr>
          <w:sz w:val="20"/>
        </w:rPr>
        <w:t>47</w:t>
      </w:r>
    </w:p>
    <w:p>
      <w:pPr>
        <w:spacing w:before="3"/>
        <w:ind w:left="160" w:right="0" w:firstLine="0"/>
        <w:jc w:val="left"/>
        <w:rPr>
          <w:sz w:val="20"/>
        </w:rPr>
      </w:pPr>
      <w:r>
        <w:rPr>
          <w:sz w:val="20"/>
        </w:rPr>
        <w:t>48</w:t>
      </w:r>
    </w:p>
    <w:p>
      <w:pPr>
        <w:spacing w:before="3"/>
        <w:ind w:left="160" w:right="0" w:firstLine="0"/>
        <w:jc w:val="left"/>
        <w:rPr>
          <w:sz w:val="20"/>
        </w:rPr>
      </w:pPr>
      <w:r>
        <w:rPr>
          <w:sz w:val="20"/>
        </w:rPr>
        <w:t>49</w:t>
      </w:r>
    </w:p>
    <w:p>
      <w:pPr>
        <w:spacing w:before="3"/>
        <w:ind w:left="160" w:right="0" w:firstLine="0"/>
        <w:jc w:val="left"/>
        <w:rPr>
          <w:sz w:val="20"/>
        </w:rPr>
      </w:pPr>
      <w:r>
        <w:rPr>
          <w:sz w:val="20"/>
        </w:rPr>
        <w:t>50</w:t>
      </w:r>
    </w:p>
    <w:p>
      <w:pPr>
        <w:spacing w:before="3"/>
        <w:ind w:left="160" w:right="0" w:firstLine="0"/>
        <w:jc w:val="left"/>
        <w:rPr>
          <w:sz w:val="20"/>
        </w:rPr>
      </w:pPr>
      <w:r>
        <w:rPr>
          <w:sz w:val="20"/>
        </w:rPr>
        <w:t>51</w:t>
      </w:r>
    </w:p>
    <w:p>
      <w:pPr>
        <w:spacing w:before="3"/>
        <w:ind w:left="160" w:right="0" w:firstLine="0"/>
        <w:jc w:val="left"/>
        <w:rPr>
          <w:sz w:val="20"/>
        </w:rPr>
      </w:pPr>
      <w:r>
        <w:rPr>
          <w:sz w:val="20"/>
        </w:rPr>
        <w:t>52</w:t>
      </w:r>
    </w:p>
    <w:p>
      <w:pPr>
        <w:spacing w:before="3"/>
        <w:ind w:left="160" w:right="0" w:firstLine="0"/>
        <w:jc w:val="left"/>
        <w:rPr>
          <w:sz w:val="20"/>
        </w:rPr>
      </w:pPr>
      <w:r>
        <w:rPr>
          <w:sz w:val="20"/>
        </w:rPr>
        <w:t>53</w:t>
      </w:r>
    </w:p>
    <w:p>
      <w:pPr>
        <w:spacing w:before="3"/>
        <w:ind w:left="160" w:right="0" w:firstLine="0"/>
        <w:jc w:val="left"/>
        <w:rPr>
          <w:sz w:val="20"/>
        </w:rPr>
      </w:pPr>
      <w:r>
        <w:rPr>
          <w:sz w:val="20"/>
        </w:rPr>
        <w:t>54</w:t>
      </w:r>
    </w:p>
    <w:p>
      <w:pPr>
        <w:spacing w:before="3"/>
        <w:ind w:left="160" w:right="0" w:firstLine="0"/>
        <w:jc w:val="left"/>
        <w:rPr>
          <w:sz w:val="20"/>
        </w:rPr>
      </w:pPr>
      <w:r>
        <w:rPr>
          <w:sz w:val="20"/>
        </w:rPr>
        <w:t>55</w:t>
      </w:r>
    </w:p>
    <w:p>
      <w:pPr>
        <w:spacing w:before="3"/>
        <w:ind w:left="160" w:right="0" w:firstLine="0"/>
        <w:jc w:val="left"/>
        <w:rPr>
          <w:sz w:val="20"/>
        </w:rPr>
      </w:pPr>
      <w:r>
        <w:rPr>
          <w:sz w:val="20"/>
        </w:rPr>
        <w:t>56</w:t>
      </w:r>
    </w:p>
    <w:p>
      <w:pPr>
        <w:spacing w:before="3"/>
        <w:ind w:left="160" w:right="0" w:firstLine="0"/>
        <w:jc w:val="left"/>
        <w:rPr>
          <w:sz w:val="20"/>
        </w:rPr>
      </w:pPr>
      <w:r>
        <w:rPr>
          <w:sz w:val="20"/>
        </w:rPr>
        <w:t>57</w:t>
      </w:r>
    </w:p>
    <w:p>
      <w:pPr>
        <w:spacing w:before="3"/>
        <w:ind w:left="160" w:right="0" w:firstLine="0"/>
        <w:jc w:val="left"/>
        <w:rPr>
          <w:sz w:val="20"/>
        </w:rPr>
      </w:pPr>
      <w:r>
        <w:rPr>
          <w:sz w:val="20"/>
        </w:rPr>
        <w:t>58</w:t>
      </w:r>
    </w:p>
    <w:p>
      <w:pPr>
        <w:spacing w:after="0"/>
        <w:jc w:val="left"/>
        <w:rPr>
          <w:sz w:val="20"/>
        </w:rPr>
        <w:sectPr>
          <w:headerReference w:type="default" r:id="rId67"/>
          <w:footerReference w:type="default" r:id="rId68"/>
          <w:pgSz w:w="12240" w:h="15840"/>
          <w:pgMar w:header="0" w:footer="1150" w:top="140" w:bottom="1340" w:left="0" w:right="40"/>
        </w:sectPr>
      </w:pPr>
    </w:p>
    <w:p>
      <w:pPr>
        <w:tabs>
          <w:tab w:pos="4652" w:val="left" w:leader="none"/>
        </w:tabs>
        <w:spacing w:before="56"/>
        <w:ind w:left="160" w:right="0" w:firstLine="0"/>
        <w:jc w:val="left"/>
        <w:rPr>
          <w:b/>
          <w:sz w:val="20"/>
        </w:rPr>
      </w:pPr>
      <w:r>
        <w:rPr>
          <w:b/>
          <w:sz w:val="20"/>
        </w:rPr>
        <w:t>Page 9</w:t>
      </w:r>
      <w:r>
        <w:rPr>
          <w:b/>
          <w:spacing w:val="-1"/>
          <w:sz w:val="20"/>
        </w:rPr>
        <w:t> </w:t>
      </w:r>
      <w:r>
        <w:rPr>
          <w:b/>
          <w:sz w:val="20"/>
        </w:rPr>
        <w:t>of</w:t>
      </w:r>
      <w:r>
        <w:rPr>
          <w:b/>
          <w:spacing w:val="-1"/>
          <w:sz w:val="20"/>
        </w:rPr>
        <w:t> </w:t>
      </w:r>
      <w:r>
        <w:rPr>
          <w:b/>
          <w:sz w:val="20"/>
        </w:rPr>
        <w:t>13</w:t>
        <w:tab/>
        <w:t>Pesquisa Veterinária</w:t>
      </w:r>
      <w:r>
        <w:rPr>
          <w:b/>
          <w:spacing w:val="-11"/>
          <w:sz w:val="20"/>
        </w:rPr>
        <w:t> </w:t>
      </w:r>
      <w:r>
        <w:rPr>
          <w:b/>
          <w:sz w:val="20"/>
        </w:rPr>
        <w:t>Brasileira</w:t>
      </w:r>
    </w:p>
    <w:p>
      <w:pPr>
        <w:pStyle w:val="BodyText"/>
        <w:spacing w:before="4"/>
        <w:rPr>
          <w:b/>
          <w:sz w:val="19"/>
        </w:rPr>
      </w:pPr>
    </w:p>
    <w:p>
      <w:pPr>
        <w:spacing w:line="230" w:lineRule="exact" w:before="56"/>
        <w:ind w:left="0" w:right="111" w:firstLine="0"/>
        <w:jc w:val="right"/>
        <w:rPr>
          <w:rFonts w:ascii="Calibri"/>
          <w:sz w:val="22"/>
        </w:rPr>
      </w:pPr>
      <w:r>
        <w:rPr>
          <w:rFonts w:ascii="Calibri"/>
          <w:w w:val="100"/>
          <w:sz w:val="22"/>
        </w:rPr>
        <w:t>9</w:t>
      </w:r>
    </w:p>
    <w:p>
      <w:pPr>
        <w:spacing w:line="191" w:lineRule="exact" w:before="0"/>
        <w:ind w:left="160" w:right="0" w:firstLine="0"/>
        <w:jc w:val="left"/>
        <w:rPr>
          <w:sz w:val="20"/>
        </w:rPr>
      </w:pPr>
      <w:r>
        <w:rPr>
          <w:sz w:val="20"/>
        </w:rPr>
        <w:t>1</w:t>
      </w:r>
    </w:p>
    <w:p>
      <w:pPr>
        <w:pStyle w:val="Heading3"/>
        <w:tabs>
          <w:tab w:pos="5404" w:val="left" w:leader="none"/>
        </w:tabs>
        <w:spacing w:line="256" w:lineRule="exact" w:before="6"/>
        <w:ind w:left="160" w:right="0"/>
        <w:rPr>
          <w:rFonts w:ascii="Cambria"/>
        </w:rPr>
      </w:pPr>
      <w:r>
        <w:rPr>
          <w:b w:val="0"/>
          <w:position w:val="4"/>
          <w:sz w:val="20"/>
        </w:rPr>
        <w:t>2</w:t>
        <w:tab/>
      </w:r>
      <w:r>
        <w:rPr>
          <w:rFonts w:ascii="Cambria"/>
        </w:rPr>
        <w:t>REFERENCES</w:t>
      </w:r>
    </w:p>
    <w:p>
      <w:pPr>
        <w:spacing w:line="204" w:lineRule="exact" w:before="0"/>
        <w:ind w:left="160" w:right="0" w:firstLine="0"/>
        <w:jc w:val="left"/>
        <w:rPr>
          <w:sz w:val="20"/>
        </w:rPr>
      </w:pPr>
      <w:r>
        <w:rPr>
          <w:sz w:val="20"/>
        </w:rPr>
        <w:t>3</w:t>
      </w:r>
    </w:p>
    <w:p>
      <w:pPr>
        <w:pStyle w:val="ListParagraph"/>
        <w:numPr>
          <w:ilvl w:val="0"/>
          <w:numId w:val="83"/>
        </w:numPr>
        <w:tabs>
          <w:tab w:pos="1132" w:val="left" w:leader="none"/>
          <w:tab w:pos="1133" w:val="left" w:leader="none"/>
        </w:tabs>
        <w:spacing w:line="266" w:lineRule="exact" w:before="3" w:after="0"/>
        <w:ind w:left="1132" w:right="0" w:hanging="972"/>
        <w:jc w:val="left"/>
        <w:rPr>
          <w:sz w:val="24"/>
        </w:rPr>
      </w:pPr>
      <w:r>
        <w:rPr>
          <w:sz w:val="24"/>
        </w:rPr>
        <w:t>Anderson  R.B.,  Aronson  L.R.,  Drobatz  K.J.  &amp;  Atilla  A.  2006.  Prognosis  factors  for   </w:t>
      </w:r>
      <w:r>
        <w:rPr>
          <w:spacing w:val="21"/>
          <w:sz w:val="24"/>
        </w:rPr>
        <w:t> </w:t>
      </w:r>
      <w:r>
        <w:rPr>
          <w:sz w:val="24"/>
        </w:rPr>
        <w:t>successful</w:t>
      </w:r>
    </w:p>
    <w:p>
      <w:pPr>
        <w:pStyle w:val="ListParagraph"/>
        <w:numPr>
          <w:ilvl w:val="0"/>
          <w:numId w:val="83"/>
        </w:numPr>
        <w:tabs>
          <w:tab w:pos="1415" w:val="left" w:leader="none"/>
          <w:tab w:pos="1416" w:val="left" w:leader="none"/>
        </w:tabs>
        <w:spacing w:line="257" w:lineRule="exact" w:before="0" w:after="0"/>
        <w:ind w:left="1416" w:right="0" w:hanging="1256"/>
        <w:jc w:val="left"/>
        <w:rPr>
          <w:sz w:val="24"/>
        </w:rPr>
      </w:pPr>
      <w:r>
        <w:rPr>
          <w:sz w:val="24"/>
        </w:rPr>
        <w:t>outcome following urethral rupture in dogs and cats. J. Am. Anim. Hosp. Assoc.</w:t>
      </w:r>
      <w:r>
        <w:rPr>
          <w:spacing w:val="-36"/>
          <w:sz w:val="24"/>
        </w:rPr>
        <w:t> </w:t>
      </w:r>
      <w:r>
        <w:rPr>
          <w:sz w:val="24"/>
        </w:rPr>
        <w:t>42:136-146.</w:t>
      </w:r>
    </w:p>
    <w:p>
      <w:pPr>
        <w:pStyle w:val="ListParagraph"/>
        <w:numPr>
          <w:ilvl w:val="0"/>
          <w:numId w:val="83"/>
        </w:numPr>
        <w:tabs>
          <w:tab w:pos="1132" w:val="left" w:leader="none"/>
          <w:tab w:pos="1133" w:val="left" w:leader="none"/>
        </w:tabs>
        <w:spacing w:line="342" w:lineRule="exact" w:before="0" w:after="0"/>
        <w:ind w:left="1132" w:right="0" w:hanging="972"/>
        <w:jc w:val="left"/>
        <w:rPr>
          <w:sz w:val="24"/>
        </w:rPr>
      </w:pPr>
      <w:r>
        <w:rPr/>
        <w:pict>
          <v:shape style="position:absolute;margin-left:8pt;margin-top:10.559739pt;width:5.6pt;height:10pt;mso-position-horizontal-relative:page;mso-position-vertical-relative:paragraph;z-index:-92248" type="#_x0000_t202" filled="false" stroked="false">
            <v:textbox inset="0,0,0,0">
              <w:txbxContent>
                <w:p>
                  <w:pPr>
                    <w:spacing w:line="196" w:lineRule="exact" w:before="0"/>
                    <w:ind w:left="0" w:right="0" w:firstLine="0"/>
                    <w:jc w:val="left"/>
                    <w:rPr>
                      <w:sz w:val="20"/>
                    </w:rPr>
                  </w:pPr>
                  <w:r>
                    <w:rPr>
                      <w:sz w:val="20"/>
                    </w:rPr>
                    <w:t>7</w:t>
                  </w:r>
                </w:p>
              </w:txbxContent>
            </v:textbox>
            <w10:wrap type="none"/>
          </v:shape>
        </w:pict>
      </w:r>
      <w:r>
        <w:rPr>
          <w:sz w:val="24"/>
        </w:rPr>
        <w:t>Bailiff  </w:t>
      </w:r>
      <w:r>
        <w:rPr>
          <w:spacing w:val="9"/>
          <w:sz w:val="24"/>
        </w:rPr>
        <w:t> </w:t>
      </w:r>
      <w:r>
        <w:rPr>
          <w:sz w:val="24"/>
        </w:rPr>
        <w:t>N.L.,</w:t>
      </w:r>
      <w:r>
        <w:rPr>
          <w:spacing w:val="33"/>
          <w:sz w:val="24"/>
        </w:rPr>
        <w:t> </w:t>
      </w:r>
      <w:r>
        <w:rPr>
          <w:sz w:val="24"/>
        </w:rPr>
        <w:t>Westropp</w:t>
      </w:r>
      <w:r>
        <w:rPr>
          <w:spacing w:val="30"/>
          <w:sz w:val="24"/>
        </w:rPr>
        <w:t> </w:t>
      </w:r>
      <w:r>
        <w:rPr>
          <w:sz w:val="24"/>
        </w:rPr>
        <w:t>J.L.,</w:t>
      </w:r>
      <w:r>
        <w:rPr>
          <w:spacing w:val="33"/>
          <w:sz w:val="24"/>
        </w:rPr>
        <w:t> </w:t>
      </w:r>
      <w:r>
        <w:rPr>
          <w:sz w:val="24"/>
        </w:rPr>
        <w:t>Nelson</w:t>
      </w:r>
      <w:r>
        <w:rPr>
          <w:spacing w:val="32"/>
          <w:sz w:val="24"/>
        </w:rPr>
        <w:t> </w:t>
      </w:r>
      <w:r>
        <w:rPr>
          <w:sz w:val="24"/>
        </w:rPr>
        <w:t>R.W.,</w:t>
      </w:r>
      <w:r>
        <w:rPr>
          <w:spacing w:val="33"/>
          <w:sz w:val="24"/>
        </w:rPr>
        <w:t> </w:t>
      </w:r>
      <w:r>
        <w:rPr>
          <w:sz w:val="24"/>
        </w:rPr>
        <w:t>Sykes</w:t>
      </w:r>
      <w:r>
        <w:rPr>
          <w:spacing w:val="29"/>
          <w:sz w:val="24"/>
        </w:rPr>
        <w:t> </w:t>
      </w:r>
      <w:r>
        <w:rPr>
          <w:sz w:val="24"/>
        </w:rPr>
        <w:t>J.E.,</w:t>
      </w:r>
      <w:r>
        <w:rPr>
          <w:spacing w:val="32"/>
          <w:sz w:val="24"/>
        </w:rPr>
        <w:t> </w:t>
      </w:r>
      <w:r>
        <w:rPr>
          <w:sz w:val="24"/>
        </w:rPr>
        <w:t>Owens</w:t>
      </w:r>
      <w:r>
        <w:rPr>
          <w:spacing w:val="32"/>
          <w:sz w:val="24"/>
        </w:rPr>
        <w:t> </w:t>
      </w:r>
      <w:r>
        <w:rPr>
          <w:sz w:val="24"/>
        </w:rPr>
        <w:t>S.D.</w:t>
      </w:r>
      <w:r>
        <w:rPr>
          <w:spacing w:val="32"/>
          <w:sz w:val="24"/>
        </w:rPr>
        <w:t> </w:t>
      </w:r>
      <w:r>
        <w:rPr>
          <w:sz w:val="24"/>
        </w:rPr>
        <w:t>&amp;</w:t>
      </w:r>
      <w:r>
        <w:rPr>
          <w:spacing w:val="32"/>
          <w:sz w:val="24"/>
        </w:rPr>
        <w:t> </w:t>
      </w:r>
      <w:r>
        <w:rPr>
          <w:sz w:val="24"/>
        </w:rPr>
        <w:t>Kass</w:t>
      </w:r>
      <w:r>
        <w:rPr>
          <w:spacing w:val="32"/>
          <w:sz w:val="24"/>
        </w:rPr>
        <w:t> </w:t>
      </w:r>
      <w:r>
        <w:rPr>
          <w:sz w:val="24"/>
        </w:rPr>
        <w:t>P.H.</w:t>
      </w:r>
      <w:r>
        <w:rPr>
          <w:spacing w:val="32"/>
          <w:sz w:val="24"/>
        </w:rPr>
        <w:t> </w:t>
      </w:r>
      <w:r>
        <w:rPr>
          <w:sz w:val="24"/>
        </w:rPr>
        <w:t>2008.</w:t>
      </w:r>
      <w:r>
        <w:rPr>
          <w:spacing w:val="32"/>
          <w:sz w:val="24"/>
        </w:rPr>
        <w:t> </w:t>
      </w:r>
      <w:r>
        <w:rPr>
          <w:sz w:val="24"/>
        </w:rPr>
        <w:t>Evaluation</w:t>
      </w:r>
      <w:r>
        <w:rPr>
          <w:spacing w:val="32"/>
          <w:sz w:val="24"/>
        </w:rPr>
        <w:t> </w:t>
      </w:r>
      <w:r>
        <w:rPr>
          <w:sz w:val="24"/>
        </w:rPr>
        <w:t>of</w:t>
      </w:r>
    </w:p>
    <w:p>
      <w:pPr>
        <w:pStyle w:val="BodyText"/>
        <w:tabs>
          <w:tab w:pos="1415" w:val="left" w:leader="none"/>
        </w:tabs>
        <w:spacing w:line="290" w:lineRule="exact"/>
        <w:ind w:left="160"/>
        <w:rPr>
          <w:rFonts w:ascii="Cambria"/>
        </w:rPr>
      </w:pPr>
      <w:r>
        <w:rPr>
          <w:position w:val="-2"/>
          <w:sz w:val="20"/>
        </w:rPr>
        <w:t>8</w:t>
        <w:tab/>
      </w:r>
      <w:r>
        <w:rPr>
          <w:rFonts w:ascii="Cambria"/>
        </w:rPr>
        <w:t>urine specific gravity and urine sediment as risk factors for urinary tract infections in cats.</w:t>
      </w:r>
      <w:r>
        <w:rPr>
          <w:rFonts w:ascii="Cambria"/>
          <w:spacing w:val="-18"/>
        </w:rPr>
        <w:t> </w:t>
      </w:r>
      <w:r>
        <w:rPr>
          <w:rFonts w:ascii="Cambria"/>
        </w:rPr>
        <w:t>Vet.</w:t>
      </w:r>
    </w:p>
    <w:p>
      <w:pPr>
        <w:pStyle w:val="BodyText"/>
        <w:tabs>
          <w:tab w:pos="1415" w:val="left" w:leader="none"/>
        </w:tabs>
        <w:spacing w:line="256" w:lineRule="exact"/>
        <w:ind w:left="160"/>
        <w:rPr>
          <w:rFonts w:ascii="Cambria" w:hAnsi="Cambria"/>
        </w:rPr>
      </w:pPr>
      <w:r>
        <w:rPr>
          <w:position w:val="2"/>
          <w:sz w:val="20"/>
        </w:rPr>
        <w:t>9</w:t>
        <w:tab/>
      </w:r>
      <w:r>
        <w:rPr>
          <w:rFonts w:ascii="Cambria" w:hAnsi="Cambria"/>
        </w:rPr>
        <w:t>Clin. Pathol.</w:t>
      </w:r>
      <w:r>
        <w:rPr>
          <w:rFonts w:ascii="Cambria" w:hAnsi="Cambria"/>
          <w:spacing w:val="-12"/>
        </w:rPr>
        <w:t> </w:t>
      </w:r>
      <w:r>
        <w:rPr>
          <w:rFonts w:ascii="Cambria" w:hAnsi="Cambria"/>
        </w:rPr>
        <w:t>37:317–322.</w:t>
      </w:r>
    </w:p>
    <w:p>
      <w:pPr>
        <w:pStyle w:val="ListParagraph"/>
        <w:numPr>
          <w:ilvl w:val="0"/>
          <w:numId w:val="84"/>
        </w:numPr>
        <w:tabs>
          <w:tab w:pos="1132" w:val="left" w:leader="none"/>
          <w:tab w:pos="1133" w:val="left" w:leader="none"/>
        </w:tabs>
        <w:spacing w:line="261" w:lineRule="exact" w:before="0" w:after="0"/>
        <w:ind w:left="1132" w:right="0" w:hanging="972"/>
        <w:jc w:val="left"/>
        <w:rPr>
          <w:sz w:val="24"/>
        </w:rPr>
      </w:pPr>
      <w:r>
        <w:rPr>
          <w:sz w:val="24"/>
        </w:rPr>
        <w:t>Bartges</w:t>
      </w:r>
      <w:r>
        <w:rPr>
          <w:spacing w:val="-5"/>
          <w:sz w:val="24"/>
        </w:rPr>
        <w:t> </w:t>
      </w:r>
      <w:r>
        <w:rPr>
          <w:sz w:val="24"/>
        </w:rPr>
        <w:t>J.W.</w:t>
      </w:r>
      <w:r>
        <w:rPr>
          <w:spacing w:val="-4"/>
          <w:sz w:val="24"/>
        </w:rPr>
        <w:t> </w:t>
      </w:r>
      <w:r>
        <w:rPr>
          <w:sz w:val="24"/>
        </w:rPr>
        <w:t>2004.</w:t>
      </w:r>
      <w:r>
        <w:rPr>
          <w:spacing w:val="-4"/>
          <w:sz w:val="24"/>
        </w:rPr>
        <w:t> </w:t>
      </w:r>
      <w:r>
        <w:rPr>
          <w:sz w:val="24"/>
        </w:rPr>
        <w:t>Diagnosis</w:t>
      </w:r>
      <w:r>
        <w:rPr>
          <w:spacing w:val="-5"/>
          <w:sz w:val="24"/>
        </w:rPr>
        <w:t> </w:t>
      </w:r>
      <w:r>
        <w:rPr>
          <w:sz w:val="24"/>
        </w:rPr>
        <w:t>of</w:t>
      </w:r>
      <w:r>
        <w:rPr>
          <w:spacing w:val="-6"/>
          <w:sz w:val="24"/>
        </w:rPr>
        <w:t> </w:t>
      </w:r>
      <w:r>
        <w:rPr>
          <w:sz w:val="24"/>
        </w:rPr>
        <w:t>urinary</w:t>
      </w:r>
      <w:r>
        <w:rPr>
          <w:spacing w:val="-6"/>
          <w:sz w:val="24"/>
        </w:rPr>
        <w:t> </w:t>
      </w:r>
      <w:r>
        <w:rPr>
          <w:sz w:val="24"/>
        </w:rPr>
        <w:t>infections.</w:t>
      </w:r>
      <w:r>
        <w:rPr>
          <w:spacing w:val="-4"/>
          <w:sz w:val="24"/>
        </w:rPr>
        <w:t> </w:t>
      </w:r>
      <w:r>
        <w:rPr>
          <w:sz w:val="24"/>
        </w:rPr>
        <w:t>Vet.</w:t>
      </w:r>
      <w:r>
        <w:rPr>
          <w:spacing w:val="-4"/>
          <w:sz w:val="24"/>
        </w:rPr>
        <w:t> </w:t>
      </w:r>
      <w:r>
        <w:rPr>
          <w:sz w:val="24"/>
        </w:rPr>
        <w:t>Clin.-Small.</w:t>
      </w:r>
      <w:r>
        <w:rPr>
          <w:spacing w:val="-4"/>
          <w:sz w:val="24"/>
        </w:rPr>
        <w:t> </w:t>
      </w:r>
      <w:r>
        <w:rPr>
          <w:sz w:val="24"/>
        </w:rPr>
        <w:t>Anim.</w:t>
      </w:r>
      <w:r>
        <w:rPr>
          <w:spacing w:val="-4"/>
          <w:sz w:val="24"/>
        </w:rPr>
        <w:t> </w:t>
      </w:r>
      <w:r>
        <w:rPr>
          <w:sz w:val="24"/>
        </w:rPr>
        <w:t>3:4923–933.</w:t>
      </w:r>
    </w:p>
    <w:p>
      <w:pPr>
        <w:pStyle w:val="ListParagraph"/>
        <w:numPr>
          <w:ilvl w:val="0"/>
          <w:numId w:val="84"/>
        </w:numPr>
        <w:tabs>
          <w:tab w:pos="1132" w:val="left" w:leader="none"/>
          <w:tab w:pos="1133" w:val="left" w:leader="none"/>
        </w:tabs>
        <w:spacing w:line="255" w:lineRule="exact" w:before="0" w:after="0"/>
        <w:ind w:left="1132" w:right="0" w:hanging="972"/>
        <w:jc w:val="left"/>
        <w:rPr>
          <w:sz w:val="24"/>
        </w:rPr>
      </w:pPr>
      <w:r>
        <w:rPr>
          <w:sz w:val="24"/>
        </w:rPr>
        <w:t>Black</w:t>
      </w:r>
      <w:r>
        <w:rPr>
          <w:spacing w:val="20"/>
          <w:sz w:val="24"/>
        </w:rPr>
        <w:t> </w:t>
      </w:r>
      <w:r>
        <w:rPr>
          <w:sz w:val="24"/>
        </w:rPr>
        <w:t>G.M.,</w:t>
      </w:r>
      <w:r>
        <w:rPr>
          <w:spacing w:val="22"/>
          <w:sz w:val="24"/>
        </w:rPr>
        <w:t> </w:t>
      </w:r>
      <w:r>
        <w:rPr>
          <w:sz w:val="24"/>
        </w:rPr>
        <w:t>Ling</w:t>
      </w:r>
      <w:r>
        <w:rPr>
          <w:spacing w:val="20"/>
          <w:sz w:val="24"/>
        </w:rPr>
        <w:t> </w:t>
      </w:r>
      <w:r>
        <w:rPr>
          <w:sz w:val="24"/>
        </w:rPr>
        <w:t>G.V.,</w:t>
      </w:r>
      <w:r>
        <w:rPr>
          <w:spacing w:val="22"/>
          <w:sz w:val="24"/>
        </w:rPr>
        <w:t> </w:t>
      </w:r>
      <w:r>
        <w:rPr>
          <w:sz w:val="24"/>
        </w:rPr>
        <w:t>Nyland</w:t>
      </w:r>
      <w:r>
        <w:rPr>
          <w:spacing w:val="20"/>
          <w:sz w:val="24"/>
        </w:rPr>
        <w:t> </w:t>
      </w:r>
      <w:r>
        <w:rPr>
          <w:sz w:val="24"/>
        </w:rPr>
        <w:t>T.G.</w:t>
      </w:r>
      <w:r>
        <w:rPr>
          <w:spacing w:val="22"/>
          <w:sz w:val="24"/>
        </w:rPr>
        <w:t> </w:t>
      </w:r>
      <w:r>
        <w:rPr>
          <w:sz w:val="24"/>
        </w:rPr>
        <w:t>&amp;</w:t>
      </w:r>
      <w:r>
        <w:rPr>
          <w:spacing w:val="22"/>
          <w:sz w:val="24"/>
        </w:rPr>
        <w:t> </w:t>
      </w:r>
      <w:r>
        <w:rPr>
          <w:sz w:val="24"/>
        </w:rPr>
        <w:t>Baker</w:t>
      </w:r>
      <w:r>
        <w:rPr>
          <w:spacing w:val="20"/>
          <w:sz w:val="24"/>
        </w:rPr>
        <w:t> </w:t>
      </w:r>
      <w:r>
        <w:rPr>
          <w:sz w:val="24"/>
        </w:rPr>
        <w:t>T.</w:t>
      </w:r>
      <w:r>
        <w:rPr>
          <w:spacing w:val="22"/>
          <w:sz w:val="24"/>
        </w:rPr>
        <w:t> </w:t>
      </w:r>
      <w:r>
        <w:rPr>
          <w:sz w:val="24"/>
        </w:rPr>
        <w:t>1998.</w:t>
      </w:r>
      <w:r>
        <w:rPr>
          <w:spacing w:val="20"/>
          <w:sz w:val="24"/>
        </w:rPr>
        <w:t> </w:t>
      </w:r>
      <w:r>
        <w:rPr>
          <w:sz w:val="24"/>
        </w:rPr>
        <w:t>Prevalence</w:t>
      </w:r>
      <w:r>
        <w:rPr>
          <w:spacing w:val="21"/>
          <w:sz w:val="24"/>
        </w:rPr>
        <w:t> </w:t>
      </w:r>
      <w:r>
        <w:rPr>
          <w:sz w:val="24"/>
        </w:rPr>
        <w:t>of</w:t>
      </w:r>
      <w:r>
        <w:rPr>
          <w:spacing w:val="20"/>
          <w:sz w:val="24"/>
        </w:rPr>
        <w:t> </w:t>
      </w:r>
      <w:r>
        <w:rPr>
          <w:sz w:val="24"/>
        </w:rPr>
        <w:t>prostatic</w:t>
      </w:r>
      <w:r>
        <w:rPr>
          <w:spacing w:val="20"/>
          <w:sz w:val="24"/>
        </w:rPr>
        <w:t> </w:t>
      </w:r>
      <w:r>
        <w:rPr>
          <w:sz w:val="24"/>
        </w:rPr>
        <w:t>cysts</w:t>
      </w:r>
      <w:r>
        <w:rPr>
          <w:spacing w:val="21"/>
          <w:sz w:val="24"/>
        </w:rPr>
        <w:t> </w:t>
      </w:r>
      <w:r>
        <w:rPr>
          <w:sz w:val="24"/>
        </w:rPr>
        <w:t>in</w:t>
      </w:r>
      <w:r>
        <w:rPr>
          <w:spacing w:val="21"/>
          <w:sz w:val="24"/>
        </w:rPr>
        <w:t> </w:t>
      </w:r>
      <w:r>
        <w:rPr>
          <w:sz w:val="24"/>
        </w:rPr>
        <w:t>adult,</w:t>
      </w:r>
      <w:r>
        <w:rPr>
          <w:spacing w:val="22"/>
          <w:sz w:val="24"/>
        </w:rPr>
        <w:t> </w:t>
      </w:r>
      <w:r>
        <w:rPr>
          <w:sz w:val="24"/>
        </w:rPr>
        <w:t>large-</w:t>
      </w:r>
    </w:p>
    <w:p>
      <w:pPr>
        <w:spacing w:line="116" w:lineRule="exact" w:before="0"/>
        <w:ind w:left="160" w:right="0" w:firstLine="0"/>
        <w:jc w:val="left"/>
        <w:rPr>
          <w:sz w:val="20"/>
        </w:rPr>
      </w:pPr>
      <w:r>
        <w:rPr>
          <w:sz w:val="20"/>
        </w:rPr>
        <w:t>12</w:t>
      </w:r>
    </w:p>
    <w:p>
      <w:pPr>
        <w:pStyle w:val="ListParagraph"/>
        <w:numPr>
          <w:ilvl w:val="0"/>
          <w:numId w:val="85"/>
        </w:numPr>
        <w:tabs>
          <w:tab w:pos="1415" w:val="left" w:leader="none"/>
          <w:tab w:pos="1417" w:val="left" w:leader="none"/>
        </w:tabs>
        <w:spacing w:line="257" w:lineRule="exact" w:before="0" w:after="0"/>
        <w:ind w:left="1416" w:right="0" w:hanging="1256"/>
        <w:jc w:val="left"/>
        <w:rPr>
          <w:sz w:val="24"/>
        </w:rPr>
      </w:pPr>
      <w:r>
        <w:rPr>
          <w:sz w:val="24"/>
        </w:rPr>
        <w:t>breed dogs. J. Am. Anim. Hosp. Assoc.</w:t>
      </w:r>
      <w:r>
        <w:rPr>
          <w:spacing w:val="-18"/>
          <w:sz w:val="24"/>
        </w:rPr>
        <w:t> </w:t>
      </w:r>
      <w:r>
        <w:rPr>
          <w:sz w:val="24"/>
        </w:rPr>
        <w:t>34:177–80.</w:t>
      </w:r>
    </w:p>
    <w:p>
      <w:pPr>
        <w:pStyle w:val="ListParagraph"/>
        <w:numPr>
          <w:ilvl w:val="0"/>
          <w:numId w:val="85"/>
        </w:numPr>
        <w:tabs>
          <w:tab w:pos="1132" w:val="left" w:leader="none"/>
          <w:tab w:pos="1133" w:val="left" w:leader="none"/>
        </w:tabs>
        <w:spacing w:line="256" w:lineRule="exact" w:before="0" w:after="0"/>
        <w:ind w:left="1132" w:right="0" w:hanging="972"/>
        <w:jc w:val="left"/>
        <w:rPr>
          <w:sz w:val="24"/>
        </w:rPr>
      </w:pPr>
      <w:r>
        <w:rPr/>
        <w:pict>
          <v:shape style="position:absolute;margin-left:116.872412pt;margin-top:172.932691pt;width:376.45pt;height:48pt;mso-position-horizontal-relative:page;mso-position-vertical-relative:paragraph;z-index:-92272;rotation:51" type="#_x0000_t136" fillcolor="#d6f1fe" stroked="f">
            <o:extrusion v:ext="view" autorotationcenter="t"/>
            <v:textpath style="font-family:&amp;quot;Arial&amp;quot;;font-size:48pt;v-text-kern:t;mso-text-shadow:auto;font-weight:bold" string="For Review Only"/>
            <w10:wrap type="none"/>
          </v:shape>
        </w:pict>
      </w:r>
      <w:r>
        <w:rPr>
          <w:sz w:val="24"/>
        </w:rPr>
        <w:t>Bubenik L. &amp; Hosgood G. 2008. Urinary tract infection in dogs with thoracolumbar </w:t>
      </w:r>
      <w:r>
        <w:rPr>
          <w:spacing w:val="4"/>
          <w:sz w:val="24"/>
        </w:rPr>
        <w:t> </w:t>
      </w:r>
      <w:r>
        <w:rPr>
          <w:sz w:val="24"/>
        </w:rPr>
        <w:t>intervertebral</w:t>
      </w:r>
    </w:p>
    <w:p>
      <w:pPr>
        <w:pStyle w:val="ListParagraph"/>
        <w:numPr>
          <w:ilvl w:val="0"/>
          <w:numId w:val="85"/>
        </w:numPr>
        <w:tabs>
          <w:tab w:pos="1415" w:val="left" w:leader="none"/>
          <w:tab w:pos="1417" w:val="left" w:leader="none"/>
        </w:tabs>
        <w:spacing w:line="261" w:lineRule="exact" w:before="0" w:after="0"/>
        <w:ind w:left="1416" w:right="0" w:hanging="1256"/>
        <w:jc w:val="left"/>
        <w:rPr>
          <w:sz w:val="24"/>
        </w:rPr>
      </w:pPr>
      <w:r>
        <w:rPr>
          <w:sz w:val="24"/>
        </w:rPr>
        <w:t>disc  herniation  and urinary bladder dysfunction  managed by manual expression,  </w:t>
      </w:r>
      <w:r>
        <w:rPr>
          <w:spacing w:val="2"/>
          <w:sz w:val="24"/>
        </w:rPr>
        <w:t> </w:t>
      </w:r>
      <w:r>
        <w:rPr>
          <w:sz w:val="24"/>
        </w:rPr>
        <w:t>indwelling</w:t>
      </w:r>
    </w:p>
    <w:p>
      <w:pPr>
        <w:pStyle w:val="ListParagraph"/>
        <w:numPr>
          <w:ilvl w:val="0"/>
          <w:numId w:val="85"/>
        </w:numPr>
        <w:tabs>
          <w:tab w:pos="1415" w:val="left" w:leader="none"/>
          <w:tab w:pos="1417" w:val="left" w:leader="none"/>
        </w:tabs>
        <w:spacing w:line="257" w:lineRule="exact" w:before="0" w:after="0"/>
        <w:ind w:left="1416" w:right="0" w:hanging="1256"/>
        <w:jc w:val="left"/>
        <w:rPr>
          <w:sz w:val="24"/>
        </w:rPr>
      </w:pPr>
      <w:r>
        <w:rPr>
          <w:sz w:val="24"/>
        </w:rPr>
        <w:t>catheterization or intermittent catheterization. Vet. Surg.</w:t>
      </w:r>
      <w:r>
        <w:rPr>
          <w:spacing w:val="-34"/>
          <w:sz w:val="24"/>
        </w:rPr>
        <w:t> </w:t>
      </w:r>
      <w:r>
        <w:rPr>
          <w:sz w:val="24"/>
        </w:rPr>
        <w:t>37:791-800.</w:t>
      </w:r>
    </w:p>
    <w:p>
      <w:pPr>
        <w:pStyle w:val="ListParagraph"/>
        <w:numPr>
          <w:ilvl w:val="0"/>
          <w:numId w:val="85"/>
        </w:numPr>
        <w:tabs>
          <w:tab w:pos="1132" w:val="left" w:leader="none"/>
          <w:tab w:pos="1133" w:val="left" w:leader="none"/>
        </w:tabs>
        <w:spacing w:line="257" w:lineRule="exact" w:before="0" w:after="0"/>
        <w:ind w:left="1132" w:right="0" w:hanging="972"/>
        <w:jc w:val="left"/>
        <w:rPr>
          <w:sz w:val="24"/>
        </w:rPr>
      </w:pPr>
      <w:r>
        <w:rPr>
          <w:sz w:val="24"/>
        </w:rPr>
        <w:t>Cohn</w:t>
      </w:r>
      <w:r>
        <w:rPr>
          <w:spacing w:val="32"/>
          <w:sz w:val="24"/>
        </w:rPr>
        <w:t> </w:t>
      </w:r>
      <w:r>
        <w:rPr>
          <w:sz w:val="24"/>
        </w:rPr>
        <w:t>L.A.,</w:t>
      </w:r>
      <w:r>
        <w:rPr>
          <w:spacing w:val="33"/>
          <w:sz w:val="24"/>
        </w:rPr>
        <w:t> </w:t>
      </w:r>
      <w:r>
        <w:rPr>
          <w:sz w:val="24"/>
        </w:rPr>
        <w:t>Gary</w:t>
      </w:r>
      <w:r>
        <w:rPr>
          <w:spacing w:val="31"/>
          <w:sz w:val="24"/>
        </w:rPr>
        <w:t> </w:t>
      </w:r>
      <w:r>
        <w:rPr>
          <w:sz w:val="24"/>
        </w:rPr>
        <w:t>A.T.,</w:t>
      </w:r>
      <w:r>
        <w:rPr>
          <w:spacing w:val="33"/>
          <w:sz w:val="24"/>
        </w:rPr>
        <w:t> </w:t>
      </w:r>
      <w:r>
        <w:rPr>
          <w:sz w:val="24"/>
        </w:rPr>
        <w:t>Fales</w:t>
      </w:r>
      <w:r>
        <w:rPr>
          <w:spacing w:val="32"/>
          <w:sz w:val="24"/>
        </w:rPr>
        <w:t> </w:t>
      </w:r>
      <w:r>
        <w:rPr>
          <w:sz w:val="24"/>
        </w:rPr>
        <w:t>W.H.</w:t>
      </w:r>
      <w:r>
        <w:rPr>
          <w:spacing w:val="33"/>
          <w:sz w:val="24"/>
        </w:rPr>
        <w:t> </w:t>
      </w:r>
      <w:r>
        <w:rPr>
          <w:sz w:val="24"/>
        </w:rPr>
        <w:t>&amp;</w:t>
      </w:r>
      <w:r>
        <w:rPr>
          <w:spacing w:val="30"/>
          <w:sz w:val="24"/>
        </w:rPr>
        <w:t> </w:t>
      </w:r>
      <w:r>
        <w:rPr>
          <w:sz w:val="24"/>
        </w:rPr>
        <w:t>Madsen</w:t>
      </w:r>
      <w:r>
        <w:rPr>
          <w:spacing w:val="30"/>
          <w:sz w:val="24"/>
        </w:rPr>
        <w:t> </w:t>
      </w:r>
      <w:r>
        <w:rPr>
          <w:sz w:val="24"/>
        </w:rPr>
        <w:t>R.W.</w:t>
      </w:r>
      <w:r>
        <w:rPr>
          <w:spacing w:val="33"/>
          <w:sz w:val="24"/>
        </w:rPr>
        <w:t> </w:t>
      </w:r>
      <w:r>
        <w:rPr>
          <w:sz w:val="24"/>
        </w:rPr>
        <w:t>2003.</w:t>
      </w:r>
      <w:r>
        <w:rPr>
          <w:spacing w:val="33"/>
          <w:sz w:val="24"/>
        </w:rPr>
        <w:t> </w:t>
      </w:r>
      <w:r>
        <w:rPr>
          <w:sz w:val="24"/>
        </w:rPr>
        <w:t>Trends</w:t>
      </w:r>
      <w:r>
        <w:rPr>
          <w:spacing w:val="32"/>
          <w:sz w:val="24"/>
        </w:rPr>
        <w:t> </w:t>
      </w:r>
      <w:r>
        <w:rPr>
          <w:sz w:val="24"/>
        </w:rPr>
        <w:t>in</w:t>
      </w:r>
      <w:r>
        <w:rPr>
          <w:spacing w:val="32"/>
          <w:sz w:val="24"/>
        </w:rPr>
        <w:t> </w:t>
      </w:r>
      <w:r>
        <w:rPr>
          <w:sz w:val="24"/>
        </w:rPr>
        <w:t>fluoroquinolone</w:t>
      </w:r>
      <w:r>
        <w:rPr>
          <w:spacing w:val="32"/>
          <w:sz w:val="24"/>
        </w:rPr>
        <w:t> </w:t>
      </w:r>
      <w:r>
        <w:rPr>
          <w:sz w:val="24"/>
        </w:rPr>
        <w:t>resistance</w:t>
      </w:r>
      <w:r>
        <w:rPr>
          <w:spacing w:val="32"/>
          <w:sz w:val="24"/>
        </w:rPr>
        <w:t> </w:t>
      </w:r>
      <w:r>
        <w:rPr>
          <w:sz w:val="24"/>
        </w:rPr>
        <w:t>of</w:t>
      </w:r>
    </w:p>
    <w:p>
      <w:pPr>
        <w:spacing w:line="115" w:lineRule="exact" w:before="0"/>
        <w:ind w:left="160" w:right="0" w:firstLine="0"/>
        <w:jc w:val="left"/>
        <w:rPr>
          <w:sz w:val="20"/>
        </w:rPr>
      </w:pPr>
      <w:r>
        <w:rPr>
          <w:sz w:val="20"/>
        </w:rPr>
        <w:t>18</w:t>
      </w:r>
    </w:p>
    <w:p>
      <w:pPr>
        <w:pStyle w:val="ListParagraph"/>
        <w:numPr>
          <w:ilvl w:val="0"/>
          <w:numId w:val="86"/>
        </w:numPr>
        <w:tabs>
          <w:tab w:pos="1415" w:val="left" w:leader="none"/>
          <w:tab w:pos="1417" w:val="left" w:leader="none"/>
        </w:tabs>
        <w:spacing w:line="253" w:lineRule="exact" w:before="0" w:after="0"/>
        <w:ind w:left="1416" w:right="0" w:hanging="1256"/>
        <w:jc w:val="left"/>
        <w:rPr>
          <w:sz w:val="24"/>
        </w:rPr>
      </w:pPr>
      <w:r>
        <w:rPr>
          <w:sz w:val="24"/>
        </w:rPr>
        <w:t>bacteria isolated from canine urinary tracts. J. Vet. Diagn. Invest.</w:t>
      </w:r>
      <w:r>
        <w:rPr>
          <w:spacing w:val="-36"/>
          <w:sz w:val="24"/>
        </w:rPr>
        <w:t> </w:t>
      </w:r>
      <w:r>
        <w:rPr>
          <w:sz w:val="24"/>
        </w:rPr>
        <w:t>15:338–343.</w:t>
      </w:r>
    </w:p>
    <w:p>
      <w:pPr>
        <w:pStyle w:val="ListParagraph"/>
        <w:numPr>
          <w:ilvl w:val="0"/>
          <w:numId w:val="86"/>
        </w:numPr>
        <w:tabs>
          <w:tab w:pos="1132" w:val="left" w:leader="none"/>
          <w:tab w:pos="1133" w:val="left" w:leader="none"/>
        </w:tabs>
        <w:spacing w:line="261" w:lineRule="exact" w:before="0" w:after="0"/>
        <w:ind w:left="1132" w:right="0" w:hanging="972"/>
        <w:jc w:val="left"/>
        <w:rPr>
          <w:sz w:val="24"/>
        </w:rPr>
      </w:pPr>
      <w:r>
        <w:rPr>
          <w:position w:val="2"/>
          <w:sz w:val="24"/>
        </w:rPr>
        <w:t>Del-Angel-Caraza J., Diez-Prieto I., Perez-García C.C. &amp; García-Rodríguez M.B. 2010.   </w:t>
      </w:r>
      <w:r>
        <w:rPr>
          <w:spacing w:val="1"/>
          <w:position w:val="2"/>
          <w:sz w:val="24"/>
        </w:rPr>
        <w:t> </w:t>
      </w:r>
      <w:r>
        <w:rPr>
          <w:position w:val="2"/>
          <w:sz w:val="24"/>
        </w:rPr>
        <w:t>Composition</w:t>
      </w:r>
    </w:p>
    <w:p>
      <w:pPr>
        <w:pStyle w:val="ListParagraph"/>
        <w:numPr>
          <w:ilvl w:val="0"/>
          <w:numId w:val="86"/>
        </w:numPr>
        <w:tabs>
          <w:tab w:pos="1415" w:val="left" w:leader="none"/>
          <w:tab w:pos="1417" w:val="left" w:leader="none"/>
        </w:tabs>
        <w:spacing w:line="260" w:lineRule="exact" w:before="0" w:after="0"/>
        <w:ind w:left="1416" w:right="0" w:hanging="1256"/>
        <w:jc w:val="left"/>
        <w:rPr>
          <w:sz w:val="24"/>
        </w:rPr>
      </w:pPr>
      <w:r>
        <w:rPr>
          <w:sz w:val="24"/>
        </w:rPr>
        <w:t>of lower urinary tract stones in canines in México city. Urol. Res.</w:t>
      </w:r>
      <w:r>
        <w:rPr>
          <w:spacing w:val="-32"/>
          <w:sz w:val="24"/>
        </w:rPr>
        <w:t> </w:t>
      </w:r>
      <w:r>
        <w:rPr>
          <w:sz w:val="24"/>
        </w:rPr>
        <w:t>38:201–204.</w:t>
      </w:r>
    </w:p>
    <w:p>
      <w:pPr>
        <w:pStyle w:val="ListParagraph"/>
        <w:numPr>
          <w:ilvl w:val="0"/>
          <w:numId w:val="86"/>
        </w:numPr>
        <w:tabs>
          <w:tab w:pos="1132" w:val="left" w:leader="none"/>
          <w:tab w:pos="1133" w:val="left" w:leader="none"/>
        </w:tabs>
        <w:spacing w:line="257" w:lineRule="exact" w:before="0" w:after="0"/>
        <w:ind w:left="1132" w:right="0" w:hanging="972"/>
        <w:jc w:val="left"/>
        <w:rPr>
          <w:sz w:val="24"/>
        </w:rPr>
      </w:pPr>
      <w:r>
        <w:rPr>
          <w:sz w:val="24"/>
        </w:rPr>
        <w:t>Fischer J. &amp; Lane I. 2007. Incontinence and urine retention, p.26–40. In: Brainbridge, J. &amp; Elliott,</w:t>
      </w:r>
      <w:r>
        <w:rPr>
          <w:spacing w:val="-14"/>
          <w:sz w:val="24"/>
        </w:rPr>
        <w:t> </w:t>
      </w:r>
      <w:r>
        <w:rPr>
          <w:sz w:val="24"/>
        </w:rPr>
        <w:t>J.,</w:t>
      </w:r>
    </w:p>
    <w:p>
      <w:pPr>
        <w:pStyle w:val="ListParagraph"/>
        <w:numPr>
          <w:ilvl w:val="0"/>
          <w:numId w:val="86"/>
        </w:numPr>
        <w:tabs>
          <w:tab w:pos="1415" w:val="left" w:leader="none"/>
          <w:tab w:pos="1417" w:val="left" w:leader="none"/>
        </w:tabs>
        <w:spacing w:line="258" w:lineRule="exact" w:before="0" w:after="0"/>
        <w:ind w:left="1416" w:right="0" w:hanging="1256"/>
        <w:jc w:val="left"/>
        <w:rPr>
          <w:sz w:val="24"/>
        </w:rPr>
      </w:pPr>
      <w:r>
        <w:rPr>
          <w:sz w:val="24"/>
        </w:rPr>
        <w:t>(Eds),</w:t>
      </w:r>
      <w:r>
        <w:rPr>
          <w:spacing w:val="42"/>
          <w:sz w:val="24"/>
        </w:rPr>
        <w:t> </w:t>
      </w:r>
      <w:r>
        <w:rPr>
          <w:sz w:val="24"/>
        </w:rPr>
        <w:t>Manual</w:t>
      </w:r>
      <w:r>
        <w:rPr>
          <w:spacing w:val="40"/>
          <w:sz w:val="24"/>
        </w:rPr>
        <w:t> </w:t>
      </w:r>
      <w:r>
        <w:rPr>
          <w:sz w:val="24"/>
        </w:rPr>
        <w:t>of</w:t>
      </w:r>
      <w:r>
        <w:rPr>
          <w:spacing w:val="40"/>
          <w:sz w:val="24"/>
        </w:rPr>
        <w:t> </w:t>
      </w:r>
      <w:r>
        <w:rPr>
          <w:sz w:val="24"/>
        </w:rPr>
        <w:t>Canine</w:t>
      </w:r>
      <w:r>
        <w:rPr>
          <w:spacing w:val="42"/>
          <w:sz w:val="24"/>
        </w:rPr>
        <w:t> </w:t>
      </w:r>
      <w:r>
        <w:rPr>
          <w:sz w:val="24"/>
        </w:rPr>
        <w:t>and</w:t>
      </w:r>
      <w:r>
        <w:rPr>
          <w:spacing w:val="40"/>
          <w:sz w:val="24"/>
        </w:rPr>
        <w:t> </w:t>
      </w:r>
      <w:r>
        <w:rPr>
          <w:sz w:val="24"/>
        </w:rPr>
        <w:t>Feline</w:t>
      </w:r>
      <w:r>
        <w:rPr>
          <w:spacing w:val="42"/>
          <w:sz w:val="24"/>
        </w:rPr>
        <w:t> </w:t>
      </w:r>
      <w:r>
        <w:rPr>
          <w:sz w:val="24"/>
        </w:rPr>
        <w:t>Nephrology</w:t>
      </w:r>
      <w:r>
        <w:rPr>
          <w:spacing w:val="40"/>
          <w:sz w:val="24"/>
        </w:rPr>
        <w:t> </w:t>
      </w:r>
      <w:r>
        <w:rPr>
          <w:sz w:val="24"/>
        </w:rPr>
        <w:t>and</w:t>
      </w:r>
      <w:r>
        <w:rPr>
          <w:spacing w:val="40"/>
          <w:sz w:val="24"/>
        </w:rPr>
        <w:t> </w:t>
      </w:r>
      <w:r>
        <w:rPr>
          <w:sz w:val="24"/>
        </w:rPr>
        <w:t>Urology,</w:t>
      </w:r>
      <w:r>
        <w:rPr>
          <w:spacing w:val="42"/>
          <w:sz w:val="24"/>
        </w:rPr>
        <w:t> </w:t>
      </w:r>
      <w:r>
        <w:rPr>
          <w:sz w:val="24"/>
        </w:rPr>
        <w:t>2nd</w:t>
      </w:r>
      <w:r>
        <w:rPr>
          <w:spacing w:val="40"/>
          <w:sz w:val="24"/>
        </w:rPr>
        <w:t> </w:t>
      </w:r>
      <w:r>
        <w:rPr>
          <w:sz w:val="24"/>
        </w:rPr>
        <w:t>ed.</w:t>
      </w:r>
      <w:r>
        <w:rPr>
          <w:spacing w:val="42"/>
          <w:sz w:val="24"/>
        </w:rPr>
        <w:t> </w:t>
      </w:r>
      <w:r>
        <w:rPr>
          <w:sz w:val="24"/>
        </w:rPr>
        <w:t>British</w:t>
      </w:r>
      <w:r>
        <w:rPr>
          <w:spacing w:val="41"/>
          <w:sz w:val="24"/>
        </w:rPr>
        <w:t> </w:t>
      </w:r>
      <w:r>
        <w:rPr>
          <w:sz w:val="24"/>
        </w:rPr>
        <w:t>Small</w:t>
      </w:r>
      <w:r>
        <w:rPr>
          <w:spacing w:val="40"/>
          <w:sz w:val="24"/>
        </w:rPr>
        <w:t> </w:t>
      </w:r>
      <w:r>
        <w:rPr>
          <w:sz w:val="24"/>
        </w:rPr>
        <w:t>Animal</w:t>
      </w:r>
    </w:p>
    <w:p>
      <w:pPr>
        <w:spacing w:line="115" w:lineRule="exact" w:before="0"/>
        <w:ind w:left="160" w:right="0" w:firstLine="0"/>
        <w:jc w:val="left"/>
        <w:rPr>
          <w:sz w:val="20"/>
        </w:rPr>
      </w:pPr>
      <w:r>
        <w:rPr>
          <w:sz w:val="20"/>
        </w:rPr>
        <w:t>24</w:t>
      </w:r>
    </w:p>
    <w:p>
      <w:pPr>
        <w:pStyle w:val="ListParagraph"/>
        <w:numPr>
          <w:ilvl w:val="0"/>
          <w:numId w:val="87"/>
        </w:numPr>
        <w:tabs>
          <w:tab w:pos="1415" w:val="left" w:leader="none"/>
          <w:tab w:pos="1417" w:val="left" w:leader="none"/>
        </w:tabs>
        <w:spacing w:line="258" w:lineRule="exact" w:before="0" w:after="0"/>
        <w:ind w:left="1416" w:right="0" w:hanging="1256"/>
        <w:jc w:val="left"/>
        <w:rPr>
          <w:sz w:val="24"/>
        </w:rPr>
      </w:pPr>
      <w:r>
        <w:rPr>
          <w:sz w:val="24"/>
        </w:rPr>
        <w:t>Veterinary Association, Gloucester,</w:t>
      </w:r>
      <w:r>
        <w:rPr>
          <w:spacing w:val="-19"/>
          <w:sz w:val="24"/>
        </w:rPr>
        <w:t> </w:t>
      </w:r>
      <w:r>
        <w:rPr>
          <w:sz w:val="24"/>
        </w:rPr>
        <w:t>UK.</w:t>
      </w:r>
    </w:p>
    <w:p>
      <w:pPr>
        <w:pStyle w:val="ListParagraph"/>
        <w:numPr>
          <w:ilvl w:val="0"/>
          <w:numId w:val="87"/>
        </w:numPr>
        <w:tabs>
          <w:tab w:pos="1132" w:val="left" w:leader="none"/>
          <w:tab w:pos="1133" w:val="left" w:leader="none"/>
        </w:tabs>
        <w:spacing w:line="257" w:lineRule="exact" w:before="0" w:after="0"/>
        <w:ind w:left="1132" w:right="0" w:hanging="972"/>
        <w:jc w:val="left"/>
        <w:rPr>
          <w:sz w:val="24"/>
        </w:rPr>
      </w:pPr>
      <w:r>
        <w:rPr>
          <w:position w:val="1"/>
          <w:sz w:val="24"/>
        </w:rPr>
        <w:t>Gannon  K.M. &amp; Moses L.  2002.  Uroabdomen  in  dog and cat. Compend.  Contin. Educ. Pract. </w:t>
      </w:r>
      <w:r>
        <w:rPr>
          <w:spacing w:val="13"/>
          <w:position w:val="1"/>
          <w:sz w:val="24"/>
        </w:rPr>
        <w:t> </w:t>
      </w:r>
      <w:r>
        <w:rPr>
          <w:position w:val="1"/>
          <w:sz w:val="24"/>
        </w:rPr>
        <w:t>Vet.</w:t>
      </w:r>
    </w:p>
    <w:p>
      <w:pPr>
        <w:tabs>
          <w:tab w:pos="1415" w:val="left" w:leader="none"/>
        </w:tabs>
        <w:spacing w:line="256" w:lineRule="exact" w:before="2"/>
        <w:ind w:left="160" w:right="0" w:firstLine="0"/>
        <w:jc w:val="left"/>
        <w:rPr>
          <w:rFonts w:ascii="Cambria"/>
          <w:sz w:val="24"/>
        </w:rPr>
      </w:pPr>
      <w:r>
        <w:rPr>
          <w:position w:val="4"/>
          <w:sz w:val="20"/>
        </w:rPr>
        <w:t>27</w:t>
        <w:tab/>
      </w:r>
      <w:r>
        <w:rPr>
          <w:rFonts w:ascii="Cambria"/>
          <w:sz w:val="24"/>
        </w:rPr>
        <w:t>24:604-612.</w:t>
      </w:r>
    </w:p>
    <w:p>
      <w:pPr>
        <w:pStyle w:val="ListParagraph"/>
        <w:numPr>
          <w:ilvl w:val="0"/>
          <w:numId w:val="88"/>
        </w:numPr>
        <w:tabs>
          <w:tab w:pos="1132" w:val="left" w:leader="none"/>
          <w:tab w:pos="1133" w:val="left" w:leader="none"/>
        </w:tabs>
        <w:spacing w:line="261" w:lineRule="exact" w:before="0" w:after="0"/>
        <w:ind w:left="1132" w:right="0" w:hanging="972"/>
        <w:jc w:val="left"/>
        <w:rPr>
          <w:i/>
          <w:sz w:val="24"/>
        </w:rPr>
      </w:pPr>
      <w:r>
        <w:rPr>
          <w:sz w:val="24"/>
        </w:rPr>
        <w:t>Gnanandarajah  J.S., Abrahantee J.E.,  Lulich,  J.P. &amp; Murtaugh  M.P.  2012.  Presence of</w:t>
      </w:r>
      <w:r>
        <w:rPr>
          <w:spacing w:val="5"/>
          <w:sz w:val="24"/>
        </w:rPr>
        <w:t> </w:t>
      </w:r>
      <w:r>
        <w:rPr>
          <w:i/>
          <w:sz w:val="24"/>
        </w:rPr>
        <w:t>Oxalobacter</w:t>
      </w:r>
    </w:p>
    <w:p>
      <w:pPr>
        <w:pStyle w:val="ListParagraph"/>
        <w:numPr>
          <w:ilvl w:val="0"/>
          <w:numId w:val="88"/>
        </w:numPr>
        <w:tabs>
          <w:tab w:pos="1415" w:val="left" w:leader="none"/>
          <w:tab w:pos="1416" w:val="left" w:leader="none"/>
        </w:tabs>
        <w:spacing w:line="326" w:lineRule="exact" w:before="0" w:after="0"/>
        <w:ind w:left="1415" w:right="0" w:hanging="1255"/>
        <w:jc w:val="left"/>
        <w:rPr>
          <w:sz w:val="24"/>
        </w:rPr>
      </w:pPr>
      <w:r>
        <w:rPr/>
        <w:pict>
          <v:shape style="position:absolute;margin-left:8pt;margin-top:10.850737pt;width:11.15pt;height:10pt;mso-position-horizontal-relative:page;mso-position-vertical-relative:paragraph;z-index:-92224" type="#_x0000_t202" filled="false" stroked="false">
            <v:textbox inset="0,0,0,0">
              <w:txbxContent>
                <w:p>
                  <w:pPr>
                    <w:spacing w:line="196" w:lineRule="exact" w:before="0"/>
                    <w:ind w:left="0" w:right="-20" w:firstLine="0"/>
                    <w:jc w:val="left"/>
                    <w:rPr>
                      <w:sz w:val="20"/>
                    </w:rPr>
                  </w:pPr>
                  <w:r>
                    <w:rPr>
                      <w:sz w:val="20"/>
                    </w:rPr>
                    <w:t>30</w:t>
                  </w:r>
                </w:p>
              </w:txbxContent>
            </v:textbox>
            <w10:wrap type="none"/>
          </v:shape>
        </w:pict>
      </w:r>
      <w:r>
        <w:rPr>
          <w:i/>
          <w:sz w:val="24"/>
        </w:rPr>
        <w:t>formigenes  </w:t>
      </w:r>
      <w:r>
        <w:rPr>
          <w:sz w:val="24"/>
        </w:rPr>
        <w:t>in  the  intestinal  tract  is  associated with  the  absence  of  calcium  oxalate</w:t>
      </w:r>
      <w:r>
        <w:rPr>
          <w:spacing w:val="-17"/>
          <w:sz w:val="24"/>
        </w:rPr>
        <w:t> </w:t>
      </w:r>
      <w:r>
        <w:rPr>
          <w:sz w:val="24"/>
        </w:rPr>
        <w:t>urolith</w:t>
      </w:r>
    </w:p>
    <w:p>
      <w:pPr>
        <w:pStyle w:val="ListParagraph"/>
        <w:numPr>
          <w:ilvl w:val="0"/>
          <w:numId w:val="89"/>
        </w:numPr>
        <w:tabs>
          <w:tab w:pos="1415" w:val="left" w:leader="none"/>
          <w:tab w:pos="1417" w:val="left" w:leader="none"/>
        </w:tabs>
        <w:spacing w:line="302" w:lineRule="exact" w:before="0" w:after="0"/>
        <w:ind w:left="1416" w:right="0" w:hanging="1256"/>
        <w:jc w:val="left"/>
        <w:rPr>
          <w:sz w:val="24"/>
        </w:rPr>
      </w:pPr>
      <w:r>
        <w:rPr>
          <w:sz w:val="24"/>
        </w:rPr>
        <w:t>formation in dogs. Urol. Res.</w:t>
      </w:r>
      <w:r>
        <w:rPr>
          <w:spacing w:val="-19"/>
          <w:sz w:val="24"/>
        </w:rPr>
        <w:t> </w:t>
      </w:r>
      <w:r>
        <w:rPr>
          <w:sz w:val="24"/>
        </w:rPr>
        <w:t>40:467-473.</w:t>
      </w:r>
    </w:p>
    <w:p>
      <w:pPr>
        <w:pStyle w:val="ListParagraph"/>
        <w:numPr>
          <w:ilvl w:val="0"/>
          <w:numId w:val="89"/>
        </w:numPr>
        <w:tabs>
          <w:tab w:pos="1132" w:val="left" w:leader="none"/>
          <w:tab w:pos="1133" w:val="left" w:leader="none"/>
        </w:tabs>
        <w:spacing w:line="258" w:lineRule="exact" w:before="0" w:after="0"/>
        <w:ind w:left="1132" w:right="0" w:hanging="972"/>
        <w:jc w:val="left"/>
        <w:rPr>
          <w:sz w:val="24"/>
        </w:rPr>
      </w:pPr>
      <w:r>
        <w:rPr>
          <w:sz w:val="24"/>
        </w:rPr>
        <w:t>Gobello</w:t>
      </w:r>
      <w:r>
        <w:rPr>
          <w:spacing w:val="20"/>
          <w:sz w:val="24"/>
        </w:rPr>
        <w:t> </w:t>
      </w:r>
      <w:r>
        <w:rPr>
          <w:sz w:val="24"/>
        </w:rPr>
        <w:t>C.</w:t>
      </w:r>
      <w:r>
        <w:rPr>
          <w:spacing w:val="21"/>
          <w:sz w:val="24"/>
        </w:rPr>
        <w:t> </w:t>
      </w:r>
      <w:r>
        <w:rPr>
          <w:sz w:val="24"/>
        </w:rPr>
        <w:t>&amp;</w:t>
      </w:r>
      <w:r>
        <w:rPr>
          <w:spacing w:val="21"/>
          <w:sz w:val="24"/>
        </w:rPr>
        <w:t> </w:t>
      </w:r>
      <w:r>
        <w:rPr>
          <w:sz w:val="24"/>
        </w:rPr>
        <w:t>Corrada</w:t>
      </w:r>
      <w:r>
        <w:rPr>
          <w:spacing w:val="20"/>
          <w:sz w:val="24"/>
        </w:rPr>
        <w:t> </w:t>
      </w:r>
      <w:r>
        <w:rPr>
          <w:sz w:val="24"/>
        </w:rPr>
        <w:t>Y.</w:t>
      </w:r>
      <w:r>
        <w:rPr>
          <w:spacing w:val="21"/>
          <w:sz w:val="24"/>
        </w:rPr>
        <w:t> </w:t>
      </w:r>
      <w:r>
        <w:rPr>
          <w:sz w:val="24"/>
        </w:rPr>
        <w:t>2002.</w:t>
      </w:r>
      <w:r>
        <w:rPr>
          <w:spacing w:val="21"/>
          <w:sz w:val="24"/>
        </w:rPr>
        <w:t> </w:t>
      </w:r>
      <w:r>
        <w:rPr>
          <w:sz w:val="24"/>
        </w:rPr>
        <w:t>Noninfectious</w:t>
      </w:r>
      <w:r>
        <w:rPr>
          <w:spacing w:val="20"/>
          <w:sz w:val="24"/>
        </w:rPr>
        <w:t> </w:t>
      </w:r>
      <w:r>
        <w:rPr>
          <w:sz w:val="24"/>
        </w:rPr>
        <w:t>prostatic</w:t>
      </w:r>
      <w:r>
        <w:rPr>
          <w:spacing w:val="19"/>
          <w:sz w:val="24"/>
        </w:rPr>
        <w:t> </w:t>
      </w:r>
      <w:r>
        <w:rPr>
          <w:sz w:val="24"/>
        </w:rPr>
        <w:t>diseases</w:t>
      </w:r>
      <w:r>
        <w:rPr>
          <w:spacing w:val="20"/>
          <w:sz w:val="24"/>
        </w:rPr>
        <w:t> </w:t>
      </w:r>
      <w:r>
        <w:rPr>
          <w:sz w:val="24"/>
        </w:rPr>
        <w:t>in</w:t>
      </w:r>
      <w:r>
        <w:rPr>
          <w:spacing w:val="19"/>
          <w:sz w:val="24"/>
        </w:rPr>
        <w:t> </w:t>
      </w:r>
      <w:r>
        <w:rPr>
          <w:sz w:val="24"/>
        </w:rPr>
        <w:t>dogs.</w:t>
      </w:r>
      <w:r>
        <w:rPr>
          <w:spacing w:val="21"/>
          <w:sz w:val="24"/>
        </w:rPr>
        <w:t> </w:t>
      </w:r>
      <w:r>
        <w:rPr>
          <w:sz w:val="24"/>
        </w:rPr>
        <w:t>Compend.</w:t>
      </w:r>
      <w:r>
        <w:rPr>
          <w:spacing w:val="21"/>
          <w:sz w:val="24"/>
        </w:rPr>
        <w:t> </w:t>
      </w:r>
      <w:r>
        <w:rPr>
          <w:sz w:val="24"/>
        </w:rPr>
        <w:t>Contin.</w:t>
      </w:r>
      <w:r>
        <w:rPr>
          <w:spacing w:val="19"/>
          <w:sz w:val="24"/>
        </w:rPr>
        <w:t> </w:t>
      </w:r>
      <w:r>
        <w:rPr>
          <w:sz w:val="24"/>
        </w:rPr>
        <w:t>Educ.</w:t>
      </w:r>
    </w:p>
    <w:p>
      <w:pPr>
        <w:pStyle w:val="BodyText"/>
        <w:tabs>
          <w:tab w:pos="1415" w:val="left" w:leader="none"/>
        </w:tabs>
        <w:spacing w:line="260" w:lineRule="exact"/>
        <w:ind w:left="160"/>
        <w:rPr>
          <w:rFonts w:ascii="Cambria" w:hAnsi="Cambria"/>
        </w:rPr>
      </w:pPr>
      <w:r>
        <w:rPr>
          <w:position w:val="5"/>
          <w:sz w:val="20"/>
        </w:rPr>
        <w:t>33</w:t>
        <w:tab/>
      </w:r>
      <w:r>
        <w:rPr>
          <w:rFonts w:ascii="Cambria" w:hAnsi="Cambria"/>
        </w:rPr>
        <w:t>Pract. Vet.</w:t>
      </w:r>
      <w:r>
        <w:rPr>
          <w:rFonts w:ascii="Cambria" w:hAnsi="Cambria"/>
          <w:spacing w:val="-11"/>
        </w:rPr>
        <w:t> </w:t>
      </w:r>
      <w:r>
        <w:rPr>
          <w:rFonts w:ascii="Cambria" w:hAnsi="Cambria"/>
        </w:rPr>
        <w:t>24:99–107.</w:t>
      </w:r>
    </w:p>
    <w:p>
      <w:pPr>
        <w:pStyle w:val="ListParagraph"/>
        <w:numPr>
          <w:ilvl w:val="0"/>
          <w:numId w:val="90"/>
        </w:numPr>
        <w:tabs>
          <w:tab w:pos="1132" w:val="left" w:leader="none"/>
          <w:tab w:pos="1133" w:val="left" w:leader="none"/>
        </w:tabs>
        <w:spacing w:line="256" w:lineRule="exact" w:before="0" w:after="0"/>
        <w:ind w:left="1132" w:right="0" w:hanging="972"/>
        <w:jc w:val="left"/>
        <w:rPr>
          <w:sz w:val="24"/>
        </w:rPr>
      </w:pPr>
      <w:r>
        <w:rPr>
          <w:sz w:val="24"/>
        </w:rPr>
        <w:t>Hayes</w:t>
      </w:r>
      <w:r>
        <w:rPr>
          <w:spacing w:val="40"/>
          <w:sz w:val="24"/>
        </w:rPr>
        <w:t> </w:t>
      </w:r>
      <w:r>
        <w:rPr>
          <w:sz w:val="24"/>
        </w:rPr>
        <w:t>H.M.</w:t>
      </w:r>
      <w:r>
        <w:rPr>
          <w:spacing w:val="39"/>
          <w:sz w:val="24"/>
        </w:rPr>
        <w:t> </w:t>
      </w:r>
      <w:r>
        <w:rPr>
          <w:sz w:val="24"/>
        </w:rPr>
        <w:t>1994.</w:t>
      </w:r>
      <w:r>
        <w:rPr>
          <w:spacing w:val="41"/>
          <w:sz w:val="24"/>
        </w:rPr>
        <w:t> </w:t>
      </w:r>
      <w:r>
        <w:rPr>
          <w:sz w:val="24"/>
        </w:rPr>
        <w:t>Breed</w:t>
      </w:r>
      <w:r>
        <w:rPr>
          <w:spacing w:val="39"/>
          <w:sz w:val="24"/>
        </w:rPr>
        <w:t> </w:t>
      </w:r>
      <w:r>
        <w:rPr>
          <w:sz w:val="24"/>
        </w:rPr>
        <w:t>associations</w:t>
      </w:r>
      <w:r>
        <w:rPr>
          <w:spacing w:val="40"/>
          <w:sz w:val="24"/>
        </w:rPr>
        <w:t> </w:t>
      </w:r>
      <w:r>
        <w:rPr>
          <w:sz w:val="24"/>
        </w:rPr>
        <w:t>of</w:t>
      </w:r>
      <w:r>
        <w:rPr>
          <w:spacing w:val="39"/>
          <w:sz w:val="24"/>
        </w:rPr>
        <w:t> </w:t>
      </w:r>
      <w:r>
        <w:rPr>
          <w:sz w:val="24"/>
        </w:rPr>
        <w:t>canine</w:t>
      </w:r>
      <w:r>
        <w:rPr>
          <w:spacing w:val="41"/>
          <w:sz w:val="24"/>
        </w:rPr>
        <w:t> </w:t>
      </w:r>
      <w:r>
        <w:rPr>
          <w:sz w:val="24"/>
        </w:rPr>
        <w:t>ectopic</w:t>
      </w:r>
      <w:r>
        <w:rPr>
          <w:spacing w:val="37"/>
          <w:sz w:val="24"/>
        </w:rPr>
        <w:t> </w:t>
      </w:r>
      <w:r>
        <w:rPr>
          <w:sz w:val="24"/>
        </w:rPr>
        <w:t>ureter:</w:t>
      </w:r>
      <w:r>
        <w:rPr>
          <w:spacing w:val="39"/>
          <w:sz w:val="24"/>
        </w:rPr>
        <w:t> </w:t>
      </w:r>
      <w:r>
        <w:rPr>
          <w:sz w:val="24"/>
        </w:rPr>
        <w:t>a</w:t>
      </w:r>
      <w:r>
        <w:rPr>
          <w:spacing w:val="40"/>
          <w:sz w:val="24"/>
        </w:rPr>
        <w:t> </w:t>
      </w:r>
      <w:r>
        <w:rPr>
          <w:sz w:val="24"/>
        </w:rPr>
        <w:t>study</w:t>
      </w:r>
      <w:r>
        <w:rPr>
          <w:spacing w:val="39"/>
          <w:sz w:val="24"/>
        </w:rPr>
        <w:t> </w:t>
      </w:r>
      <w:r>
        <w:rPr>
          <w:sz w:val="24"/>
        </w:rPr>
        <w:t>of</w:t>
      </w:r>
      <w:r>
        <w:rPr>
          <w:spacing w:val="39"/>
          <w:sz w:val="24"/>
        </w:rPr>
        <w:t> </w:t>
      </w:r>
      <w:r>
        <w:rPr>
          <w:sz w:val="24"/>
        </w:rPr>
        <w:t>217</w:t>
      </w:r>
      <w:r>
        <w:rPr>
          <w:spacing w:val="39"/>
          <w:sz w:val="24"/>
        </w:rPr>
        <w:t> </w:t>
      </w:r>
      <w:r>
        <w:rPr>
          <w:sz w:val="24"/>
        </w:rPr>
        <w:t>female</w:t>
      </w:r>
      <w:r>
        <w:rPr>
          <w:spacing w:val="40"/>
          <w:sz w:val="24"/>
        </w:rPr>
        <w:t> </w:t>
      </w:r>
      <w:r>
        <w:rPr>
          <w:sz w:val="24"/>
        </w:rPr>
        <w:t>cases.</w:t>
      </w:r>
      <w:r>
        <w:rPr>
          <w:spacing w:val="41"/>
          <w:sz w:val="24"/>
        </w:rPr>
        <w:t> </w:t>
      </w:r>
      <w:r>
        <w:rPr>
          <w:sz w:val="24"/>
        </w:rPr>
        <w:t>J.</w:t>
      </w:r>
    </w:p>
    <w:p>
      <w:pPr>
        <w:pStyle w:val="ListParagraph"/>
        <w:numPr>
          <w:ilvl w:val="0"/>
          <w:numId w:val="90"/>
        </w:numPr>
        <w:tabs>
          <w:tab w:pos="1415" w:val="left" w:leader="none"/>
          <w:tab w:pos="1417" w:val="left" w:leader="none"/>
        </w:tabs>
        <w:spacing w:line="331" w:lineRule="exact" w:before="0" w:after="0"/>
        <w:ind w:left="1416" w:right="0" w:hanging="1256"/>
        <w:jc w:val="left"/>
        <w:rPr>
          <w:sz w:val="24"/>
        </w:rPr>
      </w:pPr>
      <w:r>
        <w:rPr/>
        <w:pict>
          <v:shape style="position:absolute;margin-left:8pt;margin-top:10.782729pt;width:11.15pt;height:10pt;mso-position-horizontal-relative:page;mso-position-vertical-relative:paragraph;z-index:-92200" type="#_x0000_t202" filled="false" stroked="false">
            <v:textbox inset="0,0,0,0">
              <w:txbxContent>
                <w:p>
                  <w:pPr>
                    <w:spacing w:line="196" w:lineRule="exact" w:before="0"/>
                    <w:ind w:left="0" w:right="-20" w:firstLine="0"/>
                    <w:jc w:val="left"/>
                    <w:rPr>
                      <w:sz w:val="20"/>
                    </w:rPr>
                  </w:pPr>
                  <w:r>
                    <w:rPr>
                      <w:sz w:val="20"/>
                    </w:rPr>
                    <w:t>36</w:t>
                  </w:r>
                </w:p>
              </w:txbxContent>
            </v:textbox>
            <w10:wrap type="none"/>
          </v:shape>
        </w:pict>
      </w:r>
      <w:r>
        <w:rPr>
          <w:sz w:val="24"/>
        </w:rPr>
        <w:t>Small. Anim. Pract.</w:t>
      </w:r>
      <w:r>
        <w:rPr>
          <w:spacing w:val="-18"/>
          <w:sz w:val="24"/>
        </w:rPr>
        <w:t> </w:t>
      </w:r>
      <w:r>
        <w:rPr>
          <w:sz w:val="24"/>
        </w:rPr>
        <w:t>25:501–504.</w:t>
      </w:r>
    </w:p>
    <w:p>
      <w:pPr>
        <w:pStyle w:val="ListParagraph"/>
        <w:numPr>
          <w:ilvl w:val="0"/>
          <w:numId w:val="91"/>
        </w:numPr>
        <w:tabs>
          <w:tab w:pos="1132" w:val="left" w:leader="none"/>
          <w:tab w:pos="1133" w:val="left" w:leader="none"/>
        </w:tabs>
        <w:spacing w:line="297" w:lineRule="exact" w:before="0" w:after="0"/>
        <w:ind w:left="1132" w:right="0" w:hanging="972"/>
        <w:jc w:val="left"/>
        <w:rPr>
          <w:sz w:val="24"/>
        </w:rPr>
      </w:pPr>
      <w:r>
        <w:rPr>
          <w:sz w:val="24"/>
        </w:rPr>
        <w:t>Hoelzler M.G.  &amp;  Lidbetter D.A.  2004.  Surgical  management  or urinary incontinence.  Vet.  </w:t>
      </w:r>
      <w:r>
        <w:rPr>
          <w:spacing w:val="37"/>
          <w:sz w:val="24"/>
        </w:rPr>
        <w:t> </w:t>
      </w:r>
      <w:r>
        <w:rPr>
          <w:sz w:val="24"/>
        </w:rPr>
        <w:t>Clin.</w:t>
      </w:r>
    </w:p>
    <w:p>
      <w:pPr>
        <w:pStyle w:val="ListParagraph"/>
        <w:numPr>
          <w:ilvl w:val="0"/>
          <w:numId w:val="91"/>
        </w:numPr>
        <w:tabs>
          <w:tab w:pos="1415" w:val="left" w:leader="none"/>
          <w:tab w:pos="1417" w:val="left" w:leader="none"/>
        </w:tabs>
        <w:spacing w:line="263" w:lineRule="exact" w:before="0" w:after="0"/>
        <w:ind w:left="1416" w:right="0" w:hanging="1256"/>
        <w:jc w:val="left"/>
        <w:rPr>
          <w:sz w:val="24"/>
        </w:rPr>
      </w:pPr>
      <w:r>
        <w:rPr>
          <w:sz w:val="24"/>
        </w:rPr>
        <w:t>North Am. Small. Anim.</w:t>
      </w:r>
      <w:r>
        <w:rPr>
          <w:spacing w:val="-19"/>
          <w:sz w:val="24"/>
        </w:rPr>
        <w:t> </w:t>
      </w:r>
      <w:r>
        <w:rPr>
          <w:sz w:val="24"/>
        </w:rPr>
        <w:t>34:1055-1057.</w:t>
      </w:r>
    </w:p>
    <w:p>
      <w:pPr>
        <w:pStyle w:val="ListParagraph"/>
        <w:numPr>
          <w:ilvl w:val="0"/>
          <w:numId w:val="91"/>
        </w:numPr>
        <w:tabs>
          <w:tab w:pos="1132" w:val="left" w:leader="none"/>
          <w:tab w:pos="1133" w:val="left" w:leader="none"/>
        </w:tabs>
        <w:spacing w:line="256" w:lineRule="exact" w:before="0" w:after="0"/>
        <w:ind w:left="1132" w:right="0" w:hanging="972"/>
        <w:jc w:val="left"/>
        <w:rPr>
          <w:sz w:val="24"/>
        </w:rPr>
      </w:pPr>
      <w:r>
        <w:rPr>
          <w:sz w:val="24"/>
        </w:rPr>
        <w:t>Holt</w:t>
      </w:r>
      <w:r>
        <w:rPr>
          <w:spacing w:val="30"/>
          <w:sz w:val="24"/>
        </w:rPr>
        <w:t> </w:t>
      </w:r>
      <w:r>
        <w:rPr>
          <w:sz w:val="24"/>
        </w:rPr>
        <w:t>P.E.</w:t>
      </w:r>
      <w:r>
        <w:rPr>
          <w:spacing w:val="31"/>
          <w:sz w:val="24"/>
        </w:rPr>
        <w:t> </w:t>
      </w:r>
      <w:r>
        <w:rPr>
          <w:sz w:val="24"/>
        </w:rPr>
        <w:t>&amp;</w:t>
      </w:r>
      <w:r>
        <w:rPr>
          <w:spacing w:val="30"/>
          <w:sz w:val="24"/>
        </w:rPr>
        <w:t> </w:t>
      </w:r>
      <w:r>
        <w:rPr>
          <w:sz w:val="24"/>
        </w:rPr>
        <w:t>Thrusfield</w:t>
      </w:r>
      <w:r>
        <w:rPr>
          <w:spacing w:val="29"/>
          <w:sz w:val="24"/>
        </w:rPr>
        <w:t> </w:t>
      </w:r>
      <w:r>
        <w:rPr>
          <w:sz w:val="24"/>
        </w:rPr>
        <w:t>M.V.</w:t>
      </w:r>
      <w:r>
        <w:rPr>
          <w:spacing w:val="31"/>
          <w:sz w:val="24"/>
        </w:rPr>
        <w:t> </w:t>
      </w:r>
      <w:r>
        <w:rPr>
          <w:sz w:val="24"/>
        </w:rPr>
        <w:t>1993.</w:t>
      </w:r>
      <w:r>
        <w:rPr>
          <w:spacing w:val="31"/>
          <w:sz w:val="24"/>
        </w:rPr>
        <w:t> </w:t>
      </w:r>
      <w:r>
        <w:rPr>
          <w:sz w:val="24"/>
        </w:rPr>
        <w:t>Association</w:t>
      </w:r>
      <w:r>
        <w:rPr>
          <w:spacing w:val="30"/>
          <w:sz w:val="24"/>
        </w:rPr>
        <w:t> </w:t>
      </w:r>
      <w:r>
        <w:rPr>
          <w:sz w:val="24"/>
        </w:rPr>
        <w:t>between</w:t>
      </w:r>
      <w:r>
        <w:rPr>
          <w:spacing w:val="30"/>
          <w:sz w:val="24"/>
        </w:rPr>
        <w:t> </w:t>
      </w:r>
      <w:r>
        <w:rPr>
          <w:sz w:val="24"/>
        </w:rPr>
        <w:t>breed,</w:t>
      </w:r>
      <w:r>
        <w:rPr>
          <w:spacing w:val="30"/>
          <w:sz w:val="24"/>
        </w:rPr>
        <w:t> </w:t>
      </w:r>
      <w:r>
        <w:rPr>
          <w:sz w:val="24"/>
        </w:rPr>
        <w:t>size,</w:t>
      </w:r>
      <w:r>
        <w:rPr>
          <w:spacing w:val="30"/>
          <w:sz w:val="24"/>
        </w:rPr>
        <w:t> </w:t>
      </w:r>
      <w:r>
        <w:rPr>
          <w:sz w:val="24"/>
        </w:rPr>
        <w:t>neutering</w:t>
      </w:r>
      <w:r>
        <w:rPr>
          <w:spacing w:val="28"/>
          <w:sz w:val="24"/>
        </w:rPr>
        <w:t> </w:t>
      </w:r>
      <w:r>
        <w:rPr>
          <w:sz w:val="24"/>
        </w:rPr>
        <w:t>and</w:t>
      </w:r>
      <w:r>
        <w:rPr>
          <w:spacing w:val="28"/>
          <w:sz w:val="24"/>
        </w:rPr>
        <w:t> </w:t>
      </w:r>
      <w:r>
        <w:rPr>
          <w:sz w:val="24"/>
        </w:rPr>
        <w:t>docking,</w:t>
      </w:r>
      <w:r>
        <w:rPr>
          <w:spacing w:val="33"/>
          <w:sz w:val="24"/>
        </w:rPr>
        <w:t> </w:t>
      </w:r>
      <w:r>
        <w:rPr>
          <w:sz w:val="24"/>
        </w:rPr>
        <w:t>and</w:t>
      </w:r>
    </w:p>
    <w:p>
      <w:pPr>
        <w:pStyle w:val="ListParagraph"/>
        <w:numPr>
          <w:ilvl w:val="0"/>
          <w:numId w:val="91"/>
        </w:numPr>
        <w:tabs>
          <w:tab w:pos="1416" w:val="left" w:leader="none"/>
          <w:tab w:pos="1417" w:val="left" w:leader="none"/>
        </w:tabs>
        <w:spacing w:line="256" w:lineRule="exact" w:before="0" w:after="0"/>
        <w:ind w:left="1416" w:right="0" w:hanging="1256"/>
        <w:jc w:val="left"/>
        <w:rPr>
          <w:sz w:val="24"/>
        </w:rPr>
      </w:pPr>
      <w:r>
        <w:rPr>
          <w:sz w:val="24"/>
        </w:rPr>
        <w:t>acquired urinary incontinence due to incompetence or the urethral sphincter mechanism.</w:t>
      </w:r>
      <w:r>
        <w:rPr>
          <w:spacing w:val="43"/>
          <w:sz w:val="24"/>
        </w:rPr>
        <w:t> </w:t>
      </w:r>
      <w:r>
        <w:rPr>
          <w:sz w:val="24"/>
        </w:rPr>
        <w:t>Vet.</w:t>
      </w:r>
    </w:p>
    <w:p>
      <w:pPr>
        <w:pStyle w:val="BodyText"/>
        <w:tabs>
          <w:tab w:pos="1416" w:val="left" w:leader="none"/>
        </w:tabs>
        <w:spacing w:line="336" w:lineRule="exact"/>
        <w:ind w:left="160"/>
        <w:rPr>
          <w:rFonts w:ascii="Cambria" w:hAnsi="Cambria"/>
        </w:rPr>
      </w:pPr>
      <w:r>
        <w:rPr/>
        <w:pict>
          <v:shape style="position:absolute;margin-left:8pt;margin-top:10.714737pt;width:11.15pt;height:10pt;mso-position-horizontal-relative:page;mso-position-vertical-relative:paragraph;z-index:-92176" type="#_x0000_t202" filled="false" stroked="false">
            <v:textbox inset="0,0,0,0">
              <w:txbxContent>
                <w:p>
                  <w:pPr>
                    <w:spacing w:line="196" w:lineRule="exact" w:before="0"/>
                    <w:ind w:left="0" w:right="-20" w:firstLine="0"/>
                    <w:jc w:val="left"/>
                    <w:rPr>
                      <w:sz w:val="20"/>
                    </w:rPr>
                  </w:pPr>
                  <w:r>
                    <w:rPr>
                      <w:sz w:val="20"/>
                    </w:rPr>
                    <w:t>42</w:t>
                  </w:r>
                </w:p>
              </w:txbxContent>
            </v:textbox>
            <w10:wrap type="none"/>
          </v:shape>
        </w:pict>
      </w:r>
      <w:r>
        <w:rPr>
          <w:position w:val="15"/>
          <w:sz w:val="20"/>
        </w:rPr>
        <w:t>41</w:t>
        <w:tab/>
      </w:r>
      <w:r>
        <w:rPr>
          <w:rFonts w:ascii="Cambria" w:hAnsi="Cambria"/>
        </w:rPr>
        <w:t>Rec.</w:t>
      </w:r>
      <w:r>
        <w:rPr>
          <w:rFonts w:ascii="Cambria" w:hAnsi="Cambria"/>
          <w:spacing w:val="-9"/>
        </w:rPr>
        <w:t> </w:t>
      </w:r>
      <w:r>
        <w:rPr>
          <w:rFonts w:ascii="Cambria" w:hAnsi="Cambria"/>
        </w:rPr>
        <w:t>133:177–180.</w:t>
      </w:r>
    </w:p>
    <w:p>
      <w:pPr>
        <w:pStyle w:val="ListParagraph"/>
        <w:numPr>
          <w:ilvl w:val="0"/>
          <w:numId w:val="92"/>
        </w:numPr>
        <w:tabs>
          <w:tab w:pos="1132" w:val="left" w:leader="none"/>
          <w:tab w:pos="1133" w:val="left" w:leader="none"/>
        </w:tabs>
        <w:spacing w:line="296" w:lineRule="exact" w:before="2" w:after="0"/>
        <w:ind w:left="1132" w:right="0" w:hanging="972"/>
        <w:jc w:val="left"/>
        <w:rPr>
          <w:sz w:val="24"/>
        </w:rPr>
      </w:pPr>
      <w:r>
        <w:rPr>
          <w:sz w:val="24"/>
        </w:rPr>
        <w:t>Houston</w:t>
      </w:r>
      <w:r>
        <w:rPr>
          <w:spacing w:val="16"/>
          <w:sz w:val="24"/>
        </w:rPr>
        <w:t> </w:t>
      </w:r>
      <w:r>
        <w:rPr>
          <w:sz w:val="24"/>
        </w:rPr>
        <w:t>D.M.,</w:t>
      </w:r>
      <w:r>
        <w:rPr>
          <w:spacing w:val="14"/>
          <w:sz w:val="24"/>
        </w:rPr>
        <w:t> </w:t>
      </w:r>
      <w:r>
        <w:rPr>
          <w:sz w:val="24"/>
        </w:rPr>
        <w:t>Moore</w:t>
      </w:r>
      <w:r>
        <w:rPr>
          <w:spacing w:val="16"/>
          <w:sz w:val="24"/>
        </w:rPr>
        <w:t> </w:t>
      </w:r>
      <w:r>
        <w:rPr>
          <w:sz w:val="24"/>
        </w:rPr>
        <w:t>A.E.,</w:t>
      </w:r>
      <w:r>
        <w:rPr>
          <w:spacing w:val="14"/>
          <w:sz w:val="24"/>
        </w:rPr>
        <w:t> </w:t>
      </w:r>
      <w:r>
        <w:rPr>
          <w:sz w:val="24"/>
        </w:rPr>
        <w:t>Favrin</w:t>
      </w:r>
      <w:r>
        <w:rPr>
          <w:spacing w:val="14"/>
          <w:sz w:val="24"/>
        </w:rPr>
        <w:t> </w:t>
      </w:r>
      <w:r>
        <w:rPr>
          <w:sz w:val="24"/>
        </w:rPr>
        <w:t>M.G.</w:t>
      </w:r>
      <w:r>
        <w:rPr>
          <w:spacing w:val="14"/>
          <w:sz w:val="24"/>
        </w:rPr>
        <w:t> </w:t>
      </w:r>
      <w:r>
        <w:rPr>
          <w:sz w:val="24"/>
        </w:rPr>
        <w:t>&amp;</w:t>
      </w:r>
      <w:r>
        <w:rPr>
          <w:spacing w:val="14"/>
          <w:sz w:val="24"/>
        </w:rPr>
        <w:t> </w:t>
      </w:r>
      <w:r>
        <w:rPr>
          <w:sz w:val="24"/>
        </w:rPr>
        <w:t>Hoff</w:t>
      </w:r>
      <w:r>
        <w:rPr>
          <w:spacing w:val="15"/>
          <w:sz w:val="24"/>
        </w:rPr>
        <w:t> </w:t>
      </w:r>
      <w:r>
        <w:rPr>
          <w:sz w:val="24"/>
        </w:rPr>
        <w:t>B.</w:t>
      </w:r>
      <w:r>
        <w:rPr>
          <w:spacing w:val="17"/>
          <w:sz w:val="24"/>
        </w:rPr>
        <w:t> </w:t>
      </w:r>
      <w:r>
        <w:rPr>
          <w:sz w:val="24"/>
        </w:rPr>
        <w:t>2004.</w:t>
      </w:r>
      <w:r>
        <w:rPr>
          <w:spacing w:val="17"/>
          <w:sz w:val="24"/>
        </w:rPr>
        <w:t> </w:t>
      </w:r>
      <w:r>
        <w:rPr>
          <w:sz w:val="24"/>
        </w:rPr>
        <w:t>Canine</w:t>
      </w:r>
      <w:r>
        <w:rPr>
          <w:spacing w:val="16"/>
          <w:sz w:val="24"/>
        </w:rPr>
        <w:t> </w:t>
      </w:r>
      <w:r>
        <w:rPr>
          <w:sz w:val="24"/>
        </w:rPr>
        <w:t>urolithiasis:</w:t>
      </w:r>
      <w:r>
        <w:rPr>
          <w:spacing w:val="15"/>
          <w:sz w:val="24"/>
        </w:rPr>
        <w:t> </w:t>
      </w:r>
      <w:r>
        <w:rPr>
          <w:sz w:val="24"/>
        </w:rPr>
        <w:t>a</w:t>
      </w:r>
      <w:r>
        <w:rPr>
          <w:spacing w:val="16"/>
          <w:sz w:val="24"/>
        </w:rPr>
        <w:t> </w:t>
      </w:r>
      <w:r>
        <w:rPr>
          <w:sz w:val="24"/>
        </w:rPr>
        <w:t>look</w:t>
      </w:r>
      <w:r>
        <w:rPr>
          <w:spacing w:val="15"/>
          <w:sz w:val="24"/>
        </w:rPr>
        <w:t> </w:t>
      </w:r>
      <w:r>
        <w:rPr>
          <w:sz w:val="24"/>
        </w:rPr>
        <w:t>at</w:t>
      </w:r>
      <w:r>
        <w:rPr>
          <w:spacing w:val="16"/>
          <w:sz w:val="24"/>
        </w:rPr>
        <w:t> </w:t>
      </w:r>
      <w:r>
        <w:rPr>
          <w:sz w:val="24"/>
        </w:rPr>
        <w:t>over</w:t>
      </w:r>
      <w:r>
        <w:rPr>
          <w:spacing w:val="15"/>
          <w:sz w:val="24"/>
        </w:rPr>
        <w:t> </w:t>
      </w:r>
      <w:r>
        <w:rPr>
          <w:sz w:val="24"/>
        </w:rPr>
        <w:t>16,000</w:t>
      </w:r>
    </w:p>
    <w:p>
      <w:pPr>
        <w:pStyle w:val="ListParagraph"/>
        <w:numPr>
          <w:ilvl w:val="0"/>
          <w:numId w:val="92"/>
        </w:numPr>
        <w:tabs>
          <w:tab w:pos="1416" w:val="left" w:leader="none"/>
          <w:tab w:pos="1417" w:val="left" w:leader="none"/>
        </w:tabs>
        <w:spacing w:line="256" w:lineRule="exact" w:before="0" w:after="0"/>
        <w:ind w:left="1416" w:right="0" w:hanging="1256"/>
        <w:jc w:val="left"/>
        <w:rPr>
          <w:sz w:val="24"/>
        </w:rPr>
      </w:pPr>
      <w:r>
        <w:rPr>
          <w:sz w:val="24"/>
        </w:rPr>
        <w:t>urolith</w:t>
      </w:r>
      <w:r>
        <w:rPr>
          <w:spacing w:val="27"/>
          <w:sz w:val="24"/>
        </w:rPr>
        <w:t> </w:t>
      </w:r>
      <w:r>
        <w:rPr>
          <w:sz w:val="24"/>
        </w:rPr>
        <w:t>submissions</w:t>
      </w:r>
      <w:r>
        <w:rPr>
          <w:spacing w:val="27"/>
          <w:sz w:val="24"/>
        </w:rPr>
        <w:t> </w:t>
      </w:r>
      <w:r>
        <w:rPr>
          <w:sz w:val="24"/>
        </w:rPr>
        <w:t>to</w:t>
      </w:r>
      <w:r>
        <w:rPr>
          <w:spacing w:val="27"/>
          <w:sz w:val="24"/>
        </w:rPr>
        <w:t> </w:t>
      </w:r>
      <w:r>
        <w:rPr>
          <w:sz w:val="24"/>
        </w:rPr>
        <w:t>the</w:t>
      </w:r>
      <w:r>
        <w:rPr>
          <w:spacing w:val="28"/>
          <w:sz w:val="24"/>
        </w:rPr>
        <w:t> </w:t>
      </w:r>
      <w:r>
        <w:rPr>
          <w:sz w:val="24"/>
        </w:rPr>
        <w:t>Canadian</w:t>
      </w:r>
      <w:r>
        <w:rPr>
          <w:spacing w:val="27"/>
          <w:sz w:val="24"/>
        </w:rPr>
        <w:t> </w:t>
      </w:r>
      <w:r>
        <w:rPr>
          <w:sz w:val="24"/>
        </w:rPr>
        <w:t>Veterinary</w:t>
      </w:r>
      <w:r>
        <w:rPr>
          <w:spacing w:val="26"/>
          <w:sz w:val="24"/>
        </w:rPr>
        <w:t> </w:t>
      </w:r>
      <w:r>
        <w:rPr>
          <w:sz w:val="24"/>
        </w:rPr>
        <w:t>Urolith</w:t>
      </w:r>
      <w:r>
        <w:rPr>
          <w:spacing w:val="27"/>
          <w:sz w:val="24"/>
        </w:rPr>
        <w:t> </w:t>
      </w:r>
      <w:r>
        <w:rPr>
          <w:sz w:val="24"/>
        </w:rPr>
        <w:t>Centre</w:t>
      </w:r>
      <w:r>
        <w:rPr>
          <w:spacing w:val="28"/>
          <w:sz w:val="24"/>
        </w:rPr>
        <w:t> </w:t>
      </w:r>
      <w:r>
        <w:rPr>
          <w:sz w:val="24"/>
        </w:rPr>
        <w:t>from</w:t>
      </w:r>
      <w:r>
        <w:rPr>
          <w:spacing w:val="29"/>
          <w:sz w:val="24"/>
        </w:rPr>
        <w:t> </w:t>
      </w:r>
      <w:r>
        <w:rPr>
          <w:sz w:val="24"/>
        </w:rPr>
        <w:t>February</w:t>
      </w:r>
      <w:r>
        <w:rPr>
          <w:spacing w:val="26"/>
          <w:sz w:val="24"/>
        </w:rPr>
        <w:t> </w:t>
      </w:r>
      <w:r>
        <w:rPr>
          <w:sz w:val="24"/>
        </w:rPr>
        <w:t>1998</w:t>
      </w:r>
      <w:r>
        <w:rPr>
          <w:spacing w:val="26"/>
          <w:sz w:val="24"/>
        </w:rPr>
        <w:t> </w:t>
      </w:r>
      <w:r>
        <w:rPr>
          <w:sz w:val="24"/>
        </w:rPr>
        <w:t>to</w:t>
      </w:r>
      <w:r>
        <w:rPr>
          <w:spacing w:val="27"/>
          <w:sz w:val="24"/>
        </w:rPr>
        <w:t> </w:t>
      </w:r>
      <w:r>
        <w:rPr>
          <w:sz w:val="24"/>
        </w:rPr>
        <w:t>April</w:t>
      </w:r>
    </w:p>
    <w:p>
      <w:pPr>
        <w:pStyle w:val="BodyText"/>
        <w:tabs>
          <w:tab w:pos="1416" w:val="left" w:leader="none"/>
        </w:tabs>
        <w:spacing w:line="256" w:lineRule="exact"/>
        <w:ind w:left="160"/>
        <w:rPr>
          <w:rFonts w:ascii="Cambria" w:hAnsi="Cambria"/>
        </w:rPr>
      </w:pPr>
      <w:r>
        <w:rPr>
          <w:position w:val="6"/>
          <w:sz w:val="20"/>
        </w:rPr>
        <w:t>45</w:t>
        <w:tab/>
      </w:r>
      <w:r>
        <w:rPr>
          <w:rFonts w:ascii="Cambria" w:hAnsi="Cambria"/>
        </w:rPr>
        <w:t>2003. Can. Vet. J.</w:t>
      </w:r>
      <w:r>
        <w:rPr>
          <w:rFonts w:ascii="Cambria" w:hAnsi="Cambria"/>
          <w:spacing w:val="-14"/>
        </w:rPr>
        <w:t> </w:t>
      </w:r>
      <w:r>
        <w:rPr>
          <w:rFonts w:ascii="Cambria" w:hAnsi="Cambria"/>
        </w:rPr>
        <w:t>45:225–230.</w:t>
      </w:r>
    </w:p>
    <w:p>
      <w:pPr>
        <w:pStyle w:val="ListParagraph"/>
        <w:numPr>
          <w:ilvl w:val="0"/>
          <w:numId w:val="93"/>
        </w:numPr>
        <w:tabs>
          <w:tab w:pos="1132" w:val="left" w:leader="none"/>
          <w:tab w:pos="1133" w:val="left" w:leader="none"/>
        </w:tabs>
        <w:spacing w:line="257" w:lineRule="exact" w:before="0" w:after="0"/>
        <w:ind w:left="1132" w:right="0" w:hanging="972"/>
        <w:jc w:val="left"/>
        <w:rPr>
          <w:sz w:val="24"/>
        </w:rPr>
      </w:pPr>
      <w:r>
        <w:rPr>
          <w:sz w:val="24"/>
        </w:rPr>
        <w:t>Inkelmann M.A., Kommers G.D., Trost M.E., Barros C.S.L., Fighera R.A., Irigoyen L.F. &amp; Silveira  </w:t>
      </w:r>
      <w:r>
        <w:rPr>
          <w:spacing w:val="34"/>
          <w:sz w:val="24"/>
        </w:rPr>
        <w:t> </w:t>
      </w:r>
      <w:r>
        <w:rPr>
          <w:sz w:val="24"/>
        </w:rPr>
        <w:t>I.P.</w:t>
      </w:r>
    </w:p>
    <w:p>
      <w:pPr>
        <w:pStyle w:val="ListParagraph"/>
        <w:numPr>
          <w:ilvl w:val="0"/>
          <w:numId w:val="93"/>
        </w:numPr>
        <w:tabs>
          <w:tab w:pos="1132" w:val="left" w:leader="none"/>
          <w:tab w:pos="1133" w:val="left" w:leader="none"/>
        </w:tabs>
        <w:spacing w:line="342" w:lineRule="exact" w:before="0" w:after="0"/>
        <w:ind w:left="1132" w:right="0" w:hanging="972"/>
        <w:jc w:val="left"/>
        <w:rPr>
          <w:sz w:val="24"/>
        </w:rPr>
      </w:pPr>
      <w:r>
        <w:rPr/>
        <w:pict>
          <v:shape style="position:absolute;margin-left:8pt;margin-top:10.58674pt;width:11.15pt;height:10pt;mso-position-horizontal-relative:page;mso-position-vertical-relative:paragraph;z-index:-92152" type="#_x0000_t202" filled="false" stroked="false">
            <v:textbox inset="0,0,0,0">
              <w:txbxContent>
                <w:p>
                  <w:pPr>
                    <w:spacing w:line="196" w:lineRule="exact" w:before="0"/>
                    <w:ind w:left="0" w:right="-20" w:firstLine="0"/>
                    <w:jc w:val="left"/>
                    <w:rPr>
                      <w:sz w:val="20"/>
                    </w:rPr>
                  </w:pPr>
                  <w:r>
                    <w:rPr>
                      <w:sz w:val="20"/>
                    </w:rPr>
                    <w:t>48</w:t>
                  </w:r>
                </w:p>
              </w:txbxContent>
            </v:textbox>
            <w10:wrap type="none"/>
          </v:shape>
        </w:pict>
      </w:r>
      <w:r>
        <w:rPr>
          <w:sz w:val="24"/>
        </w:rPr>
        <w:t>2012a. Lesions of the urinary systems in 1,063 dogs. Pesq. Vet. Bras.</w:t>
      </w:r>
      <w:r>
        <w:rPr>
          <w:spacing w:val="-34"/>
          <w:sz w:val="24"/>
        </w:rPr>
        <w:t> </w:t>
      </w:r>
      <w:r>
        <w:rPr>
          <w:sz w:val="24"/>
        </w:rPr>
        <w:t>32:761-771.</w:t>
      </w:r>
    </w:p>
    <w:p>
      <w:pPr>
        <w:pStyle w:val="ListParagraph"/>
        <w:numPr>
          <w:ilvl w:val="0"/>
          <w:numId w:val="94"/>
        </w:numPr>
        <w:tabs>
          <w:tab w:pos="1132" w:val="left" w:leader="none"/>
          <w:tab w:pos="1133" w:val="left" w:leader="none"/>
        </w:tabs>
        <w:spacing w:line="290" w:lineRule="exact" w:before="0" w:after="0"/>
        <w:ind w:left="1132" w:right="0" w:hanging="972"/>
        <w:jc w:val="left"/>
        <w:rPr>
          <w:sz w:val="24"/>
        </w:rPr>
      </w:pPr>
      <w:r>
        <w:rPr>
          <w:sz w:val="24"/>
        </w:rPr>
        <w:t>Inkelmann M.A., Kommers G.D., Trost M.E., Barros C.S.L., Fighera R.A., Irigoyen L.F. &amp; Silveira  </w:t>
      </w:r>
      <w:r>
        <w:rPr>
          <w:spacing w:val="34"/>
          <w:sz w:val="24"/>
        </w:rPr>
        <w:t> </w:t>
      </w:r>
      <w:r>
        <w:rPr>
          <w:sz w:val="24"/>
        </w:rPr>
        <w:t>I.P.</w:t>
      </w:r>
    </w:p>
    <w:p>
      <w:pPr>
        <w:pStyle w:val="ListParagraph"/>
        <w:numPr>
          <w:ilvl w:val="0"/>
          <w:numId w:val="94"/>
        </w:numPr>
        <w:tabs>
          <w:tab w:pos="1416" w:val="left" w:leader="none"/>
          <w:tab w:pos="1417" w:val="left" w:leader="none"/>
        </w:tabs>
        <w:spacing w:line="256" w:lineRule="exact" w:before="0" w:after="0"/>
        <w:ind w:left="1416" w:right="0" w:hanging="1256"/>
        <w:jc w:val="left"/>
        <w:rPr>
          <w:sz w:val="24"/>
        </w:rPr>
      </w:pPr>
      <w:r>
        <w:rPr>
          <w:sz w:val="24"/>
        </w:rPr>
        <w:t>2012b. Urolithiasis in 76 dogs. Pesq. Vet. Bras.</w:t>
      </w:r>
      <w:r>
        <w:rPr>
          <w:spacing w:val="-25"/>
          <w:sz w:val="24"/>
        </w:rPr>
        <w:t> </w:t>
      </w:r>
      <w:r>
        <w:rPr>
          <w:sz w:val="24"/>
        </w:rPr>
        <w:t>32:247-253.</w:t>
      </w:r>
    </w:p>
    <w:p>
      <w:pPr>
        <w:pStyle w:val="ListParagraph"/>
        <w:numPr>
          <w:ilvl w:val="0"/>
          <w:numId w:val="94"/>
        </w:numPr>
        <w:tabs>
          <w:tab w:pos="1132" w:val="left" w:leader="none"/>
          <w:tab w:pos="1133" w:val="left" w:leader="none"/>
        </w:tabs>
        <w:spacing w:line="257" w:lineRule="exact" w:before="0" w:after="0"/>
        <w:ind w:left="1132" w:right="0" w:hanging="972"/>
        <w:jc w:val="left"/>
        <w:rPr>
          <w:sz w:val="24"/>
        </w:rPr>
      </w:pPr>
      <w:r>
        <w:rPr>
          <w:sz w:val="24"/>
        </w:rPr>
        <w:t>Labato  M.A.  2005.  Micturition  disorders.  p.105–109.  In:  Ettinger,  S.J.  &amp;  Feldman,  E.     </w:t>
      </w:r>
      <w:r>
        <w:rPr>
          <w:spacing w:val="35"/>
          <w:sz w:val="24"/>
        </w:rPr>
        <w:t> </w:t>
      </w:r>
      <w:r>
        <w:rPr>
          <w:sz w:val="24"/>
        </w:rPr>
        <w:t>(Eds),</w:t>
      </w:r>
    </w:p>
    <w:p>
      <w:pPr>
        <w:pStyle w:val="ListParagraph"/>
        <w:numPr>
          <w:ilvl w:val="0"/>
          <w:numId w:val="94"/>
        </w:numPr>
        <w:tabs>
          <w:tab w:pos="1416" w:val="left" w:leader="none"/>
          <w:tab w:pos="1417" w:val="left" w:leader="none"/>
        </w:tabs>
        <w:spacing w:line="261" w:lineRule="exact" w:before="0" w:after="0"/>
        <w:ind w:left="1416" w:right="0" w:hanging="1256"/>
        <w:jc w:val="left"/>
        <w:rPr>
          <w:sz w:val="24"/>
        </w:rPr>
      </w:pPr>
      <w:r>
        <w:rPr>
          <w:sz w:val="24"/>
        </w:rPr>
        <w:t>Textbook of Veterinary Internal Medicine. 2nd ed. Elsevier, Missouri,</w:t>
      </w:r>
      <w:r>
        <w:rPr>
          <w:spacing w:val="-34"/>
          <w:sz w:val="24"/>
        </w:rPr>
        <w:t> </w:t>
      </w:r>
      <w:r>
        <w:rPr>
          <w:sz w:val="24"/>
        </w:rPr>
        <w:t>USA.</w:t>
      </w:r>
    </w:p>
    <w:p>
      <w:pPr>
        <w:spacing w:line="115" w:lineRule="exact" w:before="0"/>
        <w:ind w:left="160" w:right="0" w:firstLine="0"/>
        <w:jc w:val="left"/>
        <w:rPr>
          <w:sz w:val="20"/>
        </w:rPr>
      </w:pPr>
      <w:r>
        <w:rPr>
          <w:sz w:val="20"/>
        </w:rPr>
        <w:t>53</w:t>
      </w:r>
    </w:p>
    <w:p>
      <w:pPr>
        <w:pStyle w:val="ListParagraph"/>
        <w:numPr>
          <w:ilvl w:val="0"/>
          <w:numId w:val="95"/>
        </w:numPr>
        <w:tabs>
          <w:tab w:pos="1132" w:val="left" w:leader="none"/>
          <w:tab w:pos="1133" w:val="left" w:leader="none"/>
        </w:tabs>
        <w:spacing w:line="257" w:lineRule="exact" w:before="0" w:after="0"/>
        <w:ind w:left="1132" w:right="0" w:hanging="972"/>
        <w:jc w:val="left"/>
        <w:rPr>
          <w:sz w:val="24"/>
        </w:rPr>
      </w:pPr>
      <w:r>
        <w:rPr>
          <w:sz w:val="24"/>
        </w:rPr>
        <w:t>Ling   G.V.,   Norris   C.R.,  Franti   C.E.,   Elsele   P.H.,  Johnson   D.L.,   Ruby   A.L.   &amp;  Jang  S.S. </w:t>
      </w:r>
      <w:r>
        <w:rPr>
          <w:spacing w:val="39"/>
          <w:sz w:val="24"/>
        </w:rPr>
        <w:t> </w:t>
      </w:r>
      <w:r>
        <w:rPr>
          <w:sz w:val="24"/>
        </w:rPr>
        <w:t>2001.</w:t>
      </w:r>
    </w:p>
    <w:p>
      <w:pPr>
        <w:pStyle w:val="ListParagraph"/>
        <w:numPr>
          <w:ilvl w:val="0"/>
          <w:numId w:val="95"/>
        </w:numPr>
        <w:tabs>
          <w:tab w:pos="1416" w:val="left" w:leader="none"/>
          <w:tab w:pos="1417" w:val="left" w:leader="none"/>
        </w:tabs>
        <w:spacing w:line="256" w:lineRule="exact" w:before="0" w:after="0"/>
        <w:ind w:left="1416" w:right="0" w:hanging="1256"/>
        <w:jc w:val="left"/>
        <w:rPr>
          <w:sz w:val="24"/>
        </w:rPr>
      </w:pPr>
      <w:r>
        <w:rPr>
          <w:sz w:val="24"/>
        </w:rPr>
        <w:t>Interrelations  of  organism  prevalence,  specimen  collection  method,  and  host  age,  sex</w:t>
      </w:r>
      <w:r>
        <w:rPr>
          <w:spacing w:val="16"/>
          <w:sz w:val="24"/>
        </w:rPr>
        <w:t> </w:t>
      </w:r>
      <w:r>
        <w:rPr>
          <w:sz w:val="24"/>
        </w:rPr>
        <w:t>and</w:t>
      </w:r>
    </w:p>
    <w:p>
      <w:pPr>
        <w:pStyle w:val="ListParagraph"/>
        <w:numPr>
          <w:ilvl w:val="0"/>
          <w:numId w:val="95"/>
        </w:numPr>
        <w:tabs>
          <w:tab w:pos="1416" w:val="left" w:leader="none"/>
          <w:tab w:pos="1417" w:val="left" w:leader="none"/>
        </w:tabs>
        <w:spacing w:line="261" w:lineRule="exact" w:before="0" w:after="0"/>
        <w:ind w:left="1416" w:right="0" w:hanging="1256"/>
        <w:jc w:val="left"/>
        <w:rPr>
          <w:sz w:val="24"/>
        </w:rPr>
      </w:pPr>
      <w:r>
        <w:rPr>
          <w:sz w:val="24"/>
        </w:rPr>
        <w:t>breed</w:t>
      </w:r>
      <w:r>
        <w:rPr>
          <w:spacing w:val="22"/>
          <w:sz w:val="24"/>
        </w:rPr>
        <w:t> </w:t>
      </w:r>
      <w:r>
        <w:rPr>
          <w:sz w:val="24"/>
        </w:rPr>
        <w:t>among</w:t>
      </w:r>
      <w:r>
        <w:rPr>
          <w:spacing w:val="22"/>
          <w:sz w:val="24"/>
        </w:rPr>
        <w:t> </w:t>
      </w:r>
      <w:r>
        <w:rPr>
          <w:sz w:val="24"/>
        </w:rPr>
        <w:t>8354</w:t>
      </w:r>
      <w:r>
        <w:rPr>
          <w:spacing w:val="22"/>
          <w:sz w:val="24"/>
        </w:rPr>
        <w:t> </w:t>
      </w:r>
      <w:r>
        <w:rPr>
          <w:sz w:val="24"/>
        </w:rPr>
        <w:t>canine</w:t>
      </w:r>
      <w:r>
        <w:rPr>
          <w:spacing w:val="23"/>
          <w:sz w:val="24"/>
        </w:rPr>
        <w:t> </w:t>
      </w:r>
      <w:r>
        <w:rPr>
          <w:sz w:val="24"/>
        </w:rPr>
        <w:t>urinary</w:t>
      </w:r>
      <w:r>
        <w:rPr>
          <w:spacing w:val="22"/>
          <w:sz w:val="24"/>
        </w:rPr>
        <w:t> </w:t>
      </w:r>
      <w:r>
        <w:rPr>
          <w:sz w:val="24"/>
        </w:rPr>
        <w:t>tract</w:t>
      </w:r>
      <w:r>
        <w:rPr>
          <w:spacing w:val="23"/>
          <w:sz w:val="24"/>
        </w:rPr>
        <w:t> </w:t>
      </w:r>
      <w:r>
        <w:rPr>
          <w:sz w:val="24"/>
        </w:rPr>
        <w:t>infections</w:t>
      </w:r>
      <w:r>
        <w:rPr>
          <w:spacing w:val="22"/>
          <w:sz w:val="24"/>
        </w:rPr>
        <w:t> </w:t>
      </w:r>
      <w:r>
        <w:rPr>
          <w:sz w:val="24"/>
        </w:rPr>
        <w:t>(1969–1995).</w:t>
      </w:r>
      <w:r>
        <w:rPr>
          <w:spacing w:val="23"/>
          <w:sz w:val="24"/>
        </w:rPr>
        <w:t> </w:t>
      </w:r>
      <w:r>
        <w:rPr>
          <w:sz w:val="24"/>
        </w:rPr>
        <w:t>J.</w:t>
      </w:r>
      <w:r>
        <w:rPr>
          <w:spacing w:val="23"/>
          <w:sz w:val="24"/>
        </w:rPr>
        <w:t> </w:t>
      </w:r>
      <w:r>
        <w:rPr>
          <w:sz w:val="24"/>
        </w:rPr>
        <w:t>Vet.</w:t>
      </w:r>
      <w:r>
        <w:rPr>
          <w:spacing w:val="23"/>
          <w:sz w:val="24"/>
        </w:rPr>
        <w:t> </w:t>
      </w:r>
      <w:r>
        <w:rPr>
          <w:sz w:val="24"/>
        </w:rPr>
        <w:t>Intern.</w:t>
      </w:r>
      <w:r>
        <w:rPr>
          <w:spacing w:val="23"/>
          <w:sz w:val="24"/>
        </w:rPr>
        <w:t> </w:t>
      </w:r>
      <w:r>
        <w:rPr>
          <w:sz w:val="24"/>
        </w:rPr>
        <w:t>Med.</w:t>
      </w:r>
      <w:r>
        <w:rPr>
          <w:spacing w:val="23"/>
          <w:sz w:val="24"/>
        </w:rPr>
        <w:t> </w:t>
      </w:r>
      <w:r>
        <w:rPr>
          <w:sz w:val="24"/>
        </w:rPr>
        <w:t>15:341–</w:t>
      </w:r>
    </w:p>
    <w:p>
      <w:pPr>
        <w:tabs>
          <w:tab w:pos="1416" w:val="left" w:leader="none"/>
        </w:tabs>
        <w:spacing w:line="296" w:lineRule="exact" w:before="0"/>
        <w:ind w:left="160" w:right="0" w:firstLine="0"/>
        <w:jc w:val="left"/>
        <w:rPr>
          <w:rFonts w:ascii="Cambria"/>
          <w:sz w:val="24"/>
        </w:rPr>
      </w:pPr>
      <w:r>
        <w:rPr>
          <w:position w:val="7"/>
          <w:sz w:val="20"/>
        </w:rPr>
        <w:t>57</w:t>
        <w:tab/>
      </w:r>
      <w:r>
        <w:rPr>
          <w:rFonts w:ascii="Cambria"/>
          <w:sz w:val="24"/>
        </w:rPr>
        <w:t>347.</w:t>
      </w:r>
    </w:p>
    <w:p>
      <w:pPr>
        <w:spacing w:after="0" w:line="296" w:lineRule="exact"/>
        <w:jc w:val="left"/>
        <w:rPr>
          <w:rFonts w:ascii="Cambria"/>
          <w:sz w:val="24"/>
        </w:rPr>
        <w:sectPr>
          <w:headerReference w:type="default" r:id="rId69"/>
          <w:footerReference w:type="default" r:id="rId70"/>
          <w:pgSz w:w="12240" w:h="15840"/>
          <w:pgMar w:header="0" w:footer="1312" w:top="140" w:bottom="1500" w:left="0" w:right="1020"/>
        </w:sectPr>
      </w:pPr>
    </w:p>
    <w:p>
      <w:pPr>
        <w:tabs>
          <w:tab w:pos="10801" w:val="left" w:leader="none"/>
        </w:tabs>
        <w:spacing w:before="56"/>
        <w:ind w:left="4652" w:right="0" w:firstLine="0"/>
        <w:jc w:val="left"/>
        <w:rPr>
          <w:b/>
          <w:sz w:val="20"/>
        </w:rPr>
      </w:pPr>
      <w:r>
        <w:rPr>
          <w:b/>
          <w:sz w:val="20"/>
        </w:rPr>
        <w:t>Pesquisa</w:t>
      </w:r>
      <w:r>
        <w:rPr>
          <w:b/>
          <w:spacing w:val="-3"/>
          <w:sz w:val="20"/>
        </w:rPr>
        <w:t> </w:t>
      </w:r>
      <w:r>
        <w:rPr>
          <w:b/>
          <w:sz w:val="20"/>
        </w:rPr>
        <w:t>Veterinária</w:t>
      </w:r>
      <w:r>
        <w:rPr>
          <w:b/>
          <w:spacing w:val="-4"/>
          <w:sz w:val="20"/>
        </w:rPr>
        <w:t> </w:t>
      </w:r>
      <w:r>
        <w:rPr>
          <w:b/>
          <w:sz w:val="20"/>
        </w:rPr>
        <w:t>Brasileira</w:t>
        <w:tab/>
        <w:t>Page 10 of</w:t>
      </w:r>
      <w:r>
        <w:rPr>
          <w:b/>
          <w:spacing w:val="-3"/>
          <w:sz w:val="20"/>
        </w:rPr>
        <w:t> </w:t>
      </w:r>
      <w:r>
        <w:rPr>
          <w:b/>
          <w:sz w:val="20"/>
        </w:rPr>
        <w:t>13</w:t>
      </w:r>
    </w:p>
    <w:p>
      <w:pPr>
        <w:pStyle w:val="BodyText"/>
        <w:spacing w:before="4"/>
        <w:rPr>
          <w:b/>
          <w:sz w:val="19"/>
        </w:rPr>
      </w:pPr>
    </w:p>
    <w:p>
      <w:pPr>
        <w:spacing w:line="230" w:lineRule="exact" w:before="56"/>
        <w:ind w:left="0" w:right="1090" w:firstLine="0"/>
        <w:jc w:val="right"/>
        <w:rPr>
          <w:rFonts w:ascii="Calibri"/>
          <w:sz w:val="22"/>
        </w:rPr>
      </w:pPr>
      <w:r>
        <w:rPr>
          <w:rFonts w:ascii="Calibri"/>
          <w:sz w:val="22"/>
        </w:rPr>
        <w:t>10</w:t>
      </w:r>
    </w:p>
    <w:p>
      <w:pPr>
        <w:spacing w:line="191" w:lineRule="exact" w:before="0"/>
        <w:ind w:left="160" w:right="0" w:firstLine="0"/>
        <w:jc w:val="left"/>
        <w:rPr>
          <w:sz w:val="20"/>
        </w:rPr>
      </w:pPr>
      <w:r>
        <w:rPr>
          <w:sz w:val="20"/>
        </w:rPr>
        <w:t>1</w:t>
      </w:r>
    </w:p>
    <w:p>
      <w:pPr>
        <w:pStyle w:val="ListParagraph"/>
        <w:numPr>
          <w:ilvl w:val="0"/>
          <w:numId w:val="96"/>
        </w:numPr>
        <w:tabs>
          <w:tab w:pos="1132" w:val="left" w:leader="none"/>
          <w:tab w:pos="1133" w:val="left" w:leader="none"/>
        </w:tabs>
        <w:spacing w:line="258" w:lineRule="exact" w:before="6" w:after="0"/>
        <w:ind w:left="1132" w:right="0" w:hanging="972"/>
        <w:jc w:val="left"/>
        <w:rPr>
          <w:sz w:val="24"/>
        </w:rPr>
      </w:pPr>
      <w:r>
        <w:rPr>
          <w:sz w:val="24"/>
        </w:rPr>
        <w:t>Lulich  J.P., Osborne  C.A., Unger  L.K., Samelson L.L., Koehler  L.A.  &amp; Bird  K.A.  1993. </w:t>
      </w:r>
      <w:r>
        <w:rPr>
          <w:spacing w:val="31"/>
          <w:sz w:val="24"/>
        </w:rPr>
        <w:t> </w:t>
      </w:r>
      <w:r>
        <w:rPr>
          <w:sz w:val="24"/>
        </w:rPr>
        <w:t>Nonsurgical</w:t>
      </w:r>
    </w:p>
    <w:p>
      <w:pPr>
        <w:pStyle w:val="ListParagraph"/>
        <w:numPr>
          <w:ilvl w:val="0"/>
          <w:numId w:val="96"/>
        </w:numPr>
        <w:tabs>
          <w:tab w:pos="1415" w:val="left" w:leader="none"/>
          <w:tab w:pos="1416" w:val="left" w:leader="none"/>
        </w:tabs>
        <w:spacing w:line="257" w:lineRule="exact" w:before="0" w:after="0"/>
        <w:ind w:left="1416" w:right="0" w:hanging="1256"/>
        <w:jc w:val="left"/>
        <w:rPr>
          <w:sz w:val="24"/>
        </w:rPr>
      </w:pPr>
      <w:r>
        <w:rPr>
          <w:sz w:val="24"/>
        </w:rPr>
        <w:t>removal of urocystoliths by voiding urohydropropulsion. J. Am. Vet. Med. Assoc. 203:</w:t>
      </w:r>
      <w:r>
        <w:rPr>
          <w:spacing w:val="-35"/>
          <w:sz w:val="24"/>
        </w:rPr>
        <w:t> </w:t>
      </w:r>
      <w:r>
        <w:rPr>
          <w:sz w:val="24"/>
        </w:rPr>
        <w:t>660-663.</w:t>
      </w:r>
    </w:p>
    <w:p>
      <w:pPr>
        <w:pStyle w:val="ListParagraph"/>
        <w:numPr>
          <w:ilvl w:val="0"/>
          <w:numId w:val="96"/>
        </w:numPr>
        <w:tabs>
          <w:tab w:pos="1132" w:val="left" w:leader="none"/>
          <w:tab w:pos="1133" w:val="left" w:leader="none"/>
        </w:tabs>
        <w:spacing w:line="331" w:lineRule="exact" w:before="0" w:after="0"/>
        <w:ind w:left="1132" w:right="0" w:hanging="972"/>
        <w:jc w:val="left"/>
        <w:rPr>
          <w:sz w:val="24"/>
        </w:rPr>
      </w:pPr>
      <w:r>
        <w:rPr/>
        <w:pict>
          <v:shape style="position:absolute;margin-left:8pt;margin-top:10.785737pt;width:5.6pt;height:10pt;mso-position-horizontal-relative:page;mso-position-vertical-relative:paragraph;z-index:-92104" type="#_x0000_t202" filled="false" stroked="false">
            <v:textbox inset="0,0,0,0">
              <w:txbxContent>
                <w:p>
                  <w:pPr>
                    <w:spacing w:line="196" w:lineRule="exact" w:before="0"/>
                    <w:ind w:left="0" w:right="0" w:firstLine="0"/>
                    <w:jc w:val="left"/>
                    <w:rPr>
                      <w:sz w:val="20"/>
                    </w:rPr>
                  </w:pPr>
                  <w:r>
                    <w:rPr>
                      <w:sz w:val="20"/>
                    </w:rPr>
                    <w:t>5</w:t>
                  </w:r>
                </w:p>
              </w:txbxContent>
            </v:textbox>
            <w10:wrap type="none"/>
          </v:shape>
        </w:pict>
      </w:r>
      <w:r>
        <w:rPr>
          <w:sz w:val="24"/>
        </w:rPr>
        <w:t>McGuire</w:t>
      </w:r>
      <w:r>
        <w:rPr>
          <w:spacing w:val="35"/>
          <w:sz w:val="24"/>
        </w:rPr>
        <w:t> </w:t>
      </w:r>
      <w:r>
        <w:rPr>
          <w:sz w:val="24"/>
        </w:rPr>
        <w:t>N.C.,</w:t>
      </w:r>
      <w:r>
        <w:rPr>
          <w:spacing w:val="35"/>
          <w:sz w:val="24"/>
        </w:rPr>
        <w:t> </w:t>
      </w:r>
      <w:r>
        <w:rPr>
          <w:sz w:val="24"/>
        </w:rPr>
        <w:t>Schulman</w:t>
      </w:r>
      <w:r>
        <w:rPr>
          <w:spacing w:val="35"/>
          <w:sz w:val="24"/>
        </w:rPr>
        <w:t> </w:t>
      </w:r>
      <w:r>
        <w:rPr>
          <w:sz w:val="24"/>
        </w:rPr>
        <w:t>R.,</w:t>
      </w:r>
      <w:r>
        <w:rPr>
          <w:spacing w:val="33"/>
          <w:sz w:val="24"/>
        </w:rPr>
        <w:t> </w:t>
      </w:r>
      <w:r>
        <w:rPr>
          <w:sz w:val="24"/>
        </w:rPr>
        <w:t>Ridgway</w:t>
      </w:r>
      <w:r>
        <w:rPr>
          <w:spacing w:val="33"/>
          <w:sz w:val="24"/>
        </w:rPr>
        <w:t> </w:t>
      </w:r>
      <w:r>
        <w:rPr>
          <w:sz w:val="24"/>
        </w:rPr>
        <w:t>M.D.</w:t>
      </w:r>
      <w:r>
        <w:rPr>
          <w:spacing w:val="33"/>
          <w:sz w:val="24"/>
        </w:rPr>
        <w:t> </w:t>
      </w:r>
      <w:r>
        <w:rPr>
          <w:sz w:val="24"/>
        </w:rPr>
        <w:t>&amp;</w:t>
      </w:r>
      <w:r>
        <w:rPr>
          <w:spacing w:val="33"/>
          <w:sz w:val="24"/>
        </w:rPr>
        <w:t> </w:t>
      </w:r>
      <w:r>
        <w:rPr>
          <w:sz w:val="24"/>
        </w:rPr>
        <w:t>Bollero</w:t>
      </w:r>
      <w:r>
        <w:rPr>
          <w:spacing w:val="34"/>
          <w:sz w:val="24"/>
        </w:rPr>
        <w:t> </w:t>
      </w:r>
      <w:r>
        <w:rPr>
          <w:sz w:val="24"/>
        </w:rPr>
        <w:t>G.,</w:t>
      </w:r>
      <w:r>
        <w:rPr>
          <w:spacing w:val="35"/>
          <w:sz w:val="24"/>
        </w:rPr>
        <w:t> </w:t>
      </w:r>
      <w:r>
        <w:rPr>
          <w:sz w:val="24"/>
        </w:rPr>
        <w:t>2002.</w:t>
      </w:r>
      <w:r>
        <w:rPr>
          <w:spacing w:val="35"/>
          <w:sz w:val="24"/>
        </w:rPr>
        <w:t> </w:t>
      </w:r>
      <w:r>
        <w:rPr>
          <w:sz w:val="24"/>
        </w:rPr>
        <w:t>Detection</w:t>
      </w:r>
      <w:r>
        <w:rPr>
          <w:spacing w:val="35"/>
          <w:sz w:val="24"/>
        </w:rPr>
        <w:t> </w:t>
      </w:r>
      <w:r>
        <w:rPr>
          <w:sz w:val="24"/>
        </w:rPr>
        <w:t>of</w:t>
      </w:r>
      <w:r>
        <w:rPr>
          <w:spacing w:val="33"/>
          <w:sz w:val="24"/>
        </w:rPr>
        <w:t> </w:t>
      </w:r>
      <w:r>
        <w:rPr>
          <w:sz w:val="24"/>
        </w:rPr>
        <w:t>occult</w:t>
      </w:r>
      <w:r>
        <w:rPr>
          <w:spacing w:val="34"/>
          <w:sz w:val="24"/>
        </w:rPr>
        <w:t> </w:t>
      </w:r>
      <w:r>
        <w:rPr>
          <w:sz w:val="24"/>
        </w:rPr>
        <w:t>urinary</w:t>
      </w:r>
      <w:r>
        <w:rPr>
          <w:spacing w:val="33"/>
          <w:sz w:val="24"/>
        </w:rPr>
        <w:t> </w:t>
      </w:r>
      <w:r>
        <w:rPr>
          <w:sz w:val="24"/>
        </w:rPr>
        <w:t>tract</w:t>
      </w:r>
    </w:p>
    <w:p>
      <w:pPr>
        <w:pStyle w:val="ListParagraph"/>
        <w:numPr>
          <w:ilvl w:val="0"/>
          <w:numId w:val="97"/>
        </w:numPr>
        <w:tabs>
          <w:tab w:pos="1415" w:val="left" w:leader="none"/>
          <w:tab w:pos="1416" w:val="left" w:leader="none"/>
        </w:tabs>
        <w:spacing w:line="295" w:lineRule="exact" w:before="0" w:after="0"/>
        <w:ind w:left="1416" w:right="0" w:hanging="1256"/>
        <w:jc w:val="left"/>
        <w:rPr>
          <w:sz w:val="24"/>
        </w:rPr>
      </w:pPr>
      <w:r>
        <w:rPr>
          <w:sz w:val="24"/>
        </w:rPr>
        <w:t>infections in dogs with diabetes mellitus. J. Am. Anim. Hosp. Assoc.</w:t>
      </w:r>
      <w:r>
        <w:rPr>
          <w:spacing w:val="-34"/>
          <w:sz w:val="24"/>
        </w:rPr>
        <w:t> </w:t>
      </w:r>
      <w:r>
        <w:rPr>
          <w:sz w:val="24"/>
        </w:rPr>
        <w:t>38:541–544.</w:t>
      </w:r>
    </w:p>
    <w:p>
      <w:pPr>
        <w:pStyle w:val="ListParagraph"/>
        <w:numPr>
          <w:ilvl w:val="0"/>
          <w:numId w:val="97"/>
        </w:numPr>
        <w:tabs>
          <w:tab w:pos="1132" w:val="left" w:leader="none"/>
          <w:tab w:pos="1133" w:val="left" w:leader="none"/>
        </w:tabs>
        <w:spacing w:line="263" w:lineRule="exact" w:before="0" w:after="0"/>
        <w:ind w:left="1132" w:right="0" w:hanging="972"/>
        <w:jc w:val="left"/>
        <w:rPr>
          <w:sz w:val="24"/>
        </w:rPr>
      </w:pPr>
      <w:r>
        <w:rPr>
          <w:sz w:val="24"/>
        </w:rPr>
        <w:t>Medina-Escobedo  M.,  Medina-Escobedo  C.  &amp;  Martin-Soberanis  G.  2004.  Frecuencia  de       </w:t>
      </w:r>
      <w:r>
        <w:rPr>
          <w:spacing w:val="41"/>
          <w:sz w:val="24"/>
        </w:rPr>
        <w:t> </w:t>
      </w:r>
      <w:r>
        <w:rPr>
          <w:sz w:val="24"/>
        </w:rPr>
        <w:t>las</w:t>
      </w:r>
    </w:p>
    <w:p>
      <w:pPr>
        <w:pStyle w:val="ListParagraph"/>
        <w:numPr>
          <w:ilvl w:val="0"/>
          <w:numId w:val="97"/>
        </w:numPr>
        <w:tabs>
          <w:tab w:pos="1415" w:val="left" w:leader="none"/>
          <w:tab w:pos="1416" w:val="left" w:leader="none"/>
        </w:tabs>
        <w:spacing w:line="257" w:lineRule="exact" w:before="0" w:after="0"/>
        <w:ind w:left="1416" w:right="0" w:hanging="1256"/>
        <w:jc w:val="left"/>
        <w:rPr>
          <w:sz w:val="24"/>
        </w:rPr>
      </w:pPr>
      <w:r>
        <w:rPr>
          <w:sz w:val="24"/>
        </w:rPr>
        <w:t>enfermedades</w:t>
      </w:r>
      <w:r>
        <w:rPr>
          <w:spacing w:val="39"/>
          <w:sz w:val="24"/>
        </w:rPr>
        <w:t> </w:t>
      </w:r>
      <w:r>
        <w:rPr>
          <w:sz w:val="24"/>
        </w:rPr>
        <w:t>del</w:t>
      </w:r>
      <w:r>
        <w:rPr>
          <w:spacing w:val="39"/>
          <w:sz w:val="24"/>
        </w:rPr>
        <w:t> </w:t>
      </w:r>
      <w:r>
        <w:rPr>
          <w:sz w:val="24"/>
        </w:rPr>
        <w:t>sistema</w:t>
      </w:r>
      <w:r>
        <w:rPr>
          <w:spacing w:val="40"/>
          <w:sz w:val="24"/>
        </w:rPr>
        <w:t> </w:t>
      </w:r>
      <w:r>
        <w:rPr>
          <w:sz w:val="24"/>
        </w:rPr>
        <w:t>urinario</w:t>
      </w:r>
      <w:r>
        <w:rPr>
          <w:spacing w:val="39"/>
          <w:sz w:val="24"/>
        </w:rPr>
        <w:t> </w:t>
      </w:r>
      <w:r>
        <w:rPr>
          <w:sz w:val="24"/>
        </w:rPr>
        <w:t>en</w:t>
      </w:r>
      <w:r>
        <w:rPr>
          <w:spacing w:val="39"/>
          <w:sz w:val="24"/>
        </w:rPr>
        <w:t> </w:t>
      </w:r>
      <w:r>
        <w:rPr>
          <w:sz w:val="24"/>
        </w:rPr>
        <w:t>niños</w:t>
      </w:r>
      <w:r>
        <w:rPr>
          <w:spacing w:val="39"/>
          <w:sz w:val="24"/>
        </w:rPr>
        <w:t> </w:t>
      </w:r>
      <w:r>
        <w:rPr>
          <w:sz w:val="24"/>
        </w:rPr>
        <w:t>atendidos</w:t>
      </w:r>
      <w:r>
        <w:rPr>
          <w:spacing w:val="39"/>
          <w:sz w:val="24"/>
        </w:rPr>
        <w:t> </w:t>
      </w:r>
      <w:r>
        <w:rPr>
          <w:sz w:val="24"/>
        </w:rPr>
        <w:t>en</w:t>
      </w:r>
      <w:r>
        <w:rPr>
          <w:spacing w:val="40"/>
          <w:sz w:val="24"/>
        </w:rPr>
        <w:t> </w:t>
      </w:r>
      <w:r>
        <w:rPr>
          <w:sz w:val="24"/>
        </w:rPr>
        <w:t>un</w:t>
      </w:r>
      <w:r>
        <w:rPr>
          <w:spacing w:val="40"/>
          <w:sz w:val="24"/>
        </w:rPr>
        <w:t> </w:t>
      </w:r>
      <w:r>
        <w:rPr>
          <w:sz w:val="24"/>
        </w:rPr>
        <w:t>Hospital</w:t>
      </w:r>
      <w:r>
        <w:rPr>
          <w:spacing w:val="38"/>
          <w:sz w:val="24"/>
        </w:rPr>
        <w:t> </w:t>
      </w:r>
      <w:r>
        <w:rPr>
          <w:sz w:val="24"/>
        </w:rPr>
        <w:t>General</w:t>
      </w:r>
      <w:r>
        <w:rPr>
          <w:spacing w:val="39"/>
          <w:sz w:val="24"/>
        </w:rPr>
        <w:t> </w:t>
      </w:r>
      <w:r>
        <w:rPr>
          <w:sz w:val="24"/>
        </w:rPr>
        <w:t>en</w:t>
      </w:r>
      <w:r>
        <w:rPr>
          <w:spacing w:val="40"/>
          <w:sz w:val="24"/>
        </w:rPr>
        <w:t> </w:t>
      </w:r>
      <w:r>
        <w:rPr>
          <w:sz w:val="24"/>
        </w:rPr>
        <w:t>Yucatán,</w:t>
      </w:r>
    </w:p>
    <w:p>
      <w:pPr>
        <w:pStyle w:val="ListParagraph"/>
        <w:numPr>
          <w:ilvl w:val="0"/>
          <w:numId w:val="97"/>
        </w:numPr>
        <w:tabs>
          <w:tab w:pos="1415" w:val="left" w:leader="none"/>
          <w:tab w:pos="1416" w:val="left" w:leader="none"/>
        </w:tabs>
        <w:spacing w:line="256" w:lineRule="exact" w:before="0" w:after="0"/>
        <w:ind w:left="1416" w:right="0" w:hanging="1256"/>
        <w:jc w:val="left"/>
        <w:rPr>
          <w:sz w:val="24"/>
        </w:rPr>
      </w:pPr>
      <w:r>
        <w:rPr>
          <w:sz w:val="24"/>
        </w:rPr>
        <w:t>México. Bol. Med. Hosp. Infant. Mex.</w:t>
      </w:r>
      <w:r>
        <w:rPr>
          <w:spacing w:val="-19"/>
          <w:sz w:val="24"/>
        </w:rPr>
        <w:t> </w:t>
      </w:r>
      <w:r>
        <w:rPr>
          <w:sz w:val="24"/>
        </w:rPr>
        <w:t>61:482-488.</w:t>
      </w:r>
    </w:p>
    <w:p>
      <w:pPr>
        <w:pStyle w:val="ListParagraph"/>
        <w:numPr>
          <w:ilvl w:val="0"/>
          <w:numId w:val="97"/>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71773pt;width:11.15pt;height:10pt;mso-position-horizontal-relative:page;mso-position-vertical-relative:paragraph;z-index:-92080" type="#_x0000_t202" filled="false" stroked="false">
            <v:textbox inset="0,0,0,0">
              <w:txbxContent>
                <w:p>
                  <w:pPr>
                    <w:spacing w:line="196" w:lineRule="exact" w:before="0"/>
                    <w:ind w:left="0" w:right="-20" w:firstLine="0"/>
                    <w:jc w:val="left"/>
                    <w:rPr>
                      <w:sz w:val="20"/>
                    </w:rPr>
                  </w:pPr>
                  <w:r>
                    <w:rPr>
                      <w:sz w:val="20"/>
                    </w:rPr>
                    <w:t>11</w:t>
                  </w:r>
                </w:p>
              </w:txbxContent>
            </v:textbox>
            <w10:wrap type="none"/>
          </v:shape>
        </w:pict>
      </w:r>
      <w:r>
        <w:rPr>
          <w:sz w:val="24"/>
        </w:rPr>
        <w:t>Messmer M., Rytz U. &amp; Spreng D. 2001. Urethral entrapment following pelvic fracture fixation in</w:t>
      </w:r>
      <w:r>
        <w:rPr>
          <w:spacing w:val="-12"/>
          <w:sz w:val="24"/>
        </w:rPr>
        <w:t> </w:t>
      </w:r>
      <w:r>
        <w:rPr>
          <w:sz w:val="24"/>
        </w:rPr>
        <w:t>a</w:t>
      </w:r>
    </w:p>
    <w:p>
      <w:pPr>
        <w:pStyle w:val="ListParagraph"/>
        <w:numPr>
          <w:ilvl w:val="0"/>
          <w:numId w:val="98"/>
        </w:numPr>
        <w:tabs>
          <w:tab w:pos="1415" w:val="left" w:leader="none"/>
          <w:tab w:pos="1416" w:val="left" w:leader="none"/>
        </w:tabs>
        <w:spacing w:line="297" w:lineRule="exact" w:before="0" w:after="0"/>
        <w:ind w:left="1416" w:right="0" w:hanging="1256"/>
        <w:jc w:val="left"/>
        <w:rPr>
          <w:sz w:val="24"/>
        </w:rPr>
      </w:pPr>
      <w:r>
        <w:rPr>
          <w:sz w:val="24"/>
        </w:rPr>
        <w:t>dog. J. Small Anim. Pract.</w:t>
      </w:r>
      <w:r>
        <w:rPr>
          <w:spacing w:val="-18"/>
          <w:sz w:val="24"/>
        </w:rPr>
        <w:t> </w:t>
      </w:r>
      <w:r>
        <w:rPr>
          <w:sz w:val="24"/>
        </w:rPr>
        <w:t>42:341-344.</w:t>
      </w:r>
    </w:p>
    <w:p>
      <w:pPr>
        <w:pStyle w:val="ListParagraph"/>
        <w:numPr>
          <w:ilvl w:val="0"/>
          <w:numId w:val="98"/>
        </w:numPr>
        <w:tabs>
          <w:tab w:pos="1132" w:val="left" w:leader="none"/>
          <w:tab w:pos="1133" w:val="left" w:leader="none"/>
        </w:tabs>
        <w:spacing w:line="258" w:lineRule="exact" w:before="0" w:after="0"/>
        <w:ind w:left="1132" w:right="0" w:hanging="972"/>
        <w:jc w:val="left"/>
        <w:rPr>
          <w:sz w:val="24"/>
        </w:rPr>
      </w:pPr>
      <w:r>
        <w:rPr>
          <w:sz w:val="24"/>
        </w:rPr>
        <w:t>Osborne</w:t>
      </w:r>
      <w:r>
        <w:rPr>
          <w:spacing w:val="13"/>
          <w:sz w:val="24"/>
        </w:rPr>
        <w:t> </w:t>
      </w:r>
      <w:r>
        <w:rPr>
          <w:sz w:val="24"/>
        </w:rPr>
        <w:t>C.A.,</w:t>
      </w:r>
      <w:r>
        <w:rPr>
          <w:spacing w:val="12"/>
          <w:sz w:val="24"/>
        </w:rPr>
        <w:t> </w:t>
      </w:r>
      <w:r>
        <w:rPr>
          <w:sz w:val="24"/>
        </w:rPr>
        <w:t>Lulich</w:t>
      </w:r>
      <w:r>
        <w:rPr>
          <w:spacing w:val="12"/>
          <w:sz w:val="24"/>
        </w:rPr>
        <w:t> </w:t>
      </w:r>
      <w:r>
        <w:rPr>
          <w:sz w:val="24"/>
        </w:rPr>
        <w:t>J.P.,</w:t>
      </w:r>
      <w:r>
        <w:rPr>
          <w:spacing w:val="13"/>
          <w:sz w:val="24"/>
        </w:rPr>
        <w:t> </w:t>
      </w:r>
      <w:r>
        <w:rPr>
          <w:sz w:val="24"/>
        </w:rPr>
        <w:t>Kruger</w:t>
      </w:r>
      <w:r>
        <w:rPr>
          <w:spacing w:val="12"/>
          <w:sz w:val="24"/>
        </w:rPr>
        <w:t> </w:t>
      </w:r>
      <w:r>
        <w:rPr>
          <w:sz w:val="24"/>
        </w:rPr>
        <w:t>J.M.,</w:t>
      </w:r>
      <w:r>
        <w:rPr>
          <w:spacing w:val="12"/>
          <w:sz w:val="24"/>
        </w:rPr>
        <w:t> </w:t>
      </w:r>
      <w:r>
        <w:rPr>
          <w:sz w:val="24"/>
        </w:rPr>
        <w:t>Ulrich</w:t>
      </w:r>
      <w:r>
        <w:rPr>
          <w:spacing w:val="12"/>
          <w:sz w:val="24"/>
        </w:rPr>
        <w:t> </w:t>
      </w:r>
      <w:r>
        <w:rPr>
          <w:sz w:val="24"/>
        </w:rPr>
        <w:t>L.K.</w:t>
      </w:r>
      <w:r>
        <w:rPr>
          <w:spacing w:val="16"/>
          <w:sz w:val="24"/>
        </w:rPr>
        <w:t> </w:t>
      </w:r>
      <w:r>
        <w:rPr>
          <w:sz w:val="24"/>
        </w:rPr>
        <w:t>&amp;</w:t>
      </w:r>
      <w:r>
        <w:rPr>
          <w:spacing w:val="13"/>
          <w:sz w:val="24"/>
        </w:rPr>
        <w:t> </w:t>
      </w:r>
      <w:r>
        <w:rPr>
          <w:sz w:val="24"/>
        </w:rPr>
        <w:t>Koehler</w:t>
      </w:r>
      <w:r>
        <w:rPr>
          <w:spacing w:val="12"/>
          <w:sz w:val="24"/>
        </w:rPr>
        <w:t> </w:t>
      </w:r>
      <w:r>
        <w:rPr>
          <w:sz w:val="24"/>
        </w:rPr>
        <w:t>L.A.</w:t>
      </w:r>
      <w:r>
        <w:rPr>
          <w:spacing w:val="13"/>
          <w:sz w:val="24"/>
        </w:rPr>
        <w:t> </w:t>
      </w:r>
      <w:r>
        <w:rPr>
          <w:sz w:val="24"/>
        </w:rPr>
        <w:t>2009.</w:t>
      </w:r>
      <w:r>
        <w:rPr>
          <w:spacing w:val="13"/>
          <w:sz w:val="24"/>
        </w:rPr>
        <w:t> </w:t>
      </w:r>
      <w:r>
        <w:rPr>
          <w:sz w:val="24"/>
        </w:rPr>
        <w:t>Analysis</w:t>
      </w:r>
      <w:r>
        <w:rPr>
          <w:spacing w:val="13"/>
          <w:sz w:val="24"/>
        </w:rPr>
        <w:t> </w:t>
      </w:r>
      <w:r>
        <w:rPr>
          <w:sz w:val="24"/>
        </w:rPr>
        <w:t>of</w:t>
      </w:r>
      <w:r>
        <w:rPr>
          <w:spacing w:val="12"/>
          <w:sz w:val="24"/>
        </w:rPr>
        <w:t> </w:t>
      </w:r>
      <w:r>
        <w:rPr>
          <w:sz w:val="24"/>
        </w:rPr>
        <w:t>451,891</w:t>
      </w:r>
      <w:r>
        <w:rPr>
          <w:spacing w:val="12"/>
          <w:sz w:val="24"/>
        </w:rPr>
        <w:t> </w:t>
      </w:r>
      <w:r>
        <w:rPr>
          <w:sz w:val="24"/>
        </w:rPr>
        <w:t>canine</w:t>
      </w:r>
    </w:p>
    <w:p>
      <w:pPr>
        <w:pStyle w:val="ListParagraph"/>
        <w:numPr>
          <w:ilvl w:val="0"/>
          <w:numId w:val="98"/>
        </w:numPr>
        <w:tabs>
          <w:tab w:pos="1415" w:val="left" w:leader="none"/>
          <w:tab w:pos="1416" w:val="left" w:leader="none"/>
        </w:tabs>
        <w:spacing w:line="256" w:lineRule="exact" w:before="0" w:after="0"/>
        <w:ind w:left="1416" w:right="0" w:hanging="1256"/>
        <w:jc w:val="left"/>
        <w:rPr>
          <w:sz w:val="24"/>
        </w:rPr>
      </w:pPr>
      <w:r>
        <w:rPr/>
        <w:pict>
          <v:shape style="position:absolute;margin-left:116.872412pt;margin-top:170.818006pt;width:376.45pt;height:48pt;mso-position-horizontal-relative:page;mso-position-vertical-relative:paragraph;z-index:-92128;rotation:51" type="#_x0000_t136" fillcolor="#d6f1fe" stroked="f">
            <o:extrusion v:ext="view" autorotationcenter="t"/>
            <v:textpath style="font-family:&amp;quot;Arial&amp;quot;;font-size:48pt;v-text-kern:t;mso-text-shadow:auto;font-weight:bold" string="For Review Only"/>
            <w10:wrap type="none"/>
          </v:shape>
        </w:pict>
      </w:r>
      <w:r>
        <w:rPr>
          <w:sz w:val="24"/>
        </w:rPr>
        <w:t>uroliths,   feline   uroliths,   and  urethral  plugs   from  1981  to   2007:   Perspective   from  </w:t>
      </w:r>
      <w:r>
        <w:rPr>
          <w:spacing w:val="31"/>
          <w:sz w:val="24"/>
        </w:rPr>
        <w:t> </w:t>
      </w:r>
      <w:r>
        <w:rPr>
          <w:sz w:val="24"/>
        </w:rPr>
        <w:t>the</w:t>
      </w:r>
    </w:p>
    <w:p>
      <w:pPr>
        <w:pStyle w:val="ListParagraph"/>
        <w:numPr>
          <w:ilvl w:val="0"/>
          <w:numId w:val="98"/>
        </w:numPr>
        <w:tabs>
          <w:tab w:pos="1415" w:val="left" w:leader="none"/>
          <w:tab w:pos="1416" w:val="left" w:leader="none"/>
        </w:tabs>
        <w:spacing w:line="261" w:lineRule="exact" w:before="0" w:after="0"/>
        <w:ind w:left="1416" w:right="0" w:hanging="1256"/>
        <w:jc w:val="left"/>
        <w:rPr>
          <w:sz w:val="24"/>
        </w:rPr>
      </w:pPr>
      <w:r>
        <w:rPr>
          <w:sz w:val="24"/>
        </w:rPr>
        <w:t>Minnesota Urolith Center. Vet. Clin. North Am. Small Anim. Pract.</w:t>
      </w:r>
      <w:r>
        <w:rPr>
          <w:spacing w:val="-36"/>
          <w:sz w:val="24"/>
        </w:rPr>
        <w:t> </w:t>
      </w:r>
      <w:r>
        <w:rPr>
          <w:sz w:val="24"/>
        </w:rPr>
        <w:t>39:183-197.</w:t>
      </w:r>
    </w:p>
    <w:p>
      <w:pPr>
        <w:pStyle w:val="ListParagraph"/>
        <w:numPr>
          <w:ilvl w:val="0"/>
          <w:numId w:val="98"/>
        </w:numPr>
        <w:tabs>
          <w:tab w:pos="1132" w:val="left" w:leader="none"/>
          <w:tab w:pos="1133" w:val="left" w:leader="none"/>
        </w:tabs>
        <w:spacing w:line="336" w:lineRule="exact" w:before="0" w:after="0"/>
        <w:ind w:left="1132" w:right="0" w:hanging="972"/>
        <w:jc w:val="left"/>
        <w:rPr>
          <w:sz w:val="24"/>
        </w:rPr>
      </w:pPr>
      <w:r>
        <w:rPr/>
        <w:pict>
          <v:shape style="position:absolute;margin-left:8pt;margin-top:10.399722pt;width:11.15pt;height:10pt;mso-position-horizontal-relative:page;mso-position-vertical-relative:paragraph;z-index:-92056" type="#_x0000_t202" filled="false" stroked="false">
            <v:textbox inset="0,0,0,0">
              <w:txbxContent>
                <w:p>
                  <w:pPr>
                    <w:spacing w:line="196" w:lineRule="exact" w:before="0"/>
                    <w:ind w:left="0" w:right="-20" w:firstLine="0"/>
                    <w:jc w:val="left"/>
                    <w:rPr>
                      <w:sz w:val="20"/>
                    </w:rPr>
                  </w:pPr>
                  <w:r>
                    <w:rPr>
                      <w:sz w:val="20"/>
                    </w:rPr>
                    <w:t>17</w:t>
                  </w:r>
                </w:p>
              </w:txbxContent>
            </v:textbox>
            <w10:wrap type="none"/>
          </v:shape>
        </w:pict>
      </w:r>
      <w:r>
        <w:rPr>
          <w:sz w:val="24"/>
        </w:rPr>
        <w:t>Oyafuso  M.K.,  Kogika  M.M.,  Waki  M.F.,  Prosser  C.S.,  Cavalcante  C.Z. &amp;Fortunato  Wirthl,</w:t>
      </w:r>
      <w:r>
        <w:rPr>
          <w:spacing w:val="-9"/>
          <w:sz w:val="24"/>
        </w:rPr>
        <w:t> </w:t>
      </w:r>
      <w:r>
        <w:rPr>
          <w:sz w:val="24"/>
        </w:rPr>
        <w:t>V.A.B.,</w:t>
      </w:r>
    </w:p>
    <w:p>
      <w:pPr>
        <w:pStyle w:val="ListParagraph"/>
        <w:numPr>
          <w:ilvl w:val="0"/>
          <w:numId w:val="99"/>
        </w:numPr>
        <w:tabs>
          <w:tab w:pos="1415" w:val="left" w:leader="none"/>
          <w:tab w:pos="1416" w:val="left" w:leader="none"/>
        </w:tabs>
        <w:spacing w:line="291" w:lineRule="exact" w:before="2" w:after="0"/>
        <w:ind w:left="1415" w:right="0" w:hanging="1255"/>
        <w:jc w:val="left"/>
        <w:rPr>
          <w:sz w:val="24"/>
        </w:rPr>
      </w:pPr>
      <w:r>
        <w:rPr>
          <w:sz w:val="24"/>
        </w:rPr>
        <w:t>2010.  Urolitíase  em  cães:  avaliação  quantitativa  da  composição  mineral  de  156   </w:t>
      </w:r>
      <w:r>
        <w:rPr>
          <w:spacing w:val="13"/>
          <w:sz w:val="24"/>
        </w:rPr>
        <w:t> </w:t>
      </w:r>
      <w:r>
        <w:rPr>
          <w:sz w:val="24"/>
        </w:rPr>
        <w:t>urólitos.</w:t>
      </w:r>
    </w:p>
    <w:p>
      <w:pPr>
        <w:pStyle w:val="ListParagraph"/>
        <w:numPr>
          <w:ilvl w:val="0"/>
          <w:numId w:val="99"/>
        </w:numPr>
        <w:tabs>
          <w:tab w:pos="1415" w:val="left" w:leader="none"/>
          <w:tab w:pos="1416" w:val="left" w:leader="none"/>
        </w:tabs>
        <w:spacing w:line="256" w:lineRule="exact" w:before="0" w:after="0"/>
        <w:ind w:left="1415" w:right="0" w:hanging="1255"/>
        <w:jc w:val="left"/>
        <w:rPr>
          <w:sz w:val="24"/>
        </w:rPr>
      </w:pPr>
      <w:r>
        <w:rPr>
          <w:sz w:val="24"/>
        </w:rPr>
        <w:t>Ciencia Rural, Santa María.</w:t>
      </w:r>
      <w:r>
        <w:rPr>
          <w:spacing w:val="-20"/>
          <w:sz w:val="24"/>
        </w:rPr>
        <w:t> </w:t>
      </w:r>
      <w:r>
        <w:rPr>
          <w:sz w:val="24"/>
        </w:rPr>
        <w:t>40:102-108.</w:t>
      </w:r>
    </w:p>
    <w:p>
      <w:pPr>
        <w:pStyle w:val="ListParagraph"/>
        <w:numPr>
          <w:ilvl w:val="0"/>
          <w:numId w:val="99"/>
        </w:numPr>
        <w:tabs>
          <w:tab w:pos="1132" w:val="left" w:leader="none"/>
          <w:tab w:pos="1133" w:val="left" w:leader="none"/>
        </w:tabs>
        <w:spacing w:line="261" w:lineRule="exact" w:before="0" w:after="0"/>
        <w:ind w:left="1132" w:right="0" w:hanging="972"/>
        <w:jc w:val="left"/>
        <w:rPr>
          <w:sz w:val="24"/>
        </w:rPr>
      </w:pPr>
      <w:r>
        <w:rPr>
          <w:sz w:val="24"/>
        </w:rPr>
        <w:t>Pressler  B.M.,  Vaden  S.L.,  Lane  I.F.,  Cowgill  L.D.  &amp;  Dye,  J.A.  2003.  </w:t>
      </w:r>
      <w:r>
        <w:rPr>
          <w:i/>
          <w:sz w:val="24"/>
        </w:rPr>
        <w:t>Candida  spp</w:t>
      </w:r>
      <w:r>
        <w:rPr>
          <w:sz w:val="24"/>
        </w:rPr>
        <w:t>.  urinary</w:t>
      </w:r>
      <w:r>
        <w:rPr>
          <w:spacing w:val="36"/>
          <w:sz w:val="24"/>
        </w:rPr>
        <w:t> </w:t>
      </w:r>
      <w:r>
        <w:rPr>
          <w:sz w:val="24"/>
        </w:rPr>
        <w:t>tract</w:t>
      </w:r>
    </w:p>
    <w:p>
      <w:pPr>
        <w:pStyle w:val="ListParagraph"/>
        <w:numPr>
          <w:ilvl w:val="0"/>
          <w:numId w:val="99"/>
        </w:numPr>
        <w:tabs>
          <w:tab w:pos="1415" w:val="left" w:leader="none"/>
          <w:tab w:pos="1416" w:val="left" w:leader="none"/>
        </w:tabs>
        <w:spacing w:line="256" w:lineRule="exact" w:before="0" w:after="0"/>
        <w:ind w:left="1415" w:right="0" w:hanging="1255"/>
        <w:jc w:val="left"/>
        <w:rPr>
          <w:sz w:val="24"/>
        </w:rPr>
      </w:pPr>
      <w:r>
        <w:rPr>
          <w:sz w:val="24"/>
        </w:rPr>
        <w:t>infections</w:t>
      </w:r>
      <w:r>
        <w:rPr>
          <w:spacing w:val="41"/>
          <w:sz w:val="24"/>
        </w:rPr>
        <w:t> </w:t>
      </w:r>
      <w:r>
        <w:rPr>
          <w:sz w:val="24"/>
        </w:rPr>
        <w:t>in</w:t>
      </w:r>
      <w:r>
        <w:rPr>
          <w:spacing w:val="39"/>
          <w:sz w:val="24"/>
        </w:rPr>
        <w:t> </w:t>
      </w:r>
      <w:r>
        <w:rPr>
          <w:sz w:val="24"/>
        </w:rPr>
        <w:t>13</w:t>
      </w:r>
      <w:r>
        <w:rPr>
          <w:spacing w:val="41"/>
          <w:sz w:val="24"/>
        </w:rPr>
        <w:t> </w:t>
      </w:r>
      <w:r>
        <w:rPr>
          <w:sz w:val="24"/>
        </w:rPr>
        <w:t>dogs</w:t>
      </w:r>
      <w:r>
        <w:rPr>
          <w:spacing w:val="41"/>
          <w:sz w:val="24"/>
        </w:rPr>
        <w:t> </w:t>
      </w:r>
      <w:r>
        <w:rPr>
          <w:sz w:val="24"/>
        </w:rPr>
        <w:t>and</w:t>
      </w:r>
      <w:r>
        <w:rPr>
          <w:spacing w:val="41"/>
          <w:sz w:val="24"/>
        </w:rPr>
        <w:t> </w:t>
      </w:r>
      <w:r>
        <w:rPr>
          <w:sz w:val="24"/>
        </w:rPr>
        <w:t>seven</w:t>
      </w:r>
      <w:r>
        <w:rPr>
          <w:spacing w:val="42"/>
          <w:sz w:val="24"/>
        </w:rPr>
        <w:t> </w:t>
      </w:r>
      <w:r>
        <w:rPr>
          <w:sz w:val="24"/>
        </w:rPr>
        <w:t>cats:</w:t>
      </w:r>
      <w:r>
        <w:rPr>
          <w:spacing w:val="40"/>
          <w:sz w:val="24"/>
        </w:rPr>
        <w:t> </w:t>
      </w:r>
      <w:r>
        <w:rPr>
          <w:sz w:val="24"/>
        </w:rPr>
        <w:t>predisposing</w:t>
      </w:r>
      <w:r>
        <w:rPr>
          <w:spacing w:val="41"/>
          <w:sz w:val="24"/>
        </w:rPr>
        <w:t> </w:t>
      </w:r>
      <w:r>
        <w:rPr>
          <w:sz w:val="24"/>
        </w:rPr>
        <w:t>factors,</w:t>
      </w:r>
      <w:r>
        <w:rPr>
          <w:spacing w:val="43"/>
          <w:sz w:val="24"/>
        </w:rPr>
        <w:t> </w:t>
      </w:r>
      <w:r>
        <w:rPr>
          <w:sz w:val="24"/>
        </w:rPr>
        <w:t>treatment,</w:t>
      </w:r>
      <w:r>
        <w:rPr>
          <w:spacing w:val="43"/>
          <w:sz w:val="24"/>
        </w:rPr>
        <w:t> </w:t>
      </w:r>
      <w:r>
        <w:rPr>
          <w:sz w:val="24"/>
        </w:rPr>
        <w:t>and</w:t>
      </w:r>
      <w:r>
        <w:rPr>
          <w:spacing w:val="41"/>
          <w:sz w:val="24"/>
        </w:rPr>
        <w:t> </w:t>
      </w:r>
      <w:r>
        <w:rPr>
          <w:sz w:val="24"/>
        </w:rPr>
        <w:t>outcome.</w:t>
      </w:r>
      <w:r>
        <w:rPr>
          <w:spacing w:val="43"/>
          <w:sz w:val="24"/>
        </w:rPr>
        <w:t> </w:t>
      </w:r>
      <w:r>
        <w:rPr>
          <w:sz w:val="24"/>
        </w:rPr>
        <w:t>J.</w:t>
      </w:r>
      <w:r>
        <w:rPr>
          <w:spacing w:val="43"/>
          <w:sz w:val="24"/>
        </w:rPr>
        <w:t> </w:t>
      </w:r>
      <w:r>
        <w:rPr>
          <w:sz w:val="24"/>
        </w:rPr>
        <w:t>Am.</w:t>
      </w:r>
    </w:p>
    <w:p>
      <w:pPr>
        <w:spacing w:line="116" w:lineRule="exact" w:before="0"/>
        <w:ind w:left="160" w:right="0" w:firstLine="0"/>
        <w:jc w:val="left"/>
        <w:rPr>
          <w:sz w:val="20"/>
        </w:rPr>
      </w:pPr>
      <w:r>
        <w:rPr>
          <w:sz w:val="20"/>
        </w:rPr>
        <w:t>22</w:t>
      </w:r>
    </w:p>
    <w:p>
      <w:pPr>
        <w:pStyle w:val="ListParagraph"/>
        <w:numPr>
          <w:ilvl w:val="0"/>
          <w:numId w:val="100"/>
        </w:numPr>
        <w:tabs>
          <w:tab w:pos="1415" w:val="left" w:leader="none"/>
          <w:tab w:pos="1416" w:val="left" w:leader="none"/>
        </w:tabs>
        <w:spacing w:line="257" w:lineRule="exact" w:before="0" w:after="0"/>
        <w:ind w:left="1415" w:right="0" w:hanging="1255"/>
        <w:jc w:val="left"/>
        <w:rPr>
          <w:sz w:val="24"/>
        </w:rPr>
      </w:pPr>
      <w:r>
        <w:rPr>
          <w:sz w:val="24"/>
        </w:rPr>
        <w:t>Anim. Hosp. Assoc.</w:t>
      </w:r>
      <w:r>
        <w:rPr>
          <w:spacing w:val="-10"/>
          <w:sz w:val="24"/>
        </w:rPr>
        <w:t> </w:t>
      </w:r>
      <w:r>
        <w:rPr>
          <w:sz w:val="24"/>
        </w:rPr>
        <w:t>39:263–70.</w:t>
      </w:r>
    </w:p>
    <w:p>
      <w:pPr>
        <w:pStyle w:val="ListParagraph"/>
        <w:numPr>
          <w:ilvl w:val="0"/>
          <w:numId w:val="100"/>
        </w:numPr>
        <w:tabs>
          <w:tab w:pos="1132" w:val="left" w:leader="none"/>
          <w:tab w:pos="1133" w:val="left" w:leader="none"/>
        </w:tabs>
        <w:spacing w:line="256" w:lineRule="exact" w:before="0" w:after="0"/>
        <w:ind w:left="1132" w:right="0" w:hanging="972"/>
        <w:jc w:val="left"/>
        <w:rPr>
          <w:sz w:val="24"/>
        </w:rPr>
      </w:pPr>
      <w:r>
        <w:rPr>
          <w:sz w:val="24"/>
        </w:rPr>
        <w:t>Seguin</w:t>
      </w:r>
      <w:r>
        <w:rPr>
          <w:spacing w:val="16"/>
          <w:sz w:val="24"/>
        </w:rPr>
        <w:t> </w:t>
      </w:r>
      <w:r>
        <w:rPr>
          <w:sz w:val="24"/>
        </w:rPr>
        <w:t>M.A.,</w:t>
      </w:r>
      <w:r>
        <w:rPr>
          <w:spacing w:val="17"/>
          <w:sz w:val="24"/>
        </w:rPr>
        <w:t> </w:t>
      </w:r>
      <w:r>
        <w:rPr>
          <w:sz w:val="24"/>
        </w:rPr>
        <w:t>Vaden</w:t>
      </w:r>
      <w:r>
        <w:rPr>
          <w:spacing w:val="16"/>
          <w:sz w:val="24"/>
        </w:rPr>
        <w:t> </w:t>
      </w:r>
      <w:r>
        <w:rPr>
          <w:sz w:val="24"/>
        </w:rPr>
        <w:t>S.L.,</w:t>
      </w:r>
      <w:r>
        <w:rPr>
          <w:spacing w:val="15"/>
          <w:sz w:val="24"/>
        </w:rPr>
        <w:t> </w:t>
      </w:r>
      <w:r>
        <w:rPr>
          <w:sz w:val="24"/>
        </w:rPr>
        <w:t>Altier</w:t>
      </w:r>
      <w:r>
        <w:rPr>
          <w:spacing w:val="15"/>
          <w:sz w:val="24"/>
        </w:rPr>
        <w:t> </w:t>
      </w:r>
      <w:r>
        <w:rPr>
          <w:sz w:val="24"/>
        </w:rPr>
        <w:t>C.,</w:t>
      </w:r>
      <w:r>
        <w:rPr>
          <w:spacing w:val="17"/>
          <w:sz w:val="24"/>
        </w:rPr>
        <w:t> </w:t>
      </w:r>
      <w:r>
        <w:rPr>
          <w:sz w:val="24"/>
        </w:rPr>
        <w:t>Stone</w:t>
      </w:r>
      <w:r>
        <w:rPr>
          <w:spacing w:val="16"/>
          <w:sz w:val="24"/>
        </w:rPr>
        <w:t> </w:t>
      </w:r>
      <w:r>
        <w:rPr>
          <w:sz w:val="24"/>
        </w:rPr>
        <w:t>E.</w:t>
      </w:r>
      <w:r>
        <w:rPr>
          <w:spacing w:val="17"/>
          <w:sz w:val="24"/>
        </w:rPr>
        <w:t> </w:t>
      </w:r>
      <w:r>
        <w:rPr>
          <w:sz w:val="24"/>
        </w:rPr>
        <w:t>&amp;</w:t>
      </w:r>
      <w:r>
        <w:rPr>
          <w:spacing w:val="17"/>
          <w:sz w:val="24"/>
        </w:rPr>
        <w:t> </w:t>
      </w:r>
      <w:r>
        <w:rPr>
          <w:sz w:val="24"/>
        </w:rPr>
        <w:t>Levine,</w:t>
      </w:r>
      <w:r>
        <w:rPr>
          <w:spacing w:val="17"/>
          <w:sz w:val="24"/>
        </w:rPr>
        <w:t> </w:t>
      </w:r>
      <w:r>
        <w:rPr>
          <w:sz w:val="24"/>
        </w:rPr>
        <w:t>J.F.</w:t>
      </w:r>
      <w:r>
        <w:rPr>
          <w:spacing w:val="17"/>
          <w:sz w:val="24"/>
        </w:rPr>
        <w:t> </w:t>
      </w:r>
      <w:r>
        <w:rPr>
          <w:sz w:val="24"/>
        </w:rPr>
        <w:t>2003.</w:t>
      </w:r>
      <w:r>
        <w:rPr>
          <w:spacing w:val="17"/>
          <w:sz w:val="24"/>
        </w:rPr>
        <w:t> </w:t>
      </w:r>
      <w:r>
        <w:rPr>
          <w:sz w:val="24"/>
        </w:rPr>
        <w:t>Persistent</w:t>
      </w:r>
      <w:r>
        <w:rPr>
          <w:spacing w:val="16"/>
          <w:sz w:val="24"/>
        </w:rPr>
        <w:t> </w:t>
      </w:r>
      <w:r>
        <w:rPr>
          <w:sz w:val="24"/>
        </w:rPr>
        <w:t>urinary</w:t>
      </w:r>
      <w:r>
        <w:rPr>
          <w:spacing w:val="15"/>
          <w:sz w:val="24"/>
        </w:rPr>
        <w:t> </w:t>
      </w:r>
      <w:r>
        <w:rPr>
          <w:sz w:val="24"/>
        </w:rPr>
        <w:t>tract</w:t>
      </w:r>
      <w:r>
        <w:rPr>
          <w:spacing w:val="16"/>
          <w:sz w:val="24"/>
        </w:rPr>
        <w:t> </w:t>
      </w:r>
      <w:r>
        <w:rPr>
          <w:sz w:val="24"/>
        </w:rPr>
        <w:t>infections</w:t>
      </w:r>
    </w:p>
    <w:p>
      <w:pPr>
        <w:pStyle w:val="ListParagraph"/>
        <w:numPr>
          <w:ilvl w:val="0"/>
          <w:numId w:val="100"/>
        </w:numPr>
        <w:tabs>
          <w:tab w:pos="1415" w:val="left" w:leader="none"/>
          <w:tab w:pos="1416" w:val="left" w:leader="none"/>
        </w:tabs>
        <w:spacing w:line="261" w:lineRule="exact" w:before="0" w:after="0"/>
        <w:ind w:left="1415" w:right="0" w:hanging="1255"/>
        <w:jc w:val="left"/>
        <w:rPr>
          <w:sz w:val="24"/>
        </w:rPr>
      </w:pPr>
      <w:r>
        <w:rPr>
          <w:sz w:val="24"/>
        </w:rPr>
        <w:t>and reinfections in 100 dogs (1989–1999). J. Vet. Intern. Med.</w:t>
      </w:r>
      <w:r>
        <w:rPr>
          <w:spacing w:val="-33"/>
          <w:sz w:val="24"/>
        </w:rPr>
        <w:t> </w:t>
      </w:r>
      <w:r>
        <w:rPr>
          <w:sz w:val="24"/>
        </w:rPr>
        <w:t>17:622–631.</w:t>
      </w:r>
    </w:p>
    <w:p>
      <w:pPr>
        <w:pStyle w:val="ListParagraph"/>
        <w:numPr>
          <w:ilvl w:val="0"/>
          <w:numId w:val="100"/>
        </w:numPr>
        <w:tabs>
          <w:tab w:pos="1132" w:val="left" w:leader="none"/>
          <w:tab w:pos="1133" w:val="left" w:leader="none"/>
        </w:tabs>
        <w:spacing w:line="256" w:lineRule="exact" w:before="0" w:after="0"/>
        <w:ind w:left="1132" w:right="0" w:hanging="972"/>
        <w:jc w:val="left"/>
        <w:rPr>
          <w:sz w:val="24"/>
        </w:rPr>
      </w:pPr>
      <w:r>
        <w:rPr>
          <w:sz w:val="24"/>
        </w:rPr>
        <w:t>Selcer</w:t>
      </w:r>
      <w:r>
        <w:rPr>
          <w:spacing w:val="19"/>
          <w:sz w:val="24"/>
        </w:rPr>
        <w:t> </w:t>
      </w:r>
      <w:r>
        <w:rPr>
          <w:sz w:val="24"/>
        </w:rPr>
        <w:t>B.A.</w:t>
      </w:r>
      <w:r>
        <w:rPr>
          <w:spacing w:val="21"/>
          <w:sz w:val="24"/>
        </w:rPr>
        <w:t> </w:t>
      </w:r>
      <w:r>
        <w:rPr>
          <w:sz w:val="24"/>
        </w:rPr>
        <w:t>1982.</w:t>
      </w:r>
      <w:r>
        <w:rPr>
          <w:spacing w:val="21"/>
          <w:sz w:val="24"/>
        </w:rPr>
        <w:t> </w:t>
      </w:r>
      <w:r>
        <w:rPr>
          <w:sz w:val="24"/>
        </w:rPr>
        <w:t>Urinary</w:t>
      </w:r>
      <w:r>
        <w:rPr>
          <w:spacing w:val="19"/>
          <w:sz w:val="24"/>
        </w:rPr>
        <w:t> </w:t>
      </w:r>
      <w:r>
        <w:rPr>
          <w:sz w:val="24"/>
        </w:rPr>
        <w:t>tract</w:t>
      </w:r>
      <w:r>
        <w:rPr>
          <w:spacing w:val="20"/>
          <w:sz w:val="24"/>
        </w:rPr>
        <w:t> </w:t>
      </w:r>
      <w:r>
        <w:rPr>
          <w:sz w:val="24"/>
        </w:rPr>
        <w:t>trauma</w:t>
      </w:r>
      <w:r>
        <w:rPr>
          <w:spacing w:val="20"/>
          <w:sz w:val="24"/>
        </w:rPr>
        <w:t> </w:t>
      </w:r>
      <w:r>
        <w:rPr>
          <w:sz w:val="24"/>
        </w:rPr>
        <w:t>associated</w:t>
      </w:r>
      <w:r>
        <w:rPr>
          <w:spacing w:val="19"/>
          <w:sz w:val="24"/>
        </w:rPr>
        <w:t> </w:t>
      </w:r>
      <w:r>
        <w:rPr>
          <w:sz w:val="24"/>
        </w:rPr>
        <w:t>whit</w:t>
      </w:r>
      <w:r>
        <w:rPr>
          <w:spacing w:val="20"/>
          <w:sz w:val="24"/>
        </w:rPr>
        <w:t> </w:t>
      </w:r>
      <w:r>
        <w:rPr>
          <w:sz w:val="24"/>
        </w:rPr>
        <w:t>pelvic</w:t>
      </w:r>
      <w:r>
        <w:rPr>
          <w:spacing w:val="19"/>
          <w:sz w:val="24"/>
        </w:rPr>
        <w:t> </w:t>
      </w:r>
      <w:r>
        <w:rPr>
          <w:sz w:val="24"/>
        </w:rPr>
        <w:t>trauma.</w:t>
      </w:r>
      <w:r>
        <w:rPr>
          <w:spacing w:val="19"/>
          <w:sz w:val="24"/>
        </w:rPr>
        <w:t> </w:t>
      </w:r>
      <w:r>
        <w:rPr>
          <w:sz w:val="24"/>
        </w:rPr>
        <w:t>J.</w:t>
      </w:r>
      <w:r>
        <w:rPr>
          <w:spacing w:val="21"/>
          <w:sz w:val="24"/>
        </w:rPr>
        <w:t> </w:t>
      </w:r>
      <w:r>
        <w:rPr>
          <w:sz w:val="24"/>
        </w:rPr>
        <w:t>Am.</w:t>
      </w:r>
      <w:r>
        <w:rPr>
          <w:spacing w:val="21"/>
          <w:sz w:val="24"/>
        </w:rPr>
        <w:t> </w:t>
      </w:r>
      <w:r>
        <w:rPr>
          <w:sz w:val="24"/>
        </w:rPr>
        <w:t>Anim.</w:t>
      </w:r>
      <w:r>
        <w:rPr>
          <w:spacing w:val="21"/>
          <w:sz w:val="24"/>
        </w:rPr>
        <w:t> </w:t>
      </w:r>
      <w:r>
        <w:rPr>
          <w:sz w:val="24"/>
        </w:rPr>
        <w:t>Hosp.</w:t>
      </w:r>
      <w:r>
        <w:rPr>
          <w:spacing w:val="21"/>
          <w:sz w:val="24"/>
        </w:rPr>
        <w:t> </w:t>
      </w:r>
      <w:r>
        <w:rPr>
          <w:sz w:val="24"/>
        </w:rPr>
        <w:t>Assoc.</w:t>
      </w:r>
    </w:p>
    <w:p>
      <w:pPr>
        <w:tabs>
          <w:tab w:pos="1415" w:val="left" w:leader="none"/>
        </w:tabs>
        <w:spacing w:line="258" w:lineRule="exact" w:before="0"/>
        <w:ind w:left="160" w:right="0" w:firstLine="0"/>
        <w:jc w:val="left"/>
        <w:rPr>
          <w:rFonts w:ascii="Cambria"/>
          <w:sz w:val="24"/>
        </w:rPr>
      </w:pPr>
      <w:r>
        <w:rPr>
          <w:position w:val="12"/>
          <w:sz w:val="20"/>
        </w:rPr>
        <w:t>27</w:t>
        <w:tab/>
      </w:r>
      <w:r>
        <w:rPr>
          <w:rFonts w:ascii="Cambria"/>
          <w:sz w:val="24"/>
        </w:rPr>
        <w:t>19:785-793.</w:t>
      </w:r>
    </w:p>
    <w:p>
      <w:pPr>
        <w:spacing w:line="116" w:lineRule="exact" w:before="0"/>
        <w:ind w:left="160" w:right="0" w:firstLine="0"/>
        <w:jc w:val="left"/>
        <w:rPr>
          <w:sz w:val="20"/>
        </w:rPr>
      </w:pPr>
      <w:r>
        <w:rPr>
          <w:sz w:val="20"/>
        </w:rPr>
        <w:t>28</w:t>
      </w:r>
    </w:p>
    <w:p>
      <w:pPr>
        <w:pStyle w:val="ListParagraph"/>
        <w:numPr>
          <w:ilvl w:val="0"/>
          <w:numId w:val="101"/>
        </w:numPr>
        <w:tabs>
          <w:tab w:pos="1132" w:val="left" w:leader="none"/>
          <w:tab w:pos="1133" w:val="left" w:leader="none"/>
        </w:tabs>
        <w:spacing w:line="253" w:lineRule="exact" w:before="0" w:after="0"/>
        <w:ind w:left="1132" w:right="0" w:hanging="972"/>
        <w:jc w:val="left"/>
        <w:rPr>
          <w:sz w:val="24"/>
        </w:rPr>
      </w:pPr>
      <w:r>
        <w:rPr>
          <w:sz w:val="24"/>
        </w:rPr>
        <w:t>Sereda,   C.,   Fowler,   D.   &amp;   Shmon   C.   2002.   Iatrogenic   proximal   urethral   obstruction</w:t>
      </w:r>
      <w:r>
        <w:rPr>
          <w:spacing w:val="42"/>
          <w:sz w:val="24"/>
        </w:rPr>
        <w:t> </w:t>
      </w:r>
      <w:r>
        <w:rPr>
          <w:sz w:val="24"/>
        </w:rPr>
        <w:t>after</w:t>
      </w:r>
    </w:p>
    <w:p>
      <w:pPr>
        <w:pStyle w:val="ListParagraph"/>
        <w:numPr>
          <w:ilvl w:val="0"/>
          <w:numId w:val="101"/>
        </w:numPr>
        <w:tabs>
          <w:tab w:pos="1415" w:val="left" w:leader="none"/>
          <w:tab w:pos="1416" w:val="left" w:leader="none"/>
        </w:tabs>
        <w:spacing w:line="261" w:lineRule="exact" w:before="0" w:after="0"/>
        <w:ind w:left="1415" w:right="0" w:hanging="1255"/>
        <w:jc w:val="left"/>
        <w:rPr>
          <w:sz w:val="24"/>
        </w:rPr>
      </w:pPr>
      <w:r>
        <w:rPr>
          <w:position w:val="2"/>
          <w:sz w:val="24"/>
        </w:rPr>
        <w:t>inadvertent  prostatectomy  during  bilateral  perineal  herniorrhaphy  in  a  dog</w:t>
      </w:r>
      <w:r>
        <w:rPr>
          <w:i/>
          <w:position w:val="2"/>
          <w:sz w:val="24"/>
        </w:rPr>
        <w:t>.  </w:t>
      </w:r>
      <w:r>
        <w:rPr>
          <w:position w:val="2"/>
          <w:sz w:val="24"/>
        </w:rPr>
        <w:t>Can.  Vet.    </w:t>
      </w:r>
      <w:r>
        <w:rPr>
          <w:spacing w:val="33"/>
          <w:position w:val="2"/>
          <w:sz w:val="24"/>
        </w:rPr>
        <w:t> </w:t>
      </w:r>
      <w:r>
        <w:rPr>
          <w:position w:val="2"/>
          <w:sz w:val="24"/>
        </w:rPr>
        <w:t>J.</w:t>
      </w:r>
    </w:p>
    <w:p>
      <w:pPr>
        <w:tabs>
          <w:tab w:pos="1415" w:val="left" w:leader="none"/>
        </w:tabs>
        <w:spacing w:line="258" w:lineRule="exact" w:before="0"/>
        <w:ind w:left="160" w:right="0" w:firstLine="0"/>
        <w:jc w:val="left"/>
        <w:rPr>
          <w:rFonts w:ascii="Cambria"/>
          <w:sz w:val="24"/>
        </w:rPr>
      </w:pPr>
      <w:r>
        <w:rPr>
          <w:position w:val="3"/>
          <w:sz w:val="20"/>
        </w:rPr>
        <w:t>31</w:t>
        <w:tab/>
      </w:r>
      <w:r>
        <w:rPr>
          <w:rFonts w:ascii="Cambria"/>
          <w:sz w:val="24"/>
        </w:rPr>
        <w:t>43:288-290.</w:t>
      </w:r>
    </w:p>
    <w:p>
      <w:pPr>
        <w:pStyle w:val="ListParagraph"/>
        <w:numPr>
          <w:ilvl w:val="0"/>
          <w:numId w:val="102"/>
        </w:numPr>
        <w:tabs>
          <w:tab w:pos="1132" w:val="left" w:leader="none"/>
          <w:tab w:pos="1133" w:val="left" w:leader="none"/>
        </w:tabs>
        <w:spacing w:line="257" w:lineRule="exact" w:before="0" w:after="0"/>
        <w:ind w:left="1132" w:right="0" w:hanging="972"/>
        <w:jc w:val="left"/>
        <w:rPr>
          <w:sz w:val="24"/>
        </w:rPr>
      </w:pPr>
      <w:r>
        <w:rPr>
          <w:sz w:val="24"/>
        </w:rPr>
        <w:t>Smith J. 2008. Canine prostatic disease: A review of anatomy, pathology, diagnosis and</w:t>
      </w:r>
      <w:r>
        <w:rPr>
          <w:spacing w:val="-5"/>
          <w:sz w:val="24"/>
        </w:rPr>
        <w:t> </w:t>
      </w:r>
      <w:r>
        <w:rPr>
          <w:sz w:val="24"/>
        </w:rPr>
        <w:t>treatment.</w:t>
      </w:r>
    </w:p>
    <w:p>
      <w:pPr>
        <w:pStyle w:val="ListParagraph"/>
        <w:numPr>
          <w:ilvl w:val="0"/>
          <w:numId w:val="102"/>
        </w:numPr>
        <w:tabs>
          <w:tab w:pos="1415" w:val="left" w:leader="none"/>
          <w:tab w:pos="1416" w:val="left" w:leader="none"/>
        </w:tabs>
        <w:spacing w:line="259" w:lineRule="exact" w:before="0" w:after="0"/>
        <w:ind w:left="1416" w:right="0" w:hanging="1256"/>
        <w:jc w:val="left"/>
        <w:rPr>
          <w:sz w:val="24"/>
        </w:rPr>
      </w:pPr>
      <w:r>
        <w:rPr>
          <w:sz w:val="24"/>
        </w:rPr>
        <w:t>Theriogenology.</w:t>
      </w:r>
      <w:r>
        <w:rPr>
          <w:spacing w:val="-16"/>
          <w:sz w:val="24"/>
        </w:rPr>
        <w:t> </w:t>
      </w:r>
      <w:r>
        <w:rPr>
          <w:sz w:val="24"/>
        </w:rPr>
        <w:t>70:375-383.</w:t>
      </w:r>
    </w:p>
    <w:p>
      <w:pPr>
        <w:spacing w:line="115" w:lineRule="exact" w:before="0"/>
        <w:ind w:left="160" w:right="0" w:firstLine="0"/>
        <w:jc w:val="left"/>
        <w:rPr>
          <w:sz w:val="20"/>
        </w:rPr>
      </w:pPr>
      <w:r>
        <w:rPr>
          <w:sz w:val="20"/>
        </w:rPr>
        <w:t>34</w:t>
      </w:r>
    </w:p>
    <w:p>
      <w:pPr>
        <w:pStyle w:val="ListParagraph"/>
        <w:numPr>
          <w:ilvl w:val="0"/>
          <w:numId w:val="103"/>
        </w:numPr>
        <w:tabs>
          <w:tab w:pos="1132" w:val="left" w:leader="none"/>
          <w:tab w:pos="1133" w:val="left" w:leader="none"/>
        </w:tabs>
        <w:spacing w:line="258" w:lineRule="exact" w:before="0" w:after="0"/>
        <w:ind w:left="1132" w:right="0" w:hanging="972"/>
        <w:jc w:val="left"/>
        <w:rPr>
          <w:sz w:val="24"/>
        </w:rPr>
      </w:pPr>
      <w:r>
        <w:rPr>
          <w:sz w:val="24"/>
        </w:rPr>
        <w:t>Tasaki  Y.,  Ito G., Miura N.,  Tanaka  M.  &amp;  Momoi  Y.  2013.  Predisposing cause  and prevention</w:t>
      </w:r>
      <w:r>
        <w:rPr>
          <w:spacing w:val="-25"/>
          <w:sz w:val="24"/>
        </w:rPr>
        <w:t> </w:t>
      </w:r>
      <w:r>
        <w:rPr>
          <w:sz w:val="24"/>
        </w:rPr>
        <w:t>of</w:t>
      </w:r>
    </w:p>
    <w:p>
      <w:pPr>
        <w:pStyle w:val="ListParagraph"/>
        <w:numPr>
          <w:ilvl w:val="0"/>
          <w:numId w:val="103"/>
        </w:numPr>
        <w:tabs>
          <w:tab w:pos="1415" w:val="left" w:leader="none"/>
          <w:tab w:pos="1416" w:val="left" w:leader="none"/>
        </w:tabs>
        <w:spacing w:line="256" w:lineRule="exact" w:before="0" w:after="0"/>
        <w:ind w:left="1416" w:right="0" w:hanging="1256"/>
        <w:jc w:val="left"/>
        <w:rPr>
          <w:sz w:val="24"/>
        </w:rPr>
      </w:pPr>
      <w:r>
        <w:rPr>
          <w:position w:val="1"/>
          <w:sz w:val="24"/>
        </w:rPr>
        <w:t>canine silica urolithiasis. J. Pet. Anim. Nut.</w:t>
      </w:r>
      <w:r>
        <w:rPr>
          <w:spacing w:val="-30"/>
          <w:position w:val="1"/>
          <w:sz w:val="24"/>
        </w:rPr>
        <w:t> </w:t>
      </w:r>
      <w:r>
        <w:rPr>
          <w:position w:val="1"/>
          <w:sz w:val="24"/>
        </w:rPr>
        <w:t>16:61-66.</w:t>
      </w:r>
    </w:p>
    <w:p>
      <w:pPr>
        <w:pStyle w:val="ListParagraph"/>
        <w:numPr>
          <w:ilvl w:val="0"/>
          <w:numId w:val="103"/>
        </w:numPr>
        <w:tabs>
          <w:tab w:pos="1132" w:val="left" w:leader="none"/>
          <w:tab w:pos="1133" w:val="left" w:leader="none"/>
        </w:tabs>
        <w:spacing w:line="257" w:lineRule="exact" w:before="0" w:after="0"/>
        <w:ind w:left="1132" w:right="0" w:hanging="972"/>
        <w:jc w:val="left"/>
        <w:rPr>
          <w:sz w:val="24"/>
        </w:rPr>
      </w:pPr>
      <w:r>
        <w:rPr>
          <w:sz w:val="24"/>
        </w:rPr>
        <w:t>Thornhill J.A. &amp; Cechner P.E. 1981. Traumatic injuries to the kidney, ureter, bladder and  </w:t>
      </w:r>
      <w:r>
        <w:rPr>
          <w:spacing w:val="3"/>
          <w:sz w:val="24"/>
        </w:rPr>
        <w:t> </w:t>
      </w:r>
      <w:r>
        <w:rPr>
          <w:sz w:val="24"/>
        </w:rPr>
        <w:t>urethra.</w:t>
      </w:r>
    </w:p>
    <w:p>
      <w:pPr>
        <w:pStyle w:val="ListParagraph"/>
        <w:numPr>
          <w:ilvl w:val="0"/>
          <w:numId w:val="103"/>
        </w:numPr>
        <w:tabs>
          <w:tab w:pos="1415" w:val="left" w:leader="none"/>
          <w:tab w:pos="1416" w:val="left" w:leader="none"/>
        </w:tabs>
        <w:spacing w:line="262" w:lineRule="exact" w:before="0" w:after="0"/>
        <w:ind w:left="1416" w:right="0" w:hanging="1256"/>
        <w:jc w:val="left"/>
        <w:rPr>
          <w:sz w:val="24"/>
        </w:rPr>
      </w:pPr>
      <w:r>
        <w:rPr>
          <w:sz w:val="24"/>
        </w:rPr>
        <w:t>Vet. Clin. North Am. Small Anim. Pract.</w:t>
      </w:r>
      <w:r>
        <w:rPr>
          <w:spacing w:val="-24"/>
          <w:sz w:val="24"/>
        </w:rPr>
        <w:t> </w:t>
      </w:r>
      <w:r>
        <w:rPr>
          <w:sz w:val="24"/>
        </w:rPr>
        <w:t>1:157-169.</w:t>
      </w:r>
    </w:p>
    <w:p>
      <w:pPr>
        <w:pStyle w:val="ListParagraph"/>
        <w:numPr>
          <w:ilvl w:val="0"/>
          <w:numId w:val="103"/>
        </w:numPr>
        <w:tabs>
          <w:tab w:pos="1132" w:val="left" w:leader="none"/>
          <w:tab w:pos="1133" w:val="left" w:leader="none"/>
        </w:tabs>
        <w:spacing w:line="326" w:lineRule="exact" w:before="0" w:after="0"/>
        <w:ind w:left="1132" w:right="0" w:hanging="972"/>
        <w:jc w:val="left"/>
        <w:rPr>
          <w:sz w:val="24"/>
        </w:rPr>
      </w:pPr>
      <w:r>
        <w:rPr/>
        <w:pict>
          <v:shape style="position:absolute;margin-left:8pt;margin-top:10.880737pt;width:11.15pt;height:10pt;mso-position-horizontal-relative:page;mso-position-vertical-relative:paragraph;z-index:-92032" type="#_x0000_t202" filled="false" stroked="false">
            <v:textbox inset="0,0,0,0">
              <w:txbxContent>
                <w:p>
                  <w:pPr>
                    <w:spacing w:line="196" w:lineRule="exact" w:before="0"/>
                    <w:ind w:left="0" w:right="-20" w:firstLine="0"/>
                    <w:jc w:val="left"/>
                    <w:rPr>
                      <w:sz w:val="20"/>
                    </w:rPr>
                  </w:pPr>
                  <w:r>
                    <w:rPr>
                      <w:sz w:val="20"/>
                    </w:rPr>
                    <w:t>40</w:t>
                  </w:r>
                </w:p>
              </w:txbxContent>
            </v:textbox>
            <w10:wrap type="none"/>
          </v:shape>
        </w:pict>
      </w:r>
      <w:r>
        <w:rPr>
          <w:sz w:val="24"/>
        </w:rPr>
        <w:t>Vrabelova  D.,  Silvestrini  P.,  Ciudad J.,  Gimenez J.C.,  Ballesteros  M., Puig P., Ruiz de  Gopegui  </w:t>
      </w:r>
      <w:r>
        <w:rPr>
          <w:spacing w:val="29"/>
          <w:sz w:val="24"/>
        </w:rPr>
        <w:t> </w:t>
      </w:r>
      <w:r>
        <w:rPr>
          <w:sz w:val="24"/>
        </w:rPr>
        <w:t>R.</w:t>
      </w:r>
    </w:p>
    <w:p>
      <w:pPr>
        <w:pStyle w:val="BodyText"/>
        <w:tabs>
          <w:tab w:pos="1415" w:val="left" w:leader="none"/>
        </w:tabs>
        <w:spacing w:line="302" w:lineRule="exact"/>
        <w:ind w:left="160"/>
        <w:rPr>
          <w:rFonts w:ascii="Cambria"/>
        </w:rPr>
      </w:pPr>
      <w:r>
        <w:rPr>
          <w:position w:val="-4"/>
          <w:sz w:val="20"/>
        </w:rPr>
        <w:t>41</w:t>
        <w:tab/>
      </w:r>
      <w:r>
        <w:rPr>
          <w:rFonts w:ascii="Cambria"/>
        </w:rPr>
        <w:t>2006.</w:t>
      </w:r>
      <w:r>
        <w:rPr>
          <w:rFonts w:ascii="Cambria"/>
          <w:spacing w:val="36"/>
        </w:rPr>
        <w:t> </w:t>
      </w:r>
      <w:r>
        <w:rPr>
          <w:rFonts w:ascii="Cambria"/>
        </w:rPr>
        <w:t>Analysis</w:t>
      </w:r>
      <w:r>
        <w:rPr>
          <w:rFonts w:ascii="Cambria"/>
          <w:spacing w:val="35"/>
        </w:rPr>
        <w:t> </w:t>
      </w:r>
      <w:r>
        <w:rPr>
          <w:rFonts w:ascii="Cambria"/>
        </w:rPr>
        <w:t>of</w:t>
      </w:r>
      <w:r>
        <w:rPr>
          <w:rFonts w:ascii="Cambria"/>
          <w:spacing w:val="35"/>
        </w:rPr>
        <w:t> </w:t>
      </w:r>
      <w:r>
        <w:rPr>
          <w:rFonts w:ascii="Cambria"/>
        </w:rPr>
        <w:t>2735</w:t>
      </w:r>
      <w:r>
        <w:rPr>
          <w:rFonts w:ascii="Cambria"/>
          <w:spacing w:val="37"/>
        </w:rPr>
        <w:t> </w:t>
      </w:r>
      <w:r>
        <w:rPr>
          <w:rFonts w:ascii="Cambria"/>
        </w:rPr>
        <w:t>canine</w:t>
      </w:r>
      <w:r>
        <w:rPr>
          <w:rFonts w:ascii="Cambria"/>
          <w:spacing w:val="36"/>
        </w:rPr>
        <w:t> </w:t>
      </w:r>
      <w:r>
        <w:rPr>
          <w:rFonts w:ascii="Cambria"/>
        </w:rPr>
        <w:t>uroliths</w:t>
      </w:r>
      <w:r>
        <w:rPr>
          <w:rFonts w:ascii="Cambria"/>
          <w:spacing w:val="35"/>
        </w:rPr>
        <w:t> </w:t>
      </w:r>
      <w:r>
        <w:rPr>
          <w:rFonts w:ascii="Cambria"/>
        </w:rPr>
        <w:t>in</w:t>
      </w:r>
      <w:r>
        <w:rPr>
          <w:rFonts w:ascii="Cambria"/>
          <w:spacing w:val="36"/>
        </w:rPr>
        <w:t> </w:t>
      </w:r>
      <w:r>
        <w:rPr>
          <w:rFonts w:ascii="Cambria"/>
        </w:rPr>
        <w:t>Spain</w:t>
      </w:r>
      <w:r>
        <w:rPr>
          <w:rFonts w:ascii="Cambria"/>
          <w:spacing w:val="36"/>
        </w:rPr>
        <w:t> </w:t>
      </w:r>
      <w:r>
        <w:rPr>
          <w:rFonts w:ascii="Cambria"/>
        </w:rPr>
        <w:t>and</w:t>
      </w:r>
      <w:r>
        <w:rPr>
          <w:rFonts w:ascii="Cambria"/>
          <w:spacing w:val="34"/>
        </w:rPr>
        <w:t> </w:t>
      </w:r>
      <w:r>
        <w:rPr>
          <w:rFonts w:ascii="Cambria"/>
        </w:rPr>
        <w:t>Portugal.</w:t>
      </w:r>
      <w:r>
        <w:rPr>
          <w:rFonts w:ascii="Cambria"/>
          <w:spacing w:val="36"/>
        </w:rPr>
        <w:t> </w:t>
      </w:r>
      <w:r>
        <w:rPr>
          <w:rFonts w:ascii="Cambria"/>
        </w:rPr>
        <w:t>A</w:t>
      </w:r>
      <w:r>
        <w:rPr>
          <w:rFonts w:ascii="Cambria"/>
          <w:spacing w:val="35"/>
        </w:rPr>
        <w:t> </w:t>
      </w:r>
      <w:r>
        <w:rPr>
          <w:rFonts w:ascii="Cambria"/>
        </w:rPr>
        <w:t>retrospective</w:t>
      </w:r>
      <w:r>
        <w:rPr>
          <w:rFonts w:ascii="Cambria"/>
          <w:spacing w:val="36"/>
        </w:rPr>
        <w:t> </w:t>
      </w:r>
      <w:r>
        <w:rPr>
          <w:rFonts w:ascii="Cambria"/>
        </w:rPr>
        <w:t>study:</w:t>
      </w:r>
      <w:r>
        <w:rPr>
          <w:rFonts w:ascii="Cambria"/>
          <w:spacing w:val="34"/>
        </w:rPr>
        <w:t> </w:t>
      </w:r>
      <w:r>
        <w:rPr>
          <w:rFonts w:ascii="Cambria"/>
        </w:rPr>
        <w:t>2004-</w:t>
      </w:r>
    </w:p>
    <w:p>
      <w:pPr>
        <w:pStyle w:val="BodyText"/>
        <w:tabs>
          <w:tab w:pos="1415" w:val="left" w:leader="none"/>
        </w:tabs>
        <w:spacing w:line="258" w:lineRule="exact"/>
        <w:ind w:left="160"/>
        <w:rPr>
          <w:rFonts w:ascii="Cambria"/>
        </w:rPr>
      </w:pPr>
      <w:r>
        <w:rPr>
          <w:sz w:val="20"/>
        </w:rPr>
        <w:t>42</w:t>
        <w:tab/>
      </w:r>
      <w:r>
        <w:rPr>
          <w:rFonts w:ascii="Cambria"/>
        </w:rPr>
        <w:t>2006. Res. Vet. Sci.</w:t>
      </w:r>
      <w:r>
        <w:rPr>
          <w:rFonts w:ascii="Cambria"/>
          <w:spacing w:val="-16"/>
        </w:rPr>
        <w:t> </w:t>
      </w:r>
      <w:r>
        <w:rPr>
          <w:rFonts w:ascii="Cambria"/>
        </w:rPr>
        <w:t>91:208-211.</w:t>
      </w:r>
    </w:p>
    <w:p>
      <w:pPr>
        <w:pStyle w:val="ListParagraph"/>
        <w:numPr>
          <w:ilvl w:val="0"/>
          <w:numId w:val="104"/>
        </w:numPr>
        <w:tabs>
          <w:tab w:pos="1132" w:val="left" w:leader="none"/>
          <w:tab w:pos="1133" w:val="left" w:leader="none"/>
        </w:tabs>
        <w:spacing w:line="260" w:lineRule="exact" w:before="0" w:after="0"/>
        <w:ind w:left="1132" w:right="0" w:hanging="972"/>
        <w:jc w:val="left"/>
        <w:rPr>
          <w:sz w:val="24"/>
        </w:rPr>
      </w:pPr>
      <w:r>
        <w:rPr>
          <w:sz w:val="24"/>
        </w:rPr>
        <w:t>Weese</w:t>
      </w:r>
      <w:r>
        <w:rPr>
          <w:spacing w:val="40"/>
          <w:sz w:val="24"/>
        </w:rPr>
        <w:t> </w:t>
      </w:r>
      <w:r>
        <w:rPr>
          <w:sz w:val="24"/>
        </w:rPr>
        <w:t>J.S.,</w:t>
      </w:r>
      <w:r>
        <w:rPr>
          <w:spacing w:val="40"/>
          <w:sz w:val="24"/>
        </w:rPr>
        <w:t> </w:t>
      </w:r>
      <w:r>
        <w:rPr>
          <w:sz w:val="24"/>
        </w:rPr>
        <w:t>Blondeau</w:t>
      </w:r>
      <w:r>
        <w:rPr>
          <w:spacing w:val="38"/>
          <w:sz w:val="24"/>
        </w:rPr>
        <w:t> </w:t>
      </w:r>
      <w:r>
        <w:rPr>
          <w:sz w:val="24"/>
        </w:rPr>
        <w:t>J.M.,</w:t>
      </w:r>
      <w:r>
        <w:rPr>
          <w:spacing w:val="38"/>
          <w:sz w:val="24"/>
        </w:rPr>
        <w:t> </w:t>
      </w:r>
      <w:r>
        <w:rPr>
          <w:sz w:val="24"/>
        </w:rPr>
        <w:t>Boothe</w:t>
      </w:r>
      <w:r>
        <w:rPr>
          <w:spacing w:val="40"/>
          <w:sz w:val="24"/>
        </w:rPr>
        <w:t> </w:t>
      </w:r>
      <w:r>
        <w:rPr>
          <w:sz w:val="24"/>
        </w:rPr>
        <w:t>D.,</w:t>
      </w:r>
      <w:r>
        <w:rPr>
          <w:spacing w:val="40"/>
          <w:sz w:val="24"/>
        </w:rPr>
        <w:t> </w:t>
      </w:r>
      <w:r>
        <w:rPr>
          <w:sz w:val="24"/>
        </w:rPr>
        <w:t>Breitschwerdt</w:t>
      </w:r>
      <w:r>
        <w:rPr>
          <w:spacing w:val="39"/>
          <w:sz w:val="24"/>
        </w:rPr>
        <w:t> </w:t>
      </w:r>
      <w:r>
        <w:rPr>
          <w:sz w:val="24"/>
        </w:rPr>
        <w:t>E.B.,</w:t>
      </w:r>
      <w:r>
        <w:rPr>
          <w:spacing w:val="40"/>
          <w:sz w:val="24"/>
        </w:rPr>
        <w:t> </w:t>
      </w:r>
      <w:r>
        <w:rPr>
          <w:sz w:val="24"/>
        </w:rPr>
        <w:t>Guardabassi</w:t>
      </w:r>
      <w:r>
        <w:rPr>
          <w:spacing w:val="39"/>
          <w:sz w:val="24"/>
        </w:rPr>
        <w:t> </w:t>
      </w:r>
      <w:r>
        <w:rPr>
          <w:sz w:val="24"/>
        </w:rPr>
        <w:t>L.,</w:t>
      </w:r>
      <w:r>
        <w:rPr>
          <w:spacing w:val="40"/>
          <w:sz w:val="24"/>
        </w:rPr>
        <w:t> </w:t>
      </w:r>
      <w:r>
        <w:rPr>
          <w:sz w:val="24"/>
        </w:rPr>
        <w:t>Hillier</w:t>
      </w:r>
      <w:r>
        <w:rPr>
          <w:spacing w:val="38"/>
          <w:sz w:val="24"/>
        </w:rPr>
        <w:t> </w:t>
      </w:r>
      <w:r>
        <w:rPr>
          <w:sz w:val="24"/>
        </w:rPr>
        <w:t>A.,</w:t>
      </w:r>
      <w:r>
        <w:rPr>
          <w:spacing w:val="38"/>
          <w:sz w:val="24"/>
        </w:rPr>
        <w:t> </w:t>
      </w:r>
      <w:r>
        <w:rPr>
          <w:sz w:val="24"/>
        </w:rPr>
        <w:t>Lloyd</w:t>
      </w:r>
      <w:r>
        <w:rPr>
          <w:spacing w:val="38"/>
          <w:sz w:val="24"/>
        </w:rPr>
        <w:t> </w:t>
      </w:r>
      <w:r>
        <w:rPr>
          <w:sz w:val="24"/>
        </w:rPr>
        <w:t>D.H.,</w:t>
      </w:r>
    </w:p>
    <w:p>
      <w:pPr>
        <w:pStyle w:val="ListParagraph"/>
        <w:numPr>
          <w:ilvl w:val="0"/>
          <w:numId w:val="104"/>
        </w:numPr>
        <w:tabs>
          <w:tab w:pos="1415" w:val="left" w:leader="none"/>
          <w:tab w:pos="1416" w:val="left" w:leader="none"/>
        </w:tabs>
        <w:spacing w:line="256" w:lineRule="exact" w:before="0" w:after="0"/>
        <w:ind w:left="1416" w:right="0" w:hanging="1256"/>
        <w:jc w:val="left"/>
        <w:rPr>
          <w:sz w:val="24"/>
        </w:rPr>
      </w:pPr>
      <w:r>
        <w:rPr>
          <w:sz w:val="24"/>
        </w:rPr>
        <w:t>Papich  M.G.,  Rankin  S.C.,  Turnidge  J.D.  &amp;  Sykes  J.E.  2011.  Antimicrobial  use  guidelines</w:t>
      </w:r>
      <w:r>
        <w:rPr>
          <w:spacing w:val="-9"/>
          <w:sz w:val="24"/>
        </w:rPr>
        <w:t> </w:t>
      </w:r>
      <w:r>
        <w:rPr>
          <w:sz w:val="24"/>
        </w:rPr>
        <w:t>for</w:t>
      </w:r>
    </w:p>
    <w:p>
      <w:pPr>
        <w:pStyle w:val="ListParagraph"/>
        <w:numPr>
          <w:ilvl w:val="0"/>
          <w:numId w:val="104"/>
        </w:numPr>
        <w:tabs>
          <w:tab w:pos="1415" w:val="left" w:leader="none"/>
          <w:tab w:pos="1416" w:val="left" w:leader="none"/>
        </w:tabs>
        <w:spacing w:line="331" w:lineRule="exact" w:before="0" w:after="0"/>
        <w:ind w:left="1416" w:right="0" w:hanging="1256"/>
        <w:jc w:val="left"/>
        <w:rPr>
          <w:sz w:val="24"/>
        </w:rPr>
      </w:pPr>
      <w:r>
        <w:rPr/>
        <w:pict>
          <v:shape style="position:absolute;margin-left:8pt;margin-top:10.812737pt;width:11.15pt;height:10pt;mso-position-horizontal-relative:page;mso-position-vertical-relative:paragraph;z-index:-92008" type="#_x0000_t202" filled="false" stroked="false">
            <v:textbox inset="0,0,0,0">
              <w:txbxContent>
                <w:p>
                  <w:pPr>
                    <w:spacing w:line="196" w:lineRule="exact" w:before="0"/>
                    <w:ind w:left="0" w:right="-20" w:firstLine="0"/>
                    <w:jc w:val="left"/>
                    <w:rPr>
                      <w:sz w:val="20"/>
                    </w:rPr>
                  </w:pPr>
                  <w:r>
                    <w:rPr>
                      <w:sz w:val="20"/>
                    </w:rPr>
                    <w:t>46</w:t>
                  </w:r>
                </w:p>
              </w:txbxContent>
            </v:textbox>
            <w10:wrap type="none"/>
          </v:shape>
        </w:pict>
      </w:r>
      <w:r>
        <w:rPr>
          <w:sz w:val="24"/>
        </w:rPr>
        <w:t>treatment of urinary tract disease in dogs and cats: antimicrobial guidelines working group </w:t>
      </w:r>
      <w:r>
        <w:rPr>
          <w:spacing w:val="25"/>
          <w:sz w:val="24"/>
        </w:rPr>
        <w:t> </w:t>
      </w:r>
      <w:r>
        <w:rPr>
          <w:sz w:val="24"/>
        </w:rPr>
        <w:t>of</w:t>
      </w:r>
    </w:p>
    <w:p>
      <w:pPr>
        <w:pStyle w:val="BodyText"/>
        <w:tabs>
          <w:tab w:pos="1415" w:val="left" w:leader="none"/>
        </w:tabs>
        <w:spacing w:line="300" w:lineRule="exact"/>
        <w:ind w:left="160"/>
        <w:rPr>
          <w:rFonts w:ascii="Cambria"/>
        </w:rPr>
      </w:pPr>
      <w:r>
        <w:rPr>
          <w:position w:val="-4"/>
          <w:sz w:val="20"/>
        </w:rPr>
        <w:t>47</w:t>
        <w:tab/>
      </w:r>
      <w:r>
        <w:rPr>
          <w:rFonts w:ascii="Cambria"/>
        </w:rPr>
        <w:t>the</w:t>
      </w:r>
      <w:r>
        <w:rPr>
          <w:rFonts w:ascii="Cambria"/>
          <w:spacing w:val="36"/>
        </w:rPr>
        <w:t> </w:t>
      </w:r>
      <w:r>
        <w:rPr>
          <w:rFonts w:ascii="Cambria"/>
        </w:rPr>
        <w:t>international</w:t>
      </w:r>
      <w:r>
        <w:rPr>
          <w:rFonts w:ascii="Cambria"/>
          <w:spacing w:val="35"/>
        </w:rPr>
        <w:t> </w:t>
      </w:r>
      <w:r>
        <w:rPr>
          <w:rFonts w:ascii="Cambria"/>
        </w:rPr>
        <w:t>society</w:t>
      </w:r>
      <w:r>
        <w:rPr>
          <w:rFonts w:ascii="Cambria"/>
          <w:spacing w:val="34"/>
        </w:rPr>
        <w:t> </w:t>
      </w:r>
      <w:r>
        <w:rPr>
          <w:rFonts w:ascii="Cambria"/>
        </w:rPr>
        <w:t>for</w:t>
      </w:r>
      <w:r>
        <w:rPr>
          <w:rFonts w:ascii="Cambria"/>
          <w:spacing w:val="37"/>
        </w:rPr>
        <w:t> </w:t>
      </w:r>
      <w:r>
        <w:rPr>
          <w:rFonts w:ascii="Cambria"/>
        </w:rPr>
        <w:t>companion</w:t>
      </w:r>
      <w:r>
        <w:rPr>
          <w:rFonts w:ascii="Cambria"/>
          <w:spacing w:val="36"/>
        </w:rPr>
        <w:t> </w:t>
      </w:r>
      <w:r>
        <w:rPr>
          <w:rFonts w:ascii="Cambria"/>
        </w:rPr>
        <w:t>animal</w:t>
      </w:r>
      <w:r>
        <w:rPr>
          <w:rFonts w:ascii="Cambria"/>
          <w:spacing w:val="35"/>
        </w:rPr>
        <w:t> </w:t>
      </w:r>
      <w:r>
        <w:rPr>
          <w:rFonts w:ascii="Cambria"/>
        </w:rPr>
        <w:t>infection</w:t>
      </w:r>
      <w:r>
        <w:rPr>
          <w:rFonts w:ascii="Cambria"/>
          <w:spacing w:val="36"/>
        </w:rPr>
        <w:t> </w:t>
      </w:r>
      <w:r>
        <w:rPr>
          <w:rFonts w:ascii="Cambria"/>
        </w:rPr>
        <w:t>disease.</w:t>
      </w:r>
      <w:r>
        <w:rPr>
          <w:rFonts w:ascii="Cambria"/>
          <w:spacing w:val="36"/>
        </w:rPr>
        <w:t> </w:t>
      </w:r>
      <w:r>
        <w:rPr>
          <w:rFonts w:ascii="Cambria"/>
        </w:rPr>
        <w:t>Vet.</w:t>
      </w:r>
      <w:r>
        <w:rPr>
          <w:rFonts w:ascii="Cambria"/>
          <w:spacing w:val="36"/>
        </w:rPr>
        <w:t> </w:t>
      </w:r>
      <w:r>
        <w:rPr>
          <w:rFonts w:ascii="Cambria"/>
        </w:rPr>
        <w:t>Med.</w:t>
      </w:r>
      <w:r>
        <w:rPr>
          <w:rFonts w:ascii="Cambria"/>
          <w:spacing w:val="36"/>
        </w:rPr>
        <w:t> </w:t>
      </w:r>
      <w:r>
        <w:rPr>
          <w:rFonts w:ascii="Cambria"/>
        </w:rPr>
        <w:t>Int.</w:t>
      </w:r>
      <w:r>
        <w:rPr>
          <w:rFonts w:ascii="Cambria"/>
          <w:spacing w:val="36"/>
        </w:rPr>
        <w:t> </w:t>
      </w:r>
      <w:r>
        <w:rPr>
          <w:rFonts w:ascii="Cambria"/>
        </w:rPr>
        <w:t>63768.</w:t>
      </w:r>
      <w:r>
        <w:rPr>
          <w:rFonts w:ascii="Cambria"/>
          <w:spacing w:val="36"/>
        </w:rPr>
        <w:t> </w:t>
      </w:r>
      <w:r>
        <w:rPr>
          <w:rFonts w:ascii="Cambria"/>
        </w:rPr>
        <w:t>doi:</w:t>
      </w:r>
    </w:p>
    <w:p>
      <w:pPr>
        <w:pStyle w:val="BodyText"/>
        <w:tabs>
          <w:tab w:pos="1415" w:val="left" w:leader="none"/>
        </w:tabs>
        <w:spacing w:line="257" w:lineRule="exact"/>
        <w:ind w:left="160"/>
        <w:rPr>
          <w:rFonts w:ascii="Cambria"/>
        </w:rPr>
      </w:pPr>
      <w:r>
        <w:rPr>
          <w:sz w:val="20"/>
        </w:rPr>
        <w:t>48</w:t>
        <w:tab/>
      </w:r>
      <w:r>
        <w:rPr>
          <w:rFonts w:ascii="Cambria"/>
        </w:rPr>
        <w:t>10.4061/2011/263768.</w:t>
      </w:r>
    </w:p>
    <w:p>
      <w:pPr>
        <w:spacing w:line="225" w:lineRule="exact" w:before="0"/>
        <w:ind w:left="160" w:right="0" w:firstLine="0"/>
        <w:jc w:val="left"/>
        <w:rPr>
          <w:sz w:val="20"/>
        </w:rPr>
      </w:pPr>
      <w:r>
        <w:rPr>
          <w:sz w:val="20"/>
        </w:rPr>
        <w:t>49</w:t>
      </w:r>
    </w:p>
    <w:p>
      <w:pPr>
        <w:spacing w:before="3"/>
        <w:ind w:left="160" w:right="0" w:firstLine="0"/>
        <w:jc w:val="left"/>
        <w:rPr>
          <w:sz w:val="20"/>
        </w:rPr>
      </w:pPr>
      <w:r>
        <w:rPr>
          <w:sz w:val="20"/>
        </w:rPr>
        <w:t>50</w:t>
      </w:r>
    </w:p>
    <w:p>
      <w:pPr>
        <w:spacing w:before="3"/>
        <w:ind w:left="160" w:right="0" w:firstLine="0"/>
        <w:jc w:val="left"/>
        <w:rPr>
          <w:sz w:val="20"/>
        </w:rPr>
      </w:pPr>
      <w:r>
        <w:rPr>
          <w:sz w:val="20"/>
        </w:rPr>
        <w:t>51</w:t>
      </w:r>
    </w:p>
    <w:p>
      <w:pPr>
        <w:spacing w:before="3"/>
        <w:ind w:left="160" w:right="0" w:firstLine="0"/>
        <w:jc w:val="left"/>
        <w:rPr>
          <w:sz w:val="20"/>
        </w:rPr>
      </w:pPr>
      <w:r>
        <w:rPr>
          <w:sz w:val="20"/>
        </w:rPr>
        <w:t>52</w:t>
      </w:r>
    </w:p>
    <w:p>
      <w:pPr>
        <w:spacing w:before="3"/>
        <w:ind w:left="160" w:right="0" w:firstLine="0"/>
        <w:jc w:val="left"/>
        <w:rPr>
          <w:sz w:val="20"/>
        </w:rPr>
      </w:pPr>
      <w:r>
        <w:rPr>
          <w:sz w:val="20"/>
        </w:rPr>
        <w:t>53</w:t>
      </w:r>
    </w:p>
    <w:p>
      <w:pPr>
        <w:spacing w:before="3"/>
        <w:ind w:left="160" w:right="0" w:firstLine="0"/>
        <w:jc w:val="left"/>
        <w:rPr>
          <w:sz w:val="20"/>
        </w:rPr>
      </w:pPr>
      <w:r>
        <w:rPr>
          <w:sz w:val="20"/>
        </w:rPr>
        <w:t>54</w:t>
      </w:r>
    </w:p>
    <w:p>
      <w:pPr>
        <w:spacing w:before="3"/>
        <w:ind w:left="160" w:right="0" w:firstLine="0"/>
        <w:jc w:val="left"/>
        <w:rPr>
          <w:sz w:val="20"/>
        </w:rPr>
      </w:pPr>
      <w:r>
        <w:rPr>
          <w:sz w:val="20"/>
        </w:rPr>
        <w:t>55</w:t>
      </w:r>
    </w:p>
    <w:p>
      <w:pPr>
        <w:spacing w:before="3"/>
        <w:ind w:left="160" w:right="0" w:firstLine="0"/>
        <w:jc w:val="left"/>
        <w:rPr>
          <w:sz w:val="20"/>
        </w:rPr>
      </w:pPr>
      <w:r>
        <w:rPr>
          <w:sz w:val="20"/>
        </w:rPr>
        <w:t>56</w:t>
      </w:r>
    </w:p>
    <w:p>
      <w:pPr>
        <w:spacing w:before="3"/>
        <w:ind w:left="160" w:right="0" w:firstLine="0"/>
        <w:jc w:val="left"/>
        <w:rPr>
          <w:sz w:val="20"/>
        </w:rPr>
      </w:pPr>
      <w:r>
        <w:rPr>
          <w:sz w:val="20"/>
        </w:rPr>
        <w:t>57</w:t>
      </w:r>
    </w:p>
    <w:p>
      <w:pPr>
        <w:spacing w:after="0"/>
        <w:jc w:val="left"/>
        <w:rPr>
          <w:sz w:val="20"/>
        </w:rPr>
        <w:sectPr>
          <w:headerReference w:type="default" r:id="rId71"/>
          <w:footerReference w:type="default" r:id="rId72"/>
          <w:pgSz w:w="12240" w:h="15840"/>
          <w:pgMar w:header="0" w:footer="1383" w:top="140" w:bottom="1580" w:left="0" w:right="40"/>
        </w:sectPr>
      </w:pPr>
    </w:p>
    <w:p>
      <w:pPr>
        <w:tabs>
          <w:tab w:pos="6452" w:val="left" w:leader="none"/>
        </w:tabs>
        <w:spacing w:before="56"/>
        <w:ind w:left="160" w:right="0" w:firstLine="0"/>
        <w:jc w:val="left"/>
        <w:rPr>
          <w:b/>
          <w:sz w:val="20"/>
        </w:rPr>
      </w:pPr>
      <w:r>
        <w:rPr>
          <w:b/>
          <w:sz w:val="20"/>
        </w:rPr>
        <w:t>Page 11</w:t>
      </w:r>
      <w:r>
        <w:rPr>
          <w:b/>
          <w:spacing w:val="-1"/>
          <w:sz w:val="20"/>
        </w:rPr>
        <w:t> </w:t>
      </w:r>
      <w:r>
        <w:rPr>
          <w:b/>
          <w:sz w:val="20"/>
        </w:rPr>
        <w:t>of</w:t>
      </w:r>
      <w:r>
        <w:rPr>
          <w:b/>
          <w:spacing w:val="-1"/>
          <w:sz w:val="20"/>
        </w:rPr>
        <w:t> </w:t>
      </w:r>
      <w:r>
        <w:rPr>
          <w:b/>
          <w:sz w:val="20"/>
        </w:rPr>
        <w:t>13</w:t>
        <w:tab/>
        <w:t>Pesquisa Veterinária</w:t>
      </w:r>
      <w:r>
        <w:rPr>
          <w:b/>
          <w:spacing w:val="-11"/>
          <w:sz w:val="20"/>
        </w:rPr>
        <w:t> </w:t>
      </w:r>
      <w:r>
        <w:rPr>
          <w:b/>
          <w:sz w:val="20"/>
        </w:rPr>
        <w:t>Brasileira</w:t>
      </w:r>
    </w:p>
    <w:p>
      <w:pPr>
        <w:pStyle w:val="BodyText"/>
        <w:spacing w:before="4"/>
        <w:rPr>
          <w:b/>
          <w:sz w:val="19"/>
        </w:rPr>
      </w:pPr>
    </w:p>
    <w:p>
      <w:pPr>
        <w:spacing w:line="230" w:lineRule="exact" w:before="56"/>
        <w:ind w:left="0" w:right="110" w:firstLine="0"/>
        <w:jc w:val="right"/>
        <w:rPr>
          <w:rFonts w:ascii="Calibri"/>
          <w:sz w:val="22"/>
        </w:rPr>
      </w:pPr>
      <w:r>
        <w:rPr>
          <w:rFonts w:ascii="Calibri"/>
          <w:sz w:val="22"/>
        </w:rPr>
        <w:t>11</w:t>
      </w:r>
    </w:p>
    <w:p>
      <w:pPr>
        <w:spacing w:line="191" w:lineRule="exact" w:before="0"/>
        <w:ind w:left="160" w:right="0" w:firstLine="0"/>
        <w:jc w:val="left"/>
        <w:rPr>
          <w:sz w:val="20"/>
        </w:rPr>
      </w:pPr>
      <w:r>
        <w:rPr>
          <w:sz w:val="20"/>
        </w:rPr>
        <w:t>1</w:t>
      </w:r>
    </w:p>
    <w:p>
      <w:pPr>
        <w:pStyle w:val="Heading3"/>
        <w:tabs>
          <w:tab w:pos="1132" w:val="left" w:leader="none"/>
        </w:tabs>
        <w:spacing w:line="256" w:lineRule="exact" w:before="6"/>
        <w:ind w:left="160" w:right="0"/>
        <w:rPr>
          <w:rFonts w:ascii="Cambria"/>
        </w:rPr>
      </w:pPr>
      <w:r>
        <w:rPr>
          <w:b w:val="0"/>
          <w:position w:val="4"/>
          <w:sz w:val="20"/>
        </w:rPr>
        <w:t>2</w:t>
        <w:tab/>
      </w:r>
      <w:r>
        <w:rPr>
          <w:rFonts w:ascii="Cambria"/>
        </w:rPr>
        <w:t>Table 1</w:t>
      </w:r>
      <w:r>
        <w:rPr>
          <w:rFonts w:ascii="Cambria"/>
          <w:b w:val="0"/>
        </w:rPr>
        <w:t>. </w:t>
      </w:r>
      <w:r>
        <w:rPr>
          <w:rFonts w:ascii="Cambria"/>
        </w:rPr>
        <w:t>Distribution of the dog studied in the different LUTD</w:t>
      </w:r>
      <w:r>
        <w:rPr>
          <w:rFonts w:ascii="Cambria"/>
          <w:spacing w:val="-32"/>
        </w:rPr>
        <w:t> </w:t>
      </w:r>
      <w:r>
        <w:rPr>
          <w:rFonts w:ascii="Cambria"/>
        </w:rPr>
        <w:t>groups.</w:t>
      </w:r>
    </w:p>
    <w:p>
      <w:pPr>
        <w:spacing w:line="204" w:lineRule="exact" w:before="0"/>
        <w:ind w:left="160" w:right="0" w:firstLine="0"/>
        <w:jc w:val="left"/>
        <w:rPr>
          <w:sz w:val="20"/>
        </w:rPr>
      </w:pPr>
      <w:r>
        <w:rPr>
          <w:sz w:val="20"/>
        </w:rPr>
        <w:t>3</w:t>
      </w:r>
    </w:p>
    <w:p>
      <w:pPr>
        <w:spacing w:after="0" w:line="204" w:lineRule="exact"/>
        <w:jc w:val="left"/>
        <w:rPr>
          <w:sz w:val="20"/>
        </w:rPr>
        <w:sectPr>
          <w:headerReference w:type="default" r:id="rId73"/>
          <w:footerReference w:type="default" r:id="rId74"/>
          <w:pgSz w:w="15840" w:h="12240" w:orient="landscape"/>
          <w:pgMar w:header="0" w:footer="0" w:top="140" w:bottom="0" w:left="0" w:right="1020"/>
        </w:sectPr>
      </w:pPr>
    </w:p>
    <w:p>
      <w:pPr>
        <w:tabs>
          <w:tab w:pos="1715" w:val="left" w:leader="none"/>
          <w:tab w:pos="3362" w:val="left" w:leader="none"/>
        </w:tabs>
        <w:spacing w:line="400" w:lineRule="exact" w:before="0"/>
        <w:ind w:left="160" w:right="0" w:firstLine="0"/>
        <w:jc w:val="left"/>
        <w:rPr>
          <w:rFonts w:ascii="Cambria"/>
          <w:i/>
          <w:sz w:val="24"/>
        </w:rPr>
      </w:pPr>
      <w:r>
        <w:rPr/>
        <w:pict>
          <v:group style="position:absolute;margin-left:76.910004pt;margin-top:1.955845pt;width:608.3pt;height:.5pt;mso-position-horizontal-relative:page;mso-position-vertical-relative:paragraph;z-index:-91984" coordorigin="1538,39" coordsize="12166,10">
            <v:line style="position:absolute" from="1543,44" to="3058,44" stroked="true" strokeweight=".48pt" strokecolor="#000000"/>
            <v:shape style="position:absolute;left:3058;top:44;width:2998;height:2" coordorigin="3058,44" coordsize="2998,0" path="m3058,44l3067,44m3067,44l4486,44m4486,44l4495,44m4495,44l6046,44m6046,44l6055,44e" filled="false" stroked="true" strokeweight=".48pt" strokecolor="#000000">
              <v:path arrowok="t"/>
            </v:shape>
            <v:shape style="position:absolute;left:6055;top:44;width:7644;height:2" coordorigin="6055,44" coordsize="7644,0" path="m6055,44l7606,44m7606,44l7615,44m7615,44l9307,44m9307,44l9317,44m9317,44l13699,44e" filled="false" stroked="true" strokeweight=".48pt" strokecolor="#000000">
              <v:path arrowok="t"/>
            </v:shape>
            <w10:wrap type="none"/>
          </v:group>
        </w:pict>
      </w:r>
      <w:r>
        <w:rPr/>
        <w:pict>
          <v:shape style="position:absolute;margin-left:8pt;margin-top:13.514649pt;width:5.6pt;height:10pt;mso-position-horizontal-relative:page;mso-position-vertical-relative:paragraph;z-index:-91912" type="#_x0000_t202" filled="false" stroked="false">
            <v:textbox inset="0,0,0,0">
              <w:txbxContent>
                <w:p>
                  <w:pPr>
                    <w:spacing w:line="196" w:lineRule="exact" w:before="0"/>
                    <w:ind w:left="0" w:right="0" w:firstLine="0"/>
                    <w:jc w:val="left"/>
                    <w:rPr>
                      <w:sz w:val="20"/>
                    </w:rPr>
                  </w:pPr>
                  <w:r>
                    <w:rPr>
                      <w:sz w:val="20"/>
                    </w:rPr>
                    <w:t>5</w:t>
                  </w:r>
                </w:p>
              </w:txbxContent>
            </v:textbox>
            <w10:wrap type="none"/>
          </v:shape>
        </w:pict>
      </w:r>
      <w:r>
        <w:rPr>
          <w:position w:val="23"/>
          <w:sz w:val="20"/>
        </w:rPr>
        <w:t>4</w:t>
        <w:tab/>
      </w:r>
      <w:r>
        <w:rPr>
          <w:rFonts w:ascii="Cambria"/>
          <w:i/>
          <w:sz w:val="24"/>
        </w:rPr>
        <w:t>Pathologies</w:t>
        <w:tab/>
      </w:r>
      <w:r>
        <w:rPr>
          <w:rFonts w:ascii="Cambria"/>
          <w:i/>
          <w:spacing w:val="-1"/>
          <w:position w:val="14"/>
          <w:sz w:val="24"/>
        </w:rPr>
        <w:t>Number</w:t>
      </w:r>
    </w:p>
    <w:p>
      <w:pPr>
        <w:tabs>
          <w:tab w:pos="3578" w:val="left" w:leader="none"/>
        </w:tabs>
        <w:spacing w:line="301" w:lineRule="exact" w:before="0"/>
        <w:ind w:left="160" w:right="0" w:firstLine="0"/>
        <w:jc w:val="left"/>
        <w:rPr>
          <w:rFonts w:ascii="Cambria"/>
          <w:i/>
          <w:sz w:val="24"/>
        </w:rPr>
      </w:pPr>
      <w:r>
        <w:rPr>
          <w:position w:val="-9"/>
          <w:sz w:val="20"/>
        </w:rPr>
        <w:t>6</w:t>
        <w:tab/>
      </w:r>
      <w:r>
        <w:rPr>
          <w:rFonts w:ascii="Cambria"/>
          <w:i/>
          <w:sz w:val="24"/>
        </w:rPr>
        <w:t>(%)</w:t>
      </w:r>
    </w:p>
    <w:p>
      <w:pPr>
        <w:spacing w:before="3"/>
        <w:ind w:left="160" w:right="0" w:firstLine="0"/>
        <w:jc w:val="left"/>
        <w:rPr>
          <w:sz w:val="20"/>
        </w:rPr>
      </w:pPr>
      <w:r>
        <w:rPr/>
        <w:pict>
          <v:group style="position:absolute;margin-left:76.910004pt;margin-top:5.576869pt;width:608.3pt;height:.5pt;mso-position-horizontal-relative:page;mso-position-vertical-relative:paragraph;z-index:-91960" coordorigin="1538,112" coordsize="12166,10">
            <v:line style="position:absolute" from="1543,117" to="3058,117" stroked="true" strokeweight=".48pt" strokecolor="#000000"/>
            <v:shape style="position:absolute;left:3058;top:117;width:2998;height:2" coordorigin="3058,117" coordsize="2998,0" path="m3058,117l3067,117m3067,117l4486,117m4486,117l4495,117m4495,117l6046,117m6046,117l6055,117e" filled="false" stroked="true" strokeweight=".48pt" strokecolor="#000000">
              <v:path arrowok="t"/>
            </v:shape>
            <v:shape style="position:absolute;left:6055;top:117;width:7644;height:2" coordorigin="6055,117" coordsize="7644,0" path="m6055,117l7606,117m7606,117l7615,117m7615,117l9307,117m9307,117l9317,117m9317,117l13699,117e" filled="false" stroked="true" strokeweight=".48pt" strokecolor="#000000">
              <v:path arrowok="t"/>
            </v:shape>
            <w10:wrap type="none"/>
          </v:group>
        </w:pict>
      </w:r>
      <w:r>
        <w:rPr>
          <w:sz w:val="20"/>
        </w:rPr>
        <w:t>7</w:t>
      </w:r>
    </w:p>
    <w:p>
      <w:pPr>
        <w:spacing w:before="3"/>
        <w:ind w:left="160" w:right="0" w:firstLine="0"/>
        <w:jc w:val="left"/>
        <w:rPr>
          <w:sz w:val="20"/>
        </w:rPr>
      </w:pPr>
      <w:r>
        <w:rPr>
          <w:sz w:val="20"/>
        </w:rPr>
        <w:t>8</w:t>
      </w:r>
    </w:p>
    <w:p>
      <w:pPr>
        <w:spacing w:before="3"/>
        <w:ind w:left="160" w:right="0" w:firstLine="0"/>
        <w:jc w:val="left"/>
        <w:rPr>
          <w:sz w:val="20"/>
        </w:rPr>
      </w:pPr>
      <w:r>
        <w:rPr/>
        <w:pict>
          <v:shape style="position:absolute;margin-left:83.570068pt;margin-top:3.406937pt;width:597.75pt;height:252.2pt;mso-position-horizontal-relative:page;mso-position-vertical-relative:paragraph;z-index:3664"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390"/>
                    <w:gridCol w:w="1456"/>
                    <w:gridCol w:w="1493"/>
                    <w:gridCol w:w="1899"/>
                    <w:gridCol w:w="1238"/>
                    <w:gridCol w:w="4478"/>
                  </w:tblGrid>
                  <w:tr>
                    <w:trPr>
                      <w:trHeight w:val="909" w:hRule="exact"/>
                    </w:trPr>
                    <w:tc>
                      <w:tcPr>
                        <w:tcW w:w="1390" w:type="dxa"/>
                      </w:tcPr>
                      <w:p>
                        <w:pPr>
                          <w:pStyle w:val="TableParagraph"/>
                          <w:spacing w:before="66"/>
                          <w:ind w:left="16" w:right="148"/>
                          <w:jc w:val="center"/>
                          <w:rPr>
                            <w:rFonts w:ascii="Cambria"/>
                            <w:sz w:val="24"/>
                          </w:rPr>
                        </w:pPr>
                        <w:r>
                          <w:rPr>
                            <w:rFonts w:ascii="Cambria"/>
                            <w:sz w:val="24"/>
                          </w:rPr>
                          <w:t>BUTI*</w:t>
                        </w:r>
                      </w:p>
                    </w:tc>
                    <w:tc>
                      <w:tcPr>
                        <w:tcW w:w="1456" w:type="dxa"/>
                      </w:tcPr>
                      <w:p>
                        <w:pPr>
                          <w:pStyle w:val="TableParagraph"/>
                          <w:spacing w:before="66"/>
                          <w:ind w:left="148" w:right="183"/>
                          <w:jc w:val="center"/>
                          <w:rPr>
                            <w:rFonts w:ascii="Cambria"/>
                            <w:sz w:val="24"/>
                          </w:rPr>
                        </w:pPr>
                        <w:r>
                          <w:rPr>
                            <w:rFonts w:ascii="Cambria"/>
                            <w:sz w:val="24"/>
                          </w:rPr>
                          <w:t>33 (34.02)</w:t>
                        </w:r>
                      </w:p>
                    </w:tc>
                    <w:tc>
                      <w:tcPr>
                        <w:tcW w:w="1493" w:type="dxa"/>
                      </w:tcPr>
                      <w:p>
                        <w:pPr>
                          <w:pStyle w:val="TableParagraph"/>
                          <w:spacing w:before="66"/>
                          <w:ind w:left="206"/>
                          <w:rPr>
                            <w:rFonts w:ascii="Cambria"/>
                            <w:sz w:val="24"/>
                          </w:rPr>
                        </w:pPr>
                        <w:r>
                          <w:rPr>
                            <w:rFonts w:ascii="Cambria"/>
                            <w:sz w:val="24"/>
                          </w:rPr>
                          <w:t>12 (36.36)</w:t>
                        </w:r>
                      </w:p>
                    </w:tc>
                    <w:tc>
                      <w:tcPr>
                        <w:tcW w:w="1899" w:type="dxa"/>
                      </w:tcPr>
                      <w:p>
                        <w:pPr>
                          <w:pStyle w:val="TableParagraph"/>
                          <w:spacing w:before="66"/>
                          <w:ind w:right="541"/>
                          <w:jc w:val="right"/>
                          <w:rPr>
                            <w:rFonts w:ascii="Cambria"/>
                            <w:sz w:val="24"/>
                          </w:rPr>
                        </w:pPr>
                        <w:r>
                          <w:rPr>
                            <w:rFonts w:ascii="Cambria"/>
                            <w:sz w:val="24"/>
                          </w:rPr>
                          <w:t>21 (63.63)</w:t>
                        </w:r>
                      </w:p>
                    </w:tc>
                    <w:tc>
                      <w:tcPr>
                        <w:tcW w:w="1238" w:type="dxa"/>
                      </w:tcPr>
                      <w:p>
                        <w:pPr>
                          <w:pStyle w:val="TableParagraph"/>
                          <w:spacing w:before="66"/>
                          <w:ind w:left="480"/>
                          <w:rPr>
                            <w:rFonts w:ascii="Cambria"/>
                            <w:sz w:val="24"/>
                          </w:rPr>
                        </w:pPr>
                        <w:r>
                          <w:rPr>
                            <w:rFonts w:ascii="Cambria"/>
                            <w:w w:val="100"/>
                            <w:sz w:val="24"/>
                          </w:rPr>
                          <w:t>8</w:t>
                        </w:r>
                      </w:p>
                    </w:tc>
                    <w:tc>
                      <w:tcPr>
                        <w:tcW w:w="4478" w:type="dxa"/>
                      </w:tcPr>
                      <w:p>
                        <w:pPr>
                          <w:pStyle w:val="TableParagraph"/>
                          <w:numPr>
                            <w:ilvl w:val="0"/>
                            <w:numId w:val="105"/>
                          </w:numPr>
                          <w:tabs>
                            <w:tab w:pos="984" w:val="left" w:leader="none"/>
                            <w:tab w:pos="985" w:val="left" w:leader="none"/>
                          </w:tabs>
                          <w:spacing w:line="240" w:lineRule="auto" w:before="65" w:after="0"/>
                          <w:ind w:left="984" w:right="0" w:hanging="360"/>
                          <w:jc w:val="left"/>
                          <w:rPr>
                            <w:rFonts w:ascii="Cambria"/>
                            <w:sz w:val="24"/>
                          </w:rPr>
                        </w:pPr>
                        <w:r>
                          <w:rPr>
                            <w:rFonts w:ascii="Cambria"/>
                            <w:sz w:val="24"/>
                          </w:rPr>
                          <w:t>Uncomplicated infections</w:t>
                        </w:r>
                        <w:r>
                          <w:rPr>
                            <w:rFonts w:ascii="Cambria"/>
                            <w:spacing w:val="-13"/>
                            <w:sz w:val="24"/>
                          </w:rPr>
                          <w:t> </w:t>
                        </w:r>
                        <w:r>
                          <w:rPr>
                            <w:rFonts w:ascii="Cambria"/>
                            <w:sz w:val="24"/>
                          </w:rPr>
                          <w:t>54.55%</w:t>
                        </w:r>
                      </w:p>
                      <w:p>
                        <w:pPr>
                          <w:pStyle w:val="TableParagraph"/>
                          <w:numPr>
                            <w:ilvl w:val="0"/>
                            <w:numId w:val="105"/>
                          </w:numPr>
                          <w:tabs>
                            <w:tab w:pos="984" w:val="left" w:leader="none"/>
                            <w:tab w:pos="985" w:val="left" w:leader="none"/>
                          </w:tabs>
                          <w:spacing w:line="240" w:lineRule="auto" w:before="0" w:after="0"/>
                          <w:ind w:left="984" w:right="0" w:hanging="360"/>
                          <w:jc w:val="left"/>
                          <w:rPr>
                            <w:rFonts w:ascii="Cambria"/>
                            <w:sz w:val="24"/>
                          </w:rPr>
                        </w:pPr>
                        <w:r>
                          <w:rPr>
                            <w:rFonts w:ascii="Cambria"/>
                            <w:sz w:val="24"/>
                          </w:rPr>
                          <w:t>Complicated infections</w:t>
                        </w:r>
                        <w:r>
                          <w:rPr>
                            <w:rFonts w:ascii="Cambria"/>
                            <w:spacing w:val="-15"/>
                            <w:sz w:val="24"/>
                          </w:rPr>
                          <w:t> </w:t>
                        </w:r>
                        <w:r>
                          <w:rPr>
                            <w:rFonts w:ascii="Cambria"/>
                            <w:sz w:val="24"/>
                          </w:rPr>
                          <w:t>45.45%</w:t>
                        </w:r>
                      </w:p>
                    </w:tc>
                  </w:tr>
                  <w:tr>
                    <w:trPr>
                      <w:trHeight w:val="931" w:hRule="exact"/>
                    </w:trPr>
                    <w:tc>
                      <w:tcPr>
                        <w:tcW w:w="1390" w:type="dxa"/>
                      </w:tcPr>
                      <w:p>
                        <w:pPr>
                          <w:pStyle w:val="TableParagraph"/>
                          <w:spacing w:before="9"/>
                          <w:rPr>
                            <w:rFonts w:ascii="Arial"/>
                            <w:sz w:val="19"/>
                          </w:rPr>
                        </w:pPr>
                      </w:p>
                      <w:p>
                        <w:pPr>
                          <w:pStyle w:val="TableParagraph"/>
                          <w:ind w:left="138" w:right="163" w:hanging="89"/>
                          <w:rPr>
                            <w:rFonts w:ascii="Cambria"/>
                            <w:sz w:val="24"/>
                          </w:rPr>
                        </w:pPr>
                        <w:r>
                          <w:rPr>
                            <w:rFonts w:ascii="Cambria"/>
                            <w:sz w:val="24"/>
                          </w:rPr>
                          <w:t>Micturition disorders</w:t>
                        </w:r>
                      </w:p>
                    </w:tc>
                    <w:tc>
                      <w:tcPr>
                        <w:tcW w:w="1456" w:type="dxa"/>
                      </w:tcPr>
                      <w:p>
                        <w:pPr>
                          <w:pStyle w:val="TableParagraph"/>
                          <w:spacing w:before="9"/>
                          <w:rPr>
                            <w:rFonts w:ascii="Arial"/>
                            <w:sz w:val="19"/>
                          </w:rPr>
                        </w:pPr>
                      </w:p>
                      <w:p>
                        <w:pPr>
                          <w:pStyle w:val="TableParagraph"/>
                          <w:ind w:left="148" w:right="184"/>
                          <w:jc w:val="center"/>
                          <w:rPr>
                            <w:rFonts w:ascii="Cambria"/>
                            <w:sz w:val="24"/>
                          </w:rPr>
                        </w:pPr>
                        <w:r>
                          <w:rPr>
                            <w:rFonts w:ascii="Cambria"/>
                            <w:sz w:val="24"/>
                          </w:rPr>
                          <w:t>22 (22.68)</w:t>
                        </w:r>
                      </w:p>
                    </w:tc>
                    <w:tc>
                      <w:tcPr>
                        <w:tcW w:w="1493" w:type="dxa"/>
                      </w:tcPr>
                      <w:p>
                        <w:pPr>
                          <w:pStyle w:val="TableParagraph"/>
                          <w:spacing w:before="9"/>
                          <w:rPr>
                            <w:rFonts w:ascii="Arial"/>
                            <w:sz w:val="19"/>
                          </w:rPr>
                        </w:pPr>
                      </w:p>
                      <w:p>
                        <w:pPr>
                          <w:pStyle w:val="TableParagraph"/>
                          <w:ind w:left="273"/>
                          <w:rPr>
                            <w:rFonts w:ascii="Cambria"/>
                            <w:sz w:val="24"/>
                          </w:rPr>
                        </w:pPr>
                        <w:r>
                          <w:rPr>
                            <w:rFonts w:ascii="Cambria"/>
                            <w:sz w:val="24"/>
                          </w:rPr>
                          <w:t>9 (40.90)</w:t>
                        </w:r>
                      </w:p>
                    </w:tc>
                    <w:tc>
                      <w:tcPr>
                        <w:tcW w:w="1899" w:type="dxa"/>
                      </w:tcPr>
                      <w:p>
                        <w:pPr>
                          <w:pStyle w:val="TableParagraph"/>
                          <w:spacing w:before="9"/>
                          <w:rPr>
                            <w:rFonts w:ascii="Arial"/>
                            <w:sz w:val="19"/>
                          </w:rPr>
                        </w:pPr>
                      </w:p>
                      <w:p>
                        <w:pPr>
                          <w:pStyle w:val="TableParagraph"/>
                          <w:ind w:right="544"/>
                          <w:jc w:val="right"/>
                          <w:rPr>
                            <w:rFonts w:ascii="Cambria"/>
                            <w:sz w:val="24"/>
                          </w:rPr>
                        </w:pPr>
                        <w:r>
                          <w:rPr>
                            <w:rFonts w:ascii="Cambria"/>
                            <w:sz w:val="24"/>
                          </w:rPr>
                          <w:t>13 (59.09)</w:t>
                        </w:r>
                      </w:p>
                    </w:tc>
                    <w:tc>
                      <w:tcPr>
                        <w:tcW w:w="1238" w:type="dxa"/>
                      </w:tcPr>
                      <w:p>
                        <w:pPr>
                          <w:pStyle w:val="TableParagraph"/>
                          <w:spacing w:before="9"/>
                          <w:rPr>
                            <w:rFonts w:ascii="Arial"/>
                            <w:sz w:val="19"/>
                          </w:rPr>
                        </w:pPr>
                      </w:p>
                      <w:p>
                        <w:pPr>
                          <w:pStyle w:val="TableParagraph"/>
                          <w:ind w:left="479"/>
                          <w:rPr>
                            <w:rFonts w:ascii="Cambria"/>
                            <w:sz w:val="24"/>
                          </w:rPr>
                        </w:pPr>
                        <w:r>
                          <w:rPr>
                            <w:rFonts w:ascii="Cambria"/>
                            <w:w w:val="100"/>
                            <w:sz w:val="24"/>
                          </w:rPr>
                          <w:t>7</w:t>
                        </w:r>
                      </w:p>
                    </w:tc>
                    <w:tc>
                      <w:tcPr>
                        <w:tcW w:w="4478" w:type="dxa"/>
                      </w:tcPr>
                      <w:p>
                        <w:pPr>
                          <w:pStyle w:val="TableParagraph"/>
                          <w:spacing w:before="8"/>
                          <w:rPr>
                            <w:rFonts w:ascii="Arial"/>
                            <w:sz w:val="19"/>
                          </w:rPr>
                        </w:pPr>
                      </w:p>
                      <w:p>
                        <w:pPr>
                          <w:pStyle w:val="TableParagraph"/>
                          <w:numPr>
                            <w:ilvl w:val="0"/>
                            <w:numId w:val="106"/>
                          </w:numPr>
                          <w:tabs>
                            <w:tab w:pos="984" w:val="left" w:leader="none"/>
                            <w:tab w:pos="985" w:val="left" w:leader="none"/>
                          </w:tabs>
                          <w:spacing w:line="240" w:lineRule="auto" w:before="0" w:after="0"/>
                          <w:ind w:left="984" w:right="0" w:hanging="360"/>
                          <w:jc w:val="left"/>
                          <w:rPr>
                            <w:rFonts w:ascii="Cambria"/>
                            <w:sz w:val="24"/>
                          </w:rPr>
                        </w:pPr>
                        <w:r>
                          <w:rPr>
                            <w:rFonts w:ascii="Cambria"/>
                            <w:sz w:val="24"/>
                          </w:rPr>
                          <w:t>Urinary retention</w:t>
                        </w:r>
                        <w:r>
                          <w:rPr>
                            <w:rFonts w:ascii="Cambria"/>
                            <w:spacing w:val="-6"/>
                            <w:sz w:val="24"/>
                          </w:rPr>
                          <w:t> </w:t>
                        </w:r>
                        <w:r>
                          <w:rPr>
                            <w:rFonts w:ascii="Cambria"/>
                            <w:sz w:val="24"/>
                          </w:rPr>
                          <w:t>90.90%</w:t>
                        </w:r>
                      </w:p>
                      <w:p>
                        <w:pPr>
                          <w:pStyle w:val="TableParagraph"/>
                          <w:numPr>
                            <w:ilvl w:val="0"/>
                            <w:numId w:val="106"/>
                          </w:numPr>
                          <w:tabs>
                            <w:tab w:pos="984" w:val="left" w:leader="none"/>
                            <w:tab w:pos="985" w:val="left" w:leader="none"/>
                          </w:tabs>
                          <w:spacing w:line="240" w:lineRule="auto" w:before="3" w:after="0"/>
                          <w:ind w:left="984" w:right="0" w:hanging="360"/>
                          <w:jc w:val="left"/>
                          <w:rPr>
                            <w:rFonts w:ascii="Cambria"/>
                            <w:sz w:val="24"/>
                          </w:rPr>
                        </w:pPr>
                        <w:r>
                          <w:rPr>
                            <w:rFonts w:ascii="Cambria"/>
                            <w:sz w:val="24"/>
                          </w:rPr>
                          <w:t>Urinary incontinence</w:t>
                        </w:r>
                        <w:r>
                          <w:rPr>
                            <w:rFonts w:ascii="Cambria"/>
                            <w:spacing w:val="-10"/>
                            <w:sz w:val="24"/>
                          </w:rPr>
                          <w:t> </w:t>
                        </w:r>
                        <w:r>
                          <w:rPr>
                            <w:rFonts w:ascii="Cambria"/>
                            <w:sz w:val="24"/>
                          </w:rPr>
                          <w:t>9.09%</w:t>
                        </w:r>
                      </w:p>
                    </w:tc>
                  </w:tr>
                  <w:tr>
                    <w:trPr>
                      <w:trHeight w:val="398" w:hRule="exact"/>
                    </w:trPr>
                    <w:tc>
                      <w:tcPr>
                        <w:tcW w:w="1390" w:type="dxa"/>
                      </w:tcPr>
                      <w:p>
                        <w:pPr>
                          <w:pStyle w:val="TableParagraph"/>
                          <w:spacing w:before="86"/>
                          <w:ind w:left="17" w:right="148"/>
                          <w:jc w:val="center"/>
                          <w:rPr>
                            <w:rFonts w:ascii="Cambria"/>
                            <w:sz w:val="24"/>
                          </w:rPr>
                        </w:pPr>
                        <w:r>
                          <w:rPr>
                            <w:rFonts w:ascii="Cambria"/>
                            <w:sz w:val="24"/>
                          </w:rPr>
                          <w:t>Urolithiasis</w:t>
                        </w:r>
                      </w:p>
                    </w:tc>
                    <w:tc>
                      <w:tcPr>
                        <w:tcW w:w="1456" w:type="dxa"/>
                      </w:tcPr>
                      <w:p>
                        <w:pPr>
                          <w:pStyle w:val="TableParagraph"/>
                          <w:spacing w:before="86"/>
                          <w:ind w:left="148" w:right="183"/>
                          <w:jc w:val="center"/>
                          <w:rPr>
                            <w:rFonts w:ascii="Cambria"/>
                            <w:sz w:val="24"/>
                          </w:rPr>
                        </w:pPr>
                        <w:r>
                          <w:rPr>
                            <w:rFonts w:ascii="Cambria"/>
                            <w:sz w:val="24"/>
                          </w:rPr>
                          <w:t>20 (20.61)</w:t>
                        </w:r>
                      </w:p>
                    </w:tc>
                    <w:tc>
                      <w:tcPr>
                        <w:tcW w:w="1493" w:type="dxa"/>
                      </w:tcPr>
                      <w:p>
                        <w:pPr>
                          <w:pStyle w:val="TableParagraph"/>
                          <w:spacing w:before="86"/>
                          <w:ind w:left="272"/>
                          <w:rPr>
                            <w:rFonts w:ascii="Cambria"/>
                            <w:sz w:val="24"/>
                          </w:rPr>
                        </w:pPr>
                        <w:r>
                          <w:rPr>
                            <w:rFonts w:ascii="Cambria"/>
                            <w:sz w:val="24"/>
                          </w:rPr>
                          <w:t>4 (20.00)</w:t>
                        </w:r>
                      </w:p>
                    </w:tc>
                    <w:tc>
                      <w:tcPr>
                        <w:tcW w:w="1899" w:type="dxa"/>
                      </w:tcPr>
                      <w:p>
                        <w:pPr>
                          <w:pStyle w:val="TableParagraph"/>
                          <w:spacing w:before="86"/>
                          <w:ind w:right="543"/>
                          <w:jc w:val="right"/>
                          <w:rPr>
                            <w:rFonts w:ascii="Cambria"/>
                            <w:sz w:val="24"/>
                          </w:rPr>
                        </w:pPr>
                        <w:r>
                          <w:rPr>
                            <w:rFonts w:ascii="Cambria"/>
                            <w:sz w:val="24"/>
                          </w:rPr>
                          <w:t>16 (80.00)</w:t>
                        </w:r>
                      </w:p>
                    </w:tc>
                    <w:tc>
                      <w:tcPr>
                        <w:tcW w:w="1238" w:type="dxa"/>
                      </w:tcPr>
                      <w:p>
                        <w:pPr>
                          <w:pStyle w:val="TableParagraph"/>
                          <w:spacing w:before="86"/>
                          <w:ind w:left="478"/>
                          <w:rPr>
                            <w:rFonts w:ascii="Cambria"/>
                            <w:sz w:val="24"/>
                          </w:rPr>
                        </w:pPr>
                        <w:r>
                          <w:rPr>
                            <w:rFonts w:ascii="Cambria"/>
                            <w:w w:val="100"/>
                            <w:sz w:val="24"/>
                          </w:rPr>
                          <w:t>9</w:t>
                        </w:r>
                      </w:p>
                    </w:tc>
                    <w:tc>
                      <w:tcPr>
                        <w:tcW w:w="4478" w:type="dxa"/>
                      </w:tcPr>
                      <w:p>
                        <w:pPr>
                          <w:pStyle w:val="TableParagraph"/>
                          <w:numPr>
                            <w:ilvl w:val="0"/>
                            <w:numId w:val="107"/>
                          </w:numPr>
                          <w:tabs>
                            <w:tab w:pos="984" w:val="left" w:leader="none"/>
                            <w:tab w:pos="985" w:val="left" w:leader="none"/>
                          </w:tabs>
                          <w:spacing w:line="240" w:lineRule="auto" w:before="85" w:after="0"/>
                          <w:ind w:left="984" w:right="0" w:hanging="360"/>
                          <w:jc w:val="left"/>
                          <w:rPr>
                            <w:rFonts w:ascii="Cambria"/>
                            <w:sz w:val="24"/>
                          </w:rPr>
                        </w:pPr>
                        <w:r>
                          <w:rPr>
                            <w:rFonts w:ascii="Cambria"/>
                            <w:sz w:val="24"/>
                          </w:rPr>
                          <w:t>Silicate</w:t>
                        </w:r>
                        <w:r>
                          <w:rPr>
                            <w:rFonts w:ascii="Cambria"/>
                            <w:spacing w:val="-4"/>
                            <w:sz w:val="24"/>
                          </w:rPr>
                          <w:t> </w:t>
                        </w:r>
                        <w:r>
                          <w:rPr>
                            <w:rFonts w:ascii="Cambria"/>
                            <w:sz w:val="24"/>
                          </w:rPr>
                          <w:t>55%</w:t>
                        </w:r>
                      </w:p>
                    </w:tc>
                  </w:tr>
                  <w:tr>
                    <w:trPr>
                      <w:trHeight w:val="295" w:hRule="exact"/>
                    </w:trPr>
                    <w:tc>
                      <w:tcPr>
                        <w:tcW w:w="1390" w:type="dxa"/>
                      </w:tcPr>
                      <w:p>
                        <w:pPr/>
                      </w:p>
                    </w:tc>
                    <w:tc>
                      <w:tcPr>
                        <w:tcW w:w="1456" w:type="dxa"/>
                      </w:tcPr>
                      <w:p>
                        <w:pPr/>
                      </w:p>
                    </w:tc>
                    <w:tc>
                      <w:tcPr>
                        <w:tcW w:w="1493" w:type="dxa"/>
                      </w:tcPr>
                      <w:p>
                        <w:pPr/>
                      </w:p>
                    </w:tc>
                    <w:tc>
                      <w:tcPr>
                        <w:tcW w:w="1899" w:type="dxa"/>
                      </w:tcPr>
                      <w:p>
                        <w:pPr/>
                      </w:p>
                    </w:tc>
                    <w:tc>
                      <w:tcPr>
                        <w:tcW w:w="1238" w:type="dxa"/>
                      </w:tcPr>
                      <w:p>
                        <w:pPr/>
                      </w:p>
                    </w:tc>
                    <w:tc>
                      <w:tcPr>
                        <w:tcW w:w="4478" w:type="dxa"/>
                      </w:tcPr>
                      <w:p>
                        <w:pPr>
                          <w:pStyle w:val="TableParagraph"/>
                          <w:numPr>
                            <w:ilvl w:val="0"/>
                            <w:numId w:val="108"/>
                          </w:numPr>
                          <w:tabs>
                            <w:tab w:pos="984" w:val="left" w:leader="none"/>
                            <w:tab w:pos="985" w:val="left" w:leader="none"/>
                          </w:tabs>
                          <w:spacing w:line="277" w:lineRule="exact" w:before="0" w:after="0"/>
                          <w:ind w:left="984" w:right="0" w:hanging="360"/>
                          <w:jc w:val="left"/>
                          <w:rPr>
                            <w:rFonts w:ascii="Cambria"/>
                            <w:sz w:val="24"/>
                          </w:rPr>
                        </w:pPr>
                        <w:r>
                          <w:rPr>
                            <w:rFonts w:ascii="Cambria"/>
                            <w:sz w:val="24"/>
                          </w:rPr>
                          <w:t>Struvite</w:t>
                        </w:r>
                        <w:r>
                          <w:rPr>
                            <w:rFonts w:ascii="Cambria"/>
                            <w:spacing w:val="-6"/>
                            <w:sz w:val="24"/>
                          </w:rPr>
                          <w:t> </w:t>
                        </w:r>
                        <w:r>
                          <w:rPr>
                            <w:rFonts w:ascii="Cambria"/>
                            <w:sz w:val="24"/>
                          </w:rPr>
                          <w:t>30%</w:t>
                        </w:r>
                      </w:p>
                    </w:tc>
                  </w:tr>
                  <w:tr>
                    <w:trPr>
                      <w:trHeight w:val="294" w:hRule="exact"/>
                    </w:trPr>
                    <w:tc>
                      <w:tcPr>
                        <w:tcW w:w="1390" w:type="dxa"/>
                      </w:tcPr>
                      <w:p>
                        <w:pPr/>
                      </w:p>
                    </w:tc>
                    <w:tc>
                      <w:tcPr>
                        <w:tcW w:w="1456" w:type="dxa"/>
                      </w:tcPr>
                      <w:p>
                        <w:pPr/>
                      </w:p>
                    </w:tc>
                    <w:tc>
                      <w:tcPr>
                        <w:tcW w:w="1493" w:type="dxa"/>
                      </w:tcPr>
                      <w:p>
                        <w:pPr/>
                      </w:p>
                    </w:tc>
                    <w:tc>
                      <w:tcPr>
                        <w:tcW w:w="1899" w:type="dxa"/>
                      </w:tcPr>
                      <w:p>
                        <w:pPr/>
                      </w:p>
                    </w:tc>
                    <w:tc>
                      <w:tcPr>
                        <w:tcW w:w="1238" w:type="dxa"/>
                      </w:tcPr>
                      <w:p>
                        <w:pPr/>
                      </w:p>
                    </w:tc>
                    <w:tc>
                      <w:tcPr>
                        <w:tcW w:w="4478" w:type="dxa"/>
                      </w:tcPr>
                      <w:p>
                        <w:pPr>
                          <w:pStyle w:val="TableParagraph"/>
                          <w:numPr>
                            <w:ilvl w:val="0"/>
                            <w:numId w:val="109"/>
                          </w:numPr>
                          <w:tabs>
                            <w:tab w:pos="984" w:val="left" w:leader="none"/>
                            <w:tab w:pos="985" w:val="left" w:leader="none"/>
                          </w:tabs>
                          <w:spacing w:line="277" w:lineRule="exact" w:before="0" w:after="0"/>
                          <w:ind w:left="984" w:right="0" w:hanging="360"/>
                          <w:jc w:val="left"/>
                          <w:rPr>
                            <w:rFonts w:ascii="Cambria"/>
                            <w:sz w:val="24"/>
                          </w:rPr>
                        </w:pPr>
                        <w:r>
                          <w:rPr>
                            <w:rFonts w:ascii="Cambria"/>
                            <w:sz w:val="24"/>
                          </w:rPr>
                          <w:t>Calcium oxalate</w:t>
                        </w:r>
                        <w:r>
                          <w:rPr>
                            <w:rFonts w:ascii="Cambria"/>
                            <w:spacing w:val="-10"/>
                            <w:sz w:val="24"/>
                          </w:rPr>
                          <w:t> </w:t>
                        </w:r>
                        <w:r>
                          <w:rPr>
                            <w:rFonts w:ascii="Cambria"/>
                            <w:sz w:val="24"/>
                          </w:rPr>
                          <w:t>15%</w:t>
                        </w:r>
                      </w:p>
                    </w:tc>
                  </w:tr>
                  <w:tr>
                    <w:trPr>
                      <w:trHeight w:val="289" w:hRule="exact"/>
                    </w:trPr>
                    <w:tc>
                      <w:tcPr>
                        <w:tcW w:w="1390" w:type="dxa"/>
                      </w:tcPr>
                      <w:p>
                        <w:pPr/>
                      </w:p>
                    </w:tc>
                    <w:tc>
                      <w:tcPr>
                        <w:tcW w:w="1456" w:type="dxa"/>
                      </w:tcPr>
                      <w:p>
                        <w:pPr/>
                      </w:p>
                    </w:tc>
                    <w:tc>
                      <w:tcPr>
                        <w:tcW w:w="1493" w:type="dxa"/>
                      </w:tcPr>
                      <w:p>
                        <w:pPr/>
                      </w:p>
                    </w:tc>
                    <w:tc>
                      <w:tcPr>
                        <w:tcW w:w="1899" w:type="dxa"/>
                      </w:tcPr>
                      <w:p>
                        <w:pPr/>
                      </w:p>
                    </w:tc>
                    <w:tc>
                      <w:tcPr>
                        <w:tcW w:w="1238" w:type="dxa"/>
                      </w:tcPr>
                      <w:p>
                        <w:pPr/>
                      </w:p>
                    </w:tc>
                    <w:tc>
                      <w:tcPr>
                        <w:tcW w:w="4478" w:type="dxa"/>
                      </w:tcPr>
                      <w:p>
                        <w:pPr>
                          <w:pStyle w:val="TableParagraph"/>
                          <w:numPr>
                            <w:ilvl w:val="0"/>
                            <w:numId w:val="110"/>
                          </w:numPr>
                          <w:tabs>
                            <w:tab w:pos="984" w:val="left" w:leader="none"/>
                            <w:tab w:pos="985" w:val="left" w:leader="none"/>
                          </w:tabs>
                          <w:spacing w:line="275" w:lineRule="exact" w:before="0" w:after="0"/>
                          <w:ind w:left="984" w:right="0" w:hanging="360"/>
                          <w:jc w:val="left"/>
                          <w:rPr>
                            <w:rFonts w:ascii="Cambria"/>
                            <w:sz w:val="24"/>
                          </w:rPr>
                        </w:pPr>
                        <w:r>
                          <w:rPr>
                            <w:rFonts w:ascii="Cambria"/>
                            <w:sz w:val="24"/>
                          </w:rPr>
                          <w:t>Male   with   urethral </w:t>
                        </w:r>
                        <w:r>
                          <w:rPr>
                            <w:rFonts w:ascii="Cambria"/>
                            <w:spacing w:val="31"/>
                            <w:sz w:val="24"/>
                          </w:rPr>
                          <w:t> </w:t>
                        </w:r>
                        <w:r>
                          <w:rPr>
                            <w:rFonts w:ascii="Cambria"/>
                            <w:sz w:val="24"/>
                          </w:rPr>
                          <w:t>obstruction</w:t>
                        </w:r>
                      </w:p>
                    </w:tc>
                  </w:tr>
                  <w:tr>
                    <w:trPr>
                      <w:trHeight w:val="383" w:hRule="exact"/>
                    </w:trPr>
                    <w:tc>
                      <w:tcPr>
                        <w:tcW w:w="1390" w:type="dxa"/>
                      </w:tcPr>
                      <w:p>
                        <w:pPr/>
                      </w:p>
                    </w:tc>
                    <w:tc>
                      <w:tcPr>
                        <w:tcW w:w="1456" w:type="dxa"/>
                      </w:tcPr>
                      <w:p>
                        <w:pPr/>
                      </w:p>
                    </w:tc>
                    <w:tc>
                      <w:tcPr>
                        <w:tcW w:w="1493" w:type="dxa"/>
                      </w:tcPr>
                      <w:p>
                        <w:pPr/>
                      </w:p>
                    </w:tc>
                    <w:tc>
                      <w:tcPr>
                        <w:tcW w:w="1899" w:type="dxa"/>
                      </w:tcPr>
                      <w:p>
                        <w:pPr/>
                      </w:p>
                    </w:tc>
                    <w:tc>
                      <w:tcPr>
                        <w:tcW w:w="1238" w:type="dxa"/>
                      </w:tcPr>
                      <w:p>
                        <w:pPr/>
                      </w:p>
                    </w:tc>
                    <w:tc>
                      <w:tcPr>
                        <w:tcW w:w="4478" w:type="dxa"/>
                      </w:tcPr>
                      <w:p>
                        <w:pPr>
                          <w:pStyle w:val="TableParagraph"/>
                          <w:spacing w:line="269" w:lineRule="exact"/>
                          <w:ind w:left="984"/>
                          <w:rPr>
                            <w:rFonts w:ascii="Cambria"/>
                            <w:sz w:val="24"/>
                          </w:rPr>
                        </w:pPr>
                        <w:r>
                          <w:rPr>
                            <w:rFonts w:ascii="Cambria"/>
                            <w:sz w:val="24"/>
                          </w:rPr>
                          <w:t>93.75%</w:t>
                        </w:r>
                      </w:p>
                    </w:tc>
                  </w:tr>
                  <w:tr>
                    <w:trPr>
                      <w:trHeight w:val="791" w:hRule="exact"/>
                    </w:trPr>
                    <w:tc>
                      <w:tcPr>
                        <w:tcW w:w="1390" w:type="dxa"/>
                      </w:tcPr>
                      <w:p>
                        <w:pPr>
                          <w:pStyle w:val="TableParagraph"/>
                          <w:spacing w:before="87"/>
                          <w:ind w:left="248" w:right="312" w:hanging="53"/>
                          <w:rPr>
                            <w:rFonts w:ascii="Cambria"/>
                            <w:sz w:val="24"/>
                          </w:rPr>
                        </w:pPr>
                        <w:r>
                          <w:rPr>
                            <w:rFonts w:ascii="Cambria"/>
                            <w:sz w:val="24"/>
                          </w:rPr>
                          <w:t>Prostate disease</w:t>
                        </w:r>
                      </w:p>
                    </w:tc>
                    <w:tc>
                      <w:tcPr>
                        <w:tcW w:w="1456" w:type="dxa"/>
                      </w:tcPr>
                      <w:p>
                        <w:pPr>
                          <w:pStyle w:val="TableParagraph"/>
                          <w:spacing w:before="87"/>
                          <w:ind w:left="147" w:right="184"/>
                          <w:jc w:val="center"/>
                          <w:rPr>
                            <w:rFonts w:ascii="Cambria"/>
                            <w:sz w:val="24"/>
                          </w:rPr>
                        </w:pPr>
                        <w:r>
                          <w:rPr>
                            <w:rFonts w:ascii="Cambria"/>
                            <w:sz w:val="24"/>
                          </w:rPr>
                          <w:t>14 (14.43)</w:t>
                        </w:r>
                      </w:p>
                    </w:tc>
                    <w:tc>
                      <w:tcPr>
                        <w:tcW w:w="1493" w:type="dxa"/>
                      </w:tcPr>
                      <w:p>
                        <w:pPr>
                          <w:pStyle w:val="TableParagraph"/>
                          <w:spacing w:before="87"/>
                          <w:ind w:left="528" w:right="528"/>
                          <w:jc w:val="center"/>
                          <w:rPr>
                            <w:rFonts w:ascii="Cambria"/>
                            <w:sz w:val="24"/>
                          </w:rPr>
                        </w:pPr>
                        <w:r>
                          <w:rPr>
                            <w:rFonts w:ascii="Cambria"/>
                            <w:sz w:val="24"/>
                          </w:rPr>
                          <w:t>- (-)</w:t>
                        </w:r>
                      </w:p>
                    </w:tc>
                    <w:tc>
                      <w:tcPr>
                        <w:tcW w:w="1899" w:type="dxa"/>
                      </w:tcPr>
                      <w:p>
                        <w:pPr>
                          <w:pStyle w:val="TableParagraph"/>
                          <w:spacing w:before="87"/>
                          <w:ind w:right="477"/>
                          <w:jc w:val="right"/>
                          <w:rPr>
                            <w:rFonts w:ascii="Cambria"/>
                            <w:sz w:val="24"/>
                          </w:rPr>
                        </w:pPr>
                        <w:r>
                          <w:rPr>
                            <w:rFonts w:ascii="Cambria"/>
                            <w:sz w:val="24"/>
                          </w:rPr>
                          <w:t>14 (100.00)</w:t>
                        </w:r>
                      </w:p>
                    </w:tc>
                    <w:tc>
                      <w:tcPr>
                        <w:tcW w:w="1238" w:type="dxa"/>
                      </w:tcPr>
                      <w:p>
                        <w:pPr>
                          <w:pStyle w:val="TableParagraph"/>
                          <w:spacing w:before="87"/>
                          <w:ind w:left="478"/>
                          <w:rPr>
                            <w:rFonts w:ascii="Cambria"/>
                            <w:sz w:val="24"/>
                          </w:rPr>
                        </w:pPr>
                        <w:r>
                          <w:rPr>
                            <w:rFonts w:ascii="Cambria"/>
                            <w:w w:val="100"/>
                            <w:sz w:val="24"/>
                          </w:rPr>
                          <w:t>9</w:t>
                        </w:r>
                      </w:p>
                    </w:tc>
                    <w:tc>
                      <w:tcPr>
                        <w:tcW w:w="4478" w:type="dxa"/>
                      </w:tcPr>
                      <w:p>
                        <w:pPr>
                          <w:pStyle w:val="TableParagraph"/>
                          <w:numPr>
                            <w:ilvl w:val="0"/>
                            <w:numId w:val="111"/>
                          </w:numPr>
                          <w:tabs>
                            <w:tab w:pos="984" w:val="left" w:leader="none"/>
                            <w:tab w:pos="985" w:val="left" w:leader="none"/>
                          </w:tabs>
                          <w:spacing w:line="240" w:lineRule="auto" w:before="86" w:after="0"/>
                          <w:ind w:left="984" w:right="0" w:hanging="360"/>
                          <w:jc w:val="left"/>
                          <w:rPr>
                            <w:rFonts w:ascii="Cambria"/>
                            <w:sz w:val="24"/>
                          </w:rPr>
                        </w:pPr>
                        <w:r>
                          <w:rPr>
                            <w:rFonts w:ascii="Cambria"/>
                            <w:sz w:val="24"/>
                          </w:rPr>
                          <w:t>Prostatic hyperplasia</w:t>
                        </w:r>
                        <w:r>
                          <w:rPr>
                            <w:rFonts w:ascii="Cambria"/>
                            <w:spacing w:val="-11"/>
                            <w:sz w:val="24"/>
                          </w:rPr>
                          <w:t> </w:t>
                        </w:r>
                        <w:r>
                          <w:rPr>
                            <w:rFonts w:ascii="Cambria"/>
                            <w:sz w:val="24"/>
                          </w:rPr>
                          <w:t>100%</w:t>
                        </w:r>
                      </w:p>
                      <w:p>
                        <w:pPr>
                          <w:pStyle w:val="TableParagraph"/>
                          <w:numPr>
                            <w:ilvl w:val="0"/>
                            <w:numId w:val="111"/>
                          </w:numPr>
                          <w:tabs>
                            <w:tab w:pos="984" w:val="left" w:leader="none"/>
                            <w:tab w:pos="985" w:val="left" w:leader="none"/>
                          </w:tabs>
                          <w:spacing w:line="240" w:lineRule="auto" w:before="3" w:after="0"/>
                          <w:ind w:left="984" w:right="0" w:hanging="360"/>
                          <w:jc w:val="left"/>
                          <w:rPr>
                            <w:rFonts w:ascii="Cambria"/>
                            <w:sz w:val="24"/>
                          </w:rPr>
                        </w:pPr>
                        <w:r>
                          <w:rPr>
                            <w:rFonts w:ascii="Cambria"/>
                            <w:sz w:val="24"/>
                          </w:rPr>
                          <w:t>Prostatic cysts</w:t>
                        </w:r>
                        <w:r>
                          <w:rPr>
                            <w:rFonts w:ascii="Cambria"/>
                            <w:spacing w:val="-13"/>
                            <w:sz w:val="24"/>
                          </w:rPr>
                          <w:t> </w:t>
                        </w:r>
                        <w:r>
                          <w:rPr>
                            <w:rFonts w:ascii="Cambria"/>
                            <w:sz w:val="24"/>
                          </w:rPr>
                          <w:t>14.28%</w:t>
                        </w:r>
                      </w:p>
                    </w:tc>
                  </w:tr>
                  <w:tr>
                    <w:trPr>
                      <w:trHeight w:val="392" w:hRule="exact"/>
                    </w:trPr>
                    <w:tc>
                      <w:tcPr>
                        <w:tcW w:w="1390" w:type="dxa"/>
                      </w:tcPr>
                      <w:p>
                        <w:pPr>
                          <w:pStyle w:val="TableParagraph"/>
                          <w:spacing w:before="86"/>
                          <w:ind w:left="15" w:right="148"/>
                          <w:jc w:val="center"/>
                          <w:rPr>
                            <w:rFonts w:ascii="Cambria"/>
                            <w:sz w:val="24"/>
                          </w:rPr>
                        </w:pPr>
                        <w:r>
                          <w:rPr>
                            <w:rFonts w:ascii="Cambria"/>
                            <w:sz w:val="24"/>
                          </w:rPr>
                          <w:t>Trauma</w:t>
                        </w:r>
                      </w:p>
                    </w:tc>
                    <w:tc>
                      <w:tcPr>
                        <w:tcW w:w="1456" w:type="dxa"/>
                      </w:tcPr>
                      <w:p>
                        <w:pPr>
                          <w:pStyle w:val="TableParagraph"/>
                          <w:spacing w:before="86"/>
                          <w:ind w:left="147" w:right="184"/>
                          <w:jc w:val="center"/>
                          <w:rPr>
                            <w:rFonts w:ascii="Cambria"/>
                            <w:sz w:val="24"/>
                          </w:rPr>
                        </w:pPr>
                        <w:r>
                          <w:rPr>
                            <w:rFonts w:ascii="Cambria"/>
                            <w:sz w:val="24"/>
                          </w:rPr>
                          <w:t>8 (8.24)</w:t>
                        </w:r>
                      </w:p>
                    </w:tc>
                    <w:tc>
                      <w:tcPr>
                        <w:tcW w:w="1493" w:type="dxa"/>
                      </w:tcPr>
                      <w:p>
                        <w:pPr>
                          <w:pStyle w:val="TableParagraph"/>
                          <w:spacing w:before="86"/>
                          <w:ind w:left="496"/>
                          <w:rPr>
                            <w:rFonts w:ascii="Cambria"/>
                            <w:sz w:val="24"/>
                          </w:rPr>
                        </w:pPr>
                        <w:r>
                          <w:rPr>
                            <w:rFonts w:ascii="Cambria"/>
                            <w:sz w:val="24"/>
                          </w:rPr>
                          <w:t>0 (0)</w:t>
                        </w:r>
                      </w:p>
                    </w:tc>
                    <w:tc>
                      <w:tcPr>
                        <w:tcW w:w="1899" w:type="dxa"/>
                      </w:tcPr>
                      <w:p>
                        <w:pPr>
                          <w:pStyle w:val="TableParagraph"/>
                          <w:spacing w:before="86"/>
                          <w:ind w:right="544"/>
                          <w:jc w:val="right"/>
                          <w:rPr>
                            <w:rFonts w:ascii="Cambria"/>
                            <w:sz w:val="24"/>
                          </w:rPr>
                        </w:pPr>
                        <w:r>
                          <w:rPr>
                            <w:rFonts w:ascii="Cambria"/>
                            <w:sz w:val="24"/>
                          </w:rPr>
                          <w:t>8 (100.00)</w:t>
                        </w:r>
                      </w:p>
                    </w:tc>
                    <w:tc>
                      <w:tcPr>
                        <w:tcW w:w="1238" w:type="dxa"/>
                      </w:tcPr>
                      <w:p>
                        <w:pPr>
                          <w:pStyle w:val="TableParagraph"/>
                          <w:spacing w:before="86"/>
                          <w:ind w:left="477"/>
                          <w:rPr>
                            <w:rFonts w:ascii="Cambria"/>
                            <w:sz w:val="24"/>
                          </w:rPr>
                        </w:pPr>
                        <w:r>
                          <w:rPr>
                            <w:rFonts w:ascii="Cambria"/>
                            <w:w w:val="100"/>
                            <w:sz w:val="24"/>
                          </w:rPr>
                          <w:t>5</w:t>
                        </w:r>
                      </w:p>
                    </w:tc>
                    <w:tc>
                      <w:tcPr>
                        <w:tcW w:w="4478" w:type="dxa"/>
                      </w:tcPr>
                      <w:p>
                        <w:pPr>
                          <w:pStyle w:val="TableParagraph"/>
                          <w:numPr>
                            <w:ilvl w:val="0"/>
                            <w:numId w:val="112"/>
                          </w:numPr>
                          <w:tabs>
                            <w:tab w:pos="984" w:val="left" w:leader="none"/>
                            <w:tab w:pos="985" w:val="left" w:leader="none"/>
                            <w:tab w:pos="2035" w:val="left" w:leader="none"/>
                            <w:tab w:pos="2441" w:val="left" w:leader="none"/>
                            <w:tab w:pos="2979" w:val="left" w:leader="none"/>
                            <w:tab w:pos="3956" w:val="left" w:leader="none"/>
                          </w:tabs>
                          <w:spacing w:line="240" w:lineRule="auto" w:before="85" w:after="0"/>
                          <w:ind w:left="984" w:right="0" w:hanging="360"/>
                          <w:jc w:val="left"/>
                          <w:rPr>
                            <w:rFonts w:ascii="Cambria"/>
                            <w:sz w:val="24"/>
                          </w:rPr>
                        </w:pPr>
                        <w:r>
                          <w:rPr>
                            <w:rFonts w:ascii="Cambria"/>
                            <w:sz w:val="24"/>
                          </w:rPr>
                          <w:t>Rupture</w:t>
                          <w:tab/>
                          <w:t>of</w:t>
                          <w:tab/>
                          <w:t>the</w:t>
                          <w:tab/>
                          <w:t>urinary</w:t>
                          <w:tab/>
                          <w:t>tract</w:t>
                        </w:r>
                      </w:p>
                    </w:tc>
                  </w:tr>
                  <w:tr>
                    <w:trPr>
                      <w:trHeight w:val="360" w:hRule="exact"/>
                    </w:trPr>
                    <w:tc>
                      <w:tcPr>
                        <w:tcW w:w="1390" w:type="dxa"/>
                      </w:tcPr>
                      <w:p>
                        <w:pPr/>
                      </w:p>
                    </w:tc>
                    <w:tc>
                      <w:tcPr>
                        <w:tcW w:w="1456" w:type="dxa"/>
                      </w:tcPr>
                      <w:p>
                        <w:pPr/>
                      </w:p>
                    </w:tc>
                    <w:tc>
                      <w:tcPr>
                        <w:tcW w:w="1493" w:type="dxa"/>
                      </w:tcPr>
                      <w:p>
                        <w:pPr/>
                      </w:p>
                    </w:tc>
                    <w:tc>
                      <w:tcPr>
                        <w:tcW w:w="1899" w:type="dxa"/>
                      </w:tcPr>
                      <w:p>
                        <w:pPr/>
                      </w:p>
                    </w:tc>
                    <w:tc>
                      <w:tcPr>
                        <w:tcW w:w="1238" w:type="dxa"/>
                      </w:tcPr>
                      <w:p>
                        <w:pPr/>
                      </w:p>
                    </w:tc>
                    <w:tc>
                      <w:tcPr>
                        <w:tcW w:w="4478" w:type="dxa"/>
                      </w:tcPr>
                      <w:p>
                        <w:pPr>
                          <w:pStyle w:val="TableParagraph"/>
                          <w:spacing w:line="268" w:lineRule="exact"/>
                          <w:ind w:left="984"/>
                          <w:rPr>
                            <w:rFonts w:ascii="Cambria"/>
                            <w:sz w:val="24"/>
                          </w:rPr>
                        </w:pPr>
                        <w:r>
                          <w:rPr>
                            <w:rFonts w:ascii="Cambria"/>
                            <w:sz w:val="24"/>
                          </w:rPr>
                          <w:t>37.50%</w:t>
                        </w:r>
                      </w:p>
                    </w:tc>
                  </w:tr>
                </w:tbl>
                <w:p>
                  <w:pPr>
                    <w:pStyle w:val="BodyText"/>
                  </w:pPr>
                </w:p>
              </w:txbxContent>
            </v:textbox>
            <w10:wrap type="none"/>
          </v:shape>
        </w:pict>
      </w:r>
      <w:r>
        <w:rPr>
          <w:sz w:val="20"/>
        </w:rPr>
        <w:t>9</w:t>
      </w:r>
    </w:p>
    <w:p>
      <w:pPr>
        <w:spacing w:before="3"/>
        <w:ind w:left="160" w:right="0" w:firstLine="0"/>
        <w:jc w:val="left"/>
        <w:rPr>
          <w:sz w:val="20"/>
        </w:rPr>
      </w:pPr>
      <w:r>
        <w:rPr>
          <w:sz w:val="20"/>
        </w:rPr>
        <w:t>10</w:t>
      </w:r>
    </w:p>
    <w:p>
      <w:pPr>
        <w:spacing w:before="3"/>
        <w:ind w:left="160" w:right="0" w:firstLine="0"/>
        <w:jc w:val="left"/>
        <w:rPr>
          <w:sz w:val="20"/>
        </w:rPr>
      </w:pPr>
      <w:r>
        <w:rPr>
          <w:sz w:val="20"/>
        </w:rPr>
        <w:t>11</w:t>
      </w:r>
    </w:p>
    <w:p>
      <w:pPr>
        <w:spacing w:before="3"/>
        <w:ind w:left="160" w:right="0" w:firstLine="0"/>
        <w:jc w:val="left"/>
        <w:rPr>
          <w:sz w:val="20"/>
        </w:rPr>
      </w:pPr>
      <w:r>
        <w:rPr>
          <w:sz w:val="20"/>
        </w:rPr>
        <w:t>12</w:t>
      </w:r>
    </w:p>
    <w:p>
      <w:pPr>
        <w:spacing w:before="3"/>
        <w:ind w:left="160" w:right="0" w:firstLine="0"/>
        <w:jc w:val="left"/>
        <w:rPr>
          <w:sz w:val="20"/>
        </w:rPr>
      </w:pPr>
      <w:r>
        <w:rPr>
          <w:sz w:val="20"/>
        </w:rPr>
        <w:t>13</w:t>
      </w:r>
    </w:p>
    <w:p>
      <w:pPr>
        <w:spacing w:before="3"/>
        <w:ind w:left="160" w:right="0" w:firstLine="0"/>
        <w:jc w:val="left"/>
        <w:rPr>
          <w:sz w:val="20"/>
        </w:rPr>
      </w:pPr>
      <w:r>
        <w:rPr>
          <w:sz w:val="20"/>
        </w:rPr>
        <w:t>14</w:t>
      </w:r>
    </w:p>
    <w:p>
      <w:pPr>
        <w:spacing w:before="3"/>
        <w:ind w:left="160" w:right="0" w:firstLine="0"/>
        <w:jc w:val="left"/>
        <w:rPr>
          <w:sz w:val="20"/>
        </w:rPr>
      </w:pPr>
      <w:r>
        <w:rPr>
          <w:sz w:val="20"/>
        </w:rPr>
        <w:t>15</w:t>
      </w:r>
    </w:p>
    <w:p>
      <w:pPr>
        <w:spacing w:before="3"/>
        <w:ind w:left="160" w:right="0" w:firstLine="0"/>
        <w:jc w:val="left"/>
        <w:rPr>
          <w:sz w:val="20"/>
        </w:rPr>
      </w:pPr>
      <w:r>
        <w:rPr>
          <w:sz w:val="20"/>
        </w:rPr>
        <w:t>16</w:t>
      </w:r>
    </w:p>
    <w:p>
      <w:pPr>
        <w:spacing w:before="3"/>
        <w:ind w:left="160" w:right="0" w:firstLine="0"/>
        <w:jc w:val="left"/>
        <w:rPr>
          <w:sz w:val="20"/>
        </w:rPr>
      </w:pPr>
      <w:r>
        <w:rPr>
          <w:sz w:val="20"/>
        </w:rPr>
        <w:t>17</w:t>
      </w:r>
    </w:p>
    <w:p>
      <w:pPr>
        <w:spacing w:before="3"/>
        <w:ind w:left="160" w:right="0" w:firstLine="0"/>
        <w:jc w:val="left"/>
        <w:rPr>
          <w:sz w:val="20"/>
        </w:rPr>
      </w:pPr>
      <w:r>
        <w:rPr>
          <w:sz w:val="20"/>
        </w:rPr>
        <w:t>18</w:t>
      </w:r>
    </w:p>
    <w:p>
      <w:pPr>
        <w:spacing w:before="3"/>
        <w:ind w:left="160" w:right="0" w:firstLine="0"/>
        <w:jc w:val="left"/>
        <w:rPr>
          <w:sz w:val="20"/>
        </w:rPr>
      </w:pPr>
      <w:r>
        <w:rPr>
          <w:sz w:val="20"/>
        </w:rPr>
        <w:t>19</w:t>
      </w:r>
    </w:p>
    <w:p>
      <w:pPr>
        <w:spacing w:before="3"/>
        <w:ind w:left="160" w:right="0" w:firstLine="0"/>
        <w:jc w:val="left"/>
        <w:rPr>
          <w:sz w:val="20"/>
        </w:rPr>
      </w:pPr>
      <w:r>
        <w:rPr/>
        <w:pict>
          <v:shape style="position:absolute;margin-left:200.879684pt;margin-top:5.959515pt;width:376.45pt;height:48.05pt;mso-position-horizontal-relative:page;mso-position-vertical-relative:paragraph;z-index:3616;rotation:36" type="#_x0000_t136" fillcolor="#d6f1fe" stroked="f">
            <o:extrusion v:ext="view" autorotationcenter="t"/>
            <v:textpath style="font-family:&amp;quot;Arial&amp;quot;;font-size:48pt;v-text-kern:t;mso-text-shadow:auto;font-weight:bold" string="For Review Only"/>
            <w10:wrap type="none"/>
          </v:shape>
        </w:pict>
      </w:r>
      <w:r>
        <w:rPr>
          <w:sz w:val="20"/>
        </w:rPr>
        <w:t>20</w:t>
      </w:r>
    </w:p>
    <w:p>
      <w:pPr>
        <w:spacing w:before="3"/>
        <w:ind w:left="160" w:right="0" w:firstLine="0"/>
        <w:jc w:val="left"/>
        <w:rPr>
          <w:sz w:val="20"/>
        </w:rPr>
      </w:pPr>
      <w:r>
        <w:rPr>
          <w:sz w:val="20"/>
        </w:rPr>
        <w:t>21</w:t>
      </w:r>
    </w:p>
    <w:p>
      <w:pPr>
        <w:spacing w:before="3"/>
        <w:ind w:left="160" w:right="0" w:firstLine="0"/>
        <w:jc w:val="left"/>
        <w:rPr>
          <w:sz w:val="20"/>
        </w:rPr>
      </w:pPr>
      <w:r>
        <w:rPr>
          <w:sz w:val="20"/>
        </w:rPr>
        <w:t>22</w:t>
      </w:r>
    </w:p>
    <w:p>
      <w:pPr>
        <w:spacing w:before="3"/>
        <w:ind w:left="160" w:right="0" w:firstLine="0"/>
        <w:jc w:val="left"/>
        <w:rPr>
          <w:sz w:val="20"/>
        </w:rPr>
      </w:pPr>
      <w:r>
        <w:rPr>
          <w:sz w:val="20"/>
        </w:rPr>
        <w:t>23</w:t>
      </w:r>
    </w:p>
    <w:p>
      <w:pPr>
        <w:spacing w:before="3"/>
        <w:ind w:left="160" w:right="0" w:firstLine="0"/>
        <w:jc w:val="left"/>
        <w:rPr>
          <w:sz w:val="20"/>
        </w:rPr>
      </w:pPr>
      <w:r>
        <w:rPr>
          <w:sz w:val="20"/>
        </w:rPr>
        <w:t>24</w:t>
      </w:r>
    </w:p>
    <w:p>
      <w:pPr>
        <w:spacing w:before="3"/>
        <w:ind w:left="160" w:right="0" w:firstLine="0"/>
        <w:jc w:val="left"/>
        <w:rPr>
          <w:sz w:val="20"/>
        </w:rPr>
      </w:pPr>
      <w:r>
        <w:rPr>
          <w:sz w:val="20"/>
        </w:rPr>
        <w:t>25</w:t>
      </w:r>
    </w:p>
    <w:p>
      <w:pPr>
        <w:spacing w:before="3"/>
        <w:ind w:left="160" w:right="0" w:firstLine="0"/>
        <w:jc w:val="left"/>
        <w:rPr>
          <w:sz w:val="20"/>
        </w:rPr>
      </w:pPr>
      <w:r>
        <w:rPr>
          <w:sz w:val="20"/>
        </w:rPr>
        <w:t>26</w:t>
      </w:r>
    </w:p>
    <w:p>
      <w:pPr>
        <w:spacing w:before="3"/>
        <w:ind w:left="160" w:right="0" w:firstLine="0"/>
        <w:jc w:val="left"/>
        <w:rPr>
          <w:sz w:val="20"/>
        </w:rPr>
      </w:pPr>
      <w:r>
        <w:rPr>
          <w:sz w:val="20"/>
        </w:rPr>
        <w:t>27</w:t>
      </w:r>
    </w:p>
    <w:p>
      <w:pPr>
        <w:spacing w:before="3"/>
        <w:ind w:left="160" w:right="0" w:firstLine="0"/>
        <w:jc w:val="left"/>
        <w:rPr>
          <w:sz w:val="20"/>
        </w:rPr>
      </w:pPr>
      <w:r>
        <w:rPr>
          <w:sz w:val="20"/>
        </w:rPr>
        <w:t>28</w:t>
      </w:r>
    </w:p>
    <w:p>
      <w:pPr>
        <w:spacing w:before="3"/>
        <w:ind w:left="160" w:right="0" w:firstLine="0"/>
        <w:jc w:val="left"/>
        <w:rPr>
          <w:sz w:val="20"/>
        </w:rPr>
      </w:pPr>
      <w:r>
        <w:rPr>
          <w:sz w:val="20"/>
        </w:rPr>
        <w:t>29</w:t>
      </w:r>
    </w:p>
    <w:p>
      <w:pPr>
        <w:spacing w:line="161" w:lineRule="exact" w:before="3"/>
        <w:ind w:left="160" w:right="0" w:firstLine="0"/>
        <w:jc w:val="left"/>
        <w:rPr>
          <w:sz w:val="20"/>
        </w:rPr>
      </w:pPr>
      <w:r>
        <w:rPr>
          <w:sz w:val="20"/>
        </w:rPr>
        <w:t>30</w:t>
      </w:r>
    </w:p>
    <w:p>
      <w:pPr>
        <w:tabs>
          <w:tab w:pos="1839" w:val="left" w:leader="none"/>
          <w:tab w:pos="3395" w:val="left" w:leader="none"/>
        </w:tabs>
        <w:spacing w:line="351" w:lineRule="exact" w:before="48"/>
        <w:ind w:left="160" w:right="0" w:firstLine="0"/>
        <w:jc w:val="left"/>
        <w:rPr>
          <w:rFonts w:ascii="Cambria"/>
          <w:i/>
          <w:sz w:val="24"/>
        </w:rPr>
      </w:pPr>
      <w:r>
        <w:rPr/>
        <w:br w:type="column"/>
      </w:r>
      <w:r>
        <w:rPr>
          <w:rFonts w:ascii="Cambria"/>
          <w:i/>
          <w:sz w:val="24"/>
        </w:rPr>
        <w:t>Females</w:t>
      </w:r>
      <w:r>
        <w:rPr>
          <w:rFonts w:ascii="Cambria"/>
          <w:i/>
          <w:spacing w:val="-2"/>
          <w:sz w:val="24"/>
        </w:rPr>
        <w:t> </w:t>
      </w:r>
      <w:r>
        <w:rPr>
          <w:rFonts w:ascii="Cambria"/>
          <w:i/>
          <w:sz w:val="24"/>
        </w:rPr>
        <w:t>(%)</w:t>
        <w:tab/>
        <w:t>Males</w:t>
      </w:r>
      <w:r>
        <w:rPr>
          <w:rFonts w:ascii="Cambria"/>
          <w:i/>
          <w:spacing w:val="-2"/>
          <w:sz w:val="24"/>
        </w:rPr>
        <w:t> </w:t>
      </w:r>
      <w:r>
        <w:rPr>
          <w:rFonts w:ascii="Cambria"/>
          <w:i/>
          <w:sz w:val="24"/>
        </w:rPr>
        <w:t>(%)</w:t>
        <w:tab/>
      </w:r>
      <w:r>
        <w:rPr>
          <w:rFonts w:ascii="Cambria"/>
          <w:i/>
          <w:position w:val="14"/>
          <w:sz w:val="24"/>
        </w:rPr>
        <w:t>Median</w:t>
      </w:r>
      <w:r>
        <w:rPr>
          <w:rFonts w:ascii="Cambria"/>
          <w:i/>
          <w:spacing w:val="-3"/>
          <w:position w:val="14"/>
          <w:sz w:val="24"/>
        </w:rPr>
        <w:t> </w:t>
      </w:r>
      <w:r>
        <w:rPr>
          <w:rFonts w:ascii="Cambria"/>
          <w:i/>
          <w:position w:val="14"/>
          <w:sz w:val="24"/>
        </w:rPr>
        <w:t>age</w:t>
      </w:r>
    </w:p>
    <w:p>
      <w:pPr>
        <w:spacing w:line="211" w:lineRule="exact" w:before="0"/>
        <w:ind w:left="0" w:right="220" w:firstLine="0"/>
        <w:jc w:val="right"/>
        <w:rPr>
          <w:rFonts w:ascii="Cambria"/>
          <w:i/>
          <w:sz w:val="24"/>
        </w:rPr>
      </w:pPr>
      <w:r>
        <w:rPr>
          <w:rFonts w:ascii="Cambria"/>
          <w:i/>
          <w:sz w:val="24"/>
        </w:rPr>
        <w:t>(years)</w:t>
      </w:r>
    </w:p>
    <w:p>
      <w:pPr>
        <w:spacing w:before="188"/>
        <w:ind w:left="160" w:right="0" w:firstLine="0"/>
        <w:jc w:val="left"/>
        <w:rPr>
          <w:rFonts w:ascii="Cambria"/>
          <w:i/>
          <w:sz w:val="24"/>
        </w:rPr>
      </w:pPr>
      <w:r>
        <w:rPr/>
        <w:br w:type="column"/>
      </w:r>
      <w:r>
        <w:rPr>
          <w:rFonts w:ascii="Cambria"/>
          <w:i/>
          <w:sz w:val="24"/>
        </w:rPr>
        <w:t>Significant findings</w:t>
      </w:r>
    </w:p>
    <w:p>
      <w:pPr>
        <w:spacing w:after="0"/>
        <w:jc w:val="left"/>
        <w:rPr>
          <w:rFonts w:ascii="Cambria"/>
          <w:sz w:val="24"/>
        </w:rPr>
        <w:sectPr>
          <w:type w:val="continuous"/>
          <w:pgSz w:w="15840" w:h="12240" w:orient="landscape"/>
          <w:pgMar w:top="1260" w:bottom="280" w:left="0" w:right="1020"/>
          <w:cols w:num="3" w:equalWidth="0">
            <w:col w:w="4178" w:space="298"/>
            <w:col w:w="4557" w:space="1342"/>
            <w:col w:w="4445"/>
          </w:cols>
        </w:sectPr>
      </w:pPr>
    </w:p>
    <w:p>
      <w:pPr>
        <w:pStyle w:val="ListParagraph"/>
        <w:numPr>
          <w:ilvl w:val="0"/>
          <w:numId w:val="113"/>
        </w:numPr>
        <w:tabs>
          <w:tab w:pos="1528" w:val="left" w:leader="none"/>
          <w:tab w:pos="1529" w:val="left" w:leader="none"/>
          <w:tab w:pos="9772" w:val="left" w:leader="none"/>
          <w:tab w:pos="10132" w:val="left" w:leader="none"/>
          <w:tab w:pos="13699" w:val="left" w:leader="none"/>
        </w:tabs>
        <w:spacing w:line="282" w:lineRule="exact" w:before="0" w:after="0"/>
        <w:ind w:left="1528" w:right="0" w:hanging="1368"/>
        <w:jc w:val="left"/>
        <w:rPr>
          <w:sz w:val="24"/>
        </w:rPr>
      </w:pPr>
      <w:r>
        <w:rPr>
          <w:rFonts w:ascii="Times New Roman" w:hAnsi="Times New Roman"/>
          <w:w w:val="100"/>
          <w:sz w:val="24"/>
          <w:u w:val="single"/>
        </w:rPr>
        <w:t> </w:t>
      </w:r>
      <w:r>
        <w:rPr>
          <w:rFonts w:ascii="Times New Roman" w:hAnsi="Times New Roman"/>
          <w:sz w:val="24"/>
          <w:u w:val="single"/>
        </w:rPr>
        <w:tab/>
      </w:r>
      <w:r>
        <w:rPr>
          <w:rFonts w:ascii="Symbol" w:hAnsi="Symbol"/>
          <w:sz w:val="24"/>
          <w:u w:val="single"/>
        </w:rPr>
        <w:t></w:t>
      </w:r>
      <w:r>
        <w:rPr>
          <w:rFonts w:ascii="Times New Roman" w:hAnsi="Times New Roman"/>
          <w:sz w:val="24"/>
          <w:u w:val="single"/>
        </w:rPr>
        <w:tab/>
      </w:r>
      <w:r>
        <w:rPr>
          <w:sz w:val="24"/>
          <w:u w:val="single"/>
        </w:rPr>
        <w:t>Traumatic cystitis</w:t>
      </w:r>
      <w:r>
        <w:rPr>
          <w:spacing w:val="-11"/>
          <w:sz w:val="24"/>
          <w:u w:val="single"/>
        </w:rPr>
        <w:t> </w:t>
      </w:r>
      <w:r>
        <w:rPr>
          <w:sz w:val="24"/>
          <w:u w:val="single"/>
        </w:rPr>
        <w:t>62.50%</w:t>
        <w:tab/>
      </w:r>
    </w:p>
    <w:p>
      <w:pPr>
        <w:pStyle w:val="ListParagraph"/>
        <w:numPr>
          <w:ilvl w:val="0"/>
          <w:numId w:val="113"/>
        </w:numPr>
        <w:tabs>
          <w:tab w:pos="1132" w:val="left" w:leader="none"/>
          <w:tab w:pos="1133" w:val="left" w:leader="none"/>
        </w:tabs>
        <w:spacing w:line="261" w:lineRule="exact" w:before="0" w:after="0"/>
        <w:ind w:left="1132" w:right="0" w:hanging="972"/>
        <w:jc w:val="left"/>
        <w:rPr>
          <w:sz w:val="24"/>
        </w:rPr>
      </w:pPr>
      <w:r>
        <w:rPr>
          <w:sz w:val="24"/>
        </w:rPr>
        <w:t>* Bacterial urinary tract</w:t>
      </w:r>
      <w:r>
        <w:rPr>
          <w:spacing w:val="-9"/>
          <w:sz w:val="24"/>
        </w:rPr>
        <w:t> </w:t>
      </w:r>
      <w:r>
        <w:rPr>
          <w:sz w:val="24"/>
        </w:rPr>
        <w:t>infection.</w:t>
      </w:r>
    </w:p>
    <w:p>
      <w:pPr>
        <w:spacing w:line="226" w:lineRule="exact" w:before="0"/>
        <w:ind w:left="160" w:right="0" w:firstLine="0"/>
        <w:jc w:val="left"/>
        <w:rPr>
          <w:sz w:val="20"/>
        </w:rPr>
      </w:pPr>
      <w:r>
        <w:rPr>
          <w:sz w:val="20"/>
        </w:rPr>
        <w:t>33</w:t>
      </w:r>
    </w:p>
    <w:p>
      <w:pPr>
        <w:spacing w:before="3"/>
        <w:ind w:left="160" w:right="0" w:firstLine="0"/>
        <w:jc w:val="left"/>
        <w:rPr>
          <w:sz w:val="20"/>
        </w:rPr>
      </w:pPr>
      <w:r>
        <w:rPr>
          <w:sz w:val="20"/>
        </w:rPr>
        <w:t>34</w:t>
      </w:r>
    </w:p>
    <w:p>
      <w:pPr>
        <w:spacing w:before="3"/>
        <w:ind w:left="160" w:right="0" w:firstLine="0"/>
        <w:jc w:val="left"/>
        <w:rPr>
          <w:sz w:val="20"/>
        </w:rPr>
      </w:pPr>
      <w:r>
        <w:rPr>
          <w:sz w:val="20"/>
        </w:rPr>
        <w:t>35</w:t>
      </w:r>
    </w:p>
    <w:p>
      <w:pPr>
        <w:spacing w:before="3"/>
        <w:ind w:left="160" w:right="0" w:firstLine="0"/>
        <w:jc w:val="left"/>
        <w:rPr>
          <w:sz w:val="20"/>
        </w:rPr>
      </w:pPr>
      <w:r>
        <w:rPr>
          <w:sz w:val="20"/>
        </w:rPr>
        <w:t>36</w:t>
      </w:r>
    </w:p>
    <w:p>
      <w:pPr>
        <w:spacing w:before="3"/>
        <w:ind w:left="160" w:right="0" w:firstLine="0"/>
        <w:jc w:val="left"/>
        <w:rPr>
          <w:sz w:val="20"/>
        </w:rPr>
      </w:pPr>
      <w:r>
        <w:rPr>
          <w:sz w:val="20"/>
        </w:rPr>
        <w:t>37</w:t>
      </w:r>
    </w:p>
    <w:p>
      <w:pPr>
        <w:spacing w:before="3"/>
        <w:ind w:left="160" w:right="0" w:firstLine="0"/>
        <w:jc w:val="left"/>
        <w:rPr>
          <w:sz w:val="20"/>
        </w:rPr>
      </w:pPr>
      <w:r>
        <w:rPr>
          <w:sz w:val="20"/>
        </w:rPr>
        <w:t>38</w:t>
      </w:r>
    </w:p>
    <w:p>
      <w:pPr>
        <w:spacing w:before="3"/>
        <w:ind w:left="160" w:right="0" w:firstLine="0"/>
        <w:jc w:val="left"/>
        <w:rPr>
          <w:sz w:val="20"/>
        </w:rPr>
      </w:pPr>
      <w:r>
        <w:rPr>
          <w:sz w:val="20"/>
        </w:rPr>
        <w:t>39</w:t>
      </w:r>
    </w:p>
    <w:p>
      <w:pPr>
        <w:spacing w:before="3"/>
        <w:ind w:left="160" w:right="0" w:firstLine="0"/>
        <w:jc w:val="left"/>
        <w:rPr>
          <w:sz w:val="20"/>
        </w:rPr>
      </w:pPr>
      <w:r>
        <w:rPr>
          <w:sz w:val="20"/>
        </w:rPr>
        <w:t>40</w:t>
      </w:r>
    </w:p>
    <w:p>
      <w:pPr>
        <w:spacing w:before="3"/>
        <w:ind w:left="160" w:right="0" w:firstLine="0"/>
        <w:jc w:val="left"/>
        <w:rPr>
          <w:sz w:val="20"/>
        </w:rPr>
      </w:pPr>
      <w:r>
        <w:rPr>
          <w:sz w:val="20"/>
        </w:rPr>
        <w:t>41</w:t>
      </w:r>
    </w:p>
    <w:p>
      <w:pPr>
        <w:spacing w:before="3"/>
        <w:ind w:left="160" w:right="0" w:firstLine="0"/>
        <w:jc w:val="left"/>
        <w:rPr>
          <w:sz w:val="20"/>
        </w:rPr>
      </w:pPr>
      <w:r>
        <w:rPr>
          <w:sz w:val="20"/>
        </w:rPr>
        <w:t>42</w:t>
      </w:r>
    </w:p>
    <w:p>
      <w:pPr>
        <w:spacing w:before="3"/>
        <w:ind w:left="160" w:right="0" w:firstLine="0"/>
        <w:jc w:val="left"/>
        <w:rPr>
          <w:sz w:val="20"/>
        </w:rPr>
      </w:pPr>
      <w:r>
        <w:rPr>
          <w:sz w:val="20"/>
        </w:rPr>
        <w:t>43</w:t>
      </w:r>
    </w:p>
    <w:p>
      <w:pPr>
        <w:spacing w:before="3"/>
        <w:ind w:left="160" w:right="0" w:firstLine="0"/>
        <w:jc w:val="left"/>
        <w:rPr>
          <w:sz w:val="20"/>
        </w:rPr>
      </w:pPr>
      <w:r>
        <w:rPr>
          <w:sz w:val="20"/>
        </w:rPr>
        <w:t>44</w:t>
      </w:r>
    </w:p>
    <w:p>
      <w:pPr>
        <w:spacing w:line="230" w:lineRule="exact" w:before="3"/>
        <w:ind w:left="160" w:right="0" w:firstLine="0"/>
        <w:jc w:val="left"/>
        <w:rPr>
          <w:sz w:val="20"/>
        </w:rPr>
      </w:pPr>
      <w:r>
        <w:rPr>
          <w:sz w:val="20"/>
        </w:rPr>
        <w:t>45</w:t>
      </w:r>
    </w:p>
    <w:p>
      <w:pPr>
        <w:tabs>
          <w:tab w:pos="5680" w:val="left" w:leader="none"/>
        </w:tabs>
        <w:spacing w:line="243" w:lineRule="exact" w:before="0"/>
        <w:ind w:left="160" w:right="0" w:firstLine="0"/>
        <w:jc w:val="left"/>
        <w:rPr>
          <w:b/>
          <w:sz w:val="20"/>
        </w:rPr>
      </w:pPr>
      <w:r>
        <w:rPr>
          <w:position w:val="2"/>
          <w:sz w:val="20"/>
        </w:rPr>
        <w:t>46</w:t>
        <w:tab/>
      </w:r>
      <w:r>
        <w:rPr>
          <w:b/>
          <w:color w:val="656565"/>
          <w:sz w:val="20"/>
        </w:rPr>
        <w:t>https://mc04.manuscriptcentral.com/pvb-scielo</w:t>
      </w:r>
    </w:p>
    <w:p>
      <w:pPr>
        <w:spacing w:line="224" w:lineRule="exact" w:before="0"/>
        <w:ind w:left="160" w:right="0" w:firstLine="0"/>
        <w:jc w:val="left"/>
        <w:rPr>
          <w:sz w:val="20"/>
        </w:rPr>
      </w:pPr>
      <w:r>
        <w:rPr>
          <w:sz w:val="20"/>
        </w:rPr>
        <w:t>47</w:t>
      </w:r>
    </w:p>
    <w:p>
      <w:pPr>
        <w:spacing w:before="3"/>
        <w:ind w:left="160" w:right="0" w:firstLine="0"/>
        <w:jc w:val="left"/>
        <w:rPr>
          <w:sz w:val="20"/>
        </w:rPr>
      </w:pPr>
      <w:r>
        <w:rPr>
          <w:sz w:val="20"/>
        </w:rPr>
        <w:t>48</w:t>
      </w:r>
    </w:p>
    <w:p>
      <w:pPr>
        <w:spacing w:line="144" w:lineRule="exact" w:before="3"/>
        <w:ind w:left="160" w:right="0" w:firstLine="0"/>
        <w:jc w:val="left"/>
        <w:rPr>
          <w:sz w:val="20"/>
        </w:rPr>
      </w:pPr>
      <w:r>
        <w:rPr>
          <w:sz w:val="20"/>
        </w:rPr>
        <w:t>49</w:t>
      </w:r>
    </w:p>
    <w:p>
      <w:pPr>
        <w:spacing w:after="0" w:line="144" w:lineRule="exact"/>
        <w:jc w:val="left"/>
        <w:rPr>
          <w:sz w:val="20"/>
        </w:rPr>
        <w:sectPr>
          <w:type w:val="continuous"/>
          <w:pgSz w:w="15840" w:h="12240" w:orient="landscape"/>
          <w:pgMar w:top="1260" w:bottom="280" w:left="0" w:right="1020"/>
        </w:sectPr>
      </w:pPr>
    </w:p>
    <w:p>
      <w:pPr>
        <w:tabs>
          <w:tab w:pos="10801" w:val="left" w:leader="none"/>
        </w:tabs>
        <w:spacing w:before="56"/>
        <w:ind w:left="4652" w:right="0" w:firstLine="0"/>
        <w:jc w:val="left"/>
        <w:rPr>
          <w:b/>
          <w:sz w:val="20"/>
        </w:rPr>
      </w:pPr>
      <w:r>
        <w:rPr>
          <w:b/>
          <w:sz w:val="20"/>
        </w:rPr>
        <w:t>Pesquisa</w:t>
      </w:r>
      <w:r>
        <w:rPr>
          <w:b/>
          <w:spacing w:val="-3"/>
          <w:sz w:val="20"/>
        </w:rPr>
        <w:t> </w:t>
      </w:r>
      <w:r>
        <w:rPr>
          <w:b/>
          <w:sz w:val="20"/>
        </w:rPr>
        <w:t>Veterinária</w:t>
      </w:r>
      <w:r>
        <w:rPr>
          <w:b/>
          <w:spacing w:val="-4"/>
          <w:sz w:val="20"/>
        </w:rPr>
        <w:t> </w:t>
      </w:r>
      <w:r>
        <w:rPr>
          <w:b/>
          <w:sz w:val="20"/>
        </w:rPr>
        <w:t>Brasileira</w:t>
        <w:tab/>
        <w:t>Page 12 of</w:t>
      </w:r>
      <w:r>
        <w:rPr>
          <w:b/>
          <w:spacing w:val="-3"/>
          <w:sz w:val="20"/>
        </w:rPr>
        <w:t> </w:t>
      </w:r>
      <w:r>
        <w:rPr>
          <w:b/>
          <w:sz w:val="20"/>
        </w:rPr>
        <w:t>13</w:t>
      </w:r>
    </w:p>
    <w:p>
      <w:pPr>
        <w:pStyle w:val="BodyText"/>
        <w:spacing w:before="4"/>
        <w:rPr>
          <w:b/>
          <w:sz w:val="19"/>
        </w:rPr>
      </w:pPr>
    </w:p>
    <w:p>
      <w:pPr>
        <w:spacing w:line="230" w:lineRule="exact" w:before="56"/>
        <w:ind w:left="0" w:right="1090" w:firstLine="0"/>
        <w:jc w:val="right"/>
        <w:rPr>
          <w:rFonts w:ascii="Calibri"/>
          <w:sz w:val="22"/>
        </w:rPr>
      </w:pPr>
      <w:r>
        <w:rPr>
          <w:rFonts w:ascii="Calibri"/>
          <w:sz w:val="22"/>
        </w:rPr>
        <w:t>12</w:t>
      </w:r>
    </w:p>
    <w:p>
      <w:pPr>
        <w:spacing w:line="191" w:lineRule="exact" w:before="0"/>
        <w:ind w:left="160" w:right="0" w:firstLine="0"/>
        <w:jc w:val="left"/>
        <w:rPr>
          <w:sz w:val="20"/>
        </w:rPr>
      </w:pPr>
      <w:r>
        <w:rPr>
          <w:sz w:val="20"/>
        </w:rPr>
        <w:t>1</w:t>
      </w:r>
    </w:p>
    <w:p>
      <w:pPr>
        <w:pStyle w:val="BodyText"/>
        <w:tabs>
          <w:tab w:pos="5123" w:val="left" w:leader="none"/>
        </w:tabs>
        <w:spacing w:line="256" w:lineRule="exact" w:before="6"/>
        <w:ind w:left="160"/>
        <w:rPr>
          <w:rFonts w:ascii="Cambria"/>
        </w:rPr>
      </w:pPr>
      <w:r>
        <w:rPr>
          <w:position w:val="4"/>
          <w:sz w:val="20"/>
        </w:rPr>
        <w:t>2</w:t>
        <w:tab/>
      </w:r>
      <w:r>
        <w:rPr>
          <w:rFonts w:ascii="Cambria"/>
        </w:rPr>
        <w:t>Legenda das</w:t>
      </w:r>
      <w:r>
        <w:rPr>
          <w:rFonts w:ascii="Cambria"/>
          <w:spacing w:val="-8"/>
        </w:rPr>
        <w:t> </w:t>
      </w:r>
      <w:r>
        <w:rPr>
          <w:rFonts w:ascii="Cambria"/>
        </w:rPr>
        <w:t>Figura</w:t>
      </w:r>
    </w:p>
    <w:p>
      <w:pPr>
        <w:spacing w:line="204" w:lineRule="exact" w:before="0"/>
        <w:ind w:left="160" w:right="0" w:firstLine="0"/>
        <w:jc w:val="left"/>
        <w:rPr>
          <w:sz w:val="20"/>
        </w:rPr>
      </w:pPr>
      <w:r>
        <w:rPr>
          <w:sz w:val="20"/>
        </w:rPr>
        <w:t>3</w:t>
      </w:r>
    </w:p>
    <w:p>
      <w:pPr>
        <w:spacing w:before="3"/>
        <w:ind w:left="160" w:right="0" w:firstLine="0"/>
        <w:jc w:val="left"/>
        <w:rPr>
          <w:sz w:val="20"/>
        </w:rPr>
      </w:pPr>
      <w:r>
        <w:rPr>
          <w:sz w:val="20"/>
        </w:rPr>
        <w:t>4</w:t>
      </w:r>
    </w:p>
    <w:p>
      <w:pPr>
        <w:spacing w:before="3"/>
        <w:ind w:left="160" w:right="0" w:firstLine="0"/>
        <w:jc w:val="left"/>
        <w:rPr>
          <w:sz w:val="20"/>
        </w:rPr>
      </w:pPr>
      <w:r>
        <w:rPr>
          <w:sz w:val="20"/>
        </w:rPr>
        <w:t>5</w:t>
      </w:r>
    </w:p>
    <w:p>
      <w:pPr>
        <w:pStyle w:val="ListParagraph"/>
        <w:numPr>
          <w:ilvl w:val="0"/>
          <w:numId w:val="114"/>
        </w:numPr>
        <w:tabs>
          <w:tab w:pos="1132" w:val="left" w:leader="none"/>
          <w:tab w:pos="1133" w:val="left" w:leader="none"/>
        </w:tabs>
        <w:spacing w:line="279" w:lineRule="exact" w:before="0" w:after="0"/>
        <w:ind w:left="1132" w:right="0" w:hanging="972"/>
        <w:jc w:val="left"/>
        <w:rPr>
          <w:sz w:val="24"/>
        </w:rPr>
      </w:pPr>
      <w:r>
        <w:rPr>
          <w:sz w:val="24"/>
        </w:rPr>
        <w:t>Fig.</w:t>
      </w:r>
      <w:r>
        <w:rPr>
          <w:spacing w:val="19"/>
          <w:sz w:val="24"/>
        </w:rPr>
        <w:t> </w:t>
      </w:r>
      <w:r>
        <w:rPr>
          <w:sz w:val="24"/>
        </w:rPr>
        <w:t>1.</w:t>
      </w:r>
      <w:r>
        <w:rPr>
          <w:spacing w:val="17"/>
          <w:sz w:val="24"/>
        </w:rPr>
        <w:t> </w:t>
      </w:r>
      <w:r>
        <w:rPr>
          <w:sz w:val="24"/>
        </w:rPr>
        <w:t>Endoscopic</w:t>
      </w:r>
      <w:r>
        <w:rPr>
          <w:spacing w:val="16"/>
          <w:sz w:val="24"/>
        </w:rPr>
        <w:t> </w:t>
      </w:r>
      <w:r>
        <w:rPr>
          <w:sz w:val="24"/>
        </w:rPr>
        <w:t>imaging</w:t>
      </w:r>
      <w:r>
        <w:rPr>
          <w:spacing w:val="17"/>
          <w:sz w:val="24"/>
        </w:rPr>
        <w:t> </w:t>
      </w:r>
      <w:r>
        <w:rPr>
          <w:sz w:val="24"/>
        </w:rPr>
        <w:t>of</w:t>
      </w:r>
      <w:r>
        <w:rPr>
          <w:spacing w:val="17"/>
          <w:sz w:val="24"/>
        </w:rPr>
        <w:t> </w:t>
      </w:r>
      <w:r>
        <w:rPr>
          <w:sz w:val="24"/>
        </w:rPr>
        <w:t>uroliths</w:t>
      </w:r>
      <w:r>
        <w:rPr>
          <w:spacing w:val="18"/>
          <w:sz w:val="24"/>
        </w:rPr>
        <w:t> </w:t>
      </w:r>
      <w:r>
        <w:rPr>
          <w:sz w:val="24"/>
        </w:rPr>
        <w:t>in</w:t>
      </w:r>
      <w:r>
        <w:rPr>
          <w:spacing w:val="19"/>
          <w:sz w:val="24"/>
        </w:rPr>
        <w:t> </w:t>
      </w:r>
      <w:r>
        <w:rPr>
          <w:sz w:val="24"/>
        </w:rPr>
        <w:t>the</w:t>
      </w:r>
      <w:r>
        <w:rPr>
          <w:spacing w:val="16"/>
          <w:sz w:val="24"/>
        </w:rPr>
        <w:t> </w:t>
      </w:r>
      <w:r>
        <w:rPr>
          <w:sz w:val="24"/>
        </w:rPr>
        <w:t>urethra</w:t>
      </w:r>
      <w:r>
        <w:rPr>
          <w:spacing w:val="19"/>
          <w:sz w:val="24"/>
        </w:rPr>
        <w:t> </w:t>
      </w:r>
      <w:r>
        <w:rPr>
          <w:sz w:val="24"/>
        </w:rPr>
        <w:t>of</w:t>
      </w:r>
      <w:r>
        <w:rPr>
          <w:spacing w:val="18"/>
          <w:sz w:val="24"/>
        </w:rPr>
        <w:t> </w:t>
      </w:r>
      <w:r>
        <w:rPr>
          <w:sz w:val="24"/>
        </w:rPr>
        <w:t>a</w:t>
      </w:r>
      <w:r>
        <w:rPr>
          <w:spacing w:val="19"/>
          <w:sz w:val="24"/>
        </w:rPr>
        <w:t> </w:t>
      </w:r>
      <w:r>
        <w:rPr>
          <w:sz w:val="24"/>
        </w:rPr>
        <w:t>male</w:t>
      </w:r>
      <w:r>
        <w:rPr>
          <w:spacing w:val="19"/>
          <w:sz w:val="24"/>
        </w:rPr>
        <w:t> </w:t>
      </w:r>
      <w:r>
        <w:rPr>
          <w:sz w:val="24"/>
        </w:rPr>
        <w:t>dog.</w:t>
      </w:r>
      <w:r>
        <w:rPr>
          <w:spacing w:val="19"/>
          <w:sz w:val="24"/>
        </w:rPr>
        <w:t> </w:t>
      </w:r>
      <w:r>
        <w:rPr>
          <w:sz w:val="24"/>
        </w:rPr>
        <w:t>Note</w:t>
      </w:r>
      <w:r>
        <w:rPr>
          <w:spacing w:val="19"/>
          <w:sz w:val="24"/>
        </w:rPr>
        <w:t> </w:t>
      </w:r>
      <w:r>
        <w:rPr>
          <w:sz w:val="24"/>
        </w:rPr>
        <w:t>the</w:t>
      </w:r>
      <w:r>
        <w:rPr>
          <w:spacing w:val="16"/>
          <w:sz w:val="24"/>
        </w:rPr>
        <w:t> </w:t>
      </w:r>
      <w:r>
        <w:rPr>
          <w:sz w:val="24"/>
        </w:rPr>
        <w:t>presence</w:t>
      </w:r>
      <w:r>
        <w:rPr>
          <w:spacing w:val="16"/>
          <w:sz w:val="24"/>
        </w:rPr>
        <w:t> </w:t>
      </w:r>
      <w:r>
        <w:rPr>
          <w:sz w:val="24"/>
        </w:rPr>
        <w:t>of</w:t>
      </w:r>
      <w:r>
        <w:rPr>
          <w:spacing w:val="18"/>
          <w:sz w:val="24"/>
        </w:rPr>
        <w:t> </w:t>
      </w:r>
      <w:r>
        <w:rPr>
          <w:sz w:val="24"/>
        </w:rPr>
        <w:t>mucus</w:t>
      </w:r>
    </w:p>
    <w:p>
      <w:pPr>
        <w:pStyle w:val="ListParagraph"/>
        <w:numPr>
          <w:ilvl w:val="0"/>
          <w:numId w:val="114"/>
        </w:numPr>
        <w:tabs>
          <w:tab w:pos="1132" w:val="left" w:leader="none"/>
          <w:tab w:pos="1133" w:val="left" w:leader="none"/>
        </w:tabs>
        <w:spacing w:line="256" w:lineRule="exact" w:before="0" w:after="0"/>
        <w:ind w:left="1132" w:right="0" w:hanging="972"/>
        <w:jc w:val="left"/>
        <w:rPr>
          <w:sz w:val="24"/>
        </w:rPr>
      </w:pPr>
      <w:r>
        <w:rPr>
          <w:sz w:val="24"/>
        </w:rPr>
        <w:t>with  attached  crystals  around  the  urolith.  The  hyperplasia  of  the  urethral  mucosa  </w:t>
      </w:r>
      <w:r>
        <w:rPr>
          <w:spacing w:val="1"/>
          <w:sz w:val="24"/>
        </w:rPr>
        <w:t> </w:t>
      </w:r>
      <w:r>
        <w:rPr>
          <w:sz w:val="24"/>
        </w:rPr>
        <w:t>suggests</w:t>
      </w:r>
    </w:p>
    <w:p>
      <w:pPr>
        <w:spacing w:line="115" w:lineRule="exact" w:before="0"/>
        <w:ind w:left="160" w:right="0" w:firstLine="0"/>
        <w:jc w:val="left"/>
        <w:rPr>
          <w:sz w:val="20"/>
        </w:rPr>
      </w:pPr>
      <w:r>
        <w:rPr>
          <w:sz w:val="20"/>
        </w:rPr>
        <w:t>8</w:t>
      </w:r>
    </w:p>
    <w:p>
      <w:pPr>
        <w:pStyle w:val="ListParagraph"/>
        <w:numPr>
          <w:ilvl w:val="0"/>
          <w:numId w:val="115"/>
        </w:numPr>
        <w:tabs>
          <w:tab w:pos="1132" w:val="left" w:leader="none"/>
          <w:tab w:pos="1133" w:val="left" w:leader="none"/>
        </w:tabs>
        <w:spacing w:line="253" w:lineRule="exact" w:before="0" w:after="0"/>
        <w:ind w:left="1132" w:right="0" w:hanging="972"/>
        <w:jc w:val="left"/>
        <w:rPr>
          <w:sz w:val="24"/>
        </w:rPr>
      </w:pPr>
      <w:r>
        <w:rPr>
          <w:sz w:val="24"/>
        </w:rPr>
        <w:t>chronicity</w:t>
      </w:r>
      <w:r>
        <w:rPr>
          <w:spacing w:val="20"/>
          <w:sz w:val="24"/>
        </w:rPr>
        <w:t> </w:t>
      </w:r>
      <w:r>
        <w:rPr>
          <w:sz w:val="24"/>
        </w:rPr>
        <w:t>of</w:t>
      </w:r>
      <w:r>
        <w:rPr>
          <w:spacing w:val="20"/>
          <w:sz w:val="24"/>
        </w:rPr>
        <w:t> </w:t>
      </w:r>
      <w:r>
        <w:rPr>
          <w:sz w:val="24"/>
        </w:rPr>
        <w:t>the</w:t>
      </w:r>
      <w:r>
        <w:rPr>
          <w:spacing w:val="21"/>
          <w:sz w:val="24"/>
        </w:rPr>
        <w:t> </w:t>
      </w:r>
      <w:r>
        <w:rPr>
          <w:sz w:val="24"/>
        </w:rPr>
        <w:t>obstruction.</w:t>
      </w:r>
      <w:r>
        <w:rPr>
          <w:spacing w:val="22"/>
          <w:sz w:val="24"/>
        </w:rPr>
        <w:t> </w:t>
      </w:r>
      <w:r>
        <w:rPr>
          <w:sz w:val="24"/>
        </w:rPr>
        <w:t>After</w:t>
      </w:r>
      <w:r>
        <w:rPr>
          <w:spacing w:val="20"/>
          <w:sz w:val="24"/>
        </w:rPr>
        <w:t> </w:t>
      </w:r>
      <w:r>
        <w:rPr>
          <w:sz w:val="24"/>
        </w:rPr>
        <w:t>removing</w:t>
      </w:r>
      <w:r>
        <w:rPr>
          <w:spacing w:val="20"/>
          <w:sz w:val="24"/>
        </w:rPr>
        <w:t> </w:t>
      </w:r>
      <w:r>
        <w:rPr>
          <w:sz w:val="24"/>
        </w:rPr>
        <w:t>the</w:t>
      </w:r>
      <w:r>
        <w:rPr>
          <w:spacing w:val="21"/>
          <w:sz w:val="24"/>
        </w:rPr>
        <w:t> </w:t>
      </w:r>
      <w:r>
        <w:rPr>
          <w:sz w:val="24"/>
        </w:rPr>
        <w:t>urolith,</w:t>
      </w:r>
      <w:r>
        <w:rPr>
          <w:spacing w:val="22"/>
          <w:sz w:val="24"/>
        </w:rPr>
        <w:t> </w:t>
      </w:r>
      <w:r>
        <w:rPr>
          <w:sz w:val="24"/>
        </w:rPr>
        <w:t>it</w:t>
      </w:r>
      <w:r>
        <w:rPr>
          <w:spacing w:val="21"/>
          <w:sz w:val="24"/>
        </w:rPr>
        <w:t> </w:t>
      </w:r>
      <w:r>
        <w:rPr>
          <w:sz w:val="24"/>
        </w:rPr>
        <w:t>had</w:t>
      </w:r>
      <w:r>
        <w:rPr>
          <w:spacing w:val="20"/>
          <w:sz w:val="24"/>
        </w:rPr>
        <w:t> </w:t>
      </w:r>
      <w:r>
        <w:rPr>
          <w:sz w:val="24"/>
        </w:rPr>
        <w:t>a</w:t>
      </w:r>
      <w:r>
        <w:rPr>
          <w:spacing w:val="19"/>
          <w:sz w:val="24"/>
        </w:rPr>
        <w:t> </w:t>
      </w:r>
      <w:r>
        <w:rPr>
          <w:sz w:val="24"/>
        </w:rPr>
        <w:t>Jackstone</w:t>
      </w:r>
      <w:r>
        <w:rPr>
          <w:spacing w:val="21"/>
          <w:sz w:val="24"/>
        </w:rPr>
        <w:t> </w:t>
      </w:r>
      <w:r>
        <w:rPr>
          <w:sz w:val="24"/>
        </w:rPr>
        <w:t>shape</w:t>
      </w:r>
      <w:r>
        <w:rPr>
          <w:spacing w:val="21"/>
          <w:sz w:val="24"/>
        </w:rPr>
        <w:t> </w:t>
      </w:r>
      <w:r>
        <w:rPr>
          <w:sz w:val="24"/>
        </w:rPr>
        <w:t>with</w:t>
      </w:r>
      <w:r>
        <w:rPr>
          <w:spacing w:val="20"/>
          <w:sz w:val="24"/>
        </w:rPr>
        <w:t> </w:t>
      </w:r>
      <w:r>
        <w:rPr>
          <w:sz w:val="24"/>
        </w:rPr>
        <w:t>a</w:t>
      </w:r>
      <w:r>
        <w:rPr>
          <w:spacing w:val="18"/>
          <w:sz w:val="24"/>
        </w:rPr>
        <w:t> </w:t>
      </w:r>
      <w:r>
        <w:rPr>
          <w:sz w:val="24"/>
        </w:rPr>
        <w:t>4-mm</w:t>
      </w:r>
    </w:p>
    <w:p>
      <w:pPr>
        <w:pStyle w:val="ListParagraph"/>
        <w:numPr>
          <w:ilvl w:val="0"/>
          <w:numId w:val="115"/>
        </w:numPr>
        <w:tabs>
          <w:tab w:pos="1132" w:val="left" w:leader="none"/>
          <w:tab w:pos="1133" w:val="left" w:leader="none"/>
        </w:tabs>
        <w:spacing w:line="262" w:lineRule="exact" w:before="0" w:after="0"/>
        <w:ind w:left="1132" w:right="0" w:hanging="972"/>
        <w:jc w:val="left"/>
        <w:rPr>
          <w:sz w:val="24"/>
        </w:rPr>
      </w:pPr>
      <w:r>
        <w:rPr>
          <w:position w:val="2"/>
          <w:sz w:val="24"/>
        </w:rPr>
        <w:t>diameter.</w:t>
      </w:r>
      <w:r>
        <w:rPr>
          <w:spacing w:val="16"/>
          <w:position w:val="2"/>
          <w:sz w:val="24"/>
        </w:rPr>
        <w:t> </w:t>
      </w:r>
      <w:r>
        <w:rPr>
          <w:position w:val="2"/>
          <w:sz w:val="24"/>
        </w:rPr>
        <w:t>The</w:t>
      </w:r>
      <w:r>
        <w:rPr>
          <w:spacing w:val="15"/>
          <w:position w:val="2"/>
          <w:sz w:val="24"/>
        </w:rPr>
        <w:t> </w:t>
      </w:r>
      <w:r>
        <w:rPr>
          <w:position w:val="2"/>
          <w:sz w:val="24"/>
        </w:rPr>
        <w:t>mineral</w:t>
      </w:r>
      <w:r>
        <w:rPr>
          <w:spacing w:val="12"/>
          <w:position w:val="2"/>
          <w:sz w:val="24"/>
        </w:rPr>
        <w:t> </w:t>
      </w:r>
      <w:r>
        <w:rPr>
          <w:position w:val="2"/>
          <w:sz w:val="24"/>
        </w:rPr>
        <w:t>composition</w:t>
      </w:r>
      <w:r>
        <w:rPr>
          <w:spacing w:val="15"/>
          <w:position w:val="2"/>
          <w:sz w:val="24"/>
        </w:rPr>
        <w:t> </w:t>
      </w:r>
      <w:r>
        <w:rPr>
          <w:position w:val="2"/>
          <w:sz w:val="24"/>
        </w:rPr>
        <w:t>was</w:t>
      </w:r>
      <w:r>
        <w:rPr>
          <w:spacing w:val="15"/>
          <w:position w:val="2"/>
          <w:sz w:val="24"/>
        </w:rPr>
        <w:t> </w:t>
      </w:r>
      <w:r>
        <w:rPr>
          <w:position w:val="2"/>
          <w:sz w:val="24"/>
        </w:rPr>
        <w:t>determined</w:t>
      </w:r>
      <w:r>
        <w:rPr>
          <w:spacing w:val="14"/>
          <w:position w:val="2"/>
          <w:sz w:val="24"/>
        </w:rPr>
        <w:t> </w:t>
      </w:r>
      <w:r>
        <w:rPr>
          <w:position w:val="2"/>
          <w:sz w:val="24"/>
        </w:rPr>
        <w:t>by</w:t>
      </w:r>
      <w:r>
        <w:rPr>
          <w:spacing w:val="13"/>
          <w:position w:val="2"/>
          <w:sz w:val="24"/>
        </w:rPr>
        <w:t> </w:t>
      </w:r>
      <w:r>
        <w:rPr>
          <w:position w:val="2"/>
          <w:sz w:val="24"/>
        </w:rPr>
        <w:t>infrared</w:t>
      </w:r>
      <w:r>
        <w:rPr>
          <w:spacing w:val="14"/>
          <w:position w:val="2"/>
          <w:sz w:val="24"/>
        </w:rPr>
        <w:t> </w:t>
      </w:r>
      <w:r>
        <w:rPr>
          <w:position w:val="2"/>
          <w:sz w:val="24"/>
        </w:rPr>
        <w:t>spectroscopy</w:t>
      </w:r>
      <w:r>
        <w:rPr>
          <w:spacing w:val="14"/>
          <w:position w:val="2"/>
          <w:sz w:val="24"/>
        </w:rPr>
        <w:t> </w:t>
      </w:r>
      <w:r>
        <w:rPr>
          <w:position w:val="2"/>
          <w:sz w:val="24"/>
        </w:rPr>
        <w:t>as</w:t>
      </w:r>
      <w:r>
        <w:rPr>
          <w:spacing w:val="15"/>
          <w:position w:val="2"/>
          <w:sz w:val="24"/>
        </w:rPr>
        <w:t> </w:t>
      </w:r>
      <w:r>
        <w:rPr>
          <w:position w:val="2"/>
          <w:sz w:val="24"/>
        </w:rPr>
        <w:t>a</w:t>
      </w:r>
      <w:r>
        <w:rPr>
          <w:spacing w:val="15"/>
          <w:position w:val="2"/>
          <w:sz w:val="24"/>
        </w:rPr>
        <w:t> </w:t>
      </w:r>
      <w:r>
        <w:rPr>
          <w:position w:val="2"/>
          <w:sz w:val="24"/>
        </w:rPr>
        <w:t>silica</w:t>
      </w:r>
      <w:r>
        <w:rPr>
          <w:spacing w:val="15"/>
          <w:position w:val="2"/>
          <w:sz w:val="24"/>
        </w:rPr>
        <w:t> </w:t>
      </w:r>
      <w:r>
        <w:rPr>
          <w:position w:val="2"/>
          <w:sz w:val="24"/>
        </w:rPr>
        <w:t>urolith.</w:t>
      </w:r>
    </w:p>
    <w:p>
      <w:pPr>
        <w:pStyle w:val="ListParagraph"/>
        <w:numPr>
          <w:ilvl w:val="0"/>
          <w:numId w:val="115"/>
        </w:numPr>
        <w:tabs>
          <w:tab w:pos="1132" w:val="left" w:leader="none"/>
          <w:tab w:pos="1133" w:val="left" w:leader="none"/>
        </w:tabs>
        <w:spacing w:line="260" w:lineRule="exact" w:before="0" w:after="0"/>
        <w:ind w:left="1132" w:right="0" w:hanging="972"/>
        <w:jc w:val="left"/>
        <w:rPr>
          <w:sz w:val="24"/>
        </w:rPr>
      </w:pPr>
      <w:r>
        <w:rPr>
          <w:sz w:val="24"/>
        </w:rPr>
        <w:t>The  crystals  attached  to  the  mucus  were  struvite,  which  is  commonly  related  to  a</w:t>
      </w:r>
      <w:r>
        <w:rPr>
          <w:spacing w:val="16"/>
          <w:sz w:val="24"/>
        </w:rPr>
        <w:t> </w:t>
      </w:r>
      <w:r>
        <w:rPr>
          <w:sz w:val="24"/>
        </w:rPr>
        <w:t>bacterial</w:t>
      </w:r>
    </w:p>
    <w:p>
      <w:pPr>
        <w:pStyle w:val="ListParagraph"/>
        <w:numPr>
          <w:ilvl w:val="0"/>
          <w:numId w:val="115"/>
        </w:numPr>
        <w:tabs>
          <w:tab w:pos="1132" w:val="left" w:leader="none"/>
          <w:tab w:pos="1133" w:val="left" w:leader="none"/>
        </w:tabs>
        <w:spacing w:line="256" w:lineRule="exact" w:before="0" w:after="0"/>
        <w:ind w:left="1132" w:right="0" w:hanging="972"/>
        <w:jc w:val="left"/>
        <w:rPr>
          <w:sz w:val="24"/>
        </w:rPr>
      </w:pPr>
      <w:r>
        <w:rPr>
          <w:sz w:val="24"/>
        </w:rPr>
        <w:t>chronic urinary tract infection by urease-positive</w:t>
      </w:r>
      <w:r>
        <w:rPr>
          <w:spacing w:val="-24"/>
          <w:sz w:val="24"/>
        </w:rPr>
        <w:t> </w:t>
      </w:r>
      <w:r>
        <w:rPr>
          <w:sz w:val="24"/>
        </w:rPr>
        <w:t>bacteria.</w:t>
      </w:r>
    </w:p>
    <w:p>
      <w:pPr>
        <w:spacing w:line="185" w:lineRule="exact" w:before="0"/>
        <w:ind w:left="160" w:right="0" w:firstLine="0"/>
        <w:jc w:val="left"/>
        <w:rPr>
          <w:sz w:val="20"/>
        </w:rPr>
      </w:pPr>
      <w:r>
        <w:rPr>
          <w:sz w:val="20"/>
        </w:rPr>
        <w:t>13</w:t>
      </w:r>
    </w:p>
    <w:p>
      <w:pPr>
        <w:spacing w:before="3"/>
        <w:ind w:left="160" w:right="0" w:firstLine="0"/>
        <w:jc w:val="left"/>
        <w:rPr>
          <w:sz w:val="20"/>
        </w:rPr>
      </w:pPr>
      <w:r>
        <w:rPr/>
        <w:pict>
          <v:shape style="position:absolute;margin-left:116.872412pt;margin-top:171.418964pt;width:376.45pt;height:48pt;mso-position-horizontal-relative:page;mso-position-vertical-relative:paragraph;z-index:3688;rotation:51" type="#_x0000_t136" fillcolor="#d6f1fe" stroked="f">
            <o:extrusion v:ext="view" autorotationcenter="t"/>
            <v:textpath style="font-family:&amp;quot;Arial&amp;quot;;font-size:48pt;v-text-kern:t;mso-text-shadow:auto;font-weight:bold" string="For Review Only"/>
            <w10:wrap type="none"/>
          </v:shape>
        </w:pict>
      </w:r>
      <w:r>
        <w:rPr>
          <w:sz w:val="20"/>
        </w:rPr>
        <w:t>14</w:t>
      </w:r>
    </w:p>
    <w:p>
      <w:pPr>
        <w:spacing w:before="3"/>
        <w:ind w:left="160" w:right="0" w:firstLine="0"/>
        <w:jc w:val="left"/>
        <w:rPr>
          <w:sz w:val="20"/>
        </w:rPr>
      </w:pPr>
      <w:r>
        <w:rPr>
          <w:sz w:val="20"/>
        </w:rPr>
        <w:t>15</w:t>
      </w:r>
    </w:p>
    <w:p>
      <w:pPr>
        <w:spacing w:before="3"/>
        <w:ind w:left="160" w:right="0" w:firstLine="0"/>
        <w:jc w:val="left"/>
        <w:rPr>
          <w:sz w:val="20"/>
        </w:rPr>
      </w:pPr>
      <w:r>
        <w:rPr>
          <w:sz w:val="20"/>
        </w:rPr>
        <w:t>16</w:t>
      </w:r>
    </w:p>
    <w:p>
      <w:pPr>
        <w:spacing w:before="3"/>
        <w:ind w:left="160" w:right="0" w:firstLine="0"/>
        <w:jc w:val="left"/>
        <w:rPr>
          <w:sz w:val="20"/>
        </w:rPr>
      </w:pPr>
      <w:r>
        <w:rPr>
          <w:sz w:val="20"/>
        </w:rPr>
        <w:t>17</w:t>
      </w:r>
    </w:p>
    <w:p>
      <w:pPr>
        <w:spacing w:before="3"/>
        <w:ind w:left="160" w:right="0" w:firstLine="0"/>
        <w:jc w:val="left"/>
        <w:rPr>
          <w:sz w:val="20"/>
        </w:rPr>
      </w:pPr>
      <w:r>
        <w:rPr>
          <w:sz w:val="20"/>
        </w:rPr>
        <w:t>18</w:t>
      </w:r>
    </w:p>
    <w:p>
      <w:pPr>
        <w:spacing w:before="3"/>
        <w:ind w:left="160" w:right="0" w:firstLine="0"/>
        <w:jc w:val="left"/>
        <w:rPr>
          <w:sz w:val="20"/>
        </w:rPr>
      </w:pPr>
      <w:r>
        <w:rPr>
          <w:sz w:val="20"/>
        </w:rPr>
        <w:t>19</w:t>
      </w:r>
    </w:p>
    <w:p>
      <w:pPr>
        <w:spacing w:before="3"/>
        <w:ind w:left="160" w:right="0" w:firstLine="0"/>
        <w:jc w:val="left"/>
        <w:rPr>
          <w:sz w:val="20"/>
        </w:rPr>
      </w:pPr>
      <w:r>
        <w:rPr>
          <w:sz w:val="20"/>
        </w:rPr>
        <w:t>20</w:t>
      </w:r>
    </w:p>
    <w:p>
      <w:pPr>
        <w:spacing w:before="3"/>
        <w:ind w:left="160" w:right="0" w:firstLine="0"/>
        <w:jc w:val="left"/>
        <w:rPr>
          <w:sz w:val="20"/>
        </w:rPr>
      </w:pPr>
      <w:r>
        <w:rPr>
          <w:sz w:val="20"/>
        </w:rPr>
        <w:t>21</w:t>
      </w:r>
    </w:p>
    <w:p>
      <w:pPr>
        <w:spacing w:before="3"/>
        <w:ind w:left="160" w:right="0" w:firstLine="0"/>
        <w:jc w:val="left"/>
        <w:rPr>
          <w:sz w:val="20"/>
        </w:rPr>
      </w:pPr>
      <w:r>
        <w:rPr>
          <w:sz w:val="20"/>
        </w:rPr>
        <w:t>22</w:t>
      </w:r>
    </w:p>
    <w:p>
      <w:pPr>
        <w:spacing w:before="3"/>
        <w:ind w:left="160" w:right="0" w:firstLine="0"/>
        <w:jc w:val="left"/>
        <w:rPr>
          <w:sz w:val="20"/>
        </w:rPr>
      </w:pPr>
      <w:r>
        <w:rPr>
          <w:sz w:val="20"/>
        </w:rPr>
        <w:t>23</w:t>
      </w:r>
    </w:p>
    <w:p>
      <w:pPr>
        <w:spacing w:before="3"/>
        <w:ind w:left="160" w:right="0" w:firstLine="0"/>
        <w:jc w:val="left"/>
        <w:rPr>
          <w:sz w:val="20"/>
        </w:rPr>
      </w:pPr>
      <w:r>
        <w:rPr>
          <w:sz w:val="20"/>
        </w:rPr>
        <w:t>24</w:t>
      </w:r>
    </w:p>
    <w:p>
      <w:pPr>
        <w:spacing w:before="3"/>
        <w:ind w:left="160" w:right="0" w:firstLine="0"/>
        <w:jc w:val="left"/>
        <w:rPr>
          <w:sz w:val="20"/>
        </w:rPr>
      </w:pPr>
      <w:r>
        <w:rPr>
          <w:sz w:val="20"/>
        </w:rPr>
        <w:t>25</w:t>
      </w:r>
    </w:p>
    <w:p>
      <w:pPr>
        <w:spacing w:before="3"/>
        <w:ind w:left="160" w:right="0" w:firstLine="0"/>
        <w:jc w:val="left"/>
        <w:rPr>
          <w:sz w:val="20"/>
        </w:rPr>
      </w:pPr>
      <w:r>
        <w:rPr>
          <w:sz w:val="20"/>
        </w:rPr>
        <w:t>26</w:t>
      </w:r>
    </w:p>
    <w:p>
      <w:pPr>
        <w:spacing w:before="3"/>
        <w:ind w:left="160" w:right="0" w:firstLine="0"/>
        <w:jc w:val="left"/>
        <w:rPr>
          <w:sz w:val="20"/>
        </w:rPr>
      </w:pPr>
      <w:r>
        <w:rPr>
          <w:sz w:val="20"/>
        </w:rPr>
        <w:t>27</w:t>
      </w:r>
    </w:p>
    <w:p>
      <w:pPr>
        <w:spacing w:before="3"/>
        <w:ind w:left="160" w:right="0" w:firstLine="0"/>
        <w:jc w:val="left"/>
        <w:rPr>
          <w:sz w:val="20"/>
        </w:rPr>
      </w:pPr>
      <w:r>
        <w:rPr>
          <w:sz w:val="20"/>
        </w:rPr>
        <w:t>28</w:t>
      </w:r>
    </w:p>
    <w:p>
      <w:pPr>
        <w:spacing w:before="3"/>
        <w:ind w:left="160" w:right="0" w:firstLine="0"/>
        <w:jc w:val="left"/>
        <w:rPr>
          <w:sz w:val="20"/>
        </w:rPr>
      </w:pPr>
      <w:r>
        <w:rPr>
          <w:sz w:val="20"/>
        </w:rPr>
        <w:t>29</w:t>
      </w:r>
    </w:p>
    <w:p>
      <w:pPr>
        <w:spacing w:before="3"/>
        <w:ind w:left="160" w:right="0" w:firstLine="0"/>
        <w:jc w:val="left"/>
        <w:rPr>
          <w:sz w:val="20"/>
        </w:rPr>
      </w:pPr>
      <w:r>
        <w:rPr>
          <w:sz w:val="20"/>
        </w:rPr>
        <w:t>30</w:t>
      </w:r>
    </w:p>
    <w:p>
      <w:pPr>
        <w:spacing w:before="3"/>
        <w:ind w:left="160" w:right="0" w:firstLine="0"/>
        <w:jc w:val="left"/>
        <w:rPr>
          <w:sz w:val="20"/>
        </w:rPr>
      </w:pPr>
      <w:r>
        <w:rPr>
          <w:sz w:val="20"/>
        </w:rPr>
        <w:t>31</w:t>
      </w:r>
    </w:p>
    <w:p>
      <w:pPr>
        <w:spacing w:before="3"/>
        <w:ind w:left="160" w:right="0" w:firstLine="0"/>
        <w:jc w:val="left"/>
        <w:rPr>
          <w:sz w:val="20"/>
        </w:rPr>
      </w:pPr>
      <w:r>
        <w:rPr>
          <w:sz w:val="20"/>
        </w:rPr>
        <w:t>32</w:t>
      </w:r>
    </w:p>
    <w:p>
      <w:pPr>
        <w:spacing w:before="3"/>
        <w:ind w:left="160" w:right="0" w:firstLine="0"/>
        <w:jc w:val="left"/>
        <w:rPr>
          <w:sz w:val="20"/>
        </w:rPr>
      </w:pPr>
      <w:r>
        <w:rPr>
          <w:sz w:val="20"/>
        </w:rPr>
        <w:t>33</w:t>
      </w:r>
    </w:p>
    <w:p>
      <w:pPr>
        <w:spacing w:before="3"/>
        <w:ind w:left="160" w:right="0" w:firstLine="0"/>
        <w:jc w:val="left"/>
        <w:rPr>
          <w:sz w:val="20"/>
        </w:rPr>
      </w:pPr>
      <w:r>
        <w:rPr>
          <w:sz w:val="20"/>
        </w:rPr>
        <w:t>34</w:t>
      </w:r>
    </w:p>
    <w:p>
      <w:pPr>
        <w:spacing w:before="3"/>
        <w:ind w:left="160" w:right="0" w:firstLine="0"/>
        <w:jc w:val="left"/>
        <w:rPr>
          <w:sz w:val="20"/>
        </w:rPr>
      </w:pPr>
      <w:r>
        <w:rPr>
          <w:sz w:val="20"/>
        </w:rPr>
        <w:t>35</w:t>
      </w:r>
    </w:p>
    <w:p>
      <w:pPr>
        <w:spacing w:before="3"/>
        <w:ind w:left="160" w:right="0" w:firstLine="0"/>
        <w:jc w:val="left"/>
        <w:rPr>
          <w:sz w:val="20"/>
        </w:rPr>
      </w:pPr>
      <w:r>
        <w:rPr>
          <w:sz w:val="20"/>
        </w:rPr>
        <w:t>36</w:t>
      </w:r>
    </w:p>
    <w:p>
      <w:pPr>
        <w:spacing w:before="3"/>
        <w:ind w:left="160" w:right="0" w:firstLine="0"/>
        <w:jc w:val="left"/>
        <w:rPr>
          <w:sz w:val="20"/>
        </w:rPr>
      </w:pPr>
      <w:r>
        <w:rPr>
          <w:sz w:val="20"/>
        </w:rPr>
        <w:t>37</w:t>
      </w:r>
    </w:p>
    <w:p>
      <w:pPr>
        <w:spacing w:before="3"/>
        <w:ind w:left="160" w:right="0" w:firstLine="0"/>
        <w:jc w:val="left"/>
        <w:rPr>
          <w:sz w:val="20"/>
        </w:rPr>
      </w:pPr>
      <w:r>
        <w:rPr>
          <w:sz w:val="20"/>
        </w:rPr>
        <w:t>38</w:t>
      </w:r>
    </w:p>
    <w:p>
      <w:pPr>
        <w:spacing w:before="3"/>
        <w:ind w:left="160" w:right="0" w:firstLine="0"/>
        <w:jc w:val="left"/>
        <w:rPr>
          <w:sz w:val="20"/>
        </w:rPr>
      </w:pPr>
      <w:r>
        <w:rPr>
          <w:sz w:val="20"/>
        </w:rPr>
        <w:t>39</w:t>
      </w:r>
    </w:p>
    <w:p>
      <w:pPr>
        <w:spacing w:before="3"/>
        <w:ind w:left="160" w:right="0" w:firstLine="0"/>
        <w:jc w:val="left"/>
        <w:rPr>
          <w:sz w:val="20"/>
        </w:rPr>
      </w:pPr>
      <w:r>
        <w:rPr>
          <w:sz w:val="20"/>
        </w:rPr>
        <w:t>40</w:t>
      </w:r>
    </w:p>
    <w:p>
      <w:pPr>
        <w:spacing w:before="3"/>
        <w:ind w:left="160" w:right="0" w:firstLine="0"/>
        <w:jc w:val="left"/>
        <w:rPr>
          <w:sz w:val="20"/>
        </w:rPr>
      </w:pPr>
      <w:r>
        <w:rPr>
          <w:sz w:val="20"/>
        </w:rPr>
        <w:t>41</w:t>
      </w:r>
    </w:p>
    <w:p>
      <w:pPr>
        <w:spacing w:before="3"/>
        <w:ind w:left="160" w:right="0" w:firstLine="0"/>
        <w:jc w:val="left"/>
        <w:rPr>
          <w:sz w:val="20"/>
        </w:rPr>
      </w:pPr>
      <w:r>
        <w:rPr>
          <w:sz w:val="20"/>
        </w:rPr>
        <w:t>42</w:t>
      </w:r>
    </w:p>
    <w:p>
      <w:pPr>
        <w:spacing w:before="3"/>
        <w:ind w:left="160" w:right="0" w:firstLine="0"/>
        <w:jc w:val="left"/>
        <w:rPr>
          <w:sz w:val="20"/>
        </w:rPr>
      </w:pPr>
      <w:r>
        <w:rPr>
          <w:sz w:val="20"/>
        </w:rPr>
        <w:t>43</w:t>
      </w:r>
    </w:p>
    <w:p>
      <w:pPr>
        <w:spacing w:before="3"/>
        <w:ind w:left="160" w:right="0" w:firstLine="0"/>
        <w:jc w:val="left"/>
        <w:rPr>
          <w:sz w:val="20"/>
        </w:rPr>
      </w:pPr>
      <w:r>
        <w:rPr>
          <w:sz w:val="20"/>
        </w:rPr>
        <w:t>44</w:t>
      </w:r>
    </w:p>
    <w:p>
      <w:pPr>
        <w:spacing w:before="3"/>
        <w:ind w:left="160" w:right="0" w:firstLine="0"/>
        <w:jc w:val="left"/>
        <w:rPr>
          <w:sz w:val="20"/>
        </w:rPr>
      </w:pPr>
      <w:r>
        <w:rPr>
          <w:sz w:val="20"/>
        </w:rPr>
        <w:t>45</w:t>
      </w:r>
    </w:p>
    <w:p>
      <w:pPr>
        <w:spacing w:before="3"/>
        <w:ind w:left="160" w:right="0" w:firstLine="0"/>
        <w:jc w:val="left"/>
        <w:rPr>
          <w:sz w:val="20"/>
        </w:rPr>
      </w:pPr>
      <w:r>
        <w:rPr>
          <w:sz w:val="20"/>
        </w:rPr>
        <w:t>46</w:t>
      </w:r>
    </w:p>
    <w:p>
      <w:pPr>
        <w:spacing w:before="3"/>
        <w:ind w:left="160" w:right="0" w:firstLine="0"/>
        <w:jc w:val="left"/>
        <w:rPr>
          <w:sz w:val="20"/>
        </w:rPr>
      </w:pPr>
      <w:r>
        <w:rPr>
          <w:sz w:val="20"/>
        </w:rPr>
        <w:t>47</w:t>
      </w:r>
    </w:p>
    <w:p>
      <w:pPr>
        <w:spacing w:before="3"/>
        <w:ind w:left="160" w:right="0" w:firstLine="0"/>
        <w:jc w:val="left"/>
        <w:rPr>
          <w:sz w:val="20"/>
        </w:rPr>
      </w:pPr>
      <w:r>
        <w:rPr>
          <w:sz w:val="20"/>
        </w:rPr>
        <w:t>48</w:t>
      </w:r>
    </w:p>
    <w:p>
      <w:pPr>
        <w:spacing w:before="3"/>
        <w:ind w:left="160" w:right="0" w:firstLine="0"/>
        <w:jc w:val="left"/>
        <w:rPr>
          <w:sz w:val="20"/>
        </w:rPr>
      </w:pPr>
      <w:r>
        <w:rPr>
          <w:sz w:val="20"/>
        </w:rPr>
        <w:t>49</w:t>
      </w:r>
    </w:p>
    <w:p>
      <w:pPr>
        <w:spacing w:before="3"/>
        <w:ind w:left="160" w:right="0" w:firstLine="0"/>
        <w:jc w:val="left"/>
        <w:rPr>
          <w:sz w:val="20"/>
        </w:rPr>
      </w:pPr>
      <w:r>
        <w:rPr>
          <w:sz w:val="20"/>
        </w:rPr>
        <w:t>50</w:t>
      </w:r>
    </w:p>
    <w:p>
      <w:pPr>
        <w:spacing w:before="3"/>
        <w:ind w:left="160" w:right="0" w:firstLine="0"/>
        <w:jc w:val="left"/>
        <w:rPr>
          <w:sz w:val="20"/>
        </w:rPr>
      </w:pPr>
      <w:r>
        <w:rPr>
          <w:sz w:val="20"/>
        </w:rPr>
        <w:t>51</w:t>
      </w:r>
    </w:p>
    <w:p>
      <w:pPr>
        <w:spacing w:before="3"/>
        <w:ind w:left="160" w:right="0" w:firstLine="0"/>
        <w:jc w:val="left"/>
        <w:rPr>
          <w:sz w:val="20"/>
        </w:rPr>
      </w:pPr>
      <w:r>
        <w:rPr>
          <w:sz w:val="20"/>
        </w:rPr>
        <w:t>52</w:t>
      </w:r>
    </w:p>
    <w:p>
      <w:pPr>
        <w:spacing w:before="3"/>
        <w:ind w:left="160" w:right="0" w:firstLine="0"/>
        <w:jc w:val="left"/>
        <w:rPr>
          <w:sz w:val="20"/>
        </w:rPr>
      </w:pPr>
      <w:r>
        <w:rPr>
          <w:sz w:val="20"/>
        </w:rPr>
        <w:t>53</w:t>
      </w:r>
    </w:p>
    <w:p>
      <w:pPr>
        <w:spacing w:before="3"/>
        <w:ind w:left="160" w:right="0" w:firstLine="0"/>
        <w:jc w:val="left"/>
        <w:rPr>
          <w:sz w:val="20"/>
        </w:rPr>
      </w:pPr>
      <w:r>
        <w:rPr>
          <w:sz w:val="20"/>
        </w:rPr>
        <w:t>54</w:t>
      </w:r>
    </w:p>
    <w:p>
      <w:pPr>
        <w:spacing w:before="3"/>
        <w:ind w:left="160" w:right="0" w:firstLine="0"/>
        <w:jc w:val="left"/>
        <w:rPr>
          <w:sz w:val="20"/>
        </w:rPr>
      </w:pPr>
      <w:r>
        <w:rPr>
          <w:sz w:val="20"/>
        </w:rPr>
        <w:t>55</w:t>
      </w:r>
    </w:p>
    <w:p>
      <w:pPr>
        <w:spacing w:before="3"/>
        <w:ind w:left="160" w:right="0" w:firstLine="0"/>
        <w:jc w:val="left"/>
        <w:rPr>
          <w:sz w:val="20"/>
        </w:rPr>
      </w:pPr>
      <w:r>
        <w:rPr>
          <w:sz w:val="20"/>
        </w:rPr>
        <w:t>56</w:t>
      </w:r>
    </w:p>
    <w:p>
      <w:pPr>
        <w:spacing w:before="3"/>
        <w:ind w:left="160" w:right="0" w:firstLine="0"/>
        <w:jc w:val="left"/>
        <w:rPr>
          <w:sz w:val="20"/>
        </w:rPr>
      </w:pPr>
      <w:r>
        <w:rPr>
          <w:sz w:val="20"/>
        </w:rPr>
        <w:t>57</w:t>
      </w:r>
    </w:p>
    <w:p>
      <w:pPr>
        <w:spacing w:before="3"/>
        <w:ind w:left="160" w:right="0" w:firstLine="0"/>
        <w:jc w:val="left"/>
        <w:rPr>
          <w:sz w:val="20"/>
        </w:rPr>
      </w:pPr>
      <w:r>
        <w:rPr>
          <w:sz w:val="20"/>
        </w:rPr>
        <w:t>58</w:t>
      </w:r>
    </w:p>
    <w:p>
      <w:pPr>
        <w:spacing w:before="3"/>
        <w:ind w:left="160" w:right="0" w:firstLine="0"/>
        <w:jc w:val="left"/>
        <w:rPr>
          <w:sz w:val="20"/>
        </w:rPr>
      </w:pPr>
      <w:r>
        <w:rPr>
          <w:sz w:val="20"/>
        </w:rPr>
        <w:t>59</w:t>
      </w:r>
    </w:p>
    <w:p>
      <w:pPr>
        <w:spacing w:before="3"/>
        <w:ind w:left="160" w:right="0" w:firstLine="0"/>
        <w:jc w:val="left"/>
        <w:rPr>
          <w:sz w:val="20"/>
        </w:rPr>
      </w:pPr>
      <w:r>
        <w:rPr>
          <w:sz w:val="20"/>
        </w:rPr>
        <w:t>60</w:t>
      </w:r>
    </w:p>
    <w:p>
      <w:pPr>
        <w:spacing w:after="0"/>
        <w:jc w:val="left"/>
        <w:rPr>
          <w:sz w:val="20"/>
        </w:rPr>
        <w:sectPr>
          <w:headerReference w:type="default" r:id="rId75"/>
          <w:footerReference w:type="default" r:id="rId76"/>
          <w:pgSz w:w="12240" w:h="15840"/>
          <w:pgMar w:header="0" w:footer="594" w:top="140" w:bottom="780" w:left="0" w:right="40"/>
        </w:sectPr>
      </w:pPr>
    </w:p>
    <w:p>
      <w:pPr>
        <w:tabs>
          <w:tab w:pos="4652" w:val="left" w:leader="none"/>
        </w:tabs>
        <w:spacing w:before="56"/>
        <w:ind w:left="160" w:right="0" w:firstLine="0"/>
        <w:jc w:val="left"/>
        <w:rPr>
          <w:b/>
          <w:sz w:val="20"/>
        </w:rPr>
      </w:pPr>
      <w:r>
        <w:rPr>
          <w:b/>
          <w:sz w:val="20"/>
        </w:rPr>
        <w:t>Page 13</w:t>
      </w:r>
      <w:r>
        <w:rPr>
          <w:b/>
          <w:spacing w:val="-1"/>
          <w:sz w:val="20"/>
        </w:rPr>
        <w:t> </w:t>
      </w:r>
      <w:r>
        <w:rPr>
          <w:b/>
          <w:sz w:val="20"/>
        </w:rPr>
        <w:t>of</w:t>
      </w:r>
      <w:r>
        <w:rPr>
          <w:b/>
          <w:spacing w:val="-1"/>
          <w:sz w:val="20"/>
        </w:rPr>
        <w:t> </w:t>
      </w:r>
      <w:r>
        <w:rPr>
          <w:b/>
          <w:sz w:val="20"/>
        </w:rPr>
        <w:t>13</w:t>
        <w:tab/>
        <w:t>Pesquisa Veterinária</w:t>
      </w:r>
      <w:r>
        <w:rPr>
          <w:b/>
          <w:spacing w:val="-11"/>
          <w:sz w:val="20"/>
        </w:rPr>
        <w:t> </w:t>
      </w:r>
      <w:r>
        <w:rPr>
          <w:b/>
          <w:sz w:val="20"/>
        </w:rPr>
        <w:t>Brasileira</w:t>
      </w:r>
    </w:p>
    <w:p>
      <w:pPr>
        <w:pStyle w:val="BodyText"/>
        <w:rPr>
          <w:b/>
          <w:sz w:val="20"/>
        </w:rPr>
      </w:pPr>
    </w:p>
    <w:p>
      <w:pPr>
        <w:pStyle w:val="BodyText"/>
        <w:spacing w:before="10"/>
        <w:rPr>
          <w:b/>
          <w:sz w:val="20"/>
        </w:rPr>
      </w:pPr>
    </w:p>
    <w:p>
      <w:pPr>
        <w:spacing w:before="0"/>
        <w:ind w:left="160" w:right="0" w:firstLine="0"/>
        <w:jc w:val="left"/>
        <w:rPr>
          <w:sz w:val="20"/>
        </w:rPr>
      </w:pPr>
      <w:r>
        <w:rPr>
          <w:sz w:val="20"/>
        </w:rPr>
        <w:t>1</w:t>
      </w:r>
    </w:p>
    <w:p>
      <w:pPr>
        <w:spacing w:before="3"/>
        <w:ind w:left="160" w:right="0" w:firstLine="0"/>
        <w:jc w:val="left"/>
        <w:rPr>
          <w:sz w:val="20"/>
        </w:rPr>
      </w:pPr>
      <w:r>
        <w:rPr>
          <w:sz w:val="20"/>
        </w:rPr>
        <w:t>2</w:t>
      </w:r>
    </w:p>
    <w:p>
      <w:pPr>
        <w:spacing w:before="3"/>
        <w:ind w:left="160" w:right="0" w:firstLine="0"/>
        <w:jc w:val="left"/>
        <w:rPr>
          <w:sz w:val="20"/>
        </w:rPr>
      </w:pPr>
      <w:r>
        <w:rPr>
          <w:sz w:val="20"/>
        </w:rPr>
        <w:t>3</w:t>
      </w:r>
    </w:p>
    <w:p>
      <w:pPr>
        <w:spacing w:before="3"/>
        <w:ind w:left="160" w:right="0" w:firstLine="0"/>
        <w:jc w:val="left"/>
        <w:rPr>
          <w:sz w:val="20"/>
        </w:rPr>
      </w:pPr>
      <w:r>
        <w:rPr>
          <w:sz w:val="20"/>
        </w:rPr>
        <w:t>4</w:t>
      </w:r>
    </w:p>
    <w:p>
      <w:pPr>
        <w:spacing w:before="3"/>
        <w:ind w:left="160" w:right="0" w:firstLine="0"/>
        <w:jc w:val="left"/>
        <w:rPr>
          <w:sz w:val="20"/>
        </w:rPr>
      </w:pPr>
      <w:r>
        <w:rPr>
          <w:sz w:val="20"/>
        </w:rPr>
        <w:t>5</w:t>
      </w:r>
    </w:p>
    <w:p>
      <w:pPr>
        <w:spacing w:before="3"/>
        <w:ind w:left="160" w:right="0" w:firstLine="0"/>
        <w:jc w:val="left"/>
        <w:rPr>
          <w:sz w:val="20"/>
        </w:rPr>
      </w:pPr>
      <w:r>
        <w:rPr/>
        <w:pict>
          <v:shape style="position:absolute;margin-left:72.120003pt;margin-top:10.773891pt;width:468pt;height:346.05pt;mso-position-horizontal-relative:page;mso-position-vertical-relative:paragraph;z-index:-91840" type="#_x0000_t202" filled="false" stroked="false">
            <v:textbox inset="0,0,0,0">
              <w:txbxContent>
                <w:p>
                  <w:pPr>
                    <w:pStyle w:val="BodyText"/>
                    <w:spacing w:before="4"/>
                    <w:rPr>
                      <w:sz w:val="163"/>
                    </w:rPr>
                  </w:pPr>
                </w:p>
                <w:p>
                  <w:pPr>
                    <w:spacing w:before="1"/>
                    <w:ind w:left="1940" w:right="0" w:firstLine="0"/>
                    <w:jc w:val="left"/>
                    <w:rPr>
                      <w:b/>
                      <w:sz w:val="96"/>
                    </w:rPr>
                  </w:pPr>
                  <w:r>
                    <w:rPr>
                      <w:b/>
                      <w:color w:val="D6F1FE"/>
                      <w:sz w:val="96"/>
                    </w:rPr>
                    <w:t>For</w:t>
                  </w:r>
                </w:p>
                <w:p>
                  <w:pPr>
                    <w:spacing w:before="314"/>
                    <w:ind w:left="3070" w:right="0" w:firstLine="0"/>
                    <w:jc w:val="left"/>
                    <w:rPr>
                      <w:b/>
                      <w:sz w:val="96"/>
                    </w:rPr>
                  </w:pPr>
                  <w:r>
                    <w:rPr>
                      <w:b/>
                      <w:color w:val="D6F1FE"/>
                      <w:sz w:val="96"/>
                    </w:rPr>
                    <w:t>Review</w:t>
                  </w:r>
                </w:p>
              </w:txbxContent>
            </v:textbox>
            <w10:wrap type="none"/>
          </v:shape>
        </w:pict>
      </w:r>
      <w:r>
        <w:rPr/>
        <w:pict>
          <v:group style="position:absolute;margin-left:72.120003pt;margin-top:10.533892pt;width:468pt;height:296.2pt;mso-position-horizontal-relative:page;mso-position-vertical-relative:paragraph;z-index:-91816" coordorigin="1442,211" coordsize="9360,5924">
            <v:rect style="position:absolute;left:1442;top:215;width:9360;height:5918" filled="true" fillcolor="#ffffff" stroked="false">
              <v:fill type="solid"/>
            </v:rect>
            <v:shape style="position:absolute;left:2369;top:211;width:7502;height:5628" type="#_x0000_t75" stroked="false">
              <v:imagedata r:id="rId79" o:title=""/>
            </v:shape>
            <w10:wrap type="none"/>
          </v:group>
        </w:pict>
      </w:r>
      <w:r>
        <w:rPr>
          <w:sz w:val="20"/>
        </w:rPr>
        <w:t>6</w:t>
      </w:r>
    </w:p>
    <w:p>
      <w:pPr>
        <w:spacing w:before="3"/>
        <w:ind w:left="160" w:right="0" w:firstLine="0"/>
        <w:jc w:val="left"/>
        <w:rPr>
          <w:sz w:val="20"/>
        </w:rPr>
      </w:pPr>
      <w:r>
        <w:rPr>
          <w:sz w:val="20"/>
        </w:rPr>
        <w:t>7</w:t>
      </w:r>
    </w:p>
    <w:p>
      <w:pPr>
        <w:spacing w:before="3"/>
        <w:ind w:left="160" w:right="0" w:firstLine="0"/>
        <w:jc w:val="left"/>
        <w:rPr>
          <w:sz w:val="20"/>
        </w:rPr>
      </w:pPr>
      <w:r>
        <w:rPr>
          <w:sz w:val="20"/>
        </w:rPr>
        <w:t>8</w:t>
      </w:r>
    </w:p>
    <w:p>
      <w:pPr>
        <w:spacing w:before="3"/>
        <w:ind w:left="160" w:right="0" w:firstLine="0"/>
        <w:jc w:val="left"/>
        <w:rPr>
          <w:sz w:val="20"/>
        </w:rPr>
      </w:pPr>
      <w:r>
        <w:rPr>
          <w:sz w:val="20"/>
        </w:rPr>
        <w:t>9</w:t>
      </w:r>
    </w:p>
    <w:p>
      <w:pPr>
        <w:spacing w:before="3"/>
        <w:ind w:left="160" w:right="0" w:firstLine="0"/>
        <w:jc w:val="left"/>
        <w:rPr>
          <w:sz w:val="20"/>
        </w:rPr>
      </w:pPr>
      <w:r>
        <w:rPr>
          <w:sz w:val="20"/>
        </w:rPr>
        <w:t>10</w:t>
      </w:r>
    </w:p>
    <w:p>
      <w:pPr>
        <w:spacing w:before="3"/>
        <w:ind w:left="160" w:right="0" w:firstLine="0"/>
        <w:jc w:val="left"/>
        <w:rPr>
          <w:sz w:val="20"/>
        </w:rPr>
      </w:pPr>
      <w:r>
        <w:rPr>
          <w:sz w:val="20"/>
        </w:rPr>
        <w:t>11</w:t>
      </w:r>
    </w:p>
    <w:p>
      <w:pPr>
        <w:spacing w:before="3"/>
        <w:ind w:left="160" w:right="0" w:firstLine="0"/>
        <w:jc w:val="left"/>
        <w:rPr>
          <w:sz w:val="20"/>
        </w:rPr>
      </w:pPr>
      <w:r>
        <w:rPr>
          <w:sz w:val="20"/>
        </w:rPr>
        <w:t>12</w:t>
      </w:r>
    </w:p>
    <w:p>
      <w:pPr>
        <w:spacing w:before="3"/>
        <w:ind w:left="160" w:right="0" w:firstLine="0"/>
        <w:jc w:val="left"/>
        <w:rPr>
          <w:sz w:val="20"/>
        </w:rPr>
      </w:pPr>
      <w:r>
        <w:rPr>
          <w:sz w:val="20"/>
        </w:rPr>
        <w:t>13</w:t>
      </w:r>
    </w:p>
    <w:p>
      <w:pPr>
        <w:spacing w:before="3"/>
        <w:ind w:left="160" w:right="0" w:firstLine="0"/>
        <w:jc w:val="left"/>
        <w:rPr>
          <w:sz w:val="20"/>
        </w:rPr>
      </w:pPr>
      <w:r>
        <w:rPr>
          <w:sz w:val="20"/>
        </w:rPr>
        <w:t>14</w:t>
      </w:r>
    </w:p>
    <w:p>
      <w:pPr>
        <w:spacing w:before="3"/>
        <w:ind w:left="160" w:right="0" w:firstLine="0"/>
        <w:jc w:val="left"/>
        <w:rPr>
          <w:sz w:val="20"/>
        </w:rPr>
      </w:pPr>
      <w:r>
        <w:rPr>
          <w:sz w:val="20"/>
        </w:rPr>
        <w:t>15</w:t>
      </w:r>
    </w:p>
    <w:p>
      <w:pPr>
        <w:spacing w:before="3"/>
        <w:ind w:left="160" w:right="0" w:firstLine="0"/>
        <w:jc w:val="left"/>
        <w:rPr>
          <w:sz w:val="20"/>
        </w:rPr>
      </w:pPr>
      <w:r>
        <w:rPr>
          <w:sz w:val="20"/>
        </w:rPr>
        <w:t>16</w:t>
      </w:r>
    </w:p>
    <w:p>
      <w:pPr>
        <w:spacing w:before="3"/>
        <w:ind w:left="160" w:right="0" w:firstLine="0"/>
        <w:jc w:val="left"/>
        <w:rPr>
          <w:sz w:val="20"/>
        </w:rPr>
      </w:pPr>
      <w:r>
        <w:rPr>
          <w:sz w:val="20"/>
        </w:rPr>
        <w:t>17</w:t>
      </w:r>
    </w:p>
    <w:p>
      <w:pPr>
        <w:spacing w:before="3"/>
        <w:ind w:left="160" w:right="0" w:firstLine="0"/>
        <w:jc w:val="left"/>
        <w:rPr>
          <w:sz w:val="20"/>
        </w:rPr>
      </w:pPr>
      <w:r>
        <w:rPr>
          <w:sz w:val="20"/>
        </w:rPr>
        <w:t>18</w:t>
      </w:r>
    </w:p>
    <w:p>
      <w:pPr>
        <w:spacing w:before="3"/>
        <w:ind w:left="160" w:right="0" w:firstLine="0"/>
        <w:jc w:val="left"/>
        <w:rPr>
          <w:sz w:val="20"/>
        </w:rPr>
      </w:pPr>
      <w:r>
        <w:rPr>
          <w:sz w:val="20"/>
        </w:rPr>
        <w:t>19</w:t>
      </w:r>
    </w:p>
    <w:p>
      <w:pPr>
        <w:spacing w:before="3"/>
        <w:ind w:left="160" w:right="0" w:firstLine="0"/>
        <w:jc w:val="left"/>
        <w:rPr>
          <w:sz w:val="20"/>
        </w:rPr>
      </w:pPr>
      <w:r>
        <w:rPr>
          <w:sz w:val="20"/>
        </w:rPr>
        <w:t>20</w:t>
      </w:r>
    </w:p>
    <w:p>
      <w:pPr>
        <w:spacing w:before="3"/>
        <w:ind w:left="160" w:right="0" w:firstLine="0"/>
        <w:jc w:val="left"/>
        <w:rPr>
          <w:sz w:val="20"/>
        </w:rPr>
      </w:pPr>
      <w:r>
        <w:rPr>
          <w:sz w:val="20"/>
        </w:rPr>
        <w:t>21</w:t>
      </w:r>
    </w:p>
    <w:p>
      <w:pPr>
        <w:spacing w:before="3"/>
        <w:ind w:left="160" w:right="0" w:firstLine="0"/>
        <w:jc w:val="left"/>
        <w:rPr>
          <w:sz w:val="20"/>
        </w:rPr>
      </w:pPr>
      <w:r>
        <w:rPr>
          <w:sz w:val="20"/>
        </w:rPr>
        <w:t>22</w:t>
      </w:r>
    </w:p>
    <w:p>
      <w:pPr>
        <w:spacing w:before="3"/>
        <w:ind w:left="160" w:right="0" w:firstLine="0"/>
        <w:jc w:val="left"/>
        <w:rPr>
          <w:sz w:val="20"/>
        </w:rPr>
      </w:pPr>
      <w:r>
        <w:rPr>
          <w:sz w:val="20"/>
        </w:rPr>
        <w:t>23</w:t>
      </w:r>
    </w:p>
    <w:p>
      <w:pPr>
        <w:spacing w:before="3"/>
        <w:ind w:left="160" w:right="0" w:firstLine="0"/>
        <w:jc w:val="left"/>
        <w:rPr>
          <w:sz w:val="20"/>
        </w:rPr>
      </w:pPr>
      <w:r>
        <w:rPr>
          <w:sz w:val="20"/>
        </w:rPr>
        <w:t>24</w:t>
      </w:r>
    </w:p>
    <w:p>
      <w:pPr>
        <w:spacing w:before="3"/>
        <w:ind w:left="160" w:right="0" w:firstLine="0"/>
        <w:jc w:val="left"/>
        <w:rPr>
          <w:sz w:val="20"/>
        </w:rPr>
      </w:pPr>
      <w:r>
        <w:rPr>
          <w:sz w:val="20"/>
        </w:rPr>
        <w:t>25</w:t>
      </w:r>
    </w:p>
    <w:p>
      <w:pPr>
        <w:spacing w:before="3"/>
        <w:ind w:left="160" w:right="0" w:firstLine="0"/>
        <w:jc w:val="left"/>
        <w:rPr>
          <w:sz w:val="20"/>
        </w:rPr>
      </w:pPr>
      <w:r>
        <w:rPr>
          <w:sz w:val="20"/>
        </w:rPr>
        <w:t>26</w:t>
      </w:r>
    </w:p>
    <w:p>
      <w:pPr>
        <w:spacing w:before="3"/>
        <w:ind w:left="160" w:right="0" w:firstLine="0"/>
        <w:jc w:val="left"/>
        <w:rPr>
          <w:sz w:val="20"/>
        </w:rPr>
      </w:pPr>
      <w:r>
        <w:rPr>
          <w:sz w:val="20"/>
        </w:rPr>
        <w:t>27</w:t>
      </w:r>
    </w:p>
    <w:p>
      <w:pPr>
        <w:spacing w:before="3"/>
        <w:ind w:left="160" w:right="0" w:firstLine="0"/>
        <w:jc w:val="left"/>
        <w:rPr>
          <w:sz w:val="20"/>
        </w:rPr>
      </w:pPr>
      <w:r>
        <w:rPr>
          <w:sz w:val="20"/>
        </w:rPr>
        <w:t>28</w:t>
      </w:r>
    </w:p>
    <w:p>
      <w:pPr>
        <w:spacing w:before="3"/>
        <w:ind w:left="160" w:right="0" w:firstLine="0"/>
        <w:jc w:val="left"/>
        <w:rPr>
          <w:sz w:val="20"/>
        </w:rPr>
      </w:pPr>
      <w:r>
        <w:rPr>
          <w:sz w:val="20"/>
        </w:rPr>
        <w:t>29</w:t>
      </w:r>
    </w:p>
    <w:p>
      <w:pPr>
        <w:spacing w:before="3"/>
        <w:ind w:left="160" w:right="0" w:firstLine="0"/>
        <w:jc w:val="left"/>
        <w:rPr>
          <w:sz w:val="20"/>
        </w:rPr>
      </w:pPr>
      <w:r>
        <w:rPr>
          <w:sz w:val="20"/>
        </w:rPr>
        <w:t>30</w:t>
      </w:r>
    </w:p>
    <w:p>
      <w:pPr>
        <w:spacing w:before="3"/>
        <w:ind w:left="160" w:right="0" w:firstLine="0"/>
        <w:jc w:val="left"/>
        <w:rPr>
          <w:sz w:val="20"/>
        </w:rPr>
      </w:pPr>
      <w:r>
        <w:rPr>
          <w:sz w:val="20"/>
        </w:rPr>
        <w:t>31</w:t>
      </w:r>
    </w:p>
    <w:p>
      <w:pPr>
        <w:pStyle w:val="ListParagraph"/>
        <w:numPr>
          <w:ilvl w:val="0"/>
          <w:numId w:val="116"/>
        </w:numPr>
        <w:tabs>
          <w:tab w:pos="1807" w:val="left" w:leader="none"/>
          <w:tab w:pos="1808" w:val="left" w:leader="none"/>
        </w:tabs>
        <w:spacing w:line="255" w:lineRule="exact" w:before="2" w:after="0"/>
        <w:ind w:left="1807" w:right="0" w:hanging="1647"/>
        <w:jc w:val="left"/>
        <w:rPr>
          <w:rFonts w:ascii="Verdana"/>
          <w:sz w:val="17"/>
        </w:rPr>
      </w:pPr>
      <w:r>
        <w:rPr>
          <w:rFonts w:ascii="Verdana"/>
          <w:sz w:val="17"/>
        </w:rPr>
        <w:t>Fig. 1. Endoscopic imaging of uroliths in the urethra of a male dog. Note the presence of mucus</w:t>
      </w:r>
      <w:r>
        <w:rPr>
          <w:rFonts w:ascii="Verdana"/>
          <w:spacing w:val="-38"/>
          <w:sz w:val="17"/>
        </w:rPr>
        <w:t> </w:t>
      </w:r>
      <w:r>
        <w:rPr>
          <w:rFonts w:ascii="Verdana"/>
          <w:sz w:val="17"/>
        </w:rPr>
        <w:t>with</w:t>
      </w:r>
    </w:p>
    <w:p>
      <w:pPr>
        <w:pStyle w:val="ListParagraph"/>
        <w:numPr>
          <w:ilvl w:val="0"/>
          <w:numId w:val="116"/>
        </w:numPr>
        <w:tabs>
          <w:tab w:pos="1718" w:val="left" w:leader="none"/>
          <w:tab w:pos="1719" w:val="left" w:leader="none"/>
        </w:tabs>
        <w:spacing w:line="219" w:lineRule="exact" w:before="0" w:after="0"/>
        <w:ind w:left="1718" w:right="0" w:hanging="1558"/>
        <w:jc w:val="left"/>
        <w:rPr>
          <w:rFonts w:ascii="Verdana"/>
          <w:sz w:val="17"/>
        </w:rPr>
      </w:pPr>
      <w:r>
        <w:rPr>
          <w:rFonts w:ascii="Verdana"/>
          <w:sz w:val="17"/>
        </w:rPr>
        <w:t>attached crystals around the urolith. The hyperplasia of the urethral mucosa suggests chronicity of</w:t>
      </w:r>
      <w:r>
        <w:rPr>
          <w:rFonts w:ascii="Verdana"/>
          <w:spacing w:val="-37"/>
          <w:sz w:val="17"/>
        </w:rPr>
        <w:t> </w:t>
      </w:r>
      <w:r>
        <w:rPr>
          <w:rFonts w:ascii="Verdana"/>
          <w:sz w:val="17"/>
        </w:rPr>
        <w:t>the</w:t>
      </w:r>
    </w:p>
    <w:p>
      <w:pPr>
        <w:pStyle w:val="ListParagraph"/>
        <w:numPr>
          <w:ilvl w:val="0"/>
          <w:numId w:val="116"/>
        </w:numPr>
        <w:tabs>
          <w:tab w:pos="1792" w:val="left" w:leader="none"/>
          <w:tab w:pos="1793" w:val="left" w:leader="none"/>
        </w:tabs>
        <w:spacing w:line="219" w:lineRule="exact" w:before="0" w:after="0"/>
        <w:ind w:left="1792" w:right="0" w:hanging="1632"/>
        <w:jc w:val="left"/>
        <w:rPr>
          <w:rFonts w:ascii="Verdana"/>
          <w:sz w:val="17"/>
        </w:rPr>
      </w:pPr>
      <w:r>
        <w:rPr/>
        <w:pict>
          <v:shape style="position:absolute;margin-left:72.120003pt;margin-top:10.64159pt;width:468pt;height:41.3pt;mso-position-horizontal-relative:page;mso-position-vertical-relative:paragraph;z-index:-91792" coordorigin="1442,213" coordsize="9360,826" path="m10802,626l1442,626,1442,832,1442,1038,10802,1038,10802,832,10802,626m10802,213l1442,213,1442,419,1442,626,10802,626,10802,419,10802,213e" filled="true" fillcolor="#ffffff" stroked="false">
            <v:path arrowok="t"/>
            <v:fill type="solid"/>
            <w10:wrap type="none"/>
          </v:shape>
        </w:pict>
      </w:r>
      <w:r>
        <w:rPr>
          <w:rFonts w:ascii="Verdana"/>
          <w:sz w:val="17"/>
        </w:rPr>
        <w:t>obstruction. After removing the urolith, it had a Jackstone shape with a 4-mm diameter. The</w:t>
      </w:r>
      <w:r>
        <w:rPr>
          <w:rFonts w:ascii="Verdana"/>
          <w:spacing w:val="-32"/>
          <w:sz w:val="17"/>
        </w:rPr>
        <w:t> </w:t>
      </w:r>
      <w:r>
        <w:rPr>
          <w:rFonts w:ascii="Verdana"/>
          <w:sz w:val="17"/>
        </w:rPr>
        <w:t>mineral</w:t>
      </w:r>
    </w:p>
    <w:p>
      <w:pPr>
        <w:pStyle w:val="ListParagraph"/>
        <w:numPr>
          <w:ilvl w:val="0"/>
          <w:numId w:val="116"/>
        </w:numPr>
        <w:tabs>
          <w:tab w:pos="1492" w:val="left" w:leader="none"/>
          <w:tab w:pos="1493" w:val="left" w:leader="none"/>
        </w:tabs>
        <w:spacing w:line="220" w:lineRule="exact" w:before="0" w:after="0"/>
        <w:ind w:left="1492" w:right="0" w:hanging="1332"/>
        <w:jc w:val="left"/>
        <w:rPr>
          <w:rFonts w:ascii="Verdana"/>
          <w:sz w:val="17"/>
        </w:rPr>
      </w:pPr>
      <w:r>
        <w:rPr/>
        <w:pict>
          <v:shape style="position:absolute;margin-left:335.47298pt;margin-top:32.012486pt;width:107.1pt;height:48pt;mso-position-horizontal-relative:page;mso-position-vertical-relative:paragraph;z-index:-91768;rotation:51" type="#_x0000_t136" fillcolor="#d6f1fe" stroked="f">
            <o:extrusion v:ext="view" autorotationcenter="t"/>
            <v:textpath style="font-family:&amp;quot;Arial&amp;quot;;font-size:48pt;v-text-kern:t;mso-text-shadow:auto;font-weight:bold" string="Only"/>
            <w10:wrap type="none"/>
          </v:shape>
        </w:pict>
      </w:r>
      <w:r>
        <w:rPr>
          <w:rFonts w:ascii="Verdana"/>
          <w:sz w:val="17"/>
        </w:rPr>
        <w:t>composition was determined by infrared spectroscopy as a silica urolith. The crystals attached to the</w:t>
      </w:r>
      <w:r>
        <w:rPr>
          <w:rFonts w:ascii="Verdana"/>
          <w:spacing w:val="-33"/>
          <w:sz w:val="17"/>
        </w:rPr>
        <w:t> </w:t>
      </w:r>
      <w:r>
        <w:rPr>
          <w:rFonts w:ascii="Verdana"/>
          <w:sz w:val="17"/>
        </w:rPr>
        <w:t>mucus</w:t>
      </w:r>
    </w:p>
    <w:p>
      <w:pPr>
        <w:pStyle w:val="ListParagraph"/>
        <w:numPr>
          <w:ilvl w:val="0"/>
          <w:numId w:val="116"/>
        </w:numPr>
        <w:tabs>
          <w:tab w:pos="1653" w:val="left" w:leader="none"/>
          <w:tab w:pos="1654" w:val="left" w:leader="none"/>
        </w:tabs>
        <w:spacing w:line="221" w:lineRule="exact" w:before="0" w:after="0"/>
        <w:ind w:left="1653" w:right="0" w:hanging="1493"/>
        <w:jc w:val="left"/>
        <w:rPr>
          <w:rFonts w:ascii="Verdana"/>
          <w:sz w:val="17"/>
        </w:rPr>
      </w:pPr>
      <w:r>
        <w:rPr>
          <w:rFonts w:ascii="Verdana"/>
          <w:sz w:val="17"/>
        </w:rPr>
        <w:t>were</w:t>
      </w:r>
      <w:r>
        <w:rPr>
          <w:rFonts w:ascii="Verdana"/>
          <w:spacing w:val="-5"/>
          <w:sz w:val="17"/>
        </w:rPr>
        <w:t> </w:t>
      </w:r>
      <w:r>
        <w:rPr>
          <w:rFonts w:ascii="Verdana"/>
          <w:sz w:val="17"/>
        </w:rPr>
        <w:t>struvite,</w:t>
      </w:r>
      <w:r>
        <w:rPr>
          <w:rFonts w:ascii="Verdana"/>
          <w:spacing w:val="-4"/>
          <w:sz w:val="17"/>
        </w:rPr>
        <w:t> </w:t>
      </w:r>
      <w:r>
        <w:rPr>
          <w:rFonts w:ascii="Verdana"/>
          <w:sz w:val="17"/>
        </w:rPr>
        <w:t>which</w:t>
      </w:r>
      <w:r>
        <w:rPr>
          <w:rFonts w:ascii="Verdana"/>
          <w:spacing w:val="-4"/>
          <w:sz w:val="17"/>
        </w:rPr>
        <w:t> </w:t>
      </w:r>
      <w:r>
        <w:rPr>
          <w:rFonts w:ascii="Verdana"/>
          <w:sz w:val="17"/>
        </w:rPr>
        <w:t>is</w:t>
      </w:r>
      <w:r>
        <w:rPr>
          <w:rFonts w:ascii="Verdana"/>
          <w:spacing w:val="-4"/>
          <w:sz w:val="17"/>
        </w:rPr>
        <w:t> </w:t>
      </w:r>
      <w:r>
        <w:rPr>
          <w:rFonts w:ascii="Verdana"/>
          <w:sz w:val="17"/>
        </w:rPr>
        <w:t>commonly</w:t>
      </w:r>
      <w:r>
        <w:rPr>
          <w:rFonts w:ascii="Verdana"/>
          <w:spacing w:val="-4"/>
          <w:sz w:val="17"/>
        </w:rPr>
        <w:t> </w:t>
      </w:r>
      <w:r>
        <w:rPr>
          <w:rFonts w:ascii="Verdana"/>
          <w:sz w:val="17"/>
        </w:rPr>
        <w:t>related</w:t>
      </w:r>
      <w:r>
        <w:rPr>
          <w:rFonts w:ascii="Verdana"/>
          <w:spacing w:val="-5"/>
          <w:sz w:val="17"/>
        </w:rPr>
        <w:t> </w:t>
      </w:r>
      <w:r>
        <w:rPr>
          <w:rFonts w:ascii="Verdana"/>
          <w:sz w:val="17"/>
        </w:rPr>
        <w:t>to</w:t>
      </w:r>
      <w:r>
        <w:rPr>
          <w:rFonts w:ascii="Verdana"/>
          <w:spacing w:val="-4"/>
          <w:sz w:val="17"/>
        </w:rPr>
        <w:t> </w:t>
      </w:r>
      <w:r>
        <w:rPr>
          <w:rFonts w:ascii="Verdana"/>
          <w:sz w:val="17"/>
        </w:rPr>
        <w:t>a</w:t>
      </w:r>
      <w:r>
        <w:rPr>
          <w:rFonts w:ascii="Verdana"/>
          <w:spacing w:val="-3"/>
          <w:sz w:val="17"/>
        </w:rPr>
        <w:t> </w:t>
      </w:r>
      <w:r>
        <w:rPr>
          <w:rFonts w:ascii="Verdana"/>
          <w:sz w:val="17"/>
        </w:rPr>
        <w:t>bacterial</w:t>
      </w:r>
      <w:r>
        <w:rPr>
          <w:rFonts w:ascii="Verdana"/>
          <w:spacing w:val="-5"/>
          <w:sz w:val="17"/>
        </w:rPr>
        <w:t> </w:t>
      </w:r>
      <w:r>
        <w:rPr>
          <w:rFonts w:ascii="Verdana"/>
          <w:sz w:val="17"/>
        </w:rPr>
        <w:t>chronic</w:t>
      </w:r>
      <w:r>
        <w:rPr>
          <w:rFonts w:ascii="Verdana"/>
          <w:spacing w:val="-4"/>
          <w:sz w:val="17"/>
        </w:rPr>
        <w:t> </w:t>
      </w:r>
      <w:r>
        <w:rPr>
          <w:rFonts w:ascii="Verdana"/>
          <w:sz w:val="17"/>
        </w:rPr>
        <w:t>urinary</w:t>
      </w:r>
      <w:r>
        <w:rPr>
          <w:rFonts w:ascii="Verdana"/>
          <w:spacing w:val="-4"/>
          <w:sz w:val="17"/>
        </w:rPr>
        <w:t> </w:t>
      </w:r>
      <w:r>
        <w:rPr>
          <w:rFonts w:ascii="Verdana"/>
          <w:sz w:val="17"/>
        </w:rPr>
        <w:t>tract</w:t>
      </w:r>
      <w:r>
        <w:rPr>
          <w:rFonts w:ascii="Verdana"/>
          <w:spacing w:val="-4"/>
          <w:sz w:val="17"/>
        </w:rPr>
        <w:t> </w:t>
      </w:r>
      <w:r>
        <w:rPr>
          <w:rFonts w:ascii="Verdana"/>
          <w:sz w:val="17"/>
        </w:rPr>
        <w:t>infection</w:t>
      </w:r>
      <w:r>
        <w:rPr>
          <w:rFonts w:ascii="Verdana"/>
          <w:spacing w:val="-4"/>
          <w:sz w:val="17"/>
        </w:rPr>
        <w:t> </w:t>
      </w:r>
      <w:r>
        <w:rPr>
          <w:rFonts w:ascii="Verdana"/>
          <w:sz w:val="17"/>
        </w:rPr>
        <w:t>by</w:t>
      </w:r>
      <w:r>
        <w:rPr>
          <w:rFonts w:ascii="Verdana"/>
          <w:spacing w:val="-4"/>
          <w:sz w:val="17"/>
        </w:rPr>
        <w:t> </w:t>
      </w:r>
      <w:r>
        <w:rPr>
          <w:rFonts w:ascii="Verdana"/>
          <w:sz w:val="17"/>
        </w:rPr>
        <w:t>urease-positive</w:t>
      </w:r>
    </w:p>
    <w:p>
      <w:pPr>
        <w:pStyle w:val="ListParagraph"/>
        <w:numPr>
          <w:ilvl w:val="0"/>
          <w:numId w:val="116"/>
        </w:numPr>
        <w:tabs>
          <w:tab w:pos="5747" w:val="left" w:leader="none"/>
          <w:tab w:pos="5748" w:val="left" w:leader="none"/>
        </w:tabs>
        <w:spacing w:line="216" w:lineRule="exact" w:before="0" w:after="0"/>
        <w:ind w:left="5748" w:right="0" w:hanging="5588"/>
        <w:jc w:val="left"/>
        <w:rPr>
          <w:rFonts w:ascii="Verdana"/>
          <w:sz w:val="17"/>
        </w:rPr>
      </w:pPr>
      <w:r>
        <w:rPr>
          <w:rFonts w:ascii="Verdana"/>
          <w:sz w:val="17"/>
        </w:rPr>
        <w:t>bacteria.</w:t>
      </w:r>
    </w:p>
    <w:p>
      <w:pPr>
        <w:tabs>
          <w:tab w:pos="4965" w:val="left" w:leader="none"/>
        </w:tabs>
        <w:spacing w:line="280" w:lineRule="exact" w:before="0"/>
        <w:ind w:left="160" w:right="0" w:firstLine="0"/>
        <w:jc w:val="left"/>
        <w:rPr>
          <w:rFonts w:ascii="Verdana"/>
          <w:sz w:val="17"/>
        </w:rPr>
      </w:pPr>
      <w:r>
        <w:rPr>
          <w:position w:val="-10"/>
          <w:sz w:val="20"/>
        </w:rPr>
        <w:t>38</w:t>
        <w:tab/>
      </w:r>
      <w:r>
        <w:rPr>
          <w:rFonts w:ascii="Verdana"/>
          <w:sz w:val="17"/>
        </w:rPr>
        <w:t>228x171mm (72 x 72</w:t>
      </w:r>
      <w:r>
        <w:rPr>
          <w:rFonts w:ascii="Verdana"/>
          <w:spacing w:val="-8"/>
          <w:sz w:val="17"/>
        </w:rPr>
        <w:t> </w:t>
      </w:r>
      <w:r>
        <w:rPr>
          <w:rFonts w:ascii="Verdana"/>
          <w:sz w:val="17"/>
        </w:rPr>
        <w:t>DPI)</w:t>
      </w:r>
    </w:p>
    <w:p>
      <w:pPr>
        <w:spacing w:before="3"/>
        <w:ind w:left="160" w:right="0" w:firstLine="0"/>
        <w:jc w:val="left"/>
        <w:rPr>
          <w:sz w:val="20"/>
        </w:rPr>
      </w:pPr>
      <w:r>
        <w:rPr>
          <w:sz w:val="20"/>
        </w:rPr>
        <w:t>39</w:t>
      </w:r>
    </w:p>
    <w:p>
      <w:pPr>
        <w:spacing w:before="3"/>
        <w:ind w:left="160" w:right="0" w:firstLine="0"/>
        <w:jc w:val="left"/>
        <w:rPr>
          <w:sz w:val="20"/>
        </w:rPr>
      </w:pPr>
      <w:r>
        <w:rPr>
          <w:sz w:val="20"/>
        </w:rPr>
        <w:t>40</w:t>
      </w:r>
    </w:p>
    <w:p>
      <w:pPr>
        <w:spacing w:before="3"/>
        <w:ind w:left="160" w:right="0" w:firstLine="0"/>
        <w:jc w:val="left"/>
        <w:rPr>
          <w:sz w:val="20"/>
        </w:rPr>
      </w:pPr>
      <w:r>
        <w:rPr>
          <w:sz w:val="20"/>
        </w:rPr>
        <w:t>41</w:t>
      </w:r>
    </w:p>
    <w:p>
      <w:pPr>
        <w:spacing w:before="3"/>
        <w:ind w:left="160" w:right="0" w:firstLine="0"/>
        <w:jc w:val="left"/>
        <w:rPr>
          <w:sz w:val="20"/>
        </w:rPr>
      </w:pPr>
      <w:r>
        <w:rPr>
          <w:sz w:val="20"/>
        </w:rPr>
        <w:t>42</w:t>
      </w:r>
    </w:p>
    <w:p>
      <w:pPr>
        <w:spacing w:before="3"/>
        <w:ind w:left="160" w:right="0" w:firstLine="0"/>
        <w:jc w:val="left"/>
        <w:rPr>
          <w:sz w:val="20"/>
        </w:rPr>
      </w:pPr>
      <w:r>
        <w:rPr>
          <w:sz w:val="20"/>
        </w:rPr>
        <w:t>43</w:t>
      </w:r>
    </w:p>
    <w:p>
      <w:pPr>
        <w:spacing w:before="3"/>
        <w:ind w:left="160" w:right="0" w:firstLine="0"/>
        <w:jc w:val="left"/>
        <w:rPr>
          <w:sz w:val="20"/>
        </w:rPr>
      </w:pPr>
      <w:r>
        <w:rPr>
          <w:sz w:val="20"/>
        </w:rPr>
        <w:t>44</w:t>
      </w:r>
    </w:p>
    <w:sectPr>
      <w:headerReference w:type="default" r:id="rId77"/>
      <w:footerReference w:type="default" r:id="rId78"/>
      <w:pgSz w:w="12240" w:h="15840"/>
      <w:pgMar w:header="0" w:footer="4417" w:top="140" w:bottom="4600" w:left="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Symbol">
    <w:altName w:val="Symbol"/>
    <w:charset w:val="2"/>
    <w:family w:val="roman"/>
    <w:pitch w:val="variable"/>
  </w:font>
  <w:font w:name="Verdana">
    <w:altName w:val="Verdana"/>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480" from="83.772987pt,735.132935pt" to="538.812997pt,735.132935pt" stroked="true" strokeweight=".48pt" strokecolor="#000000">
          <w10:wrap type="none"/>
        </v:line>
      </w:pict>
    </w:r>
    <w:r>
      <w:rPr/>
      <w:pict>
        <v:shape style="position:absolute;margin-left:547.853027pt;margin-top:735.78894pt;width:9.5pt;height:12.8pt;mso-position-horizontal-relative:page;mso-position-vertical-relative:page;z-index:-9445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2"/>
                    <w:sz w:val="21"/>
                  </w:rPr>
                  <w:instrText> PAGE </w:instrText>
                </w:r>
                <w:r>
                  <w:rPr/>
                  <w:fldChar w:fldCharType="separate"/>
                </w:r>
                <w:r>
                  <w:rPr/>
                  <w:t>1</w:t>
                </w:r>
                <w:r>
                  <w:rPr/>
                  <w:fldChar w:fldCharType="end"/>
                </w:r>
              </w:p>
            </w:txbxContent>
          </v:textbox>
          <w10:wrap type="none"/>
        </v:shape>
      </w:pict>
    </w:r>
    <w:r>
      <w:rPr/>
      <w:pict>
        <v:shape style="position:absolute;margin-left:84.212997pt;margin-top:737.468933pt;width:307.350pt;height:12.8pt;mso-position-horizontal-relative:page;mso-position-vertical-relative:page;z-index:-94432"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832" from="83.772987pt,735.132935pt" to="538.812997pt,735.132935pt" stroked="true" strokeweight=".48pt" strokecolor="#000000">
          <w10:wrap type="none"/>
        </v:line>
      </w:pict>
    </w:r>
    <w:r>
      <w:rPr/>
      <w:pict>
        <v:shape style="position:absolute;margin-left:543.333008pt;margin-top:735.78894pt;width:13.15pt;height:12.8pt;mso-position-horizontal-relative:page;mso-position-vertical-relative:page;z-index:-93808" type="#_x0000_t202" filled="false" stroked="false">
          <v:textbox inset="0,0,0,0">
            <w:txbxContent>
              <w:p>
                <w:pPr>
                  <w:spacing w:line="245" w:lineRule="exact" w:before="0"/>
                  <w:ind w:left="20" w:right="-1" w:firstLine="0"/>
                  <w:jc w:val="left"/>
                  <w:rPr>
                    <w:rFonts w:ascii="Calibri"/>
                    <w:sz w:val="21"/>
                  </w:rPr>
                </w:pPr>
                <w:r>
                  <w:rPr>
                    <w:rFonts w:ascii="Calibri"/>
                    <w:w w:val="105"/>
                    <w:sz w:val="21"/>
                  </w:rPr>
                  <w:t>50</w:t>
                </w:r>
              </w:p>
            </w:txbxContent>
          </v:textbox>
          <w10:wrap type="none"/>
        </v:shape>
      </w:pict>
    </w:r>
    <w:r>
      <w:rPr/>
      <w:pict>
        <v:shape style="position:absolute;margin-left:84.212997pt;margin-top:737.468933pt;width:307.350pt;height:12.8pt;mso-position-horizontal-relative:page;mso-position-vertical-relative:page;z-index:-93784"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760" from="83.772987pt,735.132935pt" to="538.812997pt,735.132935pt" stroked="true" strokeweight=".48pt" strokecolor="#000000">
          <w10:wrap type="none"/>
        </v:line>
      </w:pict>
    </w:r>
    <w:r>
      <w:rPr/>
      <w:pict>
        <v:shape style="position:absolute;margin-left:542.333008pt;margin-top:735.78894pt;width:15.2pt;height:12.8pt;mso-position-horizontal-relative:page;mso-position-vertical-relative:page;z-index:-93736"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51</w:t>
                </w:r>
                <w:r>
                  <w:rPr/>
                  <w:fldChar w:fldCharType="end"/>
                </w:r>
              </w:p>
            </w:txbxContent>
          </v:textbox>
          <w10:wrap type="none"/>
        </v:shape>
      </w:pict>
    </w:r>
    <w:r>
      <w:rPr/>
      <w:pict>
        <v:shape style="position:absolute;margin-left:84.212997pt;margin-top:737.468933pt;width:307.350pt;height:12.8pt;mso-position-horizontal-relative:page;mso-position-vertical-relative:page;z-index:-93712"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688" from="83.772987pt,735.132935pt" to="538.812997pt,735.132935pt" stroked="true" strokeweight=".48pt" strokecolor="#000000">
          <w10:wrap type="none"/>
        </v:line>
      </w:pict>
    </w:r>
    <w:r>
      <w:rPr/>
      <w:pict>
        <v:shape style="position:absolute;margin-left:543.333008pt;margin-top:735.78894pt;width:13.15pt;height:12.8pt;mso-position-horizontal-relative:page;mso-position-vertical-relative:page;z-index:-93664" type="#_x0000_t202" filled="false" stroked="false">
          <v:textbox inset="0,0,0,0">
            <w:txbxContent>
              <w:p>
                <w:pPr>
                  <w:spacing w:line="245" w:lineRule="exact" w:before="0"/>
                  <w:ind w:left="20" w:right="-1" w:firstLine="0"/>
                  <w:jc w:val="left"/>
                  <w:rPr>
                    <w:rFonts w:ascii="Calibri"/>
                    <w:sz w:val="21"/>
                  </w:rPr>
                </w:pPr>
                <w:r>
                  <w:rPr>
                    <w:rFonts w:ascii="Calibri"/>
                    <w:w w:val="105"/>
                    <w:sz w:val="21"/>
                  </w:rPr>
                  <w:t>60</w:t>
                </w:r>
              </w:p>
            </w:txbxContent>
          </v:textbox>
          <w10:wrap type="none"/>
        </v:shape>
      </w:pict>
    </w:r>
    <w:r>
      <w:rPr/>
      <w:pict>
        <v:shape style="position:absolute;margin-left:84.212997pt;margin-top:737.468933pt;width:307.350pt;height:12.8pt;mso-position-horizontal-relative:page;mso-position-vertical-relative:page;z-index:-93640"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616" from="83.772987pt,735.132935pt" to="538.812997pt,735.132935pt" stroked="true" strokeweight=".48pt" strokecolor="#000000">
          <w10:wrap type="none"/>
        </v:line>
      </w:pict>
    </w:r>
    <w:r>
      <w:rPr/>
      <w:pict>
        <v:shape style="position:absolute;margin-left:542.333008pt;margin-top:735.78894pt;width:15.2pt;height:12.8pt;mso-position-horizontal-relative:page;mso-position-vertical-relative:page;z-index:-9359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61</w:t>
                </w:r>
                <w:r>
                  <w:rPr/>
                  <w:fldChar w:fldCharType="end"/>
                </w:r>
              </w:p>
            </w:txbxContent>
          </v:textbox>
          <w10:wrap type="none"/>
        </v:shape>
      </w:pict>
    </w:r>
    <w:r>
      <w:rPr/>
      <w:pict>
        <v:shape style="position:absolute;margin-left:84.212997pt;margin-top:737.468933pt;width:307.350pt;height:12.8pt;mso-position-horizontal-relative:page;mso-position-vertical-relative:page;z-index:-93568"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544" from="83.772987pt,735.132935pt" to="538.812997pt,735.132935pt" stroked="true" strokeweight=".48pt" strokecolor="#000000">
          <w10:wrap type="none"/>
        </v:line>
      </w:pict>
    </w:r>
    <w:r>
      <w:rPr/>
      <w:pict>
        <v:shape style="position:absolute;margin-left:543.333008pt;margin-top:735.78894pt;width:13.15pt;height:12.8pt;mso-position-horizontal-relative:page;mso-position-vertical-relative:page;z-index:-93520" type="#_x0000_t202" filled="false" stroked="false">
          <v:textbox inset="0,0,0,0">
            <w:txbxContent>
              <w:p>
                <w:pPr>
                  <w:spacing w:line="245" w:lineRule="exact" w:before="0"/>
                  <w:ind w:left="20" w:right="-1" w:firstLine="0"/>
                  <w:jc w:val="left"/>
                  <w:rPr>
                    <w:rFonts w:ascii="Calibri"/>
                    <w:sz w:val="21"/>
                  </w:rPr>
                </w:pPr>
                <w:r>
                  <w:rPr>
                    <w:rFonts w:ascii="Calibri"/>
                    <w:w w:val="105"/>
                    <w:sz w:val="21"/>
                  </w:rPr>
                  <w:t>70</w:t>
                </w:r>
              </w:p>
            </w:txbxContent>
          </v:textbox>
          <w10:wrap type="none"/>
        </v:shape>
      </w:pict>
    </w:r>
    <w:r>
      <w:rPr/>
      <w:pict>
        <v:shape style="position:absolute;margin-left:84.212997pt;margin-top:737.468933pt;width:307.350pt;height:12.8pt;mso-position-horizontal-relative:page;mso-position-vertical-relative:page;z-index:-93496"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472" from="83.772987pt,735.132935pt" to="538.812997pt,735.132935pt" stroked="true" strokeweight=".48pt" strokecolor="#000000">
          <w10:wrap type="none"/>
        </v:line>
      </w:pict>
    </w:r>
    <w:r>
      <w:rPr/>
      <w:pict>
        <v:shape style="position:absolute;margin-left:542.333008pt;margin-top:735.78894pt;width:15.2pt;height:12.8pt;mso-position-horizontal-relative:page;mso-position-vertical-relative:page;z-index:-9344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71</w:t>
                </w:r>
                <w:r>
                  <w:rPr/>
                  <w:fldChar w:fldCharType="end"/>
                </w:r>
              </w:p>
            </w:txbxContent>
          </v:textbox>
          <w10:wrap type="none"/>
        </v:shape>
      </w:pict>
    </w:r>
    <w:r>
      <w:rPr/>
      <w:pict>
        <v:shape style="position:absolute;margin-left:84.212997pt;margin-top:737.468933pt;width:307.350pt;height:12.8pt;mso-position-horizontal-relative:page;mso-position-vertical-relative:page;z-index:-93424"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3.024994pt;margin-top:751.299805pt;width:226.05pt;height:12pt;mso-position-horizontal-relative:page;mso-position-vertical-relative:page;z-index:-93400"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pt;margin-top:722.166809pt;width:13.15pt;height:23.7pt;mso-position-horizontal-relative:page;mso-position-vertical-relative:page;z-index:-93376" type="#_x0000_t202" filled="false" stroked="false">
          <v:textbox inset="0,0,0,0">
            <w:txbxContent>
              <w:p>
                <w:pPr>
                  <w:spacing w:line="216" w:lineRule="exact" w:before="0"/>
                  <w:ind w:left="20" w:right="-1" w:firstLine="0"/>
                  <w:jc w:val="left"/>
                  <w:rPr>
                    <w:sz w:val="20"/>
                  </w:rPr>
                </w:pPr>
                <w:r>
                  <w:rPr>
                    <w:sz w:val="20"/>
                  </w:rPr>
                  <w:t>59</w:t>
                </w:r>
              </w:p>
              <w:p>
                <w:pPr>
                  <w:spacing w:before="3"/>
                  <w:ind w:left="20" w:right="-1" w:firstLine="0"/>
                  <w:jc w:val="left"/>
                  <w:rPr>
                    <w:sz w:val="20"/>
                  </w:rPr>
                </w:pPr>
                <w:r>
                  <w:rPr>
                    <w:sz w:val="20"/>
                  </w:rPr>
                  <w:t>60</w:t>
                </w:r>
              </w:p>
            </w:txbxContent>
          </v:textbox>
          <w10:wrap type="none"/>
        </v:shape>
      </w:pict>
    </w:r>
    <w:r>
      <w:rPr/>
      <w:pict>
        <v:shape style="position:absolute;margin-left:193.024994pt;margin-top:751.299805pt;width:226.05pt;height:12pt;mso-position-horizontal-relative:page;mso-position-vertical-relative:page;z-index:-93352"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pt;margin-top:722.166809pt;width:13.15pt;height:23.7pt;mso-position-horizontal-relative:page;mso-position-vertical-relative:page;z-index:-93328" type="#_x0000_t202" filled="false" stroked="false">
          <v:textbox inset="0,0,0,0">
            <w:txbxContent>
              <w:p>
                <w:pPr>
                  <w:spacing w:line="216" w:lineRule="exact" w:before="0"/>
                  <w:ind w:left="20" w:right="-1" w:firstLine="0"/>
                  <w:jc w:val="left"/>
                  <w:rPr>
                    <w:sz w:val="20"/>
                  </w:rPr>
                </w:pPr>
                <w:r>
                  <w:rPr>
                    <w:sz w:val="20"/>
                  </w:rPr>
                  <w:t>59</w:t>
                </w:r>
              </w:p>
              <w:p>
                <w:pPr>
                  <w:spacing w:before="3"/>
                  <w:ind w:left="20" w:right="-1" w:firstLine="0"/>
                  <w:jc w:val="left"/>
                  <w:rPr>
                    <w:sz w:val="20"/>
                  </w:rPr>
                </w:pPr>
                <w:r>
                  <w:rPr>
                    <w:sz w:val="20"/>
                  </w:rPr>
                  <w:t>60</w:t>
                </w:r>
              </w:p>
            </w:txbxContent>
          </v:textbox>
          <w10:wrap type="none"/>
        </v:shape>
      </w:pict>
    </w:r>
    <w:r>
      <w:rPr/>
      <w:pict>
        <v:shape style="position:absolute;margin-left:193.024994pt;margin-top:751.299805pt;width:226.05pt;height:12pt;mso-position-horizontal-relative:page;mso-position-vertical-relative:page;z-index:-93304"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408" from="83.772987pt,735.132935pt" to="538.812997pt,735.132935pt" stroked="true" strokeweight=".48pt" strokecolor="#000000">
          <w10:wrap type="none"/>
        </v:line>
      </w:pict>
    </w:r>
    <w:r>
      <w:rPr/>
      <w:pict>
        <v:shape style="position:absolute;margin-left:543.333008pt;margin-top:735.78894pt;width:13.15pt;height:12.8pt;mso-position-horizontal-relative:page;mso-position-vertical-relative:page;z-index:-94384" type="#_x0000_t202" filled="false" stroked="false">
          <v:textbox inset="0,0,0,0">
            <w:txbxContent>
              <w:p>
                <w:pPr>
                  <w:spacing w:line="245" w:lineRule="exact" w:before="0"/>
                  <w:ind w:left="20" w:right="-1" w:firstLine="0"/>
                  <w:jc w:val="left"/>
                  <w:rPr>
                    <w:rFonts w:ascii="Calibri"/>
                    <w:sz w:val="21"/>
                  </w:rPr>
                </w:pPr>
                <w:r>
                  <w:rPr>
                    <w:rFonts w:ascii="Calibri"/>
                    <w:w w:val="105"/>
                    <w:sz w:val="21"/>
                  </w:rPr>
                  <w:t>10</w:t>
                </w:r>
              </w:p>
            </w:txbxContent>
          </v:textbox>
          <w10:wrap type="none"/>
        </v:shape>
      </w:pict>
    </w:r>
    <w:r>
      <w:rPr/>
      <w:pict>
        <v:shape style="position:absolute;margin-left:84.212997pt;margin-top:737.468933pt;width:307.350pt;height:12.8pt;mso-position-horizontal-relative:page;mso-position-vertical-relative:page;z-index:-94360"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pt;margin-top:733.833801pt;width:13.15pt;height:12pt;mso-position-horizontal-relative:page;mso-position-vertical-relative:page;z-index:-93280" type="#_x0000_t202" filled="false" stroked="false">
          <v:textbox inset="0,0,0,0">
            <w:txbxContent>
              <w:p>
                <w:pPr>
                  <w:spacing w:line="216" w:lineRule="exact" w:before="0"/>
                  <w:ind w:left="20" w:right="-1" w:firstLine="0"/>
                  <w:jc w:val="left"/>
                  <w:rPr>
                    <w:sz w:val="20"/>
                  </w:rPr>
                </w:pPr>
                <w:r>
                  <w:rPr>
                    <w:sz w:val="20"/>
                  </w:rPr>
                  <w:t>60</w:t>
                </w:r>
              </w:p>
            </w:txbxContent>
          </v:textbox>
          <w10:wrap type="none"/>
        </v:shape>
      </w:pict>
    </w:r>
    <w:r>
      <w:rPr/>
      <w:pict>
        <v:shape style="position:absolute;margin-left:193.024994pt;margin-top:751.299805pt;width:226.05pt;height:12pt;mso-position-horizontal-relative:page;mso-position-vertical-relative:page;z-index:-93256"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pt;margin-top:722.166809pt;width:13.15pt;height:23.7pt;mso-position-horizontal-relative:page;mso-position-vertical-relative:page;z-index:-93232" type="#_x0000_t202" filled="false" stroked="false">
          <v:textbox inset="0,0,0,0">
            <w:txbxContent>
              <w:p>
                <w:pPr>
                  <w:spacing w:line="216" w:lineRule="exact" w:before="0"/>
                  <w:ind w:left="20" w:right="-1" w:firstLine="0"/>
                  <w:jc w:val="left"/>
                  <w:rPr>
                    <w:sz w:val="20"/>
                  </w:rPr>
                </w:pPr>
                <w:r>
                  <w:rPr>
                    <w:sz w:val="20"/>
                  </w:rPr>
                  <w:t>59</w:t>
                </w:r>
              </w:p>
              <w:p>
                <w:pPr>
                  <w:spacing w:before="3"/>
                  <w:ind w:left="20" w:right="-1" w:firstLine="0"/>
                  <w:jc w:val="left"/>
                  <w:rPr>
                    <w:sz w:val="20"/>
                  </w:rPr>
                </w:pPr>
                <w:r>
                  <w:rPr>
                    <w:sz w:val="20"/>
                  </w:rPr>
                  <w:t>60</w:t>
                </w:r>
              </w:p>
            </w:txbxContent>
          </v:textbox>
          <w10:wrap type="none"/>
        </v:shape>
      </w:pict>
    </w:r>
    <w:r>
      <w:rPr/>
      <w:pict>
        <v:shape style="position:absolute;margin-left:193.024994pt;margin-top:751.299805pt;width:226.05pt;height:12pt;mso-position-horizontal-relative:page;mso-position-vertical-relative:page;z-index:-93208"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pt;margin-top:722.166809pt;width:13.15pt;height:23.7pt;mso-position-horizontal-relative:page;mso-position-vertical-relative:page;z-index:-93184" type="#_x0000_t202" filled="false" stroked="false">
          <v:textbox inset="0,0,0,0">
            <w:txbxContent>
              <w:p>
                <w:pPr>
                  <w:spacing w:line="216" w:lineRule="exact" w:before="0"/>
                  <w:ind w:left="20" w:right="-1" w:firstLine="0"/>
                  <w:jc w:val="left"/>
                  <w:rPr>
                    <w:sz w:val="20"/>
                  </w:rPr>
                </w:pPr>
                <w:r>
                  <w:rPr>
                    <w:sz w:val="20"/>
                  </w:rPr>
                  <w:t>59</w:t>
                </w:r>
              </w:p>
              <w:p>
                <w:pPr>
                  <w:spacing w:before="3"/>
                  <w:ind w:left="20" w:right="-1" w:firstLine="0"/>
                  <w:jc w:val="left"/>
                  <w:rPr>
                    <w:sz w:val="20"/>
                  </w:rPr>
                </w:pPr>
                <w:r>
                  <w:rPr>
                    <w:sz w:val="20"/>
                  </w:rPr>
                  <w:t>60</w:t>
                </w:r>
              </w:p>
            </w:txbxContent>
          </v:textbox>
          <w10:wrap type="none"/>
        </v:shape>
      </w:pict>
    </w:r>
    <w:r>
      <w:rPr/>
      <w:pict>
        <v:shape style="position:absolute;margin-left:193.024994pt;margin-top:751.299805pt;width:226.05pt;height:12pt;mso-position-horizontal-relative:page;mso-position-vertical-relative:page;z-index:-93160"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pt;margin-top:722.166809pt;width:13.15pt;height:23.7pt;mso-position-horizontal-relative:page;mso-position-vertical-relative:page;z-index:-93136" type="#_x0000_t202" filled="false" stroked="false">
          <v:textbox inset="0,0,0,0">
            <w:txbxContent>
              <w:p>
                <w:pPr>
                  <w:spacing w:line="216" w:lineRule="exact" w:before="0"/>
                  <w:ind w:left="20" w:right="-1" w:firstLine="0"/>
                  <w:jc w:val="left"/>
                  <w:rPr>
                    <w:sz w:val="20"/>
                  </w:rPr>
                </w:pPr>
                <w:r>
                  <w:rPr>
                    <w:sz w:val="20"/>
                  </w:rPr>
                  <w:t>59</w:t>
                </w:r>
              </w:p>
              <w:p>
                <w:pPr>
                  <w:spacing w:before="3"/>
                  <w:ind w:left="20" w:right="-1" w:firstLine="0"/>
                  <w:jc w:val="left"/>
                  <w:rPr>
                    <w:sz w:val="20"/>
                  </w:rPr>
                </w:pPr>
                <w:r>
                  <w:rPr>
                    <w:sz w:val="20"/>
                  </w:rPr>
                  <w:t>60</w:t>
                </w:r>
              </w:p>
            </w:txbxContent>
          </v:textbox>
          <w10:wrap type="none"/>
        </v:shape>
      </w:pict>
    </w:r>
    <w:r>
      <w:rPr/>
      <w:pict>
        <v:shape style="position:absolute;margin-left:193.024994pt;margin-top:751.299805pt;width:226.05pt;height:12pt;mso-position-horizontal-relative:page;mso-position-vertical-relative:page;z-index:-93112"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pt;margin-top:722.166809pt;width:13.15pt;height:23.7pt;mso-position-horizontal-relative:page;mso-position-vertical-relative:page;z-index:-93088" type="#_x0000_t202" filled="false" stroked="false">
          <v:textbox inset="0,0,0,0">
            <w:txbxContent>
              <w:p>
                <w:pPr>
                  <w:spacing w:line="216" w:lineRule="exact" w:before="0"/>
                  <w:ind w:left="20" w:right="-1" w:firstLine="0"/>
                  <w:jc w:val="left"/>
                  <w:rPr>
                    <w:sz w:val="20"/>
                  </w:rPr>
                </w:pPr>
                <w:r>
                  <w:rPr>
                    <w:sz w:val="20"/>
                  </w:rPr>
                  <w:t>59</w:t>
                </w:r>
              </w:p>
              <w:p>
                <w:pPr>
                  <w:spacing w:before="3"/>
                  <w:ind w:left="20" w:right="-1" w:firstLine="0"/>
                  <w:jc w:val="left"/>
                  <w:rPr>
                    <w:sz w:val="20"/>
                  </w:rPr>
                </w:pPr>
                <w:r>
                  <w:rPr>
                    <w:sz w:val="20"/>
                  </w:rPr>
                  <w:t>60</w:t>
                </w:r>
              </w:p>
            </w:txbxContent>
          </v:textbox>
          <w10:wrap type="none"/>
        </v:shape>
      </w:pict>
    </w:r>
    <w:r>
      <w:rPr/>
      <w:pict>
        <v:shape style="position:absolute;margin-left:193.024994pt;margin-top:751.299805pt;width:226.05pt;height:12pt;mso-position-horizontal-relative:page;mso-position-vertical-relative:page;z-index:-93064"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pt;margin-top:722.166809pt;width:13.15pt;height:23.7pt;mso-position-horizontal-relative:page;mso-position-vertical-relative:page;z-index:-93040" type="#_x0000_t202" filled="false" stroked="false">
          <v:textbox inset="0,0,0,0">
            <w:txbxContent>
              <w:p>
                <w:pPr>
                  <w:spacing w:line="216" w:lineRule="exact" w:before="0"/>
                  <w:ind w:left="20" w:right="-1" w:firstLine="0"/>
                  <w:jc w:val="left"/>
                  <w:rPr>
                    <w:sz w:val="20"/>
                  </w:rPr>
                </w:pPr>
                <w:r>
                  <w:rPr>
                    <w:sz w:val="20"/>
                  </w:rPr>
                  <w:t>59</w:t>
                </w:r>
              </w:p>
              <w:p>
                <w:pPr>
                  <w:spacing w:before="3"/>
                  <w:ind w:left="20" w:right="-1" w:firstLine="0"/>
                  <w:jc w:val="left"/>
                  <w:rPr>
                    <w:sz w:val="20"/>
                  </w:rPr>
                </w:pPr>
                <w:r>
                  <w:rPr>
                    <w:sz w:val="20"/>
                  </w:rPr>
                  <w:t>60</w:t>
                </w:r>
              </w:p>
            </w:txbxContent>
          </v:textbox>
          <w10:wrap type="none"/>
        </v:shape>
      </w:pict>
    </w:r>
    <w:r>
      <w:rPr/>
      <w:pict>
        <v:shape style="position:absolute;margin-left:193.024994pt;margin-top:751.299805pt;width:226.05pt;height:12pt;mso-position-horizontal-relative:page;mso-position-vertical-relative:page;z-index:-93016"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pt;margin-top:710.499817pt;width:13.15pt;height:35.35pt;mso-position-horizontal-relative:page;mso-position-vertical-relative:page;z-index:-92992" type="#_x0000_t202" filled="false" stroked="false">
          <v:textbox inset="0,0,0,0">
            <w:txbxContent>
              <w:p>
                <w:pPr>
                  <w:spacing w:line="216" w:lineRule="exact" w:before="0"/>
                  <w:ind w:left="20" w:right="-1" w:firstLine="0"/>
                  <w:jc w:val="left"/>
                  <w:rPr>
                    <w:sz w:val="20"/>
                  </w:rPr>
                </w:pPr>
                <w:r>
                  <w:rPr>
                    <w:sz w:val="20"/>
                  </w:rPr>
                  <w:t>58</w:t>
                </w:r>
              </w:p>
              <w:p>
                <w:pPr>
                  <w:spacing w:before="3"/>
                  <w:ind w:left="20" w:right="-1" w:firstLine="0"/>
                  <w:jc w:val="left"/>
                  <w:rPr>
                    <w:sz w:val="20"/>
                  </w:rPr>
                </w:pPr>
                <w:r>
                  <w:rPr>
                    <w:sz w:val="20"/>
                  </w:rPr>
                  <w:t>59</w:t>
                </w:r>
              </w:p>
              <w:p>
                <w:pPr>
                  <w:spacing w:before="3"/>
                  <w:ind w:left="20" w:right="-1" w:firstLine="0"/>
                  <w:jc w:val="left"/>
                  <w:rPr>
                    <w:sz w:val="20"/>
                  </w:rPr>
                </w:pPr>
                <w:r>
                  <w:rPr>
                    <w:sz w:val="20"/>
                  </w:rPr>
                  <w:t>60</w:t>
                </w:r>
              </w:p>
            </w:txbxContent>
          </v:textbox>
          <w10:wrap type="none"/>
        </v:shape>
      </w:pict>
    </w:r>
    <w:r>
      <w:rPr/>
      <w:pict>
        <v:shape style="position:absolute;margin-left:193.024994pt;margin-top:751.299805pt;width:226.05pt;height:12pt;mso-position-horizontal-relative:page;mso-position-vertical-relative:page;z-index:-92968"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pt;margin-top:710.499817pt;width:13.15pt;height:35.35pt;mso-position-horizontal-relative:page;mso-position-vertical-relative:page;z-index:-92944" type="#_x0000_t202" filled="false" stroked="false">
          <v:textbox inset="0,0,0,0">
            <w:txbxContent>
              <w:p>
                <w:pPr>
                  <w:spacing w:line="216" w:lineRule="exact" w:before="0"/>
                  <w:ind w:left="20" w:right="-1" w:firstLine="0"/>
                  <w:jc w:val="left"/>
                  <w:rPr>
                    <w:sz w:val="20"/>
                  </w:rPr>
                </w:pPr>
                <w:r>
                  <w:rPr>
                    <w:sz w:val="20"/>
                  </w:rPr>
                  <w:t>58</w:t>
                </w:r>
              </w:p>
              <w:p>
                <w:pPr>
                  <w:spacing w:before="3"/>
                  <w:ind w:left="20" w:right="-1" w:firstLine="0"/>
                  <w:jc w:val="left"/>
                  <w:rPr>
                    <w:sz w:val="20"/>
                  </w:rPr>
                </w:pPr>
                <w:r>
                  <w:rPr>
                    <w:sz w:val="20"/>
                  </w:rPr>
                  <w:t>59</w:t>
                </w:r>
              </w:p>
              <w:p>
                <w:pPr>
                  <w:spacing w:before="3"/>
                  <w:ind w:left="20" w:right="-1" w:firstLine="0"/>
                  <w:jc w:val="left"/>
                  <w:rPr>
                    <w:sz w:val="20"/>
                  </w:rPr>
                </w:pPr>
                <w:r>
                  <w:rPr>
                    <w:sz w:val="20"/>
                  </w:rPr>
                  <w:t>60</w:t>
                </w:r>
              </w:p>
            </w:txbxContent>
          </v:textbox>
          <w10:wrap type="none"/>
        </v:shape>
      </w:pict>
    </w:r>
    <w:r>
      <w:rPr/>
      <w:pict>
        <v:shape style="position:absolute;margin-left:193.024994pt;margin-top:751.299805pt;width:226.05pt;height:12pt;mso-position-horizontal-relative:page;mso-position-vertical-relative:page;z-index:-92920"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93.024994pt;margin-top:751.299805pt;width:226.05pt;height:12pt;mso-position-horizontal-relative:page;mso-position-vertical-relative:page;z-index:-92896"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336" from="83.772987pt,735.132935pt" to="538.812997pt,735.132935pt" stroked="true" strokeweight=".48pt" strokecolor="#000000">
          <w10:wrap type="none"/>
        </v:line>
      </w:pict>
    </w:r>
    <w:r>
      <w:rPr/>
      <w:pict>
        <v:shape style="position:absolute;margin-left:542.333008pt;margin-top:735.78894pt;width:15.2pt;height:12.8pt;mso-position-horizontal-relative:page;mso-position-vertical-relative:page;z-index:-94312"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11</w:t>
                </w:r>
                <w:r>
                  <w:rPr/>
                  <w:fldChar w:fldCharType="end"/>
                </w:r>
              </w:p>
            </w:txbxContent>
          </v:textbox>
          <w10:wrap type="none"/>
        </v:shape>
      </w:pict>
    </w:r>
    <w:r>
      <w:rPr/>
      <w:pict>
        <v:shape style="position:absolute;margin-left:84.212997pt;margin-top:737.468933pt;width:307.350pt;height:12.8pt;mso-position-horizontal-relative:page;mso-position-vertical-relative:page;z-index:-94288"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7pt;margin-top:558.828796pt;width:13.15pt;height:187.05pt;mso-position-horizontal-relative:page;mso-position-vertical-relative:page;z-index:-92872" type="#_x0000_t202" filled="false" stroked="false">
          <v:textbox inset="0,0,0,0">
            <w:txbxContent>
              <w:p>
                <w:pPr>
                  <w:spacing w:line="216" w:lineRule="exact" w:before="0"/>
                  <w:ind w:left="20" w:right="-1" w:firstLine="0"/>
                  <w:jc w:val="left"/>
                  <w:rPr>
                    <w:sz w:val="20"/>
                  </w:rPr>
                </w:pPr>
                <w:r>
                  <w:rPr>
                    <w:sz w:val="20"/>
                  </w:rPr>
                  <w:t>45</w:t>
                </w:r>
              </w:p>
              <w:p>
                <w:pPr>
                  <w:spacing w:before="3"/>
                  <w:ind w:left="20" w:right="-1" w:firstLine="0"/>
                  <w:jc w:val="left"/>
                  <w:rPr>
                    <w:sz w:val="20"/>
                  </w:rPr>
                </w:pPr>
                <w:r>
                  <w:rPr>
                    <w:sz w:val="20"/>
                  </w:rPr>
                  <w:t>46</w:t>
                </w:r>
              </w:p>
              <w:p>
                <w:pPr>
                  <w:spacing w:before="3"/>
                  <w:ind w:left="20" w:right="-1" w:firstLine="0"/>
                  <w:jc w:val="left"/>
                  <w:rPr>
                    <w:sz w:val="20"/>
                  </w:rPr>
                </w:pPr>
                <w:r>
                  <w:rPr>
                    <w:sz w:val="20"/>
                  </w:rPr>
                  <w:t>47</w:t>
                </w:r>
              </w:p>
              <w:p>
                <w:pPr>
                  <w:spacing w:before="3"/>
                  <w:ind w:left="20" w:right="-1" w:firstLine="0"/>
                  <w:jc w:val="left"/>
                  <w:rPr>
                    <w:sz w:val="20"/>
                  </w:rPr>
                </w:pPr>
                <w:r>
                  <w:rPr>
                    <w:sz w:val="20"/>
                  </w:rPr>
                  <w:t>48</w:t>
                </w:r>
              </w:p>
              <w:p>
                <w:pPr>
                  <w:spacing w:before="3"/>
                  <w:ind w:left="20" w:right="-1" w:firstLine="0"/>
                  <w:jc w:val="left"/>
                  <w:rPr>
                    <w:sz w:val="20"/>
                  </w:rPr>
                </w:pPr>
                <w:r>
                  <w:rPr>
                    <w:sz w:val="20"/>
                  </w:rPr>
                  <w:t>49</w:t>
                </w:r>
              </w:p>
              <w:p>
                <w:pPr>
                  <w:spacing w:before="3"/>
                  <w:ind w:left="20" w:right="-1" w:firstLine="0"/>
                  <w:jc w:val="left"/>
                  <w:rPr>
                    <w:sz w:val="20"/>
                  </w:rPr>
                </w:pPr>
                <w:r>
                  <w:rPr>
                    <w:sz w:val="20"/>
                  </w:rPr>
                  <w:t>50</w:t>
                </w:r>
              </w:p>
              <w:p>
                <w:pPr>
                  <w:spacing w:before="3"/>
                  <w:ind w:left="20" w:right="-1" w:firstLine="0"/>
                  <w:jc w:val="left"/>
                  <w:rPr>
                    <w:sz w:val="20"/>
                  </w:rPr>
                </w:pPr>
                <w:r>
                  <w:rPr>
                    <w:sz w:val="20"/>
                  </w:rPr>
                  <w:t>51</w:t>
                </w:r>
              </w:p>
              <w:p>
                <w:pPr>
                  <w:spacing w:before="3"/>
                  <w:ind w:left="20" w:right="-1" w:firstLine="0"/>
                  <w:jc w:val="left"/>
                  <w:rPr>
                    <w:sz w:val="20"/>
                  </w:rPr>
                </w:pPr>
                <w:r>
                  <w:rPr>
                    <w:sz w:val="20"/>
                  </w:rPr>
                  <w:t>52</w:t>
                </w:r>
              </w:p>
              <w:p>
                <w:pPr>
                  <w:spacing w:before="3"/>
                  <w:ind w:left="20" w:right="-1" w:firstLine="0"/>
                  <w:jc w:val="left"/>
                  <w:rPr>
                    <w:sz w:val="20"/>
                  </w:rPr>
                </w:pPr>
                <w:r>
                  <w:rPr>
                    <w:sz w:val="20"/>
                  </w:rPr>
                  <w:t>53</w:t>
                </w:r>
              </w:p>
              <w:p>
                <w:pPr>
                  <w:spacing w:before="3"/>
                  <w:ind w:left="20" w:right="-1" w:firstLine="0"/>
                  <w:jc w:val="left"/>
                  <w:rPr>
                    <w:sz w:val="20"/>
                  </w:rPr>
                </w:pPr>
                <w:r>
                  <w:rPr>
                    <w:sz w:val="20"/>
                  </w:rPr>
                  <w:t>54</w:t>
                </w:r>
              </w:p>
              <w:p>
                <w:pPr>
                  <w:spacing w:before="3"/>
                  <w:ind w:left="20" w:right="-1" w:firstLine="0"/>
                  <w:jc w:val="left"/>
                  <w:rPr>
                    <w:sz w:val="20"/>
                  </w:rPr>
                </w:pPr>
                <w:r>
                  <w:rPr>
                    <w:sz w:val="20"/>
                  </w:rPr>
                  <w:t>55</w:t>
                </w:r>
              </w:p>
              <w:p>
                <w:pPr>
                  <w:spacing w:before="3"/>
                  <w:ind w:left="20" w:right="-1" w:firstLine="0"/>
                  <w:jc w:val="left"/>
                  <w:rPr>
                    <w:sz w:val="20"/>
                  </w:rPr>
                </w:pPr>
                <w:r>
                  <w:rPr>
                    <w:sz w:val="20"/>
                  </w:rPr>
                  <w:t>56</w:t>
                </w:r>
              </w:p>
              <w:p>
                <w:pPr>
                  <w:spacing w:before="3"/>
                  <w:ind w:left="20" w:right="-1" w:firstLine="0"/>
                  <w:jc w:val="left"/>
                  <w:rPr>
                    <w:sz w:val="20"/>
                  </w:rPr>
                </w:pPr>
                <w:r>
                  <w:rPr>
                    <w:sz w:val="20"/>
                  </w:rPr>
                  <w:t>57</w:t>
                </w:r>
              </w:p>
              <w:p>
                <w:pPr>
                  <w:spacing w:before="3"/>
                  <w:ind w:left="20" w:right="-1" w:firstLine="0"/>
                  <w:jc w:val="left"/>
                  <w:rPr>
                    <w:sz w:val="20"/>
                  </w:rPr>
                </w:pPr>
                <w:r>
                  <w:rPr>
                    <w:sz w:val="20"/>
                  </w:rPr>
                  <w:t>58</w:t>
                </w:r>
              </w:p>
              <w:p>
                <w:pPr>
                  <w:spacing w:before="3"/>
                  <w:ind w:left="20" w:right="-1" w:firstLine="0"/>
                  <w:jc w:val="left"/>
                  <w:rPr>
                    <w:sz w:val="20"/>
                  </w:rPr>
                </w:pPr>
                <w:r>
                  <w:rPr>
                    <w:sz w:val="20"/>
                  </w:rPr>
                  <w:t>59</w:t>
                </w:r>
              </w:p>
              <w:p>
                <w:pPr>
                  <w:spacing w:before="3"/>
                  <w:ind w:left="20" w:right="-1" w:firstLine="0"/>
                  <w:jc w:val="left"/>
                  <w:rPr>
                    <w:sz w:val="20"/>
                  </w:rPr>
                </w:pPr>
                <w:r>
                  <w:rPr>
                    <w:sz w:val="20"/>
                  </w:rPr>
                  <w:t>60</w:t>
                </w:r>
              </w:p>
            </w:txbxContent>
          </v:textbox>
          <w10:wrap type="none"/>
        </v:shape>
      </w:pict>
    </w:r>
    <w:r>
      <w:rPr/>
      <w:pict>
        <v:shape style="position:absolute;margin-left:193.024994pt;margin-top:751.299805pt;width:226.05pt;height:12pt;mso-position-horizontal-relative:page;mso-position-vertical-relative:page;z-index:-92848" type="#_x0000_t202" filled="false" stroked="false">
          <v:textbox inset="0,0,0,0">
            <w:txbxContent>
              <w:p>
                <w:pPr>
                  <w:spacing w:line="216" w:lineRule="exact" w:before="0"/>
                  <w:ind w:left="20" w:right="0" w:firstLine="0"/>
                  <w:jc w:val="left"/>
                  <w:rPr>
                    <w:b/>
                    <w:sz w:val="20"/>
                  </w:rPr>
                </w:pPr>
                <w:r>
                  <w:rPr>
                    <w:b/>
                    <w:color w:val="656565"/>
                    <w:sz w:val="20"/>
                  </w:rPr>
                  <w:t>https://mc04.manuscriptcentral.com/pvb-scielo</w:t>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264" from="83.772987pt,735.132935pt" to="538.812997pt,735.132935pt" stroked="true" strokeweight=".48pt" strokecolor="#000000">
          <w10:wrap type="none"/>
        </v:line>
      </w:pict>
    </w:r>
    <w:r>
      <w:rPr/>
      <w:pict>
        <v:shape style="position:absolute;margin-left:543.333008pt;margin-top:735.78894pt;width:13.15pt;height:12.8pt;mso-position-horizontal-relative:page;mso-position-vertical-relative:page;z-index:-94240" type="#_x0000_t202" filled="false" stroked="false">
          <v:textbox inset="0,0,0,0">
            <w:txbxContent>
              <w:p>
                <w:pPr>
                  <w:spacing w:line="245" w:lineRule="exact" w:before="0"/>
                  <w:ind w:left="20" w:right="-1" w:firstLine="0"/>
                  <w:jc w:val="left"/>
                  <w:rPr>
                    <w:rFonts w:ascii="Calibri"/>
                    <w:sz w:val="21"/>
                  </w:rPr>
                </w:pPr>
                <w:r>
                  <w:rPr>
                    <w:rFonts w:ascii="Calibri"/>
                    <w:w w:val="105"/>
                    <w:sz w:val="21"/>
                  </w:rPr>
                  <w:t>20</w:t>
                </w:r>
              </w:p>
            </w:txbxContent>
          </v:textbox>
          <w10:wrap type="none"/>
        </v:shape>
      </w:pict>
    </w:r>
    <w:r>
      <w:rPr/>
      <w:pict>
        <v:shape style="position:absolute;margin-left:84.212997pt;margin-top:737.468933pt;width:307.350pt;height:12.8pt;mso-position-horizontal-relative:page;mso-position-vertical-relative:page;z-index:-94216"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192" from="83.772987pt,735.132935pt" to="538.812997pt,735.132935pt" stroked="true" strokeweight=".48pt" strokecolor="#000000">
          <w10:wrap type="none"/>
        </v:line>
      </w:pict>
    </w:r>
    <w:r>
      <w:rPr/>
      <w:pict>
        <v:shape style="position:absolute;margin-left:542.333008pt;margin-top:735.78894pt;width:15.2pt;height:12.8pt;mso-position-horizontal-relative:page;mso-position-vertical-relative:page;z-index:-94168"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21</w:t>
                </w:r>
                <w:r>
                  <w:rPr/>
                  <w:fldChar w:fldCharType="end"/>
                </w:r>
              </w:p>
            </w:txbxContent>
          </v:textbox>
          <w10:wrap type="none"/>
        </v:shape>
      </w:pict>
    </w:r>
    <w:r>
      <w:rPr/>
      <w:pict>
        <v:shape style="position:absolute;margin-left:84.212997pt;margin-top:737.468933pt;width:307.350pt;height:12.8pt;mso-position-horizontal-relative:page;mso-position-vertical-relative:page;z-index:-94144"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120" from="83.772987pt,735.132935pt" to="538.812997pt,735.132935pt" stroked="true" strokeweight=".48pt" strokecolor="#000000">
          <w10:wrap type="none"/>
        </v:line>
      </w:pict>
    </w:r>
    <w:r>
      <w:rPr/>
      <w:pict>
        <v:shape style="position:absolute;margin-left:543.333008pt;margin-top:735.78894pt;width:13.15pt;height:12.8pt;mso-position-horizontal-relative:page;mso-position-vertical-relative:page;z-index:-94096" type="#_x0000_t202" filled="false" stroked="false">
          <v:textbox inset="0,0,0,0">
            <w:txbxContent>
              <w:p>
                <w:pPr>
                  <w:spacing w:line="245" w:lineRule="exact" w:before="0"/>
                  <w:ind w:left="20" w:right="-1" w:firstLine="0"/>
                  <w:jc w:val="left"/>
                  <w:rPr>
                    <w:rFonts w:ascii="Calibri"/>
                    <w:sz w:val="21"/>
                  </w:rPr>
                </w:pPr>
                <w:r>
                  <w:rPr>
                    <w:rFonts w:ascii="Calibri"/>
                    <w:w w:val="105"/>
                    <w:sz w:val="21"/>
                  </w:rPr>
                  <w:t>30</w:t>
                </w:r>
              </w:p>
            </w:txbxContent>
          </v:textbox>
          <w10:wrap type="none"/>
        </v:shape>
      </w:pict>
    </w:r>
    <w:r>
      <w:rPr/>
      <w:pict>
        <v:shape style="position:absolute;margin-left:84.212997pt;margin-top:737.468933pt;width:307.350pt;height:12.8pt;mso-position-horizontal-relative:page;mso-position-vertical-relative:page;z-index:-94072"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048" from="83.772987pt,735.132935pt" to="538.812997pt,735.132935pt" stroked="true" strokeweight=".48pt" strokecolor="#000000">
          <w10:wrap type="none"/>
        </v:line>
      </w:pict>
    </w:r>
    <w:r>
      <w:rPr/>
      <w:pict>
        <v:shape style="position:absolute;margin-left:542.333008pt;margin-top:735.78894pt;width:15.2pt;height:12.8pt;mso-position-horizontal-relative:page;mso-position-vertical-relative:page;z-index:-94024"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31</w:t>
                </w:r>
                <w:r>
                  <w:rPr/>
                  <w:fldChar w:fldCharType="end"/>
                </w:r>
              </w:p>
            </w:txbxContent>
          </v:textbox>
          <w10:wrap type="none"/>
        </v:shape>
      </w:pict>
    </w:r>
    <w:r>
      <w:rPr/>
      <w:pict>
        <v:shape style="position:absolute;margin-left:84.212997pt;margin-top:737.468933pt;width:307.350pt;height:12.8pt;mso-position-horizontal-relative:page;mso-position-vertical-relative:page;z-index:-94000"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976" from="83.772987pt,735.132935pt" to="538.812997pt,735.132935pt" stroked="true" strokeweight=".48pt" strokecolor="#000000">
          <w10:wrap type="none"/>
        </v:line>
      </w:pict>
    </w:r>
    <w:r>
      <w:rPr/>
      <w:pict>
        <v:shape style="position:absolute;margin-left:543.333008pt;margin-top:735.78894pt;width:13.15pt;height:12.8pt;mso-position-horizontal-relative:page;mso-position-vertical-relative:page;z-index:-93952" type="#_x0000_t202" filled="false" stroked="false">
          <v:textbox inset="0,0,0,0">
            <w:txbxContent>
              <w:p>
                <w:pPr>
                  <w:spacing w:line="245" w:lineRule="exact" w:before="0"/>
                  <w:ind w:left="20" w:right="-1" w:firstLine="0"/>
                  <w:jc w:val="left"/>
                  <w:rPr>
                    <w:rFonts w:ascii="Calibri"/>
                    <w:sz w:val="21"/>
                  </w:rPr>
                </w:pPr>
                <w:r>
                  <w:rPr>
                    <w:rFonts w:ascii="Calibri"/>
                    <w:w w:val="105"/>
                    <w:sz w:val="21"/>
                  </w:rPr>
                  <w:t>40</w:t>
                </w:r>
              </w:p>
            </w:txbxContent>
          </v:textbox>
          <w10:wrap type="none"/>
        </v:shape>
      </w:pict>
    </w:r>
    <w:r>
      <w:rPr/>
      <w:pict>
        <v:shape style="position:absolute;margin-left:84.212997pt;margin-top:737.468933pt;width:307.350pt;height:12.8pt;mso-position-horizontal-relative:page;mso-position-vertical-relative:page;z-index:-93928"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3904" from="83.772987pt,735.132935pt" to="538.812997pt,735.132935pt" stroked="true" strokeweight=".48pt" strokecolor="#000000">
          <w10:wrap type="none"/>
        </v:line>
      </w:pict>
    </w:r>
    <w:r>
      <w:rPr/>
      <w:pict>
        <v:shape style="position:absolute;margin-left:542.333008pt;margin-top:735.78894pt;width:15.2pt;height:12.8pt;mso-position-horizontal-relative:page;mso-position-vertical-relative:page;z-index:-93880" type="#_x0000_t202" filled="false" stroked="false">
          <v:textbox inset="0,0,0,0">
            <w:txbxContent>
              <w:p>
                <w:pPr>
                  <w:spacing w:line="245" w:lineRule="exact" w:before="0"/>
                  <w:ind w:left="40" w:right="0" w:firstLine="0"/>
                  <w:jc w:val="left"/>
                  <w:rPr>
                    <w:rFonts w:ascii="Calibri"/>
                    <w:sz w:val="21"/>
                  </w:rPr>
                </w:pPr>
                <w:r>
                  <w:rPr/>
                  <w:fldChar w:fldCharType="begin"/>
                </w:r>
                <w:r>
                  <w:rPr>
                    <w:rFonts w:ascii="Calibri"/>
                    <w:w w:val="105"/>
                    <w:sz w:val="21"/>
                  </w:rPr>
                  <w:instrText> PAGE </w:instrText>
                </w:r>
                <w:r>
                  <w:rPr/>
                  <w:fldChar w:fldCharType="separate"/>
                </w:r>
                <w:r>
                  <w:rPr/>
                  <w:t>41</w:t>
                </w:r>
                <w:r>
                  <w:rPr/>
                  <w:fldChar w:fldCharType="end"/>
                </w:r>
              </w:p>
            </w:txbxContent>
          </v:textbox>
          <w10:wrap type="none"/>
        </v:shape>
      </w:pict>
    </w:r>
    <w:r>
      <w:rPr/>
      <w:pict>
        <v:shape style="position:absolute;margin-left:84.212997pt;margin-top:737.468933pt;width:307.350pt;height:12.8pt;mso-position-horizontal-relative:page;mso-position-vertical-relative:page;z-index:-93856" type="#_x0000_t202" filled="false" stroked="false">
          <v:textbox inset="0,0,0,0">
            <w:txbxContent>
              <w:p>
                <w:pPr>
                  <w:spacing w:line="245" w:lineRule="exact" w:before="0"/>
                  <w:ind w:left="20" w:right="-18" w:firstLine="0"/>
                  <w:jc w:val="left"/>
                  <w:rPr>
                    <w:rFonts w:ascii="Calibri" w:hAnsi="Calibri"/>
                    <w:sz w:val="21"/>
                  </w:rPr>
                </w:pPr>
                <w:r>
                  <w:rPr>
                    <w:rFonts w:ascii="Calibri" w:hAnsi="Calibri"/>
                    <w:w w:val="105"/>
                    <w:sz w:val="21"/>
                  </w:rPr>
                  <w:t>MVZ, Esp. MCPyG Claudia Iveth Mendoza López. Diciembre de 2015.</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94528" from="83.772987pt,56.893002pt" to="556.812997pt,56.893002pt" stroked="true" strokeweight=".48pt" strokecolor="#000000">
          <w10:wrap type="none"/>
        </v:line>
      </w:pict>
    </w:r>
    <w:r>
      <w:rPr/>
      <w:pict>
        <v:shape style="position:absolute;margin-left:301.548889pt;margin-top:43.299648pt;width:254.85pt;height:12.8pt;mso-position-horizontal-relative:page;mso-position-vertical-relative:page;z-index:-94504" type="#_x0000_t202" filled="false" stroked="false">
          <v:textbox inset="0,0,0,0">
            <w:txbxContent>
              <w:p>
                <w:pPr>
                  <w:spacing w:line="242" w:lineRule="exact" w:before="0"/>
                  <w:ind w:left="20" w:right="-13" w:firstLine="0"/>
                  <w:jc w:val="left"/>
                  <w:rPr>
                    <w:rFonts w:ascii="Cambria"/>
                    <w:sz w:val="21"/>
                  </w:rPr>
                </w:pPr>
                <w:r>
                  <w:rPr>
                    <w:rFonts w:ascii="Cambria"/>
                    <w:w w:val="105"/>
                    <w:sz w:val="21"/>
                  </w:rPr>
                  <w:t>Enfermedades del tracto urinario caudal de los perros</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1"/>
      <w:numFmt w:val="bullet"/>
      <w:lvlText w:val=""/>
      <w:lvlJc w:val="left"/>
      <w:pPr>
        <w:ind w:left="864" w:hanging="360"/>
      </w:pPr>
      <w:rPr>
        <w:rFonts w:hint="default" w:ascii="Symbol" w:hAnsi="Symbol" w:eastAsia="Symbol" w:cs="Symbol"/>
        <w:w w:val="100"/>
        <w:sz w:val="24"/>
        <w:szCs w:val="24"/>
      </w:rPr>
    </w:lvl>
    <w:lvl w:ilvl="1">
      <w:start w:val="1"/>
      <w:numFmt w:val="bullet"/>
      <w:lvlText w:val=""/>
      <w:lvlJc w:val="left"/>
      <w:pPr>
        <w:ind w:left="1212" w:hanging="360"/>
      </w:pPr>
      <w:rPr>
        <w:rFonts w:hint="default" w:ascii="Symbol" w:hAnsi="Symbol" w:eastAsia="Symbol" w:cs="Symbol"/>
        <w:w w:val="99"/>
        <w:sz w:val="28"/>
        <w:szCs w:val="28"/>
      </w:rPr>
    </w:lvl>
    <w:lvl w:ilvl="2">
      <w:start w:val="1"/>
      <w:numFmt w:val="bullet"/>
      <w:lvlText w:val="•"/>
      <w:lvlJc w:val="left"/>
      <w:pPr>
        <w:ind w:left="2162" w:hanging="360"/>
      </w:pPr>
      <w:rPr>
        <w:rFonts w:hint="default"/>
      </w:rPr>
    </w:lvl>
    <w:lvl w:ilvl="3">
      <w:start w:val="1"/>
      <w:numFmt w:val="bullet"/>
      <w:lvlText w:val="•"/>
      <w:lvlJc w:val="left"/>
      <w:pPr>
        <w:ind w:left="3104"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988" w:hanging="360"/>
      </w:pPr>
      <w:rPr>
        <w:rFonts w:hint="default"/>
      </w:rPr>
    </w:lvl>
    <w:lvl w:ilvl="6">
      <w:start w:val="1"/>
      <w:numFmt w:val="bullet"/>
      <w:lvlText w:val="•"/>
      <w:lvlJc w:val="left"/>
      <w:pPr>
        <w:ind w:left="5931" w:hanging="360"/>
      </w:pPr>
      <w:rPr>
        <w:rFonts w:hint="default"/>
      </w:rPr>
    </w:lvl>
    <w:lvl w:ilvl="7">
      <w:start w:val="1"/>
      <w:numFmt w:val="bullet"/>
      <w:lvlText w:val="•"/>
      <w:lvlJc w:val="left"/>
      <w:pPr>
        <w:ind w:left="6873" w:hanging="360"/>
      </w:pPr>
      <w:rPr>
        <w:rFonts w:hint="default"/>
      </w:rPr>
    </w:lvl>
    <w:lvl w:ilvl="8">
      <w:start w:val="1"/>
      <w:numFmt w:val="bullet"/>
      <w:lvlText w:val="•"/>
      <w:lvlJc w:val="left"/>
      <w:pPr>
        <w:ind w:left="7815" w:hanging="360"/>
      </w:pPr>
      <w:rPr>
        <w:rFonts w:hint="default"/>
      </w:rPr>
    </w:lvl>
  </w:abstractNum>
  <w:abstractNum w:abstractNumId="0">
    <w:multiLevelType w:val="hybridMultilevel"/>
    <w:lvl w:ilvl="0">
      <w:start w:val="1"/>
      <w:numFmt w:val="bullet"/>
      <w:lvlText w:val=""/>
      <w:lvlJc w:val="left"/>
      <w:pPr>
        <w:ind w:left="864" w:hanging="360"/>
      </w:pPr>
      <w:rPr>
        <w:rFonts w:hint="default" w:ascii="Symbol" w:hAnsi="Symbol" w:eastAsia="Symbol" w:cs="Symbol"/>
        <w:w w:val="100"/>
        <w:sz w:val="24"/>
        <w:szCs w:val="24"/>
      </w:rPr>
    </w:lvl>
    <w:lvl w:ilvl="1">
      <w:start w:val="1"/>
      <w:numFmt w:val="bullet"/>
      <w:lvlText w:val=""/>
      <w:lvlJc w:val="left"/>
      <w:pPr>
        <w:ind w:left="1212" w:hanging="360"/>
      </w:pPr>
      <w:rPr>
        <w:rFonts w:hint="default" w:ascii="Symbol" w:hAnsi="Symbol" w:eastAsia="Symbol" w:cs="Symbol"/>
        <w:w w:val="100"/>
        <w:sz w:val="24"/>
        <w:szCs w:val="24"/>
      </w:rPr>
    </w:lvl>
    <w:lvl w:ilvl="2">
      <w:start w:val="1"/>
      <w:numFmt w:val="bullet"/>
      <w:lvlText w:val="•"/>
      <w:lvlJc w:val="left"/>
      <w:pPr>
        <w:ind w:left="2162" w:hanging="360"/>
      </w:pPr>
      <w:rPr>
        <w:rFonts w:hint="default"/>
      </w:rPr>
    </w:lvl>
    <w:lvl w:ilvl="3">
      <w:start w:val="1"/>
      <w:numFmt w:val="bullet"/>
      <w:lvlText w:val="•"/>
      <w:lvlJc w:val="left"/>
      <w:pPr>
        <w:ind w:left="3104" w:hanging="360"/>
      </w:pPr>
      <w:rPr>
        <w:rFonts w:hint="default"/>
      </w:rPr>
    </w:lvl>
    <w:lvl w:ilvl="4">
      <w:start w:val="1"/>
      <w:numFmt w:val="bullet"/>
      <w:lvlText w:val="•"/>
      <w:lvlJc w:val="left"/>
      <w:pPr>
        <w:ind w:left="4046" w:hanging="360"/>
      </w:pPr>
      <w:rPr>
        <w:rFonts w:hint="default"/>
      </w:rPr>
    </w:lvl>
    <w:lvl w:ilvl="5">
      <w:start w:val="1"/>
      <w:numFmt w:val="bullet"/>
      <w:lvlText w:val="•"/>
      <w:lvlJc w:val="left"/>
      <w:pPr>
        <w:ind w:left="4988" w:hanging="360"/>
      </w:pPr>
      <w:rPr>
        <w:rFonts w:hint="default"/>
      </w:rPr>
    </w:lvl>
    <w:lvl w:ilvl="6">
      <w:start w:val="1"/>
      <w:numFmt w:val="bullet"/>
      <w:lvlText w:val="•"/>
      <w:lvlJc w:val="left"/>
      <w:pPr>
        <w:ind w:left="5931" w:hanging="360"/>
      </w:pPr>
      <w:rPr>
        <w:rFonts w:hint="default"/>
      </w:rPr>
    </w:lvl>
    <w:lvl w:ilvl="7">
      <w:start w:val="1"/>
      <w:numFmt w:val="bullet"/>
      <w:lvlText w:val="•"/>
      <w:lvlJc w:val="left"/>
      <w:pPr>
        <w:ind w:left="6873" w:hanging="360"/>
      </w:pPr>
      <w:rPr>
        <w:rFonts w:hint="default"/>
      </w:rPr>
    </w:lvl>
    <w:lvl w:ilvl="8">
      <w:start w:val="1"/>
      <w:numFmt w:val="bullet"/>
      <w:lvlText w:val="•"/>
      <w:lvlJc w:val="left"/>
      <w:pPr>
        <w:ind w:left="7815" w:hanging="360"/>
      </w:pPr>
      <w:rPr>
        <w:rFonts w:hint="default"/>
      </w:rPr>
    </w:lvl>
  </w:abstractNum>
  <w:abstractNum w:abstractNumId="115">
    <w:multiLevelType w:val="hybridMultilevel"/>
    <w:lvl w:ilvl="0">
      <w:start w:val="32"/>
      <w:numFmt w:val="decimal"/>
      <w:lvlText w:val="%1"/>
      <w:lvlJc w:val="left"/>
      <w:pPr>
        <w:ind w:left="1807" w:hanging="1648"/>
        <w:jc w:val="left"/>
      </w:pPr>
      <w:rPr>
        <w:rFonts w:hint="default" w:ascii="Arial" w:hAnsi="Arial" w:eastAsia="Arial" w:cs="Arial"/>
        <w:spacing w:val="-2"/>
        <w:w w:val="100"/>
        <w:position w:val="5"/>
        <w:sz w:val="20"/>
        <w:szCs w:val="20"/>
      </w:rPr>
    </w:lvl>
    <w:lvl w:ilvl="1">
      <w:start w:val="1"/>
      <w:numFmt w:val="bullet"/>
      <w:lvlText w:val="•"/>
      <w:lvlJc w:val="left"/>
      <w:pPr>
        <w:ind w:left="2712" w:hanging="1648"/>
      </w:pPr>
      <w:rPr>
        <w:rFonts w:hint="default"/>
      </w:rPr>
    </w:lvl>
    <w:lvl w:ilvl="2">
      <w:start w:val="1"/>
      <w:numFmt w:val="bullet"/>
      <w:lvlText w:val="•"/>
      <w:lvlJc w:val="left"/>
      <w:pPr>
        <w:ind w:left="3624" w:hanging="1648"/>
      </w:pPr>
      <w:rPr>
        <w:rFonts w:hint="default"/>
      </w:rPr>
    </w:lvl>
    <w:lvl w:ilvl="3">
      <w:start w:val="1"/>
      <w:numFmt w:val="bullet"/>
      <w:lvlText w:val="•"/>
      <w:lvlJc w:val="left"/>
      <w:pPr>
        <w:ind w:left="4536" w:hanging="1648"/>
      </w:pPr>
      <w:rPr>
        <w:rFonts w:hint="default"/>
      </w:rPr>
    </w:lvl>
    <w:lvl w:ilvl="4">
      <w:start w:val="1"/>
      <w:numFmt w:val="bullet"/>
      <w:lvlText w:val="•"/>
      <w:lvlJc w:val="left"/>
      <w:pPr>
        <w:ind w:left="5448" w:hanging="1648"/>
      </w:pPr>
      <w:rPr>
        <w:rFonts w:hint="default"/>
      </w:rPr>
    </w:lvl>
    <w:lvl w:ilvl="5">
      <w:start w:val="1"/>
      <w:numFmt w:val="bullet"/>
      <w:lvlText w:val="•"/>
      <w:lvlJc w:val="left"/>
      <w:pPr>
        <w:ind w:left="6360" w:hanging="1648"/>
      </w:pPr>
      <w:rPr>
        <w:rFonts w:hint="default"/>
      </w:rPr>
    </w:lvl>
    <w:lvl w:ilvl="6">
      <w:start w:val="1"/>
      <w:numFmt w:val="bullet"/>
      <w:lvlText w:val="•"/>
      <w:lvlJc w:val="left"/>
      <w:pPr>
        <w:ind w:left="7272" w:hanging="1648"/>
      </w:pPr>
      <w:rPr>
        <w:rFonts w:hint="default"/>
      </w:rPr>
    </w:lvl>
    <w:lvl w:ilvl="7">
      <w:start w:val="1"/>
      <w:numFmt w:val="bullet"/>
      <w:lvlText w:val="•"/>
      <w:lvlJc w:val="left"/>
      <w:pPr>
        <w:ind w:left="8184" w:hanging="1648"/>
      </w:pPr>
      <w:rPr>
        <w:rFonts w:hint="default"/>
      </w:rPr>
    </w:lvl>
    <w:lvl w:ilvl="8">
      <w:start w:val="1"/>
      <w:numFmt w:val="bullet"/>
      <w:lvlText w:val="•"/>
      <w:lvlJc w:val="left"/>
      <w:pPr>
        <w:ind w:left="9096" w:hanging="1648"/>
      </w:pPr>
      <w:rPr>
        <w:rFonts w:hint="default"/>
      </w:rPr>
    </w:lvl>
  </w:abstractNum>
  <w:abstractNum w:abstractNumId="114">
    <w:multiLevelType w:val="hybridMultilevel"/>
    <w:lvl w:ilvl="0">
      <w:start w:val="9"/>
      <w:numFmt w:val="decimal"/>
      <w:lvlText w:val="%1"/>
      <w:lvlJc w:val="left"/>
      <w:pPr>
        <w:ind w:left="1132" w:hanging="973"/>
        <w:jc w:val="left"/>
      </w:pPr>
      <w:rPr>
        <w:rFonts w:hint="default" w:ascii="Arial" w:hAnsi="Arial" w:eastAsia="Arial" w:cs="Arial"/>
        <w:spacing w:val="-3"/>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113">
    <w:multiLevelType w:val="hybridMultilevel"/>
    <w:lvl w:ilvl="0">
      <w:start w:val="6"/>
      <w:numFmt w:val="decimal"/>
      <w:lvlText w:val="%1"/>
      <w:lvlJc w:val="left"/>
      <w:pPr>
        <w:ind w:left="1132" w:hanging="973"/>
        <w:jc w:val="left"/>
      </w:pPr>
      <w:rPr>
        <w:rFonts w:hint="default" w:ascii="Arial" w:hAnsi="Arial" w:eastAsia="Arial" w:cs="Arial"/>
        <w:spacing w:val="-3"/>
        <w:w w:val="99"/>
        <w:position w:val="8"/>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111">
    <w:multiLevelType w:val="hybridMultilevel"/>
    <w:lvl w:ilvl="0">
      <w:start w:val="1"/>
      <w:numFmt w:val="bullet"/>
      <w:lvlText w:val=""/>
      <w:lvlJc w:val="left"/>
      <w:pPr>
        <w:ind w:left="984" w:hanging="360"/>
      </w:pPr>
      <w:rPr>
        <w:rFonts w:hint="default" w:ascii="Symbol" w:hAnsi="Symbol" w:eastAsia="Symbol" w:cs="Symbol"/>
        <w:w w:val="100"/>
        <w:sz w:val="24"/>
        <w:szCs w:val="24"/>
      </w:rPr>
    </w:lvl>
    <w:lvl w:ilvl="1">
      <w:start w:val="1"/>
      <w:numFmt w:val="bullet"/>
      <w:lvlText w:val="•"/>
      <w:lvlJc w:val="left"/>
      <w:pPr>
        <w:ind w:left="1329" w:hanging="360"/>
      </w:pPr>
      <w:rPr>
        <w:rFonts w:hint="default"/>
      </w:rPr>
    </w:lvl>
    <w:lvl w:ilvl="2">
      <w:start w:val="1"/>
      <w:numFmt w:val="bullet"/>
      <w:lvlText w:val="•"/>
      <w:lvlJc w:val="left"/>
      <w:pPr>
        <w:ind w:left="1679" w:hanging="360"/>
      </w:pPr>
      <w:rPr>
        <w:rFonts w:hint="default"/>
      </w:rPr>
    </w:lvl>
    <w:lvl w:ilvl="3">
      <w:start w:val="1"/>
      <w:numFmt w:val="bullet"/>
      <w:lvlText w:val="•"/>
      <w:lvlJc w:val="left"/>
      <w:pPr>
        <w:ind w:left="2029" w:hanging="360"/>
      </w:pPr>
      <w:rPr>
        <w:rFonts w:hint="default"/>
      </w:rPr>
    </w:lvl>
    <w:lvl w:ilvl="4">
      <w:start w:val="1"/>
      <w:numFmt w:val="bullet"/>
      <w:lvlText w:val="•"/>
      <w:lvlJc w:val="left"/>
      <w:pPr>
        <w:ind w:left="2379" w:hanging="360"/>
      </w:pPr>
      <w:rPr>
        <w:rFonts w:hint="default"/>
      </w:rPr>
    </w:lvl>
    <w:lvl w:ilvl="5">
      <w:start w:val="1"/>
      <w:numFmt w:val="bullet"/>
      <w:lvlText w:val="•"/>
      <w:lvlJc w:val="left"/>
      <w:pPr>
        <w:ind w:left="2729" w:hanging="360"/>
      </w:pPr>
      <w:rPr>
        <w:rFonts w:hint="default"/>
      </w:rPr>
    </w:lvl>
    <w:lvl w:ilvl="6">
      <w:start w:val="1"/>
      <w:numFmt w:val="bullet"/>
      <w:lvlText w:val="•"/>
      <w:lvlJc w:val="left"/>
      <w:pPr>
        <w:ind w:left="3078" w:hanging="360"/>
      </w:pPr>
      <w:rPr>
        <w:rFonts w:hint="default"/>
      </w:rPr>
    </w:lvl>
    <w:lvl w:ilvl="7">
      <w:start w:val="1"/>
      <w:numFmt w:val="bullet"/>
      <w:lvlText w:val="•"/>
      <w:lvlJc w:val="left"/>
      <w:pPr>
        <w:ind w:left="3428" w:hanging="360"/>
      </w:pPr>
      <w:rPr>
        <w:rFonts w:hint="default"/>
      </w:rPr>
    </w:lvl>
    <w:lvl w:ilvl="8">
      <w:start w:val="1"/>
      <w:numFmt w:val="bullet"/>
      <w:lvlText w:val="•"/>
      <w:lvlJc w:val="left"/>
      <w:pPr>
        <w:ind w:left="3778" w:hanging="360"/>
      </w:pPr>
      <w:rPr>
        <w:rFonts w:hint="default"/>
      </w:rPr>
    </w:lvl>
  </w:abstractNum>
  <w:abstractNum w:abstractNumId="110">
    <w:multiLevelType w:val="hybridMultilevel"/>
    <w:lvl w:ilvl="0">
      <w:start w:val="1"/>
      <w:numFmt w:val="bullet"/>
      <w:lvlText w:val=""/>
      <w:lvlJc w:val="left"/>
      <w:pPr>
        <w:ind w:left="984" w:hanging="360"/>
      </w:pPr>
      <w:rPr>
        <w:rFonts w:hint="default" w:ascii="Symbol" w:hAnsi="Symbol" w:eastAsia="Symbol" w:cs="Symbol"/>
        <w:w w:val="100"/>
        <w:sz w:val="24"/>
        <w:szCs w:val="24"/>
      </w:rPr>
    </w:lvl>
    <w:lvl w:ilvl="1">
      <w:start w:val="1"/>
      <w:numFmt w:val="bullet"/>
      <w:lvlText w:val="•"/>
      <w:lvlJc w:val="left"/>
      <w:pPr>
        <w:ind w:left="1329" w:hanging="360"/>
      </w:pPr>
      <w:rPr>
        <w:rFonts w:hint="default"/>
      </w:rPr>
    </w:lvl>
    <w:lvl w:ilvl="2">
      <w:start w:val="1"/>
      <w:numFmt w:val="bullet"/>
      <w:lvlText w:val="•"/>
      <w:lvlJc w:val="left"/>
      <w:pPr>
        <w:ind w:left="1679" w:hanging="360"/>
      </w:pPr>
      <w:rPr>
        <w:rFonts w:hint="default"/>
      </w:rPr>
    </w:lvl>
    <w:lvl w:ilvl="3">
      <w:start w:val="1"/>
      <w:numFmt w:val="bullet"/>
      <w:lvlText w:val="•"/>
      <w:lvlJc w:val="left"/>
      <w:pPr>
        <w:ind w:left="2029" w:hanging="360"/>
      </w:pPr>
      <w:rPr>
        <w:rFonts w:hint="default"/>
      </w:rPr>
    </w:lvl>
    <w:lvl w:ilvl="4">
      <w:start w:val="1"/>
      <w:numFmt w:val="bullet"/>
      <w:lvlText w:val="•"/>
      <w:lvlJc w:val="left"/>
      <w:pPr>
        <w:ind w:left="2379" w:hanging="360"/>
      </w:pPr>
      <w:rPr>
        <w:rFonts w:hint="default"/>
      </w:rPr>
    </w:lvl>
    <w:lvl w:ilvl="5">
      <w:start w:val="1"/>
      <w:numFmt w:val="bullet"/>
      <w:lvlText w:val="•"/>
      <w:lvlJc w:val="left"/>
      <w:pPr>
        <w:ind w:left="2729" w:hanging="360"/>
      </w:pPr>
      <w:rPr>
        <w:rFonts w:hint="default"/>
      </w:rPr>
    </w:lvl>
    <w:lvl w:ilvl="6">
      <w:start w:val="1"/>
      <w:numFmt w:val="bullet"/>
      <w:lvlText w:val="•"/>
      <w:lvlJc w:val="left"/>
      <w:pPr>
        <w:ind w:left="3078" w:hanging="360"/>
      </w:pPr>
      <w:rPr>
        <w:rFonts w:hint="default"/>
      </w:rPr>
    </w:lvl>
    <w:lvl w:ilvl="7">
      <w:start w:val="1"/>
      <w:numFmt w:val="bullet"/>
      <w:lvlText w:val="•"/>
      <w:lvlJc w:val="left"/>
      <w:pPr>
        <w:ind w:left="3428" w:hanging="360"/>
      </w:pPr>
      <w:rPr>
        <w:rFonts w:hint="default"/>
      </w:rPr>
    </w:lvl>
    <w:lvl w:ilvl="8">
      <w:start w:val="1"/>
      <w:numFmt w:val="bullet"/>
      <w:lvlText w:val="•"/>
      <w:lvlJc w:val="left"/>
      <w:pPr>
        <w:ind w:left="3778" w:hanging="360"/>
      </w:pPr>
      <w:rPr>
        <w:rFonts w:hint="default"/>
      </w:rPr>
    </w:lvl>
  </w:abstractNum>
  <w:abstractNum w:abstractNumId="109">
    <w:multiLevelType w:val="hybridMultilevel"/>
    <w:lvl w:ilvl="0">
      <w:start w:val="1"/>
      <w:numFmt w:val="bullet"/>
      <w:lvlText w:val=""/>
      <w:lvlJc w:val="left"/>
      <w:pPr>
        <w:ind w:left="984" w:hanging="360"/>
      </w:pPr>
      <w:rPr>
        <w:rFonts w:hint="default" w:ascii="Symbol" w:hAnsi="Symbol" w:eastAsia="Symbol" w:cs="Symbol"/>
        <w:w w:val="100"/>
        <w:sz w:val="24"/>
        <w:szCs w:val="24"/>
      </w:rPr>
    </w:lvl>
    <w:lvl w:ilvl="1">
      <w:start w:val="1"/>
      <w:numFmt w:val="bullet"/>
      <w:lvlText w:val="•"/>
      <w:lvlJc w:val="left"/>
      <w:pPr>
        <w:ind w:left="1329" w:hanging="360"/>
      </w:pPr>
      <w:rPr>
        <w:rFonts w:hint="default"/>
      </w:rPr>
    </w:lvl>
    <w:lvl w:ilvl="2">
      <w:start w:val="1"/>
      <w:numFmt w:val="bullet"/>
      <w:lvlText w:val="•"/>
      <w:lvlJc w:val="left"/>
      <w:pPr>
        <w:ind w:left="1679" w:hanging="360"/>
      </w:pPr>
      <w:rPr>
        <w:rFonts w:hint="default"/>
      </w:rPr>
    </w:lvl>
    <w:lvl w:ilvl="3">
      <w:start w:val="1"/>
      <w:numFmt w:val="bullet"/>
      <w:lvlText w:val="•"/>
      <w:lvlJc w:val="left"/>
      <w:pPr>
        <w:ind w:left="2029" w:hanging="360"/>
      </w:pPr>
      <w:rPr>
        <w:rFonts w:hint="default"/>
      </w:rPr>
    </w:lvl>
    <w:lvl w:ilvl="4">
      <w:start w:val="1"/>
      <w:numFmt w:val="bullet"/>
      <w:lvlText w:val="•"/>
      <w:lvlJc w:val="left"/>
      <w:pPr>
        <w:ind w:left="2379" w:hanging="360"/>
      </w:pPr>
      <w:rPr>
        <w:rFonts w:hint="default"/>
      </w:rPr>
    </w:lvl>
    <w:lvl w:ilvl="5">
      <w:start w:val="1"/>
      <w:numFmt w:val="bullet"/>
      <w:lvlText w:val="•"/>
      <w:lvlJc w:val="left"/>
      <w:pPr>
        <w:ind w:left="2729" w:hanging="360"/>
      </w:pPr>
      <w:rPr>
        <w:rFonts w:hint="default"/>
      </w:rPr>
    </w:lvl>
    <w:lvl w:ilvl="6">
      <w:start w:val="1"/>
      <w:numFmt w:val="bullet"/>
      <w:lvlText w:val="•"/>
      <w:lvlJc w:val="left"/>
      <w:pPr>
        <w:ind w:left="3078" w:hanging="360"/>
      </w:pPr>
      <w:rPr>
        <w:rFonts w:hint="default"/>
      </w:rPr>
    </w:lvl>
    <w:lvl w:ilvl="7">
      <w:start w:val="1"/>
      <w:numFmt w:val="bullet"/>
      <w:lvlText w:val="•"/>
      <w:lvlJc w:val="left"/>
      <w:pPr>
        <w:ind w:left="3428" w:hanging="360"/>
      </w:pPr>
      <w:rPr>
        <w:rFonts w:hint="default"/>
      </w:rPr>
    </w:lvl>
    <w:lvl w:ilvl="8">
      <w:start w:val="1"/>
      <w:numFmt w:val="bullet"/>
      <w:lvlText w:val="•"/>
      <w:lvlJc w:val="left"/>
      <w:pPr>
        <w:ind w:left="3778" w:hanging="360"/>
      </w:pPr>
      <w:rPr>
        <w:rFonts w:hint="default"/>
      </w:rPr>
    </w:lvl>
  </w:abstractNum>
  <w:abstractNum w:abstractNumId="108">
    <w:multiLevelType w:val="hybridMultilevel"/>
    <w:lvl w:ilvl="0">
      <w:start w:val="1"/>
      <w:numFmt w:val="bullet"/>
      <w:lvlText w:val=""/>
      <w:lvlJc w:val="left"/>
      <w:pPr>
        <w:ind w:left="984" w:hanging="360"/>
      </w:pPr>
      <w:rPr>
        <w:rFonts w:hint="default" w:ascii="Symbol" w:hAnsi="Symbol" w:eastAsia="Symbol" w:cs="Symbol"/>
        <w:w w:val="100"/>
        <w:sz w:val="24"/>
        <w:szCs w:val="24"/>
      </w:rPr>
    </w:lvl>
    <w:lvl w:ilvl="1">
      <w:start w:val="1"/>
      <w:numFmt w:val="bullet"/>
      <w:lvlText w:val="•"/>
      <w:lvlJc w:val="left"/>
      <w:pPr>
        <w:ind w:left="1329" w:hanging="360"/>
      </w:pPr>
      <w:rPr>
        <w:rFonts w:hint="default"/>
      </w:rPr>
    </w:lvl>
    <w:lvl w:ilvl="2">
      <w:start w:val="1"/>
      <w:numFmt w:val="bullet"/>
      <w:lvlText w:val="•"/>
      <w:lvlJc w:val="left"/>
      <w:pPr>
        <w:ind w:left="1679" w:hanging="360"/>
      </w:pPr>
      <w:rPr>
        <w:rFonts w:hint="default"/>
      </w:rPr>
    </w:lvl>
    <w:lvl w:ilvl="3">
      <w:start w:val="1"/>
      <w:numFmt w:val="bullet"/>
      <w:lvlText w:val="•"/>
      <w:lvlJc w:val="left"/>
      <w:pPr>
        <w:ind w:left="2029" w:hanging="360"/>
      </w:pPr>
      <w:rPr>
        <w:rFonts w:hint="default"/>
      </w:rPr>
    </w:lvl>
    <w:lvl w:ilvl="4">
      <w:start w:val="1"/>
      <w:numFmt w:val="bullet"/>
      <w:lvlText w:val="•"/>
      <w:lvlJc w:val="left"/>
      <w:pPr>
        <w:ind w:left="2379" w:hanging="360"/>
      </w:pPr>
      <w:rPr>
        <w:rFonts w:hint="default"/>
      </w:rPr>
    </w:lvl>
    <w:lvl w:ilvl="5">
      <w:start w:val="1"/>
      <w:numFmt w:val="bullet"/>
      <w:lvlText w:val="•"/>
      <w:lvlJc w:val="left"/>
      <w:pPr>
        <w:ind w:left="2729" w:hanging="360"/>
      </w:pPr>
      <w:rPr>
        <w:rFonts w:hint="default"/>
      </w:rPr>
    </w:lvl>
    <w:lvl w:ilvl="6">
      <w:start w:val="1"/>
      <w:numFmt w:val="bullet"/>
      <w:lvlText w:val="•"/>
      <w:lvlJc w:val="left"/>
      <w:pPr>
        <w:ind w:left="3078" w:hanging="360"/>
      </w:pPr>
      <w:rPr>
        <w:rFonts w:hint="default"/>
      </w:rPr>
    </w:lvl>
    <w:lvl w:ilvl="7">
      <w:start w:val="1"/>
      <w:numFmt w:val="bullet"/>
      <w:lvlText w:val="•"/>
      <w:lvlJc w:val="left"/>
      <w:pPr>
        <w:ind w:left="3428" w:hanging="360"/>
      </w:pPr>
      <w:rPr>
        <w:rFonts w:hint="default"/>
      </w:rPr>
    </w:lvl>
    <w:lvl w:ilvl="8">
      <w:start w:val="1"/>
      <w:numFmt w:val="bullet"/>
      <w:lvlText w:val="•"/>
      <w:lvlJc w:val="left"/>
      <w:pPr>
        <w:ind w:left="3778" w:hanging="360"/>
      </w:pPr>
      <w:rPr>
        <w:rFonts w:hint="default"/>
      </w:rPr>
    </w:lvl>
  </w:abstractNum>
  <w:abstractNum w:abstractNumId="107">
    <w:multiLevelType w:val="hybridMultilevel"/>
    <w:lvl w:ilvl="0">
      <w:start w:val="1"/>
      <w:numFmt w:val="bullet"/>
      <w:lvlText w:val=""/>
      <w:lvlJc w:val="left"/>
      <w:pPr>
        <w:ind w:left="984" w:hanging="360"/>
      </w:pPr>
      <w:rPr>
        <w:rFonts w:hint="default" w:ascii="Symbol" w:hAnsi="Symbol" w:eastAsia="Symbol" w:cs="Symbol"/>
        <w:w w:val="100"/>
        <w:sz w:val="24"/>
        <w:szCs w:val="24"/>
      </w:rPr>
    </w:lvl>
    <w:lvl w:ilvl="1">
      <w:start w:val="1"/>
      <w:numFmt w:val="bullet"/>
      <w:lvlText w:val="•"/>
      <w:lvlJc w:val="left"/>
      <w:pPr>
        <w:ind w:left="1329" w:hanging="360"/>
      </w:pPr>
      <w:rPr>
        <w:rFonts w:hint="default"/>
      </w:rPr>
    </w:lvl>
    <w:lvl w:ilvl="2">
      <w:start w:val="1"/>
      <w:numFmt w:val="bullet"/>
      <w:lvlText w:val="•"/>
      <w:lvlJc w:val="left"/>
      <w:pPr>
        <w:ind w:left="1679" w:hanging="360"/>
      </w:pPr>
      <w:rPr>
        <w:rFonts w:hint="default"/>
      </w:rPr>
    </w:lvl>
    <w:lvl w:ilvl="3">
      <w:start w:val="1"/>
      <w:numFmt w:val="bullet"/>
      <w:lvlText w:val="•"/>
      <w:lvlJc w:val="left"/>
      <w:pPr>
        <w:ind w:left="2029" w:hanging="360"/>
      </w:pPr>
      <w:rPr>
        <w:rFonts w:hint="default"/>
      </w:rPr>
    </w:lvl>
    <w:lvl w:ilvl="4">
      <w:start w:val="1"/>
      <w:numFmt w:val="bullet"/>
      <w:lvlText w:val="•"/>
      <w:lvlJc w:val="left"/>
      <w:pPr>
        <w:ind w:left="2379" w:hanging="360"/>
      </w:pPr>
      <w:rPr>
        <w:rFonts w:hint="default"/>
      </w:rPr>
    </w:lvl>
    <w:lvl w:ilvl="5">
      <w:start w:val="1"/>
      <w:numFmt w:val="bullet"/>
      <w:lvlText w:val="•"/>
      <w:lvlJc w:val="left"/>
      <w:pPr>
        <w:ind w:left="2729" w:hanging="360"/>
      </w:pPr>
      <w:rPr>
        <w:rFonts w:hint="default"/>
      </w:rPr>
    </w:lvl>
    <w:lvl w:ilvl="6">
      <w:start w:val="1"/>
      <w:numFmt w:val="bullet"/>
      <w:lvlText w:val="•"/>
      <w:lvlJc w:val="left"/>
      <w:pPr>
        <w:ind w:left="3078" w:hanging="360"/>
      </w:pPr>
      <w:rPr>
        <w:rFonts w:hint="default"/>
      </w:rPr>
    </w:lvl>
    <w:lvl w:ilvl="7">
      <w:start w:val="1"/>
      <w:numFmt w:val="bullet"/>
      <w:lvlText w:val="•"/>
      <w:lvlJc w:val="left"/>
      <w:pPr>
        <w:ind w:left="3428" w:hanging="360"/>
      </w:pPr>
      <w:rPr>
        <w:rFonts w:hint="default"/>
      </w:rPr>
    </w:lvl>
    <w:lvl w:ilvl="8">
      <w:start w:val="1"/>
      <w:numFmt w:val="bullet"/>
      <w:lvlText w:val="•"/>
      <w:lvlJc w:val="left"/>
      <w:pPr>
        <w:ind w:left="3778" w:hanging="360"/>
      </w:pPr>
      <w:rPr>
        <w:rFonts w:hint="default"/>
      </w:rPr>
    </w:lvl>
  </w:abstractNum>
  <w:abstractNum w:abstractNumId="106">
    <w:multiLevelType w:val="hybridMultilevel"/>
    <w:lvl w:ilvl="0">
      <w:start w:val="1"/>
      <w:numFmt w:val="bullet"/>
      <w:lvlText w:val=""/>
      <w:lvlJc w:val="left"/>
      <w:pPr>
        <w:ind w:left="984" w:hanging="360"/>
      </w:pPr>
      <w:rPr>
        <w:rFonts w:hint="default" w:ascii="Symbol" w:hAnsi="Symbol" w:eastAsia="Symbol" w:cs="Symbol"/>
        <w:w w:val="100"/>
        <w:sz w:val="24"/>
        <w:szCs w:val="24"/>
      </w:rPr>
    </w:lvl>
    <w:lvl w:ilvl="1">
      <w:start w:val="1"/>
      <w:numFmt w:val="bullet"/>
      <w:lvlText w:val="•"/>
      <w:lvlJc w:val="left"/>
      <w:pPr>
        <w:ind w:left="1329" w:hanging="360"/>
      </w:pPr>
      <w:rPr>
        <w:rFonts w:hint="default"/>
      </w:rPr>
    </w:lvl>
    <w:lvl w:ilvl="2">
      <w:start w:val="1"/>
      <w:numFmt w:val="bullet"/>
      <w:lvlText w:val="•"/>
      <w:lvlJc w:val="left"/>
      <w:pPr>
        <w:ind w:left="1679" w:hanging="360"/>
      </w:pPr>
      <w:rPr>
        <w:rFonts w:hint="default"/>
      </w:rPr>
    </w:lvl>
    <w:lvl w:ilvl="3">
      <w:start w:val="1"/>
      <w:numFmt w:val="bullet"/>
      <w:lvlText w:val="•"/>
      <w:lvlJc w:val="left"/>
      <w:pPr>
        <w:ind w:left="2029" w:hanging="360"/>
      </w:pPr>
      <w:rPr>
        <w:rFonts w:hint="default"/>
      </w:rPr>
    </w:lvl>
    <w:lvl w:ilvl="4">
      <w:start w:val="1"/>
      <w:numFmt w:val="bullet"/>
      <w:lvlText w:val="•"/>
      <w:lvlJc w:val="left"/>
      <w:pPr>
        <w:ind w:left="2379" w:hanging="360"/>
      </w:pPr>
      <w:rPr>
        <w:rFonts w:hint="default"/>
      </w:rPr>
    </w:lvl>
    <w:lvl w:ilvl="5">
      <w:start w:val="1"/>
      <w:numFmt w:val="bullet"/>
      <w:lvlText w:val="•"/>
      <w:lvlJc w:val="left"/>
      <w:pPr>
        <w:ind w:left="2729" w:hanging="360"/>
      </w:pPr>
      <w:rPr>
        <w:rFonts w:hint="default"/>
      </w:rPr>
    </w:lvl>
    <w:lvl w:ilvl="6">
      <w:start w:val="1"/>
      <w:numFmt w:val="bullet"/>
      <w:lvlText w:val="•"/>
      <w:lvlJc w:val="left"/>
      <w:pPr>
        <w:ind w:left="3078" w:hanging="360"/>
      </w:pPr>
      <w:rPr>
        <w:rFonts w:hint="default"/>
      </w:rPr>
    </w:lvl>
    <w:lvl w:ilvl="7">
      <w:start w:val="1"/>
      <w:numFmt w:val="bullet"/>
      <w:lvlText w:val="•"/>
      <w:lvlJc w:val="left"/>
      <w:pPr>
        <w:ind w:left="3428" w:hanging="360"/>
      </w:pPr>
      <w:rPr>
        <w:rFonts w:hint="default"/>
      </w:rPr>
    </w:lvl>
    <w:lvl w:ilvl="8">
      <w:start w:val="1"/>
      <w:numFmt w:val="bullet"/>
      <w:lvlText w:val="•"/>
      <w:lvlJc w:val="left"/>
      <w:pPr>
        <w:ind w:left="3778" w:hanging="360"/>
      </w:pPr>
      <w:rPr>
        <w:rFonts w:hint="default"/>
      </w:rPr>
    </w:lvl>
  </w:abstractNum>
  <w:abstractNum w:abstractNumId="105">
    <w:multiLevelType w:val="hybridMultilevel"/>
    <w:lvl w:ilvl="0">
      <w:start w:val="1"/>
      <w:numFmt w:val="bullet"/>
      <w:lvlText w:val=""/>
      <w:lvlJc w:val="left"/>
      <w:pPr>
        <w:ind w:left="984" w:hanging="360"/>
      </w:pPr>
      <w:rPr>
        <w:rFonts w:hint="default" w:ascii="Symbol" w:hAnsi="Symbol" w:eastAsia="Symbol" w:cs="Symbol"/>
        <w:w w:val="100"/>
        <w:sz w:val="24"/>
        <w:szCs w:val="24"/>
      </w:rPr>
    </w:lvl>
    <w:lvl w:ilvl="1">
      <w:start w:val="1"/>
      <w:numFmt w:val="bullet"/>
      <w:lvlText w:val="•"/>
      <w:lvlJc w:val="left"/>
      <w:pPr>
        <w:ind w:left="1329" w:hanging="360"/>
      </w:pPr>
      <w:rPr>
        <w:rFonts w:hint="default"/>
      </w:rPr>
    </w:lvl>
    <w:lvl w:ilvl="2">
      <w:start w:val="1"/>
      <w:numFmt w:val="bullet"/>
      <w:lvlText w:val="•"/>
      <w:lvlJc w:val="left"/>
      <w:pPr>
        <w:ind w:left="1679" w:hanging="360"/>
      </w:pPr>
      <w:rPr>
        <w:rFonts w:hint="default"/>
      </w:rPr>
    </w:lvl>
    <w:lvl w:ilvl="3">
      <w:start w:val="1"/>
      <w:numFmt w:val="bullet"/>
      <w:lvlText w:val="•"/>
      <w:lvlJc w:val="left"/>
      <w:pPr>
        <w:ind w:left="2029" w:hanging="360"/>
      </w:pPr>
      <w:rPr>
        <w:rFonts w:hint="default"/>
      </w:rPr>
    </w:lvl>
    <w:lvl w:ilvl="4">
      <w:start w:val="1"/>
      <w:numFmt w:val="bullet"/>
      <w:lvlText w:val="•"/>
      <w:lvlJc w:val="left"/>
      <w:pPr>
        <w:ind w:left="2379" w:hanging="360"/>
      </w:pPr>
      <w:rPr>
        <w:rFonts w:hint="default"/>
      </w:rPr>
    </w:lvl>
    <w:lvl w:ilvl="5">
      <w:start w:val="1"/>
      <w:numFmt w:val="bullet"/>
      <w:lvlText w:val="•"/>
      <w:lvlJc w:val="left"/>
      <w:pPr>
        <w:ind w:left="2729" w:hanging="360"/>
      </w:pPr>
      <w:rPr>
        <w:rFonts w:hint="default"/>
      </w:rPr>
    </w:lvl>
    <w:lvl w:ilvl="6">
      <w:start w:val="1"/>
      <w:numFmt w:val="bullet"/>
      <w:lvlText w:val="•"/>
      <w:lvlJc w:val="left"/>
      <w:pPr>
        <w:ind w:left="3078" w:hanging="360"/>
      </w:pPr>
      <w:rPr>
        <w:rFonts w:hint="default"/>
      </w:rPr>
    </w:lvl>
    <w:lvl w:ilvl="7">
      <w:start w:val="1"/>
      <w:numFmt w:val="bullet"/>
      <w:lvlText w:val="•"/>
      <w:lvlJc w:val="left"/>
      <w:pPr>
        <w:ind w:left="3428" w:hanging="360"/>
      </w:pPr>
      <w:rPr>
        <w:rFonts w:hint="default"/>
      </w:rPr>
    </w:lvl>
    <w:lvl w:ilvl="8">
      <w:start w:val="1"/>
      <w:numFmt w:val="bullet"/>
      <w:lvlText w:val="•"/>
      <w:lvlJc w:val="left"/>
      <w:pPr>
        <w:ind w:left="3778" w:hanging="360"/>
      </w:pPr>
      <w:rPr>
        <w:rFonts w:hint="default"/>
      </w:rPr>
    </w:lvl>
  </w:abstractNum>
  <w:abstractNum w:abstractNumId="104">
    <w:multiLevelType w:val="hybridMultilevel"/>
    <w:lvl w:ilvl="0">
      <w:start w:val="1"/>
      <w:numFmt w:val="bullet"/>
      <w:lvlText w:val=""/>
      <w:lvlJc w:val="left"/>
      <w:pPr>
        <w:ind w:left="984" w:hanging="360"/>
      </w:pPr>
      <w:rPr>
        <w:rFonts w:hint="default" w:ascii="Symbol" w:hAnsi="Symbol" w:eastAsia="Symbol" w:cs="Symbol"/>
        <w:w w:val="100"/>
        <w:sz w:val="24"/>
        <w:szCs w:val="24"/>
      </w:rPr>
    </w:lvl>
    <w:lvl w:ilvl="1">
      <w:start w:val="1"/>
      <w:numFmt w:val="bullet"/>
      <w:lvlText w:val="•"/>
      <w:lvlJc w:val="left"/>
      <w:pPr>
        <w:ind w:left="1329" w:hanging="360"/>
      </w:pPr>
      <w:rPr>
        <w:rFonts w:hint="default"/>
      </w:rPr>
    </w:lvl>
    <w:lvl w:ilvl="2">
      <w:start w:val="1"/>
      <w:numFmt w:val="bullet"/>
      <w:lvlText w:val="•"/>
      <w:lvlJc w:val="left"/>
      <w:pPr>
        <w:ind w:left="1679" w:hanging="360"/>
      </w:pPr>
      <w:rPr>
        <w:rFonts w:hint="default"/>
      </w:rPr>
    </w:lvl>
    <w:lvl w:ilvl="3">
      <w:start w:val="1"/>
      <w:numFmt w:val="bullet"/>
      <w:lvlText w:val="•"/>
      <w:lvlJc w:val="left"/>
      <w:pPr>
        <w:ind w:left="2029" w:hanging="360"/>
      </w:pPr>
      <w:rPr>
        <w:rFonts w:hint="default"/>
      </w:rPr>
    </w:lvl>
    <w:lvl w:ilvl="4">
      <w:start w:val="1"/>
      <w:numFmt w:val="bullet"/>
      <w:lvlText w:val="•"/>
      <w:lvlJc w:val="left"/>
      <w:pPr>
        <w:ind w:left="2379" w:hanging="360"/>
      </w:pPr>
      <w:rPr>
        <w:rFonts w:hint="default"/>
      </w:rPr>
    </w:lvl>
    <w:lvl w:ilvl="5">
      <w:start w:val="1"/>
      <w:numFmt w:val="bullet"/>
      <w:lvlText w:val="•"/>
      <w:lvlJc w:val="left"/>
      <w:pPr>
        <w:ind w:left="2729" w:hanging="360"/>
      </w:pPr>
      <w:rPr>
        <w:rFonts w:hint="default"/>
      </w:rPr>
    </w:lvl>
    <w:lvl w:ilvl="6">
      <w:start w:val="1"/>
      <w:numFmt w:val="bullet"/>
      <w:lvlText w:val="•"/>
      <w:lvlJc w:val="left"/>
      <w:pPr>
        <w:ind w:left="3078" w:hanging="360"/>
      </w:pPr>
      <w:rPr>
        <w:rFonts w:hint="default"/>
      </w:rPr>
    </w:lvl>
    <w:lvl w:ilvl="7">
      <w:start w:val="1"/>
      <w:numFmt w:val="bullet"/>
      <w:lvlText w:val="•"/>
      <w:lvlJc w:val="left"/>
      <w:pPr>
        <w:ind w:left="3428" w:hanging="360"/>
      </w:pPr>
      <w:rPr>
        <w:rFonts w:hint="default"/>
      </w:rPr>
    </w:lvl>
    <w:lvl w:ilvl="8">
      <w:start w:val="1"/>
      <w:numFmt w:val="bullet"/>
      <w:lvlText w:val="•"/>
      <w:lvlJc w:val="left"/>
      <w:pPr>
        <w:ind w:left="3778" w:hanging="360"/>
      </w:pPr>
      <w:rPr>
        <w:rFonts w:hint="default"/>
      </w:rPr>
    </w:lvl>
  </w:abstractNum>
  <w:abstractNum w:abstractNumId="112">
    <w:multiLevelType w:val="hybridMultilevel"/>
    <w:lvl w:ilvl="0">
      <w:start w:val="31"/>
      <w:numFmt w:val="decimal"/>
      <w:lvlText w:val="%1"/>
      <w:lvlJc w:val="left"/>
      <w:pPr>
        <w:ind w:left="1528" w:hanging="1369"/>
        <w:jc w:val="left"/>
      </w:pPr>
      <w:rPr>
        <w:rFonts w:hint="default" w:ascii="Arial" w:hAnsi="Arial" w:eastAsia="Arial" w:cs="Arial"/>
        <w:spacing w:val="-1"/>
        <w:w w:val="100"/>
        <w:position w:val="-5"/>
        <w:sz w:val="20"/>
        <w:szCs w:val="20"/>
      </w:rPr>
    </w:lvl>
    <w:lvl w:ilvl="1">
      <w:start w:val="1"/>
      <w:numFmt w:val="bullet"/>
      <w:lvlText w:val="•"/>
      <w:lvlJc w:val="left"/>
      <w:pPr>
        <w:ind w:left="2850" w:hanging="1369"/>
      </w:pPr>
      <w:rPr>
        <w:rFonts w:hint="default"/>
      </w:rPr>
    </w:lvl>
    <w:lvl w:ilvl="2">
      <w:start w:val="1"/>
      <w:numFmt w:val="bullet"/>
      <w:lvlText w:val="•"/>
      <w:lvlJc w:val="left"/>
      <w:pPr>
        <w:ind w:left="4180" w:hanging="1369"/>
      </w:pPr>
      <w:rPr>
        <w:rFonts w:hint="default"/>
      </w:rPr>
    </w:lvl>
    <w:lvl w:ilvl="3">
      <w:start w:val="1"/>
      <w:numFmt w:val="bullet"/>
      <w:lvlText w:val="•"/>
      <w:lvlJc w:val="left"/>
      <w:pPr>
        <w:ind w:left="5510" w:hanging="1369"/>
      </w:pPr>
      <w:rPr>
        <w:rFonts w:hint="default"/>
      </w:rPr>
    </w:lvl>
    <w:lvl w:ilvl="4">
      <w:start w:val="1"/>
      <w:numFmt w:val="bullet"/>
      <w:lvlText w:val="•"/>
      <w:lvlJc w:val="left"/>
      <w:pPr>
        <w:ind w:left="6840" w:hanging="1369"/>
      </w:pPr>
      <w:rPr>
        <w:rFonts w:hint="default"/>
      </w:rPr>
    </w:lvl>
    <w:lvl w:ilvl="5">
      <w:start w:val="1"/>
      <w:numFmt w:val="bullet"/>
      <w:lvlText w:val="•"/>
      <w:lvlJc w:val="left"/>
      <w:pPr>
        <w:ind w:left="8170" w:hanging="1369"/>
      </w:pPr>
      <w:rPr>
        <w:rFonts w:hint="default"/>
      </w:rPr>
    </w:lvl>
    <w:lvl w:ilvl="6">
      <w:start w:val="1"/>
      <w:numFmt w:val="bullet"/>
      <w:lvlText w:val="•"/>
      <w:lvlJc w:val="left"/>
      <w:pPr>
        <w:ind w:left="9500" w:hanging="1369"/>
      </w:pPr>
      <w:rPr>
        <w:rFonts w:hint="default"/>
      </w:rPr>
    </w:lvl>
    <w:lvl w:ilvl="7">
      <w:start w:val="1"/>
      <w:numFmt w:val="bullet"/>
      <w:lvlText w:val="•"/>
      <w:lvlJc w:val="left"/>
      <w:pPr>
        <w:ind w:left="10830" w:hanging="1369"/>
      </w:pPr>
      <w:rPr>
        <w:rFonts w:hint="default"/>
      </w:rPr>
    </w:lvl>
    <w:lvl w:ilvl="8">
      <w:start w:val="1"/>
      <w:numFmt w:val="bullet"/>
      <w:lvlText w:val="•"/>
      <w:lvlJc w:val="left"/>
      <w:pPr>
        <w:ind w:left="12160" w:hanging="1369"/>
      </w:pPr>
      <w:rPr>
        <w:rFonts w:hint="default"/>
      </w:rPr>
    </w:lvl>
  </w:abstractNum>
  <w:abstractNum w:abstractNumId="103">
    <w:multiLevelType w:val="hybridMultilevel"/>
    <w:lvl w:ilvl="0">
      <w:start w:val="43"/>
      <w:numFmt w:val="decimal"/>
      <w:lvlText w:val="%1"/>
      <w:lvlJc w:val="left"/>
      <w:pPr>
        <w:ind w:left="1132" w:hanging="973"/>
        <w:jc w:val="left"/>
      </w:pPr>
      <w:rPr>
        <w:rFonts w:hint="default" w:ascii="Arial" w:hAnsi="Arial" w:eastAsia="Arial" w:cs="Arial"/>
        <w:spacing w:val="-11"/>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102">
    <w:multiLevelType w:val="hybridMultilevel"/>
    <w:lvl w:ilvl="0">
      <w:start w:val="35"/>
      <w:numFmt w:val="decimal"/>
      <w:lvlText w:val="%1"/>
      <w:lvlJc w:val="left"/>
      <w:pPr>
        <w:ind w:left="1132" w:hanging="973"/>
        <w:jc w:val="left"/>
      </w:pPr>
      <w:rPr>
        <w:rFonts w:hint="default" w:ascii="Arial" w:hAnsi="Arial" w:eastAsia="Arial" w:cs="Arial"/>
        <w:spacing w:val="-22"/>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101">
    <w:multiLevelType w:val="hybridMultilevel"/>
    <w:lvl w:ilvl="0">
      <w:start w:val="32"/>
      <w:numFmt w:val="decimal"/>
      <w:lvlText w:val="%1"/>
      <w:lvlJc w:val="left"/>
      <w:pPr>
        <w:ind w:left="1132" w:hanging="973"/>
        <w:jc w:val="left"/>
      </w:pPr>
      <w:rPr>
        <w:rFonts w:hint="default" w:ascii="Arial" w:hAnsi="Arial" w:eastAsia="Arial" w:cs="Arial"/>
        <w:spacing w:val="-2"/>
        <w:w w:val="99"/>
        <w:position w:val="8"/>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100">
    <w:multiLevelType w:val="hybridMultilevel"/>
    <w:lvl w:ilvl="0">
      <w:start w:val="29"/>
      <w:numFmt w:val="decimal"/>
      <w:lvlText w:val="%1"/>
      <w:lvlJc w:val="left"/>
      <w:pPr>
        <w:ind w:left="1132" w:hanging="973"/>
        <w:jc w:val="left"/>
      </w:pPr>
      <w:rPr>
        <w:rFonts w:hint="default" w:ascii="Arial" w:hAnsi="Arial" w:eastAsia="Arial" w:cs="Arial"/>
        <w:spacing w:val="-4"/>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99">
    <w:multiLevelType w:val="hybridMultilevel"/>
    <w:lvl w:ilvl="0">
      <w:start w:val="23"/>
      <w:numFmt w:val="decimal"/>
      <w:lvlText w:val="%1"/>
      <w:lvlJc w:val="left"/>
      <w:pPr>
        <w:ind w:left="1415" w:hanging="1256"/>
        <w:jc w:val="left"/>
      </w:pPr>
      <w:rPr>
        <w:rFonts w:hint="default" w:ascii="Arial" w:hAnsi="Arial" w:eastAsia="Arial" w:cs="Arial"/>
        <w:spacing w:val="-2"/>
        <w:w w:val="99"/>
        <w:position w:val="-6"/>
        <w:sz w:val="20"/>
        <w:szCs w:val="20"/>
      </w:rPr>
    </w:lvl>
    <w:lvl w:ilvl="1">
      <w:start w:val="1"/>
      <w:numFmt w:val="bullet"/>
      <w:lvlText w:val="•"/>
      <w:lvlJc w:val="left"/>
      <w:pPr>
        <w:ind w:left="2498" w:hanging="1256"/>
      </w:pPr>
      <w:rPr>
        <w:rFonts w:hint="default"/>
      </w:rPr>
    </w:lvl>
    <w:lvl w:ilvl="2">
      <w:start w:val="1"/>
      <w:numFmt w:val="bullet"/>
      <w:lvlText w:val="•"/>
      <w:lvlJc w:val="left"/>
      <w:pPr>
        <w:ind w:left="3576" w:hanging="1256"/>
      </w:pPr>
      <w:rPr>
        <w:rFonts w:hint="default"/>
      </w:rPr>
    </w:lvl>
    <w:lvl w:ilvl="3">
      <w:start w:val="1"/>
      <w:numFmt w:val="bullet"/>
      <w:lvlText w:val="•"/>
      <w:lvlJc w:val="left"/>
      <w:pPr>
        <w:ind w:left="4654" w:hanging="1256"/>
      </w:pPr>
      <w:rPr>
        <w:rFonts w:hint="default"/>
      </w:rPr>
    </w:lvl>
    <w:lvl w:ilvl="4">
      <w:start w:val="1"/>
      <w:numFmt w:val="bullet"/>
      <w:lvlText w:val="•"/>
      <w:lvlJc w:val="left"/>
      <w:pPr>
        <w:ind w:left="5732" w:hanging="1256"/>
      </w:pPr>
      <w:rPr>
        <w:rFonts w:hint="default"/>
      </w:rPr>
    </w:lvl>
    <w:lvl w:ilvl="5">
      <w:start w:val="1"/>
      <w:numFmt w:val="bullet"/>
      <w:lvlText w:val="•"/>
      <w:lvlJc w:val="left"/>
      <w:pPr>
        <w:ind w:left="6810" w:hanging="1256"/>
      </w:pPr>
      <w:rPr>
        <w:rFonts w:hint="default"/>
      </w:rPr>
    </w:lvl>
    <w:lvl w:ilvl="6">
      <w:start w:val="1"/>
      <w:numFmt w:val="bullet"/>
      <w:lvlText w:val="•"/>
      <w:lvlJc w:val="left"/>
      <w:pPr>
        <w:ind w:left="7888" w:hanging="1256"/>
      </w:pPr>
      <w:rPr>
        <w:rFonts w:hint="default"/>
      </w:rPr>
    </w:lvl>
    <w:lvl w:ilvl="7">
      <w:start w:val="1"/>
      <w:numFmt w:val="bullet"/>
      <w:lvlText w:val="•"/>
      <w:lvlJc w:val="left"/>
      <w:pPr>
        <w:ind w:left="8966" w:hanging="1256"/>
      </w:pPr>
      <w:rPr>
        <w:rFonts w:hint="default"/>
      </w:rPr>
    </w:lvl>
    <w:lvl w:ilvl="8">
      <w:start w:val="1"/>
      <w:numFmt w:val="bullet"/>
      <w:lvlText w:val="•"/>
      <w:lvlJc w:val="left"/>
      <w:pPr>
        <w:ind w:left="10044" w:hanging="1256"/>
      </w:pPr>
      <w:rPr>
        <w:rFonts w:hint="default"/>
      </w:rPr>
    </w:lvl>
  </w:abstractNum>
  <w:abstractNum w:abstractNumId="98">
    <w:multiLevelType w:val="hybridMultilevel"/>
    <w:lvl w:ilvl="0">
      <w:start w:val="18"/>
      <w:numFmt w:val="decimal"/>
      <w:lvlText w:val="%1"/>
      <w:lvlJc w:val="left"/>
      <w:pPr>
        <w:ind w:left="1415" w:hanging="1256"/>
        <w:jc w:val="left"/>
      </w:pPr>
      <w:rPr>
        <w:rFonts w:hint="default" w:ascii="Arial" w:hAnsi="Arial" w:eastAsia="Arial" w:cs="Arial"/>
        <w:spacing w:val="-3"/>
        <w:w w:val="99"/>
        <w:position w:val="-2"/>
        <w:sz w:val="20"/>
        <w:szCs w:val="20"/>
      </w:rPr>
    </w:lvl>
    <w:lvl w:ilvl="1">
      <w:start w:val="1"/>
      <w:numFmt w:val="bullet"/>
      <w:lvlText w:val="•"/>
      <w:lvlJc w:val="left"/>
      <w:pPr>
        <w:ind w:left="2498" w:hanging="1256"/>
      </w:pPr>
      <w:rPr>
        <w:rFonts w:hint="default"/>
      </w:rPr>
    </w:lvl>
    <w:lvl w:ilvl="2">
      <w:start w:val="1"/>
      <w:numFmt w:val="bullet"/>
      <w:lvlText w:val="•"/>
      <w:lvlJc w:val="left"/>
      <w:pPr>
        <w:ind w:left="3576" w:hanging="1256"/>
      </w:pPr>
      <w:rPr>
        <w:rFonts w:hint="default"/>
      </w:rPr>
    </w:lvl>
    <w:lvl w:ilvl="3">
      <w:start w:val="1"/>
      <w:numFmt w:val="bullet"/>
      <w:lvlText w:val="•"/>
      <w:lvlJc w:val="left"/>
      <w:pPr>
        <w:ind w:left="4654" w:hanging="1256"/>
      </w:pPr>
      <w:rPr>
        <w:rFonts w:hint="default"/>
      </w:rPr>
    </w:lvl>
    <w:lvl w:ilvl="4">
      <w:start w:val="1"/>
      <w:numFmt w:val="bullet"/>
      <w:lvlText w:val="•"/>
      <w:lvlJc w:val="left"/>
      <w:pPr>
        <w:ind w:left="5732" w:hanging="1256"/>
      </w:pPr>
      <w:rPr>
        <w:rFonts w:hint="default"/>
      </w:rPr>
    </w:lvl>
    <w:lvl w:ilvl="5">
      <w:start w:val="1"/>
      <w:numFmt w:val="bullet"/>
      <w:lvlText w:val="•"/>
      <w:lvlJc w:val="left"/>
      <w:pPr>
        <w:ind w:left="6810" w:hanging="1256"/>
      </w:pPr>
      <w:rPr>
        <w:rFonts w:hint="default"/>
      </w:rPr>
    </w:lvl>
    <w:lvl w:ilvl="6">
      <w:start w:val="1"/>
      <w:numFmt w:val="bullet"/>
      <w:lvlText w:val="•"/>
      <w:lvlJc w:val="left"/>
      <w:pPr>
        <w:ind w:left="7888" w:hanging="1256"/>
      </w:pPr>
      <w:rPr>
        <w:rFonts w:hint="default"/>
      </w:rPr>
    </w:lvl>
    <w:lvl w:ilvl="7">
      <w:start w:val="1"/>
      <w:numFmt w:val="bullet"/>
      <w:lvlText w:val="•"/>
      <w:lvlJc w:val="left"/>
      <w:pPr>
        <w:ind w:left="8966" w:hanging="1256"/>
      </w:pPr>
      <w:rPr>
        <w:rFonts w:hint="default"/>
      </w:rPr>
    </w:lvl>
    <w:lvl w:ilvl="8">
      <w:start w:val="1"/>
      <w:numFmt w:val="bullet"/>
      <w:lvlText w:val="•"/>
      <w:lvlJc w:val="left"/>
      <w:pPr>
        <w:ind w:left="10044" w:hanging="1256"/>
      </w:pPr>
      <w:rPr>
        <w:rFonts w:hint="default"/>
      </w:rPr>
    </w:lvl>
  </w:abstractNum>
  <w:abstractNum w:abstractNumId="97">
    <w:multiLevelType w:val="hybridMultilevel"/>
    <w:lvl w:ilvl="0">
      <w:start w:val="12"/>
      <w:numFmt w:val="decimal"/>
      <w:lvlText w:val="%1"/>
      <w:lvlJc w:val="left"/>
      <w:pPr>
        <w:ind w:left="1416" w:hanging="1256"/>
        <w:jc w:val="left"/>
      </w:pPr>
      <w:rPr>
        <w:rFonts w:hint="default" w:ascii="Arial" w:hAnsi="Arial" w:eastAsia="Arial" w:cs="Arial"/>
        <w:spacing w:val="-3"/>
        <w:w w:val="99"/>
        <w:position w:val="-3"/>
        <w:sz w:val="20"/>
        <w:szCs w:val="20"/>
      </w:rPr>
    </w:lvl>
    <w:lvl w:ilvl="1">
      <w:start w:val="1"/>
      <w:numFmt w:val="bullet"/>
      <w:lvlText w:val="•"/>
      <w:lvlJc w:val="left"/>
      <w:pPr>
        <w:ind w:left="2498" w:hanging="1256"/>
      </w:pPr>
      <w:rPr>
        <w:rFonts w:hint="default"/>
      </w:rPr>
    </w:lvl>
    <w:lvl w:ilvl="2">
      <w:start w:val="1"/>
      <w:numFmt w:val="bullet"/>
      <w:lvlText w:val="•"/>
      <w:lvlJc w:val="left"/>
      <w:pPr>
        <w:ind w:left="3576" w:hanging="1256"/>
      </w:pPr>
      <w:rPr>
        <w:rFonts w:hint="default"/>
      </w:rPr>
    </w:lvl>
    <w:lvl w:ilvl="3">
      <w:start w:val="1"/>
      <w:numFmt w:val="bullet"/>
      <w:lvlText w:val="•"/>
      <w:lvlJc w:val="left"/>
      <w:pPr>
        <w:ind w:left="4654" w:hanging="1256"/>
      </w:pPr>
      <w:rPr>
        <w:rFonts w:hint="default"/>
      </w:rPr>
    </w:lvl>
    <w:lvl w:ilvl="4">
      <w:start w:val="1"/>
      <w:numFmt w:val="bullet"/>
      <w:lvlText w:val="•"/>
      <w:lvlJc w:val="left"/>
      <w:pPr>
        <w:ind w:left="5732" w:hanging="1256"/>
      </w:pPr>
      <w:rPr>
        <w:rFonts w:hint="default"/>
      </w:rPr>
    </w:lvl>
    <w:lvl w:ilvl="5">
      <w:start w:val="1"/>
      <w:numFmt w:val="bullet"/>
      <w:lvlText w:val="•"/>
      <w:lvlJc w:val="left"/>
      <w:pPr>
        <w:ind w:left="6810" w:hanging="1256"/>
      </w:pPr>
      <w:rPr>
        <w:rFonts w:hint="default"/>
      </w:rPr>
    </w:lvl>
    <w:lvl w:ilvl="6">
      <w:start w:val="1"/>
      <w:numFmt w:val="bullet"/>
      <w:lvlText w:val="•"/>
      <w:lvlJc w:val="left"/>
      <w:pPr>
        <w:ind w:left="7888" w:hanging="1256"/>
      </w:pPr>
      <w:rPr>
        <w:rFonts w:hint="default"/>
      </w:rPr>
    </w:lvl>
    <w:lvl w:ilvl="7">
      <w:start w:val="1"/>
      <w:numFmt w:val="bullet"/>
      <w:lvlText w:val="•"/>
      <w:lvlJc w:val="left"/>
      <w:pPr>
        <w:ind w:left="8966" w:hanging="1256"/>
      </w:pPr>
      <w:rPr>
        <w:rFonts w:hint="default"/>
      </w:rPr>
    </w:lvl>
    <w:lvl w:ilvl="8">
      <w:start w:val="1"/>
      <w:numFmt w:val="bullet"/>
      <w:lvlText w:val="•"/>
      <w:lvlJc w:val="left"/>
      <w:pPr>
        <w:ind w:left="10044" w:hanging="1256"/>
      </w:pPr>
      <w:rPr>
        <w:rFonts w:hint="default"/>
      </w:rPr>
    </w:lvl>
  </w:abstractNum>
  <w:abstractNum w:abstractNumId="96">
    <w:multiLevelType w:val="hybridMultilevel"/>
    <w:lvl w:ilvl="0">
      <w:start w:val="6"/>
      <w:numFmt w:val="decimal"/>
      <w:lvlText w:val="%1"/>
      <w:lvlJc w:val="left"/>
      <w:pPr>
        <w:ind w:left="1416" w:hanging="1256"/>
        <w:jc w:val="left"/>
      </w:pPr>
      <w:rPr>
        <w:rFonts w:hint="default" w:ascii="Arial" w:hAnsi="Arial" w:eastAsia="Arial" w:cs="Arial"/>
        <w:spacing w:val="-3"/>
        <w:w w:val="99"/>
        <w:position w:val="-3"/>
        <w:sz w:val="20"/>
        <w:szCs w:val="20"/>
      </w:rPr>
    </w:lvl>
    <w:lvl w:ilvl="1">
      <w:start w:val="1"/>
      <w:numFmt w:val="bullet"/>
      <w:lvlText w:val="•"/>
      <w:lvlJc w:val="left"/>
      <w:pPr>
        <w:ind w:left="2498" w:hanging="1256"/>
      </w:pPr>
      <w:rPr>
        <w:rFonts w:hint="default"/>
      </w:rPr>
    </w:lvl>
    <w:lvl w:ilvl="2">
      <w:start w:val="1"/>
      <w:numFmt w:val="bullet"/>
      <w:lvlText w:val="•"/>
      <w:lvlJc w:val="left"/>
      <w:pPr>
        <w:ind w:left="3576" w:hanging="1256"/>
      </w:pPr>
      <w:rPr>
        <w:rFonts w:hint="default"/>
      </w:rPr>
    </w:lvl>
    <w:lvl w:ilvl="3">
      <w:start w:val="1"/>
      <w:numFmt w:val="bullet"/>
      <w:lvlText w:val="•"/>
      <w:lvlJc w:val="left"/>
      <w:pPr>
        <w:ind w:left="4654" w:hanging="1256"/>
      </w:pPr>
      <w:rPr>
        <w:rFonts w:hint="default"/>
      </w:rPr>
    </w:lvl>
    <w:lvl w:ilvl="4">
      <w:start w:val="1"/>
      <w:numFmt w:val="bullet"/>
      <w:lvlText w:val="•"/>
      <w:lvlJc w:val="left"/>
      <w:pPr>
        <w:ind w:left="5732" w:hanging="1256"/>
      </w:pPr>
      <w:rPr>
        <w:rFonts w:hint="default"/>
      </w:rPr>
    </w:lvl>
    <w:lvl w:ilvl="5">
      <w:start w:val="1"/>
      <w:numFmt w:val="bullet"/>
      <w:lvlText w:val="•"/>
      <w:lvlJc w:val="left"/>
      <w:pPr>
        <w:ind w:left="6810" w:hanging="1256"/>
      </w:pPr>
      <w:rPr>
        <w:rFonts w:hint="default"/>
      </w:rPr>
    </w:lvl>
    <w:lvl w:ilvl="6">
      <w:start w:val="1"/>
      <w:numFmt w:val="bullet"/>
      <w:lvlText w:val="•"/>
      <w:lvlJc w:val="left"/>
      <w:pPr>
        <w:ind w:left="7888" w:hanging="1256"/>
      </w:pPr>
      <w:rPr>
        <w:rFonts w:hint="default"/>
      </w:rPr>
    </w:lvl>
    <w:lvl w:ilvl="7">
      <w:start w:val="1"/>
      <w:numFmt w:val="bullet"/>
      <w:lvlText w:val="•"/>
      <w:lvlJc w:val="left"/>
      <w:pPr>
        <w:ind w:left="8966" w:hanging="1256"/>
      </w:pPr>
      <w:rPr>
        <w:rFonts w:hint="default"/>
      </w:rPr>
    </w:lvl>
    <w:lvl w:ilvl="8">
      <w:start w:val="1"/>
      <w:numFmt w:val="bullet"/>
      <w:lvlText w:val="•"/>
      <w:lvlJc w:val="left"/>
      <w:pPr>
        <w:ind w:left="10044" w:hanging="1256"/>
      </w:pPr>
      <w:rPr>
        <w:rFonts w:hint="default"/>
      </w:rPr>
    </w:lvl>
  </w:abstractNum>
  <w:abstractNum w:abstractNumId="95">
    <w:multiLevelType w:val="hybridMultilevel"/>
    <w:lvl w:ilvl="0">
      <w:start w:val="2"/>
      <w:numFmt w:val="decimal"/>
      <w:lvlText w:val="%1"/>
      <w:lvlJc w:val="left"/>
      <w:pPr>
        <w:ind w:left="1132" w:hanging="973"/>
        <w:jc w:val="left"/>
      </w:pPr>
      <w:rPr>
        <w:rFonts w:hint="default" w:ascii="Arial" w:hAnsi="Arial" w:eastAsia="Arial" w:cs="Arial"/>
        <w:spacing w:val="-19"/>
        <w:w w:val="99"/>
        <w:position w:val="4"/>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94">
    <w:multiLevelType w:val="hybridMultilevel"/>
    <w:lvl w:ilvl="0">
      <w:start w:val="54"/>
      <w:numFmt w:val="decimal"/>
      <w:lvlText w:val="%1"/>
      <w:lvlJc w:val="left"/>
      <w:pPr>
        <w:ind w:left="1132" w:hanging="973"/>
        <w:jc w:val="left"/>
      </w:pPr>
      <w:rPr>
        <w:rFonts w:hint="default" w:ascii="Arial" w:hAnsi="Arial" w:eastAsia="Arial" w:cs="Arial"/>
        <w:spacing w:val="-14"/>
        <w:w w:val="99"/>
        <w:position w:val="-6"/>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93">
    <w:multiLevelType w:val="hybridMultilevel"/>
    <w:lvl w:ilvl="0">
      <w:start w:val="49"/>
      <w:numFmt w:val="decimal"/>
      <w:lvlText w:val="%1"/>
      <w:lvlJc w:val="left"/>
      <w:pPr>
        <w:ind w:left="1132" w:hanging="973"/>
        <w:jc w:val="left"/>
      </w:pPr>
      <w:rPr>
        <w:rFonts w:hint="default" w:ascii="Arial" w:hAnsi="Arial" w:eastAsia="Arial" w:cs="Arial"/>
        <w:spacing w:val="-2"/>
        <w:w w:val="99"/>
        <w:position w:val="-2"/>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92">
    <w:multiLevelType w:val="hybridMultilevel"/>
    <w:lvl w:ilvl="0">
      <w:start w:val="46"/>
      <w:numFmt w:val="decimal"/>
      <w:lvlText w:val="%1"/>
      <w:lvlJc w:val="left"/>
      <w:pPr>
        <w:ind w:left="1132" w:hanging="973"/>
        <w:jc w:val="left"/>
      </w:pPr>
      <w:rPr>
        <w:rFonts w:hint="default" w:ascii="Arial" w:hAnsi="Arial" w:eastAsia="Arial" w:cs="Arial"/>
        <w:spacing w:val="-2"/>
        <w:w w:val="99"/>
        <w:position w:val="11"/>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91">
    <w:multiLevelType w:val="hybridMultilevel"/>
    <w:lvl w:ilvl="0">
      <w:start w:val="43"/>
      <w:numFmt w:val="decimal"/>
      <w:lvlText w:val="%1"/>
      <w:lvlJc w:val="left"/>
      <w:pPr>
        <w:ind w:left="1132" w:hanging="973"/>
        <w:jc w:val="left"/>
      </w:pPr>
      <w:rPr>
        <w:rFonts w:hint="default" w:ascii="Arial" w:hAnsi="Arial" w:eastAsia="Arial" w:cs="Arial"/>
        <w:spacing w:val="-2"/>
        <w:w w:val="99"/>
        <w:position w:val="-3"/>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90">
    <w:multiLevelType w:val="hybridMultilevel"/>
    <w:lvl w:ilvl="0">
      <w:start w:val="37"/>
      <w:numFmt w:val="decimal"/>
      <w:lvlText w:val="%1"/>
      <w:lvlJc w:val="left"/>
      <w:pPr>
        <w:ind w:left="1132" w:hanging="973"/>
        <w:jc w:val="left"/>
      </w:pPr>
      <w:rPr>
        <w:rFonts w:hint="default" w:ascii="Arial" w:hAnsi="Arial" w:eastAsia="Arial" w:cs="Arial"/>
        <w:spacing w:val="-8"/>
        <w:w w:val="99"/>
        <w:position w:val="-3"/>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89">
    <w:multiLevelType w:val="hybridMultilevel"/>
    <w:lvl w:ilvl="0">
      <w:start w:val="34"/>
      <w:numFmt w:val="decimal"/>
      <w:lvlText w:val="%1"/>
      <w:lvlJc w:val="left"/>
      <w:pPr>
        <w:ind w:left="1132" w:hanging="973"/>
        <w:jc w:val="left"/>
      </w:pPr>
      <w:rPr>
        <w:rFonts w:hint="default" w:ascii="Arial" w:hAnsi="Arial" w:eastAsia="Arial" w:cs="Arial"/>
        <w:spacing w:val="-13"/>
        <w:w w:val="99"/>
        <w:position w:val="9"/>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88">
    <w:multiLevelType w:val="hybridMultilevel"/>
    <w:lvl w:ilvl="0">
      <w:start w:val="31"/>
      <w:numFmt w:val="decimal"/>
      <w:lvlText w:val="%1"/>
      <w:lvlJc w:val="left"/>
      <w:pPr>
        <w:ind w:left="1416" w:hanging="1257"/>
        <w:jc w:val="left"/>
      </w:pPr>
      <w:rPr>
        <w:rFonts w:hint="default" w:ascii="Arial" w:hAnsi="Arial" w:eastAsia="Arial" w:cs="Arial"/>
        <w:spacing w:val="-1"/>
        <w:w w:val="99"/>
        <w:position w:val="-4"/>
        <w:sz w:val="20"/>
        <w:szCs w:val="20"/>
      </w:rPr>
    </w:lvl>
    <w:lvl w:ilvl="1">
      <w:start w:val="1"/>
      <w:numFmt w:val="bullet"/>
      <w:lvlText w:val="•"/>
      <w:lvlJc w:val="left"/>
      <w:pPr>
        <w:ind w:left="2400" w:hanging="1257"/>
      </w:pPr>
      <w:rPr>
        <w:rFonts w:hint="default"/>
      </w:rPr>
    </w:lvl>
    <w:lvl w:ilvl="2">
      <w:start w:val="1"/>
      <w:numFmt w:val="bullet"/>
      <w:lvlText w:val="•"/>
      <w:lvlJc w:val="left"/>
      <w:pPr>
        <w:ind w:left="3380" w:hanging="1257"/>
      </w:pPr>
      <w:rPr>
        <w:rFonts w:hint="default"/>
      </w:rPr>
    </w:lvl>
    <w:lvl w:ilvl="3">
      <w:start w:val="1"/>
      <w:numFmt w:val="bullet"/>
      <w:lvlText w:val="•"/>
      <w:lvlJc w:val="left"/>
      <w:pPr>
        <w:ind w:left="4360" w:hanging="1257"/>
      </w:pPr>
      <w:rPr>
        <w:rFonts w:hint="default"/>
      </w:rPr>
    </w:lvl>
    <w:lvl w:ilvl="4">
      <w:start w:val="1"/>
      <w:numFmt w:val="bullet"/>
      <w:lvlText w:val="•"/>
      <w:lvlJc w:val="left"/>
      <w:pPr>
        <w:ind w:left="5340" w:hanging="1257"/>
      </w:pPr>
      <w:rPr>
        <w:rFonts w:hint="default"/>
      </w:rPr>
    </w:lvl>
    <w:lvl w:ilvl="5">
      <w:start w:val="1"/>
      <w:numFmt w:val="bullet"/>
      <w:lvlText w:val="•"/>
      <w:lvlJc w:val="left"/>
      <w:pPr>
        <w:ind w:left="6320" w:hanging="1257"/>
      </w:pPr>
      <w:rPr>
        <w:rFonts w:hint="default"/>
      </w:rPr>
    </w:lvl>
    <w:lvl w:ilvl="6">
      <w:start w:val="1"/>
      <w:numFmt w:val="bullet"/>
      <w:lvlText w:val="•"/>
      <w:lvlJc w:val="left"/>
      <w:pPr>
        <w:ind w:left="7300" w:hanging="1257"/>
      </w:pPr>
      <w:rPr>
        <w:rFonts w:hint="default"/>
      </w:rPr>
    </w:lvl>
    <w:lvl w:ilvl="7">
      <w:start w:val="1"/>
      <w:numFmt w:val="bullet"/>
      <w:lvlText w:val="•"/>
      <w:lvlJc w:val="left"/>
      <w:pPr>
        <w:ind w:left="8280" w:hanging="1257"/>
      </w:pPr>
      <w:rPr>
        <w:rFonts w:hint="default"/>
      </w:rPr>
    </w:lvl>
    <w:lvl w:ilvl="8">
      <w:start w:val="1"/>
      <w:numFmt w:val="bullet"/>
      <w:lvlText w:val="•"/>
      <w:lvlJc w:val="left"/>
      <w:pPr>
        <w:ind w:left="9260" w:hanging="1257"/>
      </w:pPr>
      <w:rPr>
        <w:rFonts w:hint="default"/>
      </w:rPr>
    </w:lvl>
  </w:abstractNum>
  <w:abstractNum w:abstractNumId="87">
    <w:multiLevelType w:val="hybridMultilevel"/>
    <w:lvl w:ilvl="0">
      <w:start w:val="28"/>
      <w:numFmt w:val="decimal"/>
      <w:lvlText w:val="%1"/>
      <w:lvlJc w:val="left"/>
      <w:pPr>
        <w:ind w:left="1132" w:hanging="973"/>
        <w:jc w:val="left"/>
      </w:pPr>
      <w:rPr>
        <w:rFonts w:hint="default" w:ascii="Arial" w:hAnsi="Arial" w:eastAsia="Arial" w:cs="Arial"/>
        <w:spacing w:val="-24"/>
        <w:w w:val="99"/>
        <w:position w:val="9"/>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86">
    <w:multiLevelType w:val="hybridMultilevel"/>
    <w:lvl w:ilvl="0">
      <w:start w:val="25"/>
      <w:numFmt w:val="decimal"/>
      <w:lvlText w:val="%1"/>
      <w:lvlJc w:val="left"/>
      <w:pPr>
        <w:ind w:left="1416" w:hanging="1257"/>
        <w:jc w:val="left"/>
      </w:pPr>
      <w:rPr>
        <w:rFonts w:hint="default" w:ascii="Arial" w:hAnsi="Arial" w:eastAsia="Arial" w:cs="Arial"/>
        <w:spacing w:val="-2"/>
        <w:w w:val="99"/>
        <w:position w:val="-5"/>
        <w:sz w:val="20"/>
        <w:szCs w:val="20"/>
      </w:rPr>
    </w:lvl>
    <w:lvl w:ilvl="1">
      <w:start w:val="1"/>
      <w:numFmt w:val="bullet"/>
      <w:lvlText w:val="•"/>
      <w:lvlJc w:val="left"/>
      <w:pPr>
        <w:ind w:left="2400" w:hanging="1257"/>
      </w:pPr>
      <w:rPr>
        <w:rFonts w:hint="default"/>
      </w:rPr>
    </w:lvl>
    <w:lvl w:ilvl="2">
      <w:start w:val="1"/>
      <w:numFmt w:val="bullet"/>
      <w:lvlText w:val="•"/>
      <w:lvlJc w:val="left"/>
      <w:pPr>
        <w:ind w:left="3380" w:hanging="1257"/>
      </w:pPr>
      <w:rPr>
        <w:rFonts w:hint="default"/>
      </w:rPr>
    </w:lvl>
    <w:lvl w:ilvl="3">
      <w:start w:val="1"/>
      <w:numFmt w:val="bullet"/>
      <w:lvlText w:val="•"/>
      <w:lvlJc w:val="left"/>
      <w:pPr>
        <w:ind w:left="4360" w:hanging="1257"/>
      </w:pPr>
      <w:rPr>
        <w:rFonts w:hint="default"/>
      </w:rPr>
    </w:lvl>
    <w:lvl w:ilvl="4">
      <w:start w:val="1"/>
      <w:numFmt w:val="bullet"/>
      <w:lvlText w:val="•"/>
      <w:lvlJc w:val="left"/>
      <w:pPr>
        <w:ind w:left="5340" w:hanging="1257"/>
      </w:pPr>
      <w:rPr>
        <w:rFonts w:hint="default"/>
      </w:rPr>
    </w:lvl>
    <w:lvl w:ilvl="5">
      <w:start w:val="1"/>
      <w:numFmt w:val="bullet"/>
      <w:lvlText w:val="•"/>
      <w:lvlJc w:val="left"/>
      <w:pPr>
        <w:ind w:left="6320" w:hanging="1257"/>
      </w:pPr>
      <w:rPr>
        <w:rFonts w:hint="default"/>
      </w:rPr>
    </w:lvl>
    <w:lvl w:ilvl="6">
      <w:start w:val="1"/>
      <w:numFmt w:val="bullet"/>
      <w:lvlText w:val="•"/>
      <w:lvlJc w:val="left"/>
      <w:pPr>
        <w:ind w:left="7300" w:hanging="1257"/>
      </w:pPr>
      <w:rPr>
        <w:rFonts w:hint="default"/>
      </w:rPr>
    </w:lvl>
    <w:lvl w:ilvl="7">
      <w:start w:val="1"/>
      <w:numFmt w:val="bullet"/>
      <w:lvlText w:val="•"/>
      <w:lvlJc w:val="left"/>
      <w:pPr>
        <w:ind w:left="8280" w:hanging="1257"/>
      </w:pPr>
      <w:rPr>
        <w:rFonts w:hint="default"/>
      </w:rPr>
    </w:lvl>
    <w:lvl w:ilvl="8">
      <w:start w:val="1"/>
      <w:numFmt w:val="bullet"/>
      <w:lvlText w:val="•"/>
      <w:lvlJc w:val="left"/>
      <w:pPr>
        <w:ind w:left="9260" w:hanging="1257"/>
      </w:pPr>
      <w:rPr>
        <w:rFonts w:hint="default"/>
      </w:rPr>
    </w:lvl>
  </w:abstractNum>
  <w:abstractNum w:abstractNumId="85">
    <w:multiLevelType w:val="hybridMultilevel"/>
    <w:lvl w:ilvl="0">
      <w:start w:val="19"/>
      <w:numFmt w:val="decimal"/>
      <w:lvlText w:val="%1"/>
      <w:lvlJc w:val="left"/>
      <w:pPr>
        <w:ind w:left="1416" w:hanging="1257"/>
        <w:jc w:val="left"/>
      </w:pPr>
      <w:rPr>
        <w:rFonts w:hint="default" w:ascii="Arial" w:hAnsi="Arial" w:eastAsia="Arial" w:cs="Arial"/>
        <w:spacing w:val="-3"/>
        <w:w w:val="99"/>
        <w:position w:val="-5"/>
        <w:sz w:val="20"/>
        <w:szCs w:val="20"/>
      </w:rPr>
    </w:lvl>
    <w:lvl w:ilvl="1">
      <w:start w:val="1"/>
      <w:numFmt w:val="bullet"/>
      <w:lvlText w:val="•"/>
      <w:lvlJc w:val="left"/>
      <w:pPr>
        <w:ind w:left="2400" w:hanging="1257"/>
      </w:pPr>
      <w:rPr>
        <w:rFonts w:hint="default"/>
      </w:rPr>
    </w:lvl>
    <w:lvl w:ilvl="2">
      <w:start w:val="1"/>
      <w:numFmt w:val="bullet"/>
      <w:lvlText w:val="•"/>
      <w:lvlJc w:val="left"/>
      <w:pPr>
        <w:ind w:left="3380" w:hanging="1257"/>
      </w:pPr>
      <w:rPr>
        <w:rFonts w:hint="default"/>
      </w:rPr>
    </w:lvl>
    <w:lvl w:ilvl="3">
      <w:start w:val="1"/>
      <w:numFmt w:val="bullet"/>
      <w:lvlText w:val="•"/>
      <w:lvlJc w:val="left"/>
      <w:pPr>
        <w:ind w:left="4360" w:hanging="1257"/>
      </w:pPr>
      <w:rPr>
        <w:rFonts w:hint="default"/>
      </w:rPr>
    </w:lvl>
    <w:lvl w:ilvl="4">
      <w:start w:val="1"/>
      <w:numFmt w:val="bullet"/>
      <w:lvlText w:val="•"/>
      <w:lvlJc w:val="left"/>
      <w:pPr>
        <w:ind w:left="5340" w:hanging="1257"/>
      </w:pPr>
      <w:rPr>
        <w:rFonts w:hint="default"/>
      </w:rPr>
    </w:lvl>
    <w:lvl w:ilvl="5">
      <w:start w:val="1"/>
      <w:numFmt w:val="bullet"/>
      <w:lvlText w:val="•"/>
      <w:lvlJc w:val="left"/>
      <w:pPr>
        <w:ind w:left="6320" w:hanging="1257"/>
      </w:pPr>
      <w:rPr>
        <w:rFonts w:hint="default"/>
      </w:rPr>
    </w:lvl>
    <w:lvl w:ilvl="6">
      <w:start w:val="1"/>
      <w:numFmt w:val="bullet"/>
      <w:lvlText w:val="•"/>
      <w:lvlJc w:val="left"/>
      <w:pPr>
        <w:ind w:left="7300" w:hanging="1257"/>
      </w:pPr>
      <w:rPr>
        <w:rFonts w:hint="default"/>
      </w:rPr>
    </w:lvl>
    <w:lvl w:ilvl="7">
      <w:start w:val="1"/>
      <w:numFmt w:val="bullet"/>
      <w:lvlText w:val="•"/>
      <w:lvlJc w:val="left"/>
      <w:pPr>
        <w:ind w:left="8280" w:hanging="1257"/>
      </w:pPr>
      <w:rPr>
        <w:rFonts w:hint="default"/>
      </w:rPr>
    </w:lvl>
    <w:lvl w:ilvl="8">
      <w:start w:val="1"/>
      <w:numFmt w:val="bullet"/>
      <w:lvlText w:val="•"/>
      <w:lvlJc w:val="left"/>
      <w:pPr>
        <w:ind w:left="9260" w:hanging="1257"/>
      </w:pPr>
      <w:rPr>
        <w:rFonts w:hint="default"/>
      </w:rPr>
    </w:lvl>
  </w:abstractNum>
  <w:abstractNum w:abstractNumId="84">
    <w:multiLevelType w:val="hybridMultilevel"/>
    <w:lvl w:ilvl="0">
      <w:start w:val="13"/>
      <w:numFmt w:val="decimal"/>
      <w:lvlText w:val="%1"/>
      <w:lvlJc w:val="left"/>
      <w:pPr>
        <w:ind w:left="1416" w:hanging="1257"/>
        <w:jc w:val="left"/>
      </w:pPr>
      <w:rPr>
        <w:rFonts w:hint="default" w:ascii="Arial" w:hAnsi="Arial" w:eastAsia="Arial" w:cs="Arial"/>
        <w:spacing w:val="-2"/>
        <w:w w:val="99"/>
        <w:position w:val="-6"/>
        <w:sz w:val="20"/>
        <w:szCs w:val="20"/>
      </w:rPr>
    </w:lvl>
    <w:lvl w:ilvl="1">
      <w:start w:val="1"/>
      <w:numFmt w:val="bullet"/>
      <w:lvlText w:val="•"/>
      <w:lvlJc w:val="left"/>
      <w:pPr>
        <w:ind w:left="2400" w:hanging="1257"/>
      </w:pPr>
      <w:rPr>
        <w:rFonts w:hint="default"/>
      </w:rPr>
    </w:lvl>
    <w:lvl w:ilvl="2">
      <w:start w:val="1"/>
      <w:numFmt w:val="bullet"/>
      <w:lvlText w:val="•"/>
      <w:lvlJc w:val="left"/>
      <w:pPr>
        <w:ind w:left="3380" w:hanging="1257"/>
      </w:pPr>
      <w:rPr>
        <w:rFonts w:hint="default"/>
      </w:rPr>
    </w:lvl>
    <w:lvl w:ilvl="3">
      <w:start w:val="1"/>
      <w:numFmt w:val="bullet"/>
      <w:lvlText w:val="•"/>
      <w:lvlJc w:val="left"/>
      <w:pPr>
        <w:ind w:left="4360" w:hanging="1257"/>
      </w:pPr>
      <w:rPr>
        <w:rFonts w:hint="default"/>
      </w:rPr>
    </w:lvl>
    <w:lvl w:ilvl="4">
      <w:start w:val="1"/>
      <w:numFmt w:val="bullet"/>
      <w:lvlText w:val="•"/>
      <w:lvlJc w:val="left"/>
      <w:pPr>
        <w:ind w:left="5340" w:hanging="1257"/>
      </w:pPr>
      <w:rPr>
        <w:rFonts w:hint="default"/>
      </w:rPr>
    </w:lvl>
    <w:lvl w:ilvl="5">
      <w:start w:val="1"/>
      <w:numFmt w:val="bullet"/>
      <w:lvlText w:val="•"/>
      <w:lvlJc w:val="left"/>
      <w:pPr>
        <w:ind w:left="6320" w:hanging="1257"/>
      </w:pPr>
      <w:rPr>
        <w:rFonts w:hint="default"/>
      </w:rPr>
    </w:lvl>
    <w:lvl w:ilvl="6">
      <w:start w:val="1"/>
      <w:numFmt w:val="bullet"/>
      <w:lvlText w:val="•"/>
      <w:lvlJc w:val="left"/>
      <w:pPr>
        <w:ind w:left="7300" w:hanging="1257"/>
      </w:pPr>
      <w:rPr>
        <w:rFonts w:hint="default"/>
      </w:rPr>
    </w:lvl>
    <w:lvl w:ilvl="7">
      <w:start w:val="1"/>
      <w:numFmt w:val="bullet"/>
      <w:lvlText w:val="•"/>
      <w:lvlJc w:val="left"/>
      <w:pPr>
        <w:ind w:left="8280" w:hanging="1257"/>
      </w:pPr>
      <w:rPr>
        <w:rFonts w:hint="default"/>
      </w:rPr>
    </w:lvl>
    <w:lvl w:ilvl="8">
      <w:start w:val="1"/>
      <w:numFmt w:val="bullet"/>
      <w:lvlText w:val="•"/>
      <w:lvlJc w:val="left"/>
      <w:pPr>
        <w:ind w:left="9260" w:hanging="1257"/>
      </w:pPr>
      <w:rPr>
        <w:rFonts w:hint="default"/>
      </w:rPr>
    </w:lvl>
  </w:abstractNum>
  <w:abstractNum w:abstractNumId="83">
    <w:multiLevelType w:val="hybridMultilevel"/>
    <w:lvl w:ilvl="0">
      <w:start w:val="10"/>
      <w:numFmt w:val="decimal"/>
      <w:lvlText w:val="%1"/>
      <w:lvlJc w:val="left"/>
      <w:pPr>
        <w:ind w:left="1132" w:hanging="973"/>
        <w:jc w:val="left"/>
      </w:pPr>
      <w:rPr>
        <w:rFonts w:hint="default" w:ascii="Arial" w:hAnsi="Arial" w:eastAsia="Arial" w:cs="Arial"/>
        <w:spacing w:val="-2"/>
        <w:w w:val="99"/>
        <w:position w:val="7"/>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82">
    <w:multiLevelType w:val="hybridMultilevel"/>
    <w:lvl w:ilvl="0">
      <w:start w:val="4"/>
      <w:numFmt w:val="decimal"/>
      <w:lvlText w:val="%1"/>
      <w:lvlJc w:val="left"/>
      <w:pPr>
        <w:ind w:left="1132" w:hanging="973"/>
        <w:jc w:val="left"/>
      </w:pPr>
      <w:rPr>
        <w:rFonts w:hint="default" w:ascii="Arial" w:hAnsi="Arial" w:eastAsia="Arial" w:cs="Arial"/>
        <w:spacing w:val="-2"/>
        <w:w w:val="99"/>
        <w:position w:val="6"/>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81">
    <w:multiLevelType w:val="hybridMultilevel"/>
    <w:lvl w:ilvl="0">
      <w:start w:val="36"/>
      <w:numFmt w:val="decimal"/>
      <w:lvlText w:val="%1"/>
      <w:lvlJc w:val="left"/>
      <w:pPr>
        <w:ind w:left="1132" w:hanging="973"/>
        <w:jc w:val="left"/>
      </w:pPr>
      <w:rPr>
        <w:rFonts w:hint="default" w:ascii="Arial" w:hAnsi="Arial" w:eastAsia="Arial" w:cs="Arial"/>
        <w:spacing w:val="-2"/>
        <w:w w:val="99"/>
        <w:position w:val="-4"/>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80">
    <w:multiLevelType w:val="hybridMultilevel"/>
    <w:lvl w:ilvl="0">
      <w:start w:val="27"/>
      <w:numFmt w:val="decimal"/>
      <w:lvlText w:val="%1"/>
      <w:lvlJc w:val="left"/>
      <w:pPr>
        <w:ind w:left="1132" w:hanging="973"/>
        <w:jc w:val="left"/>
      </w:pPr>
      <w:rPr>
        <w:rFonts w:hint="default" w:ascii="Arial" w:hAnsi="Arial" w:eastAsia="Arial" w:cs="Arial"/>
        <w:spacing w:val="-3"/>
        <w:w w:val="99"/>
        <w:position w:val="-3"/>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79">
    <w:multiLevelType w:val="hybridMultilevel"/>
    <w:lvl w:ilvl="0">
      <w:start w:val="24"/>
      <w:numFmt w:val="decimal"/>
      <w:lvlText w:val="%1"/>
      <w:lvlJc w:val="left"/>
      <w:pPr>
        <w:ind w:left="1840" w:hanging="1681"/>
        <w:jc w:val="left"/>
      </w:pPr>
      <w:rPr>
        <w:rFonts w:hint="default" w:ascii="Arial" w:hAnsi="Arial" w:eastAsia="Arial" w:cs="Arial"/>
        <w:spacing w:val="-1"/>
        <w:w w:val="99"/>
        <w:position w:val="9"/>
        <w:sz w:val="20"/>
        <w:szCs w:val="20"/>
      </w:rPr>
    </w:lvl>
    <w:lvl w:ilvl="1">
      <w:start w:val="1"/>
      <w:numFmt w:val="bullet"/>
      <w:lvlText w:val="•"/>
      <w:lvlJc w:val="left"/>
      <w:pPr>
        <w:ind w:left="2876" w:hanging="1681"/>
      </w:pPr>
      <w:rPr>
        <w:rFonts w:hint="default"/>
      </w:rPr>
    </w:lvl>
    <w:lvl w:ilvl="2">
      <w:start w:val="1"/>
      <w:numFmt w:val="bullet"/>
      <w:lvlText w:val="•"/>
      <w:lvlJc w:val="left"/>
      <w:pPr>
        <w:ind w:left="3912" w:hanging="1681"/>
      </w:pPr>
      <w:rPr>
        <w:rFonts w:hint="default"/>
      </w:rPr>
    </w:lvl>
    <w:lvl w:ilvl="3">
      <w:start w:val="1"/>
      <w:numFmt w:val="bullet"/>
      <w:lvlText w:val="•"/>
      <w:lvlJc w:val="left"/>
      <w:pPr>
        <w:ind w:left="4948" w:hanging="1681"/>
      </w:pPr>
      <w:rPr>
        <w:rFonts w:hint="default"/>
      </w:rPr>
    </w:lvl>
    <w:lvl w:ilvl="4">
      <w:start w:val="1"/>
      <w:numFmt w:val="bullet"/>
      <w:lvlText w:val="•"/>
      <w:lvlJc w:val="left"/>
      <w:pPr>
        <w:ind w:left="5984" w:hanging="1681"/>
      </w:pPr>
      <w:rPr>
        <w:rFonts w:hint="default"/>
      </w:rPr>
    </w:lvl>
    <w:lvl w:ilvl="5">
      <w:start w:val="1"/>
      <w:numFmt w:val="bullet"/>
      <w:lvlText w:val="•"/>
      <w:lvlJc w:val="left"/>
      <w:pPr>
        <w:ind w:left="7020" w:hanging="1681"/>
      </w:pPr>
      <w:rPr>
        <w:rFonts w:hint="default"/>
      </w:rPr>
    </w:lvl>
    <w:lvl w:ilvl="6">
      <w:start w:val="1"/>
      <w:numFmt w:val="bullet"/>
      <w:lvlText w:val="•"/>
      <w:lvlJc w:val="left"/>
      <w:pPr>
        <w:ind w:left="8056" w:hanging="1681"/>
      </w:pPr>
      <w:rPr>
        <w:rFonts w:hint="default"/>
      </w:rPr>
    </w:lvl>
    <w:lvl w:ilvl="7">
      <w:start w:val="1"/>
      <w:numFmt w:val="bullet"/>
      <w:lvlText w:val="•"/>
      <w:lvlJc w:val="left"/>
      <w:pPr>
        <w:ind w:left="9092" w:hanging="1681"/>
      </w:pPr>
      <w:rPr>
        <w:rFonts w:hint="default"/>
      </w:rPr>
    </w:lvl>
    <w:lvl w:ilvl="8">
      <w:start w:val="1"/>
      <w:numFmt w:val="bullet"/>
      <w:lvlText w:val="•"/>
      <w:lvlJc w:val="left"/>
      <w:pPr>
        <w:ind w:left="10128" w:hanging="1681"/>
      </w:pPr>
      <w:rPr>
        <w:rFonts w:hint="default"/>
      </w:rPr>
    </w:lvl>
  </w:abstractNum>
  <w:abstractNum w:abstractNumId="78">
    <w:multiLevelType w:val="hybridMultilevel"/>
    <w:lvl w:ilvl="0">
      <w:start w:val="18"/>
      <w:numFmt w:val="decimal"/>
      <w:lvlText w:val="%1"/>
      <w:lvlJc w:val="left"/>
      <w:pPr>
        <w:ind w:left="1132" w:hanging="973"/>
        <w:jc w:val="left"/>
      </w:pPr>
      <w:rPr>
        <w:rFonts w:hint="default" w:ascii="Arial" w:hAnsi="Arial" w:eastAsia="Arial" w:cs="Arial"/>
        <w:spacing w:val="-3"/>
        <w:w w:val="99"/>
        <w:position w:val="-2"/>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77">
    <w:multiLevelType w:val="hybridMultilevel"/>
    <w:lvl w:ilvl="0">
      <w:start w:val="12"/>
      <w:numFmt w:val="decimal"/>
      <w:lvlText w:val="%1"/>
      <w:lvlJc w:val="left"/>
      <w:pPr>
        <w:ind w:left="1132" w:hanging="973"/>
        <w:jc w:val="left"/>
      </w:pPr>
      <w:rPr>
        <w:rFonts w:hint="default" w:ascii="Arial" w:hAnsi="Arial" w:eastAsia="Arial" w:cs="Arial"/>
        <w:spacing w:val="-14"/>
        <w:w w:val="99"/>
        <w:position w:val="-3"/>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76">
    <w:multiLevelType w:val="hybridMultilevel"/>
    <w:lvl w:ilvl="0">
      <w:start w:val="6"/>
      <w:numFmt w:val="decimal"/>
      <w:lvlText w:val="%1"/>
      <w:lvlJc w:val="left"/>
      <w:pPr>
        <w:ind w:left="1132" w:hanging="973"/>
        <w:jc w:val="left"/>
      </w:pPr>
      <w:rPr>
        <w:rFonts w:hint="default" w:ascii="Arial" w:hAnsi="Arial" w:eastAsia="Arial" w:cs="Arial"/>
        <w:spacing w:val="-27"/>
        <w:w w:val="99"/>
        <w:position w:val="-3"/>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75">
    <w:multiLevelType w:val="hybridMultilevel"/>
    <w:lvl w:ilvl="0">
      <w:start w:val="2"/>
      <w:numFmt w:val="decimal"/>
      <w:lvlText w:val="%1"/>
      <w:lvlJc w:val="left"/>
      <w:pPr>
        <w:ind w:left="1132" w:hanging="973"/>
        <w:jc w:val="left"/>
      </w:pPr>
      <w:rPr>
        <w:rFonts w:hint="default" w:ascii="Arial" w:hAnsi="Arial" w:eastAsia="Arial" w:cs="Arial"/>
        <w:spacing w:val="-2"/>
        <w:w w:val="99"/>
        <w:position w:val="4"/>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74">
    <w:multiLevelType w:val="hybridMultilevel"/>
    <w:lvl w:ilvl="0">
      <w:start w:val="55"/>
      <w:numFmt w:val="decimal"/>
      <w:lvlText w:val="%1"/>
      <w:lvlJc w:val="left"/>
      <w:pPr>
        <w:ind w:left="1840" w:hanging="1681"/>
        <w:jc w:val="left"/>
      </w:pPr>
      <w:rPr>
        <w:rFonts w:hint="default" w:ascii="Arial" w:hAnsi="Arial" w:eastAsia="Arial" w:cs="Arial"/>
        <w:spacing w:val="-7"/>
        <w:w w:val="99"/>
        <w:position w:val="2"/>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73">
    <w:multiLevelType w:val="hybridMultilevel"/>
    <w:lvl w:ilvl="0">
      <w:start w:val="52"/>
      <w:numFmt w:val="decimal"/>
      <w:lvlText w:val="%1"/>
      <w:lvlJc w:val="left"/>
      <w:pPr>
        <w:ind w:left="1132" w:hanging="973"/>
        <w:jc w:val="left"/>
      </w:pPr>
      <w:rPr>
        <w:rFonts w:hint="default" w:ascii="Arial" w:hAnsi="Arial" w:eastAsia="Arial" w:cs="Arial"/>
        <w:spacing w:val="-2"/>
        <w:w w:val="99"/>
        <w:position w:val="-4"/>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72">
    <w:multiLevelType w:val="hybridMultilevel"/>
    <w:lvl w:ilvl="0">
      <w:start w:val="46"/>
      <w:numFmt w:val="decimal"/>
      <w:lvlText w:val="%1"/>
      <w:lvlJc w:val="left"/>
      <w:pPr>
        <w:ind w:left="1132" w:hanging="973"/>
        <w:jc w:val="left"/>
      </w:pPr>
      <w:rPr>
        <w:rFonts w:hint="default" w:ascii="Arial" w:hAnsi="Arial" w:eastAsia="Arial" w:cs="Arial"/>
        <w:spacing w:val="-2"/>
        <w:w w:val="99"/>
        <w:position w:val="-4"/>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71">
    <w:multiLevelType w:val="hybridMultilevel"/>
    <w:lvl w:ilvl="0">
      <w:start w:val="40"/>
      <w:numFmt w:val="decimal"/>
      <w:lvlText w:val="%1"/>
      <w:lvlJc w:val="left"/>
      <w:pPr>
        <w:ind w:left="1132" w:hanging="973"/>
        <w:jc w:val="left"/>
      </w:pPr>
      <w:rPr>
        <w:rFonts w:hint="default" w:ascii="Arial" w:hAnsi="Arial" w:eastAsia="Arial" w:cs="Arial"/>
        <w:spacing w:val="-17"/>
        <w:w w:val="99"/>
        <w:position w:val="-5"/>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70">
    <w:multiLevelType w:val="hybridMultilevel"/>
    <w:lvl w:ilvl="0">
      <w:start w:val="36"/>
      <w:numFmt w:val="decimal"/>
      <w:lvlText w:val="%1"/>
      <w:lvlJc w:val="left"/>
      <w:pPr>
        <w:ind w:left="1840" w:hanging="1681"/>
        <w:jc w:val="left"/>
      </w:pPr>
      <w:rPr>
        <w:rFonts w:hint="default" w:ascii="Arial" w:hAnsi="Arial" w:eastAsia="Arial" w:cs="Arial"/>
        <w:spacing w:val="-5"/>
        <w:w w:val="99"/>
        <w:position w:val="3"/>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69">
    <w:multiLevelType w:val="hybridMultilevel"/>
    <w:lvl w:ilvl="0">
      <w:start w:val="33"/>
      <w:numFmt w:val="decimal"/>
      <w:lvlText w:val="%1"/>
      <w:lvlJc w:val="left"/>
      <w:pPr>
        <w:ind w:left="1132" w:hanging="973"/>
        <w:jc w:val="left"/>
      </w:pPr>
      <w:rPr>
        <w:rFonts w:hint="default" w:ascii="Arial" w:hAnsi="Arial" w:eastAsia="Arial" w:cs="Arial"/>
        <w:spacing w:val="-2"/>
        <w:w w:val="99"/>
        <w:position w:val="-3"/>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68">
    <w:multiLevelType w:val="hybridMultilevel"/>
    <w:lvl w:ilvl="0">
      <w:start w:val="27"/>
      <w:numFmt w:val="decimal"/>
      <w:lvlText w:val="%1"/>
      <w:lvlJc w:val="left"/>
      <w:pPr>
        <w:ind w:left="1132" w:hanging="973"/>
        <w:jc w:val="left"/>
      </w:pPr>
      <w:rPr>
        <w:rFonts w:hint="default" w:ascii="Arial" w:hAnsi="Arial" w:eastAsia="Arial" w:cs="Arial"/>
        <w:spacing w:val="-12"/>
        <w:w w:val="99"/>
        <w:position w:val="-3"/>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67">
    <w:multiLevelType w:val="hybridMultilevel"/>
    <w:lvl w:ilvl="0">
      <w:start w:val="21"/>
      <w:numFmt w:val="decimal"/>
      <w:lvlText w:val="%1"/>
      <w:lvlJc w:val="left"/>
      <w:pPr>
        <w:ind w:left="1840" w:hanging="1681"/>
        <w:jc w:val="left"/>
      </w:pPr>
      <w:rPr>
        <w:rFonts w:hint="default" w:ascii="Arial" w:hAnsi="Arial" w:eastAsia="Arial" w:cs="Arial"/>
        <w:spacing w:val="-1"/>
        <w:w w:val="99"/>
        <w:position w:val="-4"/>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66">
    <w:multiLevelType w:val="hybridMultilevel"/>
    <w:lvl w:ilvl="0">
      <w:start w:val="14"/>
      <w:numFmt w:val="decimal"/>
      <w:lvlText w:val="%1"/>
      <w:lvlJc w:val="left"/>
      <w:pPr>
        <w:ind w:left="1840" w:hanging="1681"/>
        <w:jc w:val="left"/>
      </w:pPr>
      <w:rPr>
        <w:rFonts w:hint="default" w:ascii="Arial" w:hAnsi="Arial" w:eastAsia="Arial" w:cs="Arial"/>
        <w:spacing w:val="-27"/>
        <w:w w:val="99"/>
        <w:position w:val="-1"/>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65">
    <w:multiLevelType w:val="hybridMultilevel"/>
    <w:lvl w:ilvl="0">
      <w:start w:val="6"/>
      <w:numFmt w:val="decimal"/>
      <w:lvlText w:val="%1"/>
      <w:lvlJc w:val="left"/>
      <w:pPr>
        <w:ind w:left="1132" w:hanging="973"/>
        <w:jc w:val="left"/>
      </w:pPr>
      <w:rPr>
        <w:rFonts w:hint="default" w:ascii="Arial" w:hAnsi="Arial" w:eastAsia="Arial" w:cs="Arial"/>
        <w:spacing w:val="-1"/>
        <w:w w:val="99"/>
        <w:position w:val="-3"/>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64">
    <w:multiLevelType w:val="hybridMultilevel"/>
    <w:lvl w:ilvl="0">
      <w:start w:val="2"/>
      <w:numFmt w:val="decimal"/>
      <w:lvlText w:val="%1"/>
      <w:lvlJc w:val="left"/>
      <w:pPr>
        <w:ind w:left="1132" w:hanging="973"/>
        <w:jc w:val="left"/>
      </w:pPr>
      <w:rPr>
        <w:rFonts w:hint="default" w:ascii="Arial" w:hAnsi="Arial" w:eastAsia="Arial" w:cs="Arial"/>
        <w:spacing w:val="-25"/>
        <w:w w:val="99"/>
        <w:position w:val="4"/>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63">
    <w:multiLevelType w:val="hybridMultilevel"/>
    <w:lvl w:ilvl="0">
      <w:start w:val="56"/>
      <w:numFmt w:val="decimal"/>
      <w:lvlText w:val="%1"/>
      <w:lvlJc w:val="left"/>
      <w:pPr>
        <w:ind w:left="1132" w:hanging="973"/>
        <w:jc w:val="left"/>
      </w:pPr>
      <w:rPr>
        <w:rFonts w:hint="default" w:ascii="Arial" w:hAnsi="Arial" w:eastAsia="Arial" w:cs="Arial"/>
        <w:spacing w:val="-1"/>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62">
    <w:multiLevelType w:val="hybridMultilevel"/>
    <w:lvl w:ilvl="0">
      <w:start w:val="50"/>
      <w:numFmt w:val="decimal"/>
      <w:lvlText w:val="%1"/>
      <w:lvlJc w:val="left"/>
      <w:pPr>
        <w:ind w:left="1840" w:hanging="1681"/>
        <w:jc w:val="left"/>
      </w:pPr>
      <w:rPr>
        <w:rFonts w:hint="default" w:ascii="Arial" w:hAnsi="Arial" w:eastAsia="Arial" w:cs="Arial"/>
        <w:spacing w:val="-16"/>
        <w:w w:val="99"/>
        <w:position w:val="-5"/>
        <w:sz w:val="20"/>
        <w:szCs w:val="20"/>
      </w:rPr>
    </w:lvl>
    <w:lvl w:ilvl="1">
      <w:start w:val="1"/>
      <w:numFmt w:val="bullet"/>
      <w:lvlText w:val="•"/>
      <w:lvlJc w:val="left"/>
      <w:pPr>
        <w:ind w:left="2876" w:hanging="1681"/>
      </w:pPr>
      <w:rPr>
        <w:rFonts w:hint="default"/>
      </w:rPr>
    </w:lvl>
    <w:lvl w:ilvl="2">
      <w:start w:val="1"/>
      <w:numFmt w:val="bullet"/>
      <w:lvlText w:val="•"/>
      <w:lvlJc w:val="left"/>
      <w:pPr>
        <w:ind w:left="3912" w:hanging="1681"/>
      </w:pPr>
      <w:rPr>
        <w:rFonts w:hint="default"/>
      </w:rPr>
    </w:lvl>
    <w:lvl w:ilvl="3">
      <w:start w:val="1"/>
      <w:numFmt w:val="bullet"/>
      <w:lvlText w:val="•"/>
      <w:lvlJc w:val="left"/>
      <w:pPr>
        <w:ind w:left="4948" w:hanging="1681"/>
      </w:pPr>
      <w:rPr>
        <w:rFonts w:hint="default"/>
      </w:rPr>
    </w:lvl>
    <w:lvl w:ilvl="4">
      <w:start w:val="1"/>
      <w:numFmt w:val="bullet"/>
      <w:lvlText w:val="•"/>
      <w:lvlJc w:val="left"/>
      <w:pPr>
        <w:ind w:left="5984" w:hanging="1681"/>
      </w:pPr>
      <w:rPr>
        <w:rFonts w:hint="default"/>
      </w:rPr>
    </w:lvl>
    <w:lvl w:ilvl="5">
      <w:start w:val="1"/>
      <w:numFmt w:val="bullet"/>
      <w:lvlText w:val="•"/>
      <w:lvlJc w:val="left"/>
      <w:pPr>
        <w:ind w:left="7020" w:hanging="1681"/>
      </w:pPr>
      <w:rPr>
        <w:rFonts w:hint="default"/>
      </w:rPr>
    </w:lvl>
    <w:lvl w:ilvl="6">
      <w:start w:val="1"/>
      <w:numFmt w:val="bullet"/>
      <w:lvlText w:val="•"/>
      <w:lvlJc w:val="left"/>
      <w:pPr>
        <w:ind w:left="8056" w:hanging="1681"/>
      </w:pPr>
      <w:rPr>
        <w:rFonts w:hint="default"/>
      </w:rPr>
    </w:lvl>
    <w:lvl w:ilvl="7">
      <w:start w:val="1"/>
      <w:numFmt w:val="bullet"/>
      <w:lvlText w:val="•"/>
      <w:lvlJc w:val="left"/>
      <w:pPr>
        <w:ind w:left="9092" w:hanging="1681"/>
      </w:pPr>
      <w:rPr>
        <w:rFonts w:hint="default"/>
      </w:rPr>
    </w:lvl>
    <w:lvl w:ilvl="8">
      <w:start w:val="1"/>
      <w:numFmt w:val="bullet"/>
      <w:lvlText w:val="•"/>
      <w:lvlJc w:val="left"/>
      <w:pPr>
        <w:ind w:left="10128" w:hanging="1681"/>
      </w:pPr>
      <w:rPr>
        <w:rFonts w:hint="default"/>
      </w:rPr>
    </w:lvl>
  </w:abstractNum>
  <w:abstractNum w:abstractNumId="61">
    <w:multiLevelType w:val="hybridMultilevel"/>
    <w:lvl w:ilvl="0">
      <w:start w:val="43"/>
      <w:numFmt w:val="decimal"/>
      <w:lvlText w:val="%1"/>
      <w:lvlJc w:val="left"/>
      <w:pPr>
        <w:ind w:left="1132" w:hanging="973"/>
        <w:jc w:val="left"/>
      </w:pPr>
      <w:rPr>
        <w:rFonts w:hint="default" w:ascii="Arial" w:hAnsi="Arial" w:eastAsia="Arial" w:cs="Arial"/>
        <w:spacing w:val="-1"/>
        <w:w w:val="99"/>
        <w:position w:val="-3"/>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60">
    <w:multiLevelType w:val="hybridMultilevel"/>
    <w:lvl w:ilvl="0">
      <w:start w:val="39"/>
      <w:numFmt w:val="decimal"/>
      <w:lvlText w:val="%1"/>
      <w:lvlJc w:val="left"/>
      <w:pPr>
        <w:ind w:left="1840" w:hanging="1681"/>
        <w:jc w:val="left"/>
      </w:pPr>
      <w:rPr>
        <w:rFonts w:hint="default" w:ascii="Arial" w:hAnsi="Arial" w:eastAsia="Arial" w:cs="Arial"/>
        <w:spacing w:val="-1"/>
        <w:w w:val="99"/>
        <w:position w:val="5"/>
        <w:sz w:val="20"/>
        <w:szCs w:val="20"/>
      </w:rPr>
    </w:lvl>
    <w:lvl w:ilvl="1">
      <w:start w:val="1"/>
      <w:numFmt w:val="bullet"/>
      <w:lvlText w:val="•"/>
      <w:lvlJc w:val="left"/>
      <w:pPr>
        <w:ind w:left="2876" w:hanging="1681"/>
      </w:pPr>
      <w:rPr>
        <w:rFonts w:hint="default"/>
      </w:rPr>
    </w:lvl>
    <w:lvl w:ilvl="2">
      <w:start w:val="1"/>
      <w:numFmt w:val="bullet"/>
      <w:lvlText w:val="•"/>
      <w:lvlJc w:val="left"/>
      <w:pPr>
        <w:ind w:left="3912" w:hanging="1681"/>
      </w:pPr>
      <w:rPr>
        <w:rFonts w:hint="default"/>
      </w:rPr>
    </w:lvl>
    <w:lvl w:ilvl="3">
      <w:start w:val="1"/>
      <w:numFmt w:val="bullet"/>
      <w:lvlText w:val="•"/>
      <w:lvlJc w:val="left"/>
      <w:pPr>
        <w:ind w:left="4948" w:hanging="1681"/>
      </w:pPr>
      <w:rPr>
        <w:rFonts w:hint="default"/>
      </w:rPr>
    </w:lvl>
    <w:lvl w:ilvl="4">
      <w:start w:val="1"/>
      <w:numFmt w:val="bullet"/>
      <w:lvlText w:val="•"/>
      <w:lvlJc w:val="left"/>
      <w:pPr>
        <w:ind w:left="5984" w:hanging="1681"/>
      </w:pPr>
      <w:rPr>
        <w:rFonts w:hint="default"/>
      </w:rPr>
    </w:lvl>
    <w:lvl w:ilvl="5">
      <w:start w:val="1"/>
      <w:numFmt w:val="bullet"/>
      <w:lvlText w:val="•"/>
      <w:lvlJc w:val="left"/>
      <w:pPr>
        <w:ind w:left="7020" w:hanging="1681"/>
      </w:pPr>
      <w:rPr>
        <w:rFonts w:hint="default"/>
      </w:rPr>
    </w:lvl>
    <w:lvl w:ilvl="6">
      <w:start w:val="1"/>
      <w:numFmt w:val="bullet"/>
      <w:lvlText w:val="•"/>
      <w:lvlJc w:val="left"/>
      <w:pPr>
        <w:ind w:left="8056" w:hanging="1681"/>
      </w:pPr>
      <w:rPr>
        <w:rFonts w:hint="default"/>
      </w:rPr>
    </w:lvl>
    <w:lvl w:ilvl="7">
      <w:start w:val="1"/>
      <w:numFmt w:val="bullet"/>
      <w:lvlText w:val="•"/>
      <w:lvlJc w:val="left"/>
      <w:pPr>
        <w:ind w:left="9092" w:hanging="1681"/>
      </w:pPr>
      <w:rPr>
        <w:rFonts w:hint="default"/>
      </w:rPr>
    </w:lvl>
    <w:lvl w:ilvl="8">
      <w:start w:val="1"/>
      <w:numFmt w:val="bullet"/>
      <w:lvlText w:val="•"/>
      <w:lvlJc w:val="left"/>
      <w:pPr>
        <w:ind w:left="10128" w:hanging="1681"/>
      </w:pPr>
      <w:rPr>
        <w:rFonts w:hint="default"/>
      </w:rPr>
    </w:lvl>
  </w:abstractNum>
  <w:abstractNum w:abstractNumId="59">
    <w:multiLevelType w:val="hybridMultilevel"/>
    <w:lvl w:ilvl="0">
      <w:start w:val="35"/>
      <w:numFmt w:val="decimal"/>
      <w:lvlText w:val="%1"/>
      <w:lvlJc w:val="left"/>
      <w:pPr>
        <w:ind w:left="1132" w:hanging="973"/>
        <w:jc w:val="left"/>
      </w:pPr>
      <w:rPr>
        <w:rFonts w:hint="default" w:ascii="Arial" w:hAnsi="Arial" w:eastAsia="Arial" w:cs="Arial"/>
        <w:spacing w:val="-2"/>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58">
    <w:multiLevelType w:val="hybridMultilevel"/>
    <w:lvl w:ilvl="0">
      <w:start w:val="29"/>
      <w:numFmt w:val="decimal"/>
      <w:lvlText w:val="%1"/>
      <w:lvlJc w:val="left"/>
      <w:pPr>
        <w:ind w:left="1132" w:hanging="973"/>
        <w:jc w:val="left"/>
      </w:pPr>
      <w:rPr>
        <w:rFonts w:hint="default" w:ascii="Arial" w:hAnsi="Arial" w:eastAsia="Arial" w:cs="Arial"/>
        <w:spacing w:val="-2"/>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57">
    <w:multiLevelType w:val="hybridMultilevel"/>
    <w:lvl w:ilvl="0">
      <w:start w:val="23"/>
      <w:numFmt w:val="decimal"/>
      <w:lvlText w:val="%1"/>
      <w:lvlJc w:val="left"/>
      <w:pPr>
        <w:ind w:left="1132" w:hanging="973"/>
        <w:jc w:val="left"/>
      </w:pPr>
      <w:rPr>
        <w:rFonts w:hint="default" w:ascii="Arial" w:hAnsi="Arial" w:eastAsia="Arial" w:cs="Arial"/>
        <w:spacing w:val="-2"/>
        <w:w w:val="99"/>
        <w:position w:val="-6"/>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56">
    <w:multiLevelType w:val="hybridMultilevel"/>
    <w:lvl w:ilvl="0">
      <w:start w:val="18"/>
      <w:numFmt w:val="decimal"/>
      <w:lvlText w:val="%1"/>
      <w:lvlJc w:val="left"/>
      <w:pPr>
        <w:ind w:left="1132" w:hanging="973"/>
        <w:jc w:val="left"/>
      </w:pPr>
      <w:rPr>
        <w:rFonts w:hint="default" w:ascii="Arial" w:hAnsi="Arial" w:eastAsia="Arial" w:cs="Arial"/>
        <w:spacing w:val="-3"/>
        <w:w w:val="99"/>
        <w:position w:val="-2"/>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55">
    <w:multiLevelType w:val="hybridMultilevel"/>
    <w:lvl w:ilvl="0">
      <w:start w:val="12"/>
      <w:numFmt w:val="decimal"/>
      <w:lvlText w:val="%1"/>
      <w:lvlJc w:val="left"/>
      <w:pPr>
        <w:ind w:left="1132" w:hanging="973"/>
        <w:jc w:val="left"/>
      </w:pPr>
      <w:rPr>
        <w:rFonts w:hint="default" w:ascii="Arial" w:hAnsi="Arial" w:eastAsia="Arial" w:cs="Arial"/>
        <w:spacing w:val="-4"/>
        <w:w w:val="99"/>
        <w:position w:val="-3"/>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54">
    <w:multiLevelType w:val="hybridMultilevel"/>
    <w:lvl w:ilvl="0">
      <w:start w:val="6"/>
      <w:numFmt w:val="decimal"/>
      <w:lvlText w:val="%1"/>
      <w:lvlJc w:val="left"/>
      <w:pPr>
        <w:ind w:left="1132" w:hanging="973"/>
        <w:jc w:val="left"/>
      </w:pPr>
      <w:rPr>
        <w:rFonts w:hint="default" w:ascii="Arial" w:hAnsi="Arial" w:eastAsia="Arial" w:cs="Arial"/>
        <w:spacing w:val="-2"/>
        <w:w w:val="99"/>
        <w:position w:val="-3"/>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53">
    <w:multiLevelType w:val="hybridMultilevel"/>
    <w:lvl w:ilvl="0">
      <w:start w:val="2"/>
      <w:numFmt w:val="decimal"/>
      <w:lvlText w:val="%1"/>
      <w:lvlJc w:val="left"/>
      <w:pPr>
        <w:ind w:left="1132" w:hanging="973"/>
        <w:jc w:val="left"/>
      </w:pPr>
      <w:rPr>
        <w:rFonts w:hint="default" w:ascii="Arial" w:hAnsi="Arial" w:eastAsia="Arial" w:cs="Arial"/>
        <w:spacing w:val="-1"/>
        <w:w w:val="99"/>
        <w:position w:val="4"/>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52">
    <w:multiLevelType w:val="hybridMultilevel"/>
    <w:lvl w:ilvl="0">
      <w:start w:val="57"/>
      <w:numFmt w:val="decimal"/>
      <w:lvlText w:val="%1"/>
      <w:lvlJc w:val="left"/>
      <w:pPr>
        <w:ind w:left="1132" w:hanging="973"/>
        <w:jc w:val="left"/>
      </w:pPr>
      <w:rPr>
        <w:rFonts w:hint="default" w:ascii="Arial" w:hAnsi="Arial" w:eastAsia="Arial" w:cs="Arial"/>
        <w:spacing w:val="-23"/>
        <w:w w:val="99"/>
        <w:position w:val="-4"/>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51">
    <w:multiLevelType w:val="hybridMultilevel"/>
    <w:lvl w:ilvl="0">
      <w:start w:val="53"/>
      <w:numFmt w:val="decimal"/>
      <w:lvlText w:val="%1"/>
      <w:lvlJc w:val="left"/>
      <w:pPr>
        <w:ind w:left="1840" w:hanging="1681"/>
        <w:jc w:val="left"/>
      </w:pPr>
      <w:rPr>
        <w:rFonts w:hint="default" w:ascii="Arial" w:hAnsi="Arial" w:eastAsia="Arial" w:cs="Arial"/>
        <w:spacing w:val="-3"/>
        <w:w w:val="99"/>
        <w:position w:val="4"/>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50">
    <w:multiLevelType w:val="hybridMultilevel"/>
    <w:lvl w:ilvl="0">
      <w:start w:val="50"/>
      <w:numFmt w:val="decimal"/>
      <w:lvlText w:val="%1"/>
      <w:lvlJc w:val="left"/>
      <w:pPr>
        <w:ind w:left="1132" w:hanging="973"/>
        <w:jc w:val="left"/>
      </w:pPr>
      <w:rPr>
        <w:rFonts w:hint="default" w:ascii="Arial" w:hAnsi="Arial" w:eastAsia="Arial" w:cs="Arial"/>
        <w:spacing w:val="-3"/>
        <w:w w:val="99"/>
        <w:position w:val="-2"/>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49">
    <w:multiLevelType w:val="hybridMultilevel"/>
    <w:lvl w:ilvl="0">
      <w:start w:val="44"/>
      <w:numFmt w:val="decimal"/>
      <w:lvlText w:val="%1"/>
      <w:lvlJc w:val="left"/>
      <w:pPr>
        <w:ind w:left="1132" w:hanging="973"/>
        <w:jc w:val="left"/>
      </w:pPr>
      <w:rPr>
        <w:rFonts w:hint="default" w:ascii="Arial" w:hAnsi="Arial" w:eastAsia="Arial" w:cs="Arial"/>
        <w:spacing w:val="-2"/>
        <w:w w:val="99"/>
        <w:position w:val="-2"/>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48">
    <w:multiLevelType w:val="hybridMultilevel"/>
    <w:lvl w:ilvl="0">
      <w:start w:val="38"/>
      <w:numFmt w:val="decimal"/>
      <w:lvlText w:val="%1"/>
      <w:lvlJc w:val="left"/>
      <w:pPr>
        <w:ind w:left="1840" w:hanging="1681"/>
        <w:jc w:val="left"/>
      </w:pPr>
      <w:rPr>
        <w:rFonts w:hint="default" w:ascii="Arial" w:hAnsi="Arial" w:eastAsia="Arial" w:cs="Arial"/>
        <w:spacing w:val="-26"/>
        <w:w w:val="99"/>
        <w:position w:val="-3"/>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47">
    <w:multiLevelType w:val="hybridMultilevel"/>
    <w:lvl w:ilvl="0">
      <w:start w:val="30"/>
      <w:numFmt w:val="decimal"/>
      <w:lvlText w:val="%1"/>
      <w:lvlJc w:val="left"/>
      <w:pPr>
        <w:ind w:left="1132" w:hanging="973"/>
        <w:jc w:val="left"/>
      </w:pPr>
      <w:rPr>
        <w:rFonts w:hint="default" w:ascii="Arial" w:hAnsi="Arial" w:eastAsia="Arial" w:cs="Arial"/>
        <w:spacing w:val="-16"/>
        <w:w w:val="99"/>
        <w:position w:val="-5"/>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46">
    <w:multiLevelType w:val="hybridMultilevel"/>
    <w:lvl w:ilvl="0">
      <w:start w:val="24"/>
      <w:numFmt w:val="decimal"/>
      <w:lvlText w:val="%1"/>
      <w:lvlJc w:val="left"/>
      <w:pPr>
        <w:ind w:left="1132" w:hanging="973"/>
        <w:jc w:val="left"/>
      </w:pPr>
      <w:rPr>
        <w:rFonts w:hint="default" w:ascii="Arial" w:hAnsi="Arial" w:eastAsia="Arial" w:cs="Arial"/>
        <w:spacing w:val="-8"/>
        <w:w w:val="99"/>
        <w:position w:val="-6"/>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45">
    <w:multiLevelType w:val="hybridMultilevel"/>
    <w:lvl w:ilvl="0">
      <w:start w:val="19"/>
      <w:numFmt w:val="decimal"/>
      <w:lvlText w:val="%1"/>
      <w:lvlJc w:val="left"/>
      <w:pPr>
        <w:ind w:left="1132" w:hanging="973"/>
        <w:jc w:val="left"/>
      </w:pPr>
      <w:rPr>
        <w:rFonts w:hint="default" w:ascii="Arial" w:hAnsi="Arial" w:eastAsia="Arial" w:cs="Arial"/>
        <w:spacing w:val="-8"/>
        <w:w w:val="99"/>
        <w:position w:val="-2"/>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44">
    <w:multiLevelType w:val="hybridMultilevel"/>
    <w:lvl w:ilvl="0">
      <w:start w:val="15"/>
      <w:numFmt w:val="decimal"/>
      <w:lvlText w:val="%1"/>
      <w:lvlJc w:val="left"/>
      <w:pPr>
        <w:ind w:left="1840" w:hanging="1681"/>
        <w:jc w:val="left"/>
      </w:pPr>
      <w:rPr>
        <w:rFonts w:hint="default" w:ascii="Arial" w:hAnsi="Arial" w:eastAsia="Arial" w:cs="Arial"/>
        <w:spacing w:val="-2"/>
        <w:w w:val="99"/>
        <w:position w:val="6"/>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43">
    <w:multiLevelType w:val="hybridMultilevel"/>
    <w:lvl w:ilvl="0">
      <w:start w:val="11"/>
      <w:numFmt w:val="decimal"/>
      <w:lvlText w:val="%1"/>
      <w:lvlJc w:val="left"/>
      <w:pPr>
        <w:ind w:left="1840" w:hanging="1681"/>
        <w:jc w:val="left"/>
      </w:pPr>
      <w:rPr>
        <w:rFonts w:hint="default" w:ascii="Arial" w:hAnsi="Arial" w:eastAsia="Arial" w:cs="Arial"/>
        <w:spacing w:val="-16"/>
        <w:w w:val="99"/>
        <w:position w:val="-4"/>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42">
    <w:multiLevelType w:val="hybridMultilevel"/>
    <w:lvl w:ilvl="0">
      <w:start w:val="6"/>
      <w:numFmt w:val="decimal"/>
      <w:lvlText w:val="%1"/>
      <w:lvlJc w:val="left"/>
      <w:pPr>
        <w:ind w:left="1132" w:hanging="973"/>
        <w:jc w:val="left"/>
      </w:pPr>
      <w:rPr>
        <w:rFonts w:hint="default" w:ascii="Arial" w:hAnsi="Arial" w:eastAsia="Arial" w:cs="Arial"/>
        <w:spacing w:val="-1"/>
        <w:w w:val="99"/>
        <w:position w:val="8"/>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41">
    <w:multiLevelType w:val="hybridMultilevel"/>
    <w:lvl w:ilvl="0">
      <w:start w:val="54"/>
      <w:numFmt w:val="decimal"/>
      <w:lvlText w:val="%1"/>
      <w:lvlJc w:val="left"/>
      <w:pPr>
        <w:ind w:left="1840" w:hanging="1681"/>
        <w:jc w:val="left"/>
      </w:pPr>
      <w:rPr>
        <w:rFonts w:hint="default" w:ascii="Arial" w:hAnsi="Arial" w:eastAsia="Arial" w:cs="Arial"/>
        <w:spacing w:val="-1"/>
        <w:w w:val="99"/>
        <w:position w:val="-6"/>
        <w:sz w:val="20"/>
        <w:szCs w:val="20"/>
      </w:rPr>
    </w:lvl>
    <w:lvl w:ilvl="1">
      <w:start w:val="1"/>
      <w:numFmt w:val="bullet"/>
      <w:lvlText w:val="•"/>
      <w:lvlJc w:val="left"/>
      <w:pPr>
        <w:ind w:left="2876" w:hanging="1681"/>
      </w:pPr>
      <w:rPr>
        <w:rFonts w:hint="default"/>
      </w:rPr>
    </w:lvl>
    <w:lvl w:ilvl="2">
      <w:start w:val="1"/>
      <w:numFmt w:val="bullet"/>
      <w:lvlText w:val="•"/>
      <w:lvlJc w:val="left"/>
      <w:pPr>
        <w:ind w:left="3912" w:hanging="1681"/>
      </w:pPr>
      <w:rPr>
        <w:rFonts w:hint="default"/>
      </w:rPr>
    </w:lvl>
    <w:lvl w:ilvl="3">
      <w:start w:val="1"/>
      <w:numFmt w:val="bullet"/>
      <w:lvlText w:val="•"/>
      <w:lvlJc w:val="left"/>
      <w:pPr>
        <w:ind w:left="4948" w:hanging="1681"/>
      </w:pPr>
      <w:rPr>
        <w:rFonts w:hint="default"/>
      </w:rPr>
    </w:lvl>
    <w:lvl w:ilvl="4">
      <w:start w:val="1"/>
      <w:numFmt w:val="bullet"/>
      <w:lvlText w:val="•"/>
      <w:lvlJc w:val="left"/>
      <w:pPr>
        <w:ind w:left="5984" w:hanging="1681"/>
      </w:pPr>
      <w:rPr>
        <w:rFonts w:hint="default"/>
      </w:rPr>
    </w:lvl>
    <w:lvl w:ilvl="5">
      <w:start w:val="1"/>
      <w:numFmt w:val="bullet"/>
      <w:lvlText w:val="•"/>
      <w:lvlJc w:val="left"/>
      <w:pPr>
        <w:ind w:left="7020" w:hanging="1681"/>
      </w:pPr>
      <w:rPr>
        <w:rFonts w:hint="default"/>
      </w:rPr>
    </w:lvl>
    <w:lvl w:ilvl="6">
      <w:start w:val="1"/>
      <w:numFmt w:val="bullet"/>
      <w:lvlText w:val="•"/>
      <w:lvlJc w:val="left"/>
      <w:pPr>
        <w:ind w:left="8056" w:hanging="1681"/>
      </w:pPr>
      <w:rPr>
        <w:rFonts w:hint="default"/>
      </w:rPr>
    </w:lvl>
    <w:lvl w:ilvl="7">
      <w:start w:val="1"/>
      <w:numFmt w:val="bullet"/>
      <w:lvlText w:val="•"/>
      <w:lvlJc w:val="left"/>
      <w:pPr>
        <w:ind w:left="9092" w:hanging="1681"/>
      </w:pPr>
      <w:rPr>
        <w:rFonts w:hint="default"/>
      </w:rPr>
    </w:lvl>
    <w:lvl w:ilvl="8">
      <w:start w:val="1"/>
      <w:numFmt w:val="bullet"/>
      <w:lvlText w:val="•"/>
      <w:lvlJc w:val="left"/>
      <w:pPr>
        <w:ind w:left="10128" w:hanging="1681"/>
      </w:pPr>
      <w:rPr>
        <w:rFonts w:hint="default"/>
      </w:rPr>
    </w:lvl>
  </w:abstractNum>
  <w:abstractNum w:abstractNumId="40">
    <w:multiLevelType w:val="hybridMultilevel"/>
    <w:lvl w:ilvl="0">
      <w:start w:val="49"/>
      <w:numFmt w:val="decimal"/>
      <w:lvlText w:val="%1"/>
      <w:lvlJc w:val="left"/>
      <w:pPr>
        <w:ind w:left="1132" w:hanging="973"/>
        <w:jc w:val="left"/>
      </w:pPr>
      <w:rPr>
        <w:rFonts w:hint="default" w:ascii="Arial" w:hAnsi="Arial" w:eastAsia="Arial" w:cs="Arial"/>
        <w:spacing w:val="-14"/>
        <w:w w:val="99"/>
        <w:position w:val="-2"/>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39">
    <w:multiLevelType w:val="hybridMultilevel"/>
    <w:lvl w:ilvl="0">
      <w:start w:val="46"/>
      <w:numFmt w:val="decimal"/>
      <w:lvlText w:val="%1"/>
      <w:lvlJc w:val="left"/>
      <w:pPr>
        <w:ind w:left="1840" w:hanging="1681"/>
        <w:jc w:val="left"/>
      </w:pPr>
      <w:rPr>
        <w:rFonts w:hint="default" w:ascii="Arial" w:hAnsi="Arial" w:eastAsia="Arial" w:cs="Arial"/>
        <w:spacing w:val="-1"/>
        <w:w w:val="99"/>
        <w:position w:val="11"/>
        <w:sz w:val="20"/>
        <w:szCs w:val="20"/>
      </w:rPr>
    </w:lvl>
    <w:lvl w:ilvl="1">
      <w:start w:val="1"/>
      <w:numFmt w:val="bullet"/>
      <w:lvlText w:val="•"/>
      <w:lvlJc w:val="left"/>
      <w:pPr>
        <w:ind w:left="2876" w:hanging="1681"/>
      </w:pPr>
      <w:rPr>
        <w:rFonts w:hint="default"/>
      </w:rPr>
    </w:lvl>
    <w:lvl w:ilvl="2">
      <w:start w:val="1"/>
      <w:numFmt w:val="bullet"/>
      <w:lvlText w:val="•"/>
      <w:lvlJc w:val="left"/>
      <w:pPr>
        <w:ind w:left="3912" w:hanging="1681"/>
      </w:pPr>
      <w:rPr>
        <w:rFonts w:hint="default"/>
      </w:rPr>
    </w:lvl>
    <w:lvl w:ilvl="3">
      <w:start w:val="1"/>
      <w:numFmt w:val="bullet"/>
      <w:lvlText w:val="•"/>
      <w:lvlJc w:val="left"/>
      <w:pPr>
        <w:ind w:left="4948" w:hanging="1681"/>
      </w:pPr>
      <w:rPr>
        <w:rFonts w:hint="default"/>
      </w:rPr>
    </w:lvl>
    <w:lvl w:ilvl="4">
      <w:start w:val="1"/>
      <w:numFmt w:val="bullet"/>
      <w:lvlText w:val="•"/>
      <w:lvlJc w:val="left"/>
      <w:pPr>
        <w:ind w:left="5984" w:hanging="1681"/>
      </w:pPr>
      <w:rPr>
        <w:rFonts w:hint="default"/>
      </w:rPr>
    </w:lvl>
    <w:lvl w:ilvl="5">
      <w:start w:val="1"/>
      <w:numFmt w:val="bullet"/>
      <w:lvlText w:val="•"/>
      <w:lvlJc w:val="left"/>
      <w:pPr>
        <w:ind w:left="7020" w:hanging="1681"/>
      </w:pPr>
      <w:rPr>
        <w:rFonts w:hint="default"/>
      </w:rPr>
    </w:lvl>
    <w:lvl w:ilvl="6">
      <w:start w:val="1"/>
      <w:numFmt w:val="bullet"/>
      <w:lvlText w:val="•"/>
      <w:lvlJc w:val="left"/>
      <w:pPr>
        <w:ind w:left="8056" w:hanging="1681"/>
      </w:pPr>
      <w:rPr>
        <w:rFonts w:hint="default"/>
      </w:rPr>
    </w:lvl>
    <w:lvl w:ilvl="7">
      <w:start w:val="1"/>
      <w:numFmt w:val="bullet"/>
      <w:lvlText w:val="•"/>
      <w:lvlJc w:val="left"/>
      <w:pPr>
        <w:ind w:left="9092" w:hanging="1681"/>
      </w:pPr>
      <w:rPr>
        <w:rFonts w:hint="default"/>
      </w:rPr>
    </w:lvl>
    <w:lvl w:ilvl="8">
      <w:start w:val="1"/>
      <w:numFmt w:val="bullet"/>
      <w:lvlText w:val="•"/>
      <w:lvlJc w:val="left"/>
      <w:pPr>
        <w:ind w:left="10128" w:hanging="1681"/>
      </w:pPr>
      <w:rPr>
        <w:rFonts w:hint="default"/>
      </w:rPr>
    </w:lvl>
  </w:abstractNum>
  <w:abstractNum w:abstractNumId="38">
    <w:multiLevelType w:val="hybridMultilevel"/>
    <w:lvl w:ilvl="0">
      <w:start w:val="41"/>
      <w:numFmt w:val="decimal"/>
      <w:lvlText w:val="%1"/>
      <w:lvlJc w:val="left"/>
      <w:pPr>
        <w:ind w:left="1132" w:hanging="973"/>
        <w:jc w:val="left"/>
      </w:pPr>
      <w:rPr>
        <w:rFonts w:hint="default" w:ascii="Arial" w:hAnsi="Arial" w:eastAsia="Arial" w:cs="Arial"/>
        <w:spacing w:val="-20"/>
        <w:w w:val="99"/>
        <w:position w:val="-4"/>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37">
    <w:multiLevelType w:val="hybridMultilevel"/>
    <w:lvl w:ilvl="0">
      <w:start w:val="35"/>
      <w:numFmt w:val="decimal"/>
      <w:lvlText w:val="%1"/>
      <w:lvlJc w:val="left"/>
      <w:pPr>
        <w:ind w:left="1132" w:hanging="973"/>
        <w:jc w:val="left"/>
      </w:pPr>
      <w:rPr>
        <w:rFonts w:hint="default" w:ascii="Arial" w:hAnsi="Arial" w:eastAsia="Arial" w:cs="Arial"/>
        <w:spacing w:val="-3"/>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36">
    <w:multiLevelType w:val="hybridMultilevel"/>
    <w:lvl w:ilvl="0">
      <w:start w:val="29"/>
      <w:numFmt w:val="decimal"/>
      <w:lvlText w:val="%1"/>
      <w:lvlJc w:val="left"/>
      <w:pPr>
        <w:ind w:left="1132" w:hanging="973"/>
        <w:jc w:val="left"/>
      </w:pPr>
      <w:rPr>
        <w:rFonts w:hint="default" w:ascii="Arial" w:hAnsi="Arial" w:eastAsia="Arial" w:cs="Arial"/>
        <w:spacing w:val="-8"/>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35">
    <w:multiLevelType w:val="hybridMultilevel"/>
    <w:lvl w:ilvl="0">
      <w:start w:val="23"/>
      <w:numFmt w:val="decimal"/>
      <w:lvlText w:val="%1"/>
      <w:lvlJc w:val="left"/>
      <w:pPr>
        <w:ind w:left="1132" w:hanging="973"/>
        <w:jc w:val="left"/>
      </w:pPr>
      <w:rPr>
        <w:rFonts w:hint="default" w:ascii="Arial" w:hAnsi="Arial" w:eastAsia="Arial" w:cs="Arial"/>
        <w:spacing w:val="-1"/>
        <w:w w:val="99"/>
        <w:position w:val="-6"/>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34">
    <w:multiLevelType w:val="hybridMultilevel"/>
    <w:lvl w:ilvl="0">
      <w:start w:val="18"/>
      <w:numFmt w:val="decimal"/>
      <w:lvlText w:val="%1"/>
      <w:lvlJc w:val="left"/>
      <w:pPr>
        <w:ind w:left="1132" w:hanging="973"/>
        <w:jc w:val="left"/>
      </w:pPr>
      <w:rPr>
        <w:rFonts w:hint="default" w:ascii="Arial" w:hAnsi="Arial" w:eastAsia="Arial" w:cs="Arial"/>
        <w:spacing w:val="-2"/>
        <w:w w:val="99"/>
        <w:position w:val="-2"/>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33">
    <w:multiLevelType w:val="hybridMultilevel"/>
    <w:lvl w:ilvl="0">
      <w:start w:val="12"/>
      <w:numFmt w:val="decimal"/>
      <w:lvlText w:val="%1"/>
      <w:lvlJc w:val="left"/>
      <w:pPr>
        <w:ind w:left="1132" w:hanging="973"/>
        <w:jc w:val="left"/>
      </w:pPr>
      <w:rPr>
        <w:rFonts w:hint="default" w:ascii="Arial" w:hAnsi="Arial" w:eastAsia="Arial" w:cs="Arial"/>
        <w:spacing w:val="-18"/>
        <w:w w:val="99"/>
        <w:position w:val="-3"/>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32">
    <w:multiLevelType w:val="hybridMultilevel"/>
    <w:lvl w:ilvl="0">
      <w:start w:val="6"/>
      <w:numFmt w:val="decimal"/>
      <w:lvlText w:val="%1"/>
      <w:lvlJc w:val="left"/>
      <w:pPr>
        <w:ind w:left="1132" w:hanging="973"/>
        <w:jc w:val="left"/>
      </w:pPr>
      <w:rPr>
        <w:rFonts w:hint="default" w:ascii="Arial" w:hAnsi="Arial" w:eastAsia="Arial" w:cs="Arial"/>
        <w:spacing w:val="-1"/>
        <w:w w:val="99"/>
        <w:position w:val="-3"/>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31">
    <w:multiLevelType w:val="hybridMultilevel"/>
    <w:lvl w:ilvl="0">
      <w:start w:val="2"/>
      <w:numFmt w:val="decimal"/>
      <w:lvlText w:val="%1"/>
      <w:lvlJc w:val="left"/>
      <w:pPr>
        <w:ind w:left="1840" w:hanging="1681"/>
        <w:jc w:val="left"/>
      </w:pPr>
      <w:rPr>
        <w:rFonts w:hint="default" w:ascii="Arial" w:hAnsi="Arial" w:eastAsia="Arial" w:cs="Arial"/>
        <w:spacing w:val="-3"/>
        <w:w w:val="99"/>
        <w:position w:val="4"/>
        <w:sz w:val="20"/>
        <w:szCs w:val="20"/>
      </w:rPr>
    </w:lvl>
    <w:lvl w:ilvl="1">
      <w:start w:val="1"/>
      <w:numFmt w:val="bullet"/>
      <w:lvlText w:val="•"/>
      <w:lvlJc w:val="left"/>
      <w:pPr>
        <w:ind w:left="2876" w:hanging="1681"/>
      </w:pPr>
      <w:rPr>
        <w:rFonts w:hint="default"/>
      </w:rPr>
    </w:lvl>
    <w:lvl w:ilvl="2">
      <w:start w:val="1"/>
      <w:numFmt w:val="bullet"/>
      <w:lvlText w:val="•"/>
      <w:lvlJc w:val="left"/>
      <w:pPr>
        <w:ind w:left="3912" w:hanging="1681"/>
      </w:pPr>
      <w:rPr>
        <w:rFonts w:hint="default"/>
      </w:rPr>
    </w:lvl>
    <w:lvl w:ilvl="3">
      <w:start w:val="1"/>
      <w:numFmt w:val="bullet"/>
      <w:lvlText w:val="•"/>
      <w:lvlJc w:val="left"/>
      <w:pPr>
        <w:ind w:left="4948" w:hanging="1681"/>
      </w:pPr>
      <w:rPr>
        <w:rFonts w:hint="default"/>
      </w:rPr>
    </w:lvl>
    <w:lvl w:ilvl="4">
      <w:start w:val="1"/>
      <w:numFmt w:val="bullet"/>
      <w:lvlText w:val="•"/>
      <w:lvlJc w:val="left"/>
      <w:pPr>
        <w:ind w:left="5984" w:hanging="1681"/>
      </w:pPr>
      <w:rPr>
        <w:rFonts w:hint="default"/>
      </w:rPr>
    </w:lvl>
    <w:lvl w:ilvl="5">
      <w:start w:val="1"/>
      <w:numFmt w:val="bullet"/>
      <w:lvlText w:val="•"/>
      <w:lvlJc w:val="left"/>
      <w:pPr>
        <w:ind w:left="7020" w:hanging="1681"/>
      </w:pPr>
      <w:rPr>
        <w:rFonts w:hint="default"/>
      </w:rPr>
    </w:lvl>
    <w:lvl w:ilvl="6">
      <w:start w:val="1"/>
      <w:numFmt w:val="bullet"/>
      <w:lvlText w:val="•"/>
      <w:lvlJc w:val="left"/>
      <w:pPr>
        <w:ind w:left="8056" w:hanging="1681"/>
      </w:pPr>
      <w:rPr>
        <w:rFonts w:hint="default"/>
      </w:rPr>
    </w:lvl>
    <w:lvl w:ilvl="7">
      <w:start w:val="1"/>
      <w:numFmt w:val="bullet"/>
      <w:lvlText w:val="•"/>
      <w:lvlJc w:val="left"/>
      <w:pPr>
        <w:ind w:left="9092" w:hanging="1681"/>
      </w:pPr>
      <w:rPr>
        <w:rFonts w:hint="default"/>
      </w:rPr>
    </w:lvl>
    <w:lvl w:ilvl="8">
      <w:start w:val="1"/>
      <w:numFmt w:val="bullet"/>
      <w:lvlText w:val="•"/>
      <w:lvlJc w:val="left"/>
      <w:pPr>
        <w:ind w:left="10128" w:hanging="1681"/>
      </w:pPr>
      <w:rPr>
        <w:rFonts w:hint="default"/>
      </w:rPr>
    </w:lvl>
  </w:abstractNum>
  <w:abstractNum w:abstractNumId="30">
    <w:multiLevelType w:val="hybridMultilevel"/>
    <w:lvl w:ilvl="0">
      <w:start w:val="53"/>
      <w:numFmt w:val="decimal"/>
      <w:lvlText w:val="%1"/>
      <w:lvlJc w:val="left"/>
      <w:pPr>
        <w:ind w:left="1132" w:hanging="973"/>
        <w:jc w:val="left"/>
      </w:pPr>
      <w:rPr>
        <w:rFonts w:hint="default" w:ascii="Arial" w:hAnsi="Arial" w:eastAsia="Arial" w:cs="Arial"/>
        <w:spacing w:val="-1"/>
        <w:w w:val="99"/>
        <w:position w:val="-3"/>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29">
    <w:multiLevelType w:val="hybridMultilevel"/>
    <w:lvl w:ilvl="0">
      <w:start w:val="47"/>
      <w:numFmt w:val="decimal"/>
      <w:lvlText w:val="%1"/>
      <w:lvlJc w:val="left"/>
      <w:pPr>
        <w:ind w:left="1840" w:hanging="1681"/>
        <w:jc w:val="left"/>
      </w:pPr>
      <w:rPr>
        <w:rFonts w:hint="default" w:ascii="Arial" w:hAnsi="Arial" w:eastAsia="Arial" w:cs="Arial"/>
        <w:spacing w:val="-3"/>
        <w:w w:val="99"/>
        <w:position w:val="-4"/>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28">
    <w:multiLevelType w:val="hybridMultilevel"/>
    <w:lvl w:ilvl="0">
      <w:start w:val="41"/>
      <w:numFmt w:val="decimal"/>
      <w:lvlText w:val="%1"/>
      <w:lvlJc w:val="left"/>
      <w:pPr>
        <w:ind w:left="1132" w:hanging="973"/>
        <w:jc w:val="left"/>
      </w:pPr>
      <w:rPr>
        <w:rFonts w:hint="default" w:ascii="Arial" w:hAnsi="Arial" w:eastAsia="Arial" w:cs="Arial"/>
        <w:spacing w:val="-1"/>
        <w:w w:val="99"/>
        <w:position w:val="-5"/>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27">
    <w:multiLevelType w:val="hybridMultilevel"/>
    <w:lvl w:ilvl="0">
      <w:start w:val="31"/>
      <w:numFmt w:val="decimal"/>
      <w:lvlText w:val="%1"/>
      <w:lvlJc w:val="left"/>
      <w:pPr>
        <w:ind w:left="1840" w:hanging="1681"/>
        <w:jc w:val="left"/>
      </w:pPr>
      <w:rPr>
        <w:rFonts w:hint="default" w:ascii="Arial" w:hAnsi="Arial" w:eastAsia="Arial" w:cs="Arial"/>
        <w:spacing w:val="-13"/>
        <w:w w:val="99"/>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26">
    <w:multiLevelType w:val="hybridMultilevel"/>
    <w:lvl w:ilvl="0">
      <w:start w:val="21"/>
      <w:numFmt w:val="decimal"/>
      <w:lvlText w:val="%1"/>
      <w:lvlJc w:val="left"/>
      <w:pPr>
        <w:ind w:left="1840" w:hanging="1681"/>
        <w:jc w:val="left"/>
      </w:pPr>
      <w:rPr>
        <w:rFonts w:hint="default" w:ascii="Arial" w:hAnsi="Arial" w:eastAsia="Arial" w:cs="Arial"/>
        <w:spacing w:val="-6"/>
        <w:w w:val="99"/>
        <w:position w:val="-4"/>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25">
    <w:multiLevelType w:val="hybridMultilevel"/>
    <w:lvl w:ilvl="0">
      <w:start w:val="14"/>
      <w:numFmt w:val="decimal"/>
      <w:lvlText w:val="%1"/>
      <w:lvlJc w:val="left"/>
      <w:pPr>
        <w:ind w:left="1840" w:hanging="1681"/>
        <w:jc w:val="left"/>
      </w:pPr>
      <w:rPr>
        <w:rFonts w:hint="default" w:ascii="Arial" w:hAnsi="Arial" w:eastAsia="Arial" w:cs="Arial"/>
        <w:spacing w:val="-1"/>
        <w:w w:val="99"/>
        <w:position w:val="-1"/>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24">
    <w:multiLevelType w:val="hybridMultilevel"/>
    <w:lvl w:ilvl="0">
      <w:start w:val="6"/>
      <w:numFmt w:val="decimal"/>
      <w:lvlText w:val="%1"/>
      <w:lvlJc w:val="left"/>
      <w:pPr>
        <w:ind w:left="1132" w:hanging="973"/>
        <w:jc w:val="left"/>
      </w:pPr>
      <w:rPr>
        <w:rFonts w:hint="default" w:ascii="Arial" w:hAnsi="Arial" w:eastAsia="Arial" w:cs="Arial"/>
        <w:spacing w:val="-3"/>
        <w:w w:val="99"/>
        <w:position w:val="-3"/>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23">
    <w:multiLevelType w:val="hybridMultilevel"/>
    <w:lvl w:ilvl="0">
      <w:start w:val="2"/>
      <w:numFmt w:val="decimal"/>
      <w:lvlText w:val="%1"/>
      <w:lvlJc w:val="left"/>
      <w:pPr>
        <w:ind w:left="1840" w:hanging="1681"/>
        <w:jc w:val="left"/>
      </w:pPr>
      <w:rPr>
        <w:rFonts w:hint="default" w:ascii="Arial" w:hAnsi="Arial" w:eastAsia="Arial" w:cs="Arial"/>
        <w:spacing w:val="-19"/>
        <w:w w:val="99"/>
        <w:position w:val="4"/>
        <w:sz w:val="20"/>
        <w:szCs w:val="20"/>
      </w:rPr>
    </w:lvl>
    <w:lvl w:ilvl="1">
      <w:start w:val="1"/>
      <w:numFmt w:val="bullet"/>
      <w:lvlText w:val="•"/>
      <w:lvlJc w:val="left"/>
      <w:pPr>
        <w:ind w:left="2778" w:hanging="1681"/>
      </w:pPr>
      <w:rPr>
        <w:rFonts w:hint="default"/>
      </w:rPr>
    </w:lvl>
    <w:lvl w:ilvl="2">
      <w:start w:val="1"/>
      <w:numFmt w:val="bullet"/>
      <w:lvlText w:val="•"/>
      <w:lvlJc w:val="left"/>
      <w:pPr>
        <w:ind w:left="3716" w:hanging="1681"/>
      </w:pPr>
      <w:rPr>
        <w:rFonts w:hint="default"/>
      </w:rPr>
    </w:lvl>
    <w:lvl w:ilvl="3">
      <w:start w:val="1"/>
      <w:numFmt w:val="bullet"/>
      <w:lvlText w:val="•"/>
      <w:lvlJc w:val="left"/>
      <w:pPr>
        <w:ind w:left="4654" w:hanging="1681"/>
      </w:pPr>
      <w:rPr>
        <w:rFonts w:hint="default"/>
      </w:rPr>
    </w:lvl>
    <w:lvl w:ilvl="4">
      <w:start w:val="1"/>
      <w:numFmt w:val="bullet"/>
      <w:lvlText w:val="•"/>
      <w:lvlJc w:val="left"/>
      <w:pPr>
        <w:ind w:left="5592" w:hanging="1681"/>
      </w:pPr>
      <w:rPr>
        <w:rFonts w:hint="default"/>
      </w:rPr>
    </w:lvl>
    <w:lvl w:ilvl="5">
      <w:start w:val="1"/>
      <w:numFmt w:val="bullet"/>
      <w:lvlText w:val="•"/>
      <w:lvlJc w:val="left"/>
      <w:pPr>
        <w:ind w:left="6530" w:hanging="1681"/>
      </w:pPr>
      <w:rPr>
        <w:rFonts w:hint="default"/>
      </w:rPr>
    </w:lvl>
    <w:lvl w:ilvl="6">
      <w:start w:val="1"/>
      <w:numFmt w:val="bullet"/>
      <w:lvlText w:val="•"/>
      <w:lvlJc w:val="left"/>
      <w:pPr>
        <w:ind w:left="7468" w:hanging="1681"/>
      </w:pPr>
      <w:rPr>
        <w:rFonts w:hint="default"/>
      </w:rPr>
    </w:lvl>
    <w:lvl w:ilvl="7">
      <w:start w:val="1"/>
      <w:numFmt w:val="bullet"/>
      <w:lvlText w:val="•"/>
      <w:lvlJc w:val="left"/>
      <w:pPr>
        <w:ind w:left="8406" w:hanging="1681"/>
      </w:pPr>
      <w:rPr>
        <w:rFonts w:hint="default"/>
      </w:rPr>
    </w:lvl>
    <w:lvl w:ilvl="8">
      <w:start w:val="1"/>
      <w:numFmt w:val="bullet"/>
      <w:lvlText w:val="•"/>
      <w:lvlJc w:val="left"/>
      <w:pPr>
        <w:ind w:left="9344" w:hanging="1681"/>
      </w:pPr>
      <w:rPr>
        <w:rFonts w:hint="default"/>
      </w:rPr>
    </w:lvl>
  </w:abstractNum>
  <w:abstractNum w:abstractNumId="22">
    <w:multiLevelType w:val="hybridMultilevel"/>
    <w:lvl w:ilvl="0">
      <w:start w:val="57"/>
      <w:numFmt w:val="decimal"/>
      <w:lvlText w:val="%1"/>
      <w:lvlJc w:val="left"/>
      <w:pPr>
        <w:ind w:left="1840" w:hanging="1681"/>
        <w:jc w:val="left"/>
      </w:pPr>
      <w:rPr>
        <w:rFonts w:hint="default" w:ascii="Arial" w:hAnsi="Arial" w:eastAsia="Arial" w:cs="Arial"/>
        <w:spacing w:val="-3"/>
        <w:w w:val="99"/>
        <w:sz w:val="20"/>
        <w:szCs w:val="20"/>
      </w:rPr>
    </w:lvl>
    <w:lvl w:ilvl="1">
      <w:start w:val="1"/>
      <w:numFmt w:val="bullet"/>
      <w:lvlText w:val="•"/>
      <w:lvlJc w:val="left"/>
      <w:pPr>
        <w:ind w:left="2876" w:hanging="1681"/>
      </w:pPr>
      <w:rPr>
        <w:rFonts w:hint="default"/>
      </w:rPr>
    </w:lvl>
    <w:lvl w:ilvl="2">
      <w:start w:val="1"/>
      <w:numFmt w:val="bullet"/>
      <w:lvlText w:val="•"/>
      <w:lvlJc w:val="left"/>
      <w:pPr>
        <w:ind w:left="3912" w:hanging="1681"/>
      </w:pPr>
      <w:rPr>
        <w:rFonts w:hint="default"/>
      </w:rPr>
    </w:lvl>
    <w:lvl w:ilvl="3">
      <w:start w:val="1"/>
      <w:numFmt w:val="bullet"/>
      <w:lvlText w:val="•"/>
      <w:lvlJc w:val="left"/>
      <w:pPr>
        <w:ind w:left="4948" w:hanging="1681"/>
      </w:pPr>
      <w:rPr>
        <w:rFonts w:hint="default"/>
      </w:rPr>
    </w:lvl>
    <w:lvl w:ilvl="4">
      <w:start w:val="1"/>
      <w:numFmt w:val="bullet"/>
      <w:lvlText w:val="•"/>
      <w:lvlJc w:val="left"/>
      <w:pPr>
        <w:ind w:left="5984" w:hanging="1681"/>
      </w:pPr>
      <w:rPr>
        <w:rFonts w:hint="default"/>
      </w:rPr>
    </w:lvl>
    <w:lvl w:ilvl="5">
      <w:start w:val="1"/>
      <w:numFmt w:val="bullet"/>
      <w:lvlText w:val="•"/>
      <w:lvlJc w:val="left"/>
      <w:pPr>
        <w:ind w:left="7020" w:hanging="1681"/>
      </w:pPr>
      <w:rPr>
        <w:rFonts w:hint="default"/>
      </w:rPr>
    </w:lvl>
    <w:lvl w:ilvl="6">
      <w:start w:val="1"/>
      <w:numFmt w:val="bullet"/>
      <w:lvlText w:val="•"/>
      <w:lvlJc w:val="left"/>
      <w:pPr>
        <w:ind w:left="8056" w:hanging="1681"/>
      </w:pPr>
      <w:rPr>
        <w:rFonts w:hint="default"/>
      </w:rPr>
    </w:lvl>
    <w:lvl w:ilvl="7">
      <w:start w:val="1"/>
      <w:numFmt w:val="bullet"/>
      <w:lvlText w:val="•"/>
      <w:lvlJc w:val="left"/>
      <w:pPr>
        <w:ind w:left="9092" w:hanging="1681"/>
      </w:pPr>
      <w:rPr>
        <w:rFonts w:hint="default"/>
      </w:rPr>
    </w:lvl>
    <w:lvl w:ilvl="8">
      <w:start w:val="1"/>
      <w:numFmt w:val="bullet"/>
      <w:lvlText w:val="•"/>
      <w:lvlJc w:val="left"/>
      <w:pPr>
        <w:ind w:left="10128" w:hanging="1681"/>
      </w:pPr>
      <w:rPr>
        <w:rFonts w:hint="default"/>
      </w:rPr>
    </w:lvl>
  </w:abstractNum>
  <w:abstractNum w:abstractNumId="21">
    <w:multiLevelType w:val="hybridMultilevel"/>
    <w:lvl w:ilvl="0">
      <w:start w:val="49"/>
      <w:numFmt w:val="decimal"/>
      <w:lvlText w:val="%1"/>
      <w:lvlJc w:val="left"/>
      <w:pPr>
        <w:ind w:left="1132" w:hanging="973"/>
        <w:jc w:val="left"/>
      </w:pPr>
      <w:rPr>
        <w:rFonts w:hint="default" w:ascii="Arial" w:hAnsi="Arial" w:eastAsia="Arial" w:cs="Arial"/>
        <w:spacing w:val="-13"/>
        <w:w w:val="99"/>
        <w:position w:val="-3"/>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20">
    <w:multiLevelType w:val="hybridMultilevel"/>
    <w:lvl w:ilvl="0">
      <w:start w:val="46"/>
      <w:numFmt w:val="decimal"/>
      <w:lvlText w:val="%1"/>
      <w:lvlJc w:val="left"/>
      <w:pPr>
        <w:ind w:left="1840" w:hanging="1681"/>
        <w:jc w:val="left"/>
      </w:pPr>
      <w:rPr>
        <w:rFonts w:hint="default" w:ascii="Arial" w:hAnsi="Arial" w:eastAsia="Arial" w:cs="Arial"/>
        <w:spacing w:val="-27"/>
        <w:w w:val="99"/>
        <w:position w:val="10"/>
        <w:sz w:val="20"/>
        <w:szCs w:val="20"/>
      </w:rPr>
    </w:lvl>
    <w:lvl w:ilvl="1">
      <w:start w:val="1"/>
      <w:numFmt w:val="bullet"/>
      <w:lvlText w:val="•"/>
      <w:lvlJc w:val="left"/>
      <w:pPr>
        <w:ind w:left="2876" w:hanging="1681"/>
      </w:pPr>
      <w:rPr>
        <w:rFonts w:hint="default"/>
      </w:rPr>
    </w:lvl>
    <w:lvl w:ilvl="2">
      <w:start w:val="1"/>
      <w:numFmt w:val="bullet"/>
      <w:lvlText w:val="•"/>
      <w:lvlJc w:val="left"/>
      <w:pPr>
        <w:ind w:left="3912" w:hanging="1681"/>
      </w:pPr>
      <w:rPr>
        <w:rFonts w:hint="default"/>
      </w:rPr>
    </w:lvl>
    <w:lvl w:ilvl="3">
      <w:start w:val="1"/>
      <w:numFmt w:val="bullet"/>
      <w:lvlText w:val="•"/>
      <w:lvlJc w:val="left"/>
      <w:pPr>
        <w:ind w:left="4948" w:hanging="1681"/>
      </w:pPr>
      <w:rPr>
        <w:rFonts w:hint="default"/>
      </w:rPr>
    </w:lvl>
    <w:lvl w:ilvl="4">
      <w:start w:val="1"/>
      <w:numFmt w:val="bullet"/>
      <w:lvlText w:val="•"/>
      <w:lvlJc w:val="left"/>
      <w:pPr>
        <w:ind w:left="5984" w:hanging="1681"/>
      </w:pPr>
      <w:rPr>
        <w:rFonts w:hint="default"/>
      </w:rPr>
    </w:lvl>
    <w:lvl w:ilvl="5">
      <w:start w:val="1"/>
      <w:numFmt w:val="bullet"/>
      <w:lvlText w:val="•"/>
      <w:lvlJc w:val="left"/>
      <w:pPr>
        <w:ind w:left="7020" w:hanging="1681"/>
      </w:pPr>
      <w:rPr>
        <w:rFonts w:hint="default"/>
      </w:rPr>
    </w:lvl>
    <w:lvl w:ilvl="6">
      <w:start w:val="1"/>
      <w:numFmt w:val="bullet"/>
      <w:lvlText w:val="•"/>
      <w:lvlJc w:val="left"/>
      <w:pPr>
        <w:ind w:left="8056" w:hanging="1681"/>
      </w:pPr>
      <w:rPr>
        <w:rFonts w:hint="default"/>
      </w:rPr>
    </w:lvl>
    <w:lvl w:ilvl="7">
      <w:start w:val="1"/>
      <w:numFmt w:val="bullet"/>
      <w:lvlText w:val="•"/>
      <w:lvlJc w:val="left"/>
      <w:pPr>
        <w:ind w:left="9092" w:hanging="1681"/>
      </w:pPr>
      <w:rPr>
        <w:rFonts w:hint="default"/>
      </w:rPr>
    </w:lvl>
    <w:lvl w:ilvl="8">
      <w:start w:val="1"/>
      <w:numFmt w:val="bullet"/>
      <w:lvlText w:val="•"/>
      <w:lvlJc w:val="left"/>
      <w:pPr>
        <w:ind w:left="10128" w:hanging="1681"/>
      </w:pPr>
      <w:rPr>
        <w:rFonts w:hint="default"/>
      </w:rPr>
    </w:lvl>
  </w:abstractNum>
  <w:abstractNum w:abstractNumId="19">
    <w:multiLevelType w:val="hybridMultilevel"/>
    <w:lvl w:ilvl="0">
      <w:start w:val="41"/>
      <w:numFmt w:val="decimal"/>
      <w:lvlText w:val="%1"/>
      <w:lvlJc w:val="left"/>
      <w:pPr>
        <w:ind w:left="1132" w:hanging="973"/>
        <w:jc w:val="left"/>
      </w:pPr>
      <w:rPr>
        <w:rFonts w:hint="default" w:ascii="Arial" w:hAnsi="Arial" w:eastAsia="Arial" w:cs="Arial"/>
        <w:spacing w:val="-26"/>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18">
    <w:multiLevelType w:val="hybridMultilevel"/>
    <w:lvl w:ilvl="0">
      <w:start w:val="30"/>
      <w:numFmt w:val="decimal"/>
      <w:lvlText w:val="%1"/>
      <w:lvlJc w:val="left"/>
      <w:pPr>
        <w:ind w:left="1132" w:hanging="973"/>
        <w:jc w:val="left"/>
      </w:pPr>
      <w:rPr>
        <w:rFonts w:hint="default" w:ascii="Arial" w:hAnsi="Arial" w:eastAsia="Arial" w:cs="Arial"/>
        <w:spacing w:val="-2"/>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17">
    <w:multiLevelType w:val="hybridMultilevel"/>
    <w:lvl w:ilvl="0">
      <w:start w:val="23"/>
      <w:numFmt w:val="decimal"/>
      <w:lvlText w:val="%1"/>
      <w:lvlJc w:val="left"/>
      <w:pPr>
        <w:ind w:left="1132" w:hanging="973"/>
        <w:jc w:val="left"/>
      </w:pPr>
      <w:rPr>
        <w:rFonts w:hint="default" w:ascii="Arial" w:hAnsi="Arial" w:eastAsia="Arial" w:cs="Arial"/>
        <w:spacing w:val="-21"/>
        <w:w w:val="99"/>
        <w:position w:val="-2"/>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16">
    <w:multiLevelType w:val="hybridMultilevel"/>
    <w:lvl w:ilvl="0">
      <w:start w:val="18"/>
      <w:numFmt w:val="decimal"/>
      <w:lvlText w:val="%1"/>
      <w:lvlJc w:val="left"/>
      <w:pPr>
        <w:ind w:left="1840" w:hanging="1681"/>
        <w:jc w:val="left"/>
      </w:pPr>
      <w:rPr>
        <w:rFonts w:hint="default" w:ascii="Arial" w:hAnsi="Arial" w:eastAsia="Arial" w:cs="Arial"/>
        <w:spacing w:val="-1"/>
        <w:w w:val="99"/>
        <w:position w:val="1"/>
        <w:sz w:val="20"/>
        <w:szCs w:val="20"/>
      </w:rPr>
    </w:lvl>
    <w:lvl w:ilvl="1">
      <w:start w:val="1"/>
      <w:numFmt w:val="bullet"/>
      <w:lvlText w:val="•"/>
      <w:lvlJc w:val="left"/>
      <w:pPr>
        <w:ind w:left="2876" w:hanging="1681"/>
      </w:pPr>
      <w:rPr>
        <w:rFonts w:hint="default"/>
      </w:rPr>
    </w:lvl>
    <w:lvl w:ilvl="2">
      <w:start w:val="1"/>
      <w:numFmt w:val="bullet"/>
      <w:lvlText w:val="•"/>
      <w:lvlJc w:val="left"/>
      <w:pPr>
        <w:ind w:left="3912" w:hanging="1681"/>
      </w:pPr>
      <w:rPr>
        <w:rFonts w:hint="default"/>
      </w:rPr>
    </w:lvl>
    <w:lvl w:ilvl="3">
      <w:start w:val="1"/>
      <w:numFmt w:val="bullet"/>
      <w:lvlText w:val="•"/>
      <w:lvlJc w:val="left"/>
      <w:pPr>
        <w:ind w:left="4948" w:hanging="1681"/>
      </w:pPr>
      <w:rPr>
        <w:rFonts w:hint="default"/>
      </w:rPr>
    </w:lvl>
    <w:lvl w:ilvl="4">
      <w:start w:val="1"/>
      <w:numFmt w:val="bullet"/>
      <w:lvlText w:val="•"/>
      <w:lvlJc w:val="left"/>
      <w:pPr>
        <w:ind w:left="5984" w:hanging="1681"/>
      </w:pPr>
      <w:rPr>
        <w:rFonts w:hint="default"/>
      </w:rPr>
    </w:lvl>
    <w:lvl w:ilvl="5">
      <w:start w:val="1"/>
      <w:numFmt w:val="bullet"/>
      <w:lvlText w:val="•"/>
      <w:lvlJc w:val="left"/>
      <w:pPr>
        <w:ind w:left="7020" w:hanging="1681"/>
      </w:pPr>
      <w:rPr>
        <w:rFonts w:hint="default"/>
      </w:rPr>
    </w:lvl>
    <w:lvl w:ilvl="6">
      <w:start w:val="1"/>
      <w:numFmt w:val="bullet"/>
      <w:lvlText w:val="•"/>
      <w:lvlJc w:val="left"/>
      <w:pPr>
        <w:ind w:left="8056" w:hanging="1681"/>
      </w:pPr>
      <w:rPr>
        <w:rFonts w:hint="default"/>
      </w:rPr>
    </w:lvl>
    <w:lvl w:ilvl="7">
      <w:start w:val="1"/>
      <w:numFmt w:val="bullet"/>
      <w:lvlText w:val="•"/>
      <w:lvlJc w:val="left"/>
      <w:pPr>
        <w:ind w:left="9092" w:hanging="1681"/>
      </w:pPr>
      <w:rPr>
        <w:rFonts w:hint="default"/>
      </w:rPr>
    </w:lvl>
    <w:lvl w:ilvl="8">
      <w:start w:val="1"/>
      <w:numFmt w:val="bullet"/>
      <w:lvlText w:val="•"/>
      <w:lvlJc w:val="left"/>
      <w:pPr>
        <w:ind w:left="10128" w:hanging="1681"/>
      </w:pPr>
      <w:rPr>
        <w:rFonts w:hint="default"/>
      </w:rPr>
    </w:lvl>
  </w:abstractNum>
  <w:abstractNum w:abstractNumId="15">
    <w:multiLevelType w:val="hybridMultilevel"/>
    <w:lvl w:ilvl="0">
      <w:start w:val="15"/>
      <w:numFmt w:val="decimal"/>
      <w:lvlText w:val="%1"/>
      <w:lvlJc w:val="left"/>
      <w:pPr>
        <w:ind w:left="1132" w:hanging="973"/>
        <w:jc w:val="left"/>
      </w:pPr>
      <w:rPr>
        <w:rFonts w:hint="default" w:ascii="Arial" w:hAnsi="Arial" w:eastAsia="Arial" w:cs="Arial"/>
        <w:spacing w:val="-2"/>
        <w:w w:val="99"/>
        <w:position w:val="-5"/>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14">
    <w:multiLevelType w:val="hybridMultilevel"/>
    <w:lvl w:ilvl="0">
      <w:start w:val="11"/>
      <w:numFmt w:val="decimal"/>
      <w:lvlText w:val="%1"/>
      <w:lvlJc w:val="left"/>
      <w:pPr>
        <w:ind w:left="1840" w:hanging="1681"/>
        <w:jc w:val="left"/>
      </w:pPr>
      <w:rPr>
        <w:rFonts w:hint="default" w:ascii="Arial" w:hAnsi="Arial" w:eastAsia="Arial" w:cs="Arial"/>
        <w:spacing w:val="-9"/>
        <w:w w:val="99"/>
        <w:position w:val="3"/>
        <w:sz w:val="20"/>
        <w:szCs w:val="20"/>
      </w:rPr>
    </w:lvl>
    <w:lvl w:ilvl="1">
      <w:start w:val="1"/>
      <w:numFmt w:val="bullet"/>
      <w:lvlText w:val="•"/>
      <w:lvlJc w:val="left"/>
      <w:pPr>
        <w:ind w:left="2876" w:hanging="1681"/>
      </w:pPr>
      <w:rPr>
        <w:rFonts w:hint="default"/>
      </w:rPr>
    </w:lvl>
    <w:lvl w:ilvl="2">
      <w:start w:val="1"/>
      <w:numFmt w:val="bullet"/>
      <w:lvlText w:val="•"/>
      <w:lvlJc w:val="left"/>
      <w:pPr>
        <w:ind w:left="3912" w:hanging="1681"/>
      </w:pPr>
      <w:rPr>
        <w:rFonts w:hint="default"/>
      </w:rPr>
    </w:lvl>
    <w:lvl w:ilvl="3">
      <w:start w:val="1"/>
      <w:numFmt w:val="bullet"/>
      <w:lvlText w:val="•"/>
      <w:lvlJc w:val="left"/>
      <w:pPr>
        <w:ind w:left="4948" w:hanging="1681"/>
      </w:pPr>
      <w:rPr>
        <w:rFonts w:hint="default"/>
      </w:rPr>
    </w:lvl>
    <w:lvl w:ilvl="4">
      <w:start w:val="1"/>
      <w:numFmt w:val="bullet"/>
      <w:lvlText w:val="•"/>
      <w:lvlJc w:val="left"/>
      <w:pPr>
        <w:ind w:left="5984" w:hanging="1681"/>
      </w:pPr>
      <w:rPr>
        <w:rFonts w:hint="default"/>
      </w:rPr>
    </w:lvl>
    <w:lvl w:ilvl="5">
      <w:start w:val="1"/>
      <w:numFmt w:val="bullet"/>
      <w:lvlText w:val="•"/>
      <w:lvlJc w:val="left"/>
      <w:pPr>
        <w:ind w:left="7020" w:hanging="1681"/>
      </w:pPr>
      <w:rPr>
        <w:rFonts w:hint="default"/>
      </w:rPr>
    </w:lvl>
    <w:lvl w:ilvl="6">
      <w:start w:val="1"/>
      <w:numFmt w:val="bullet"/>
      <w:lvlText w:val="•"/>
      <w:lvlJc w:val="left"/>
      <w:pPr>
        <w:ind w:left="8056" w:hanging="1681"/>
      </w:pPr>
      <w:rPr>
        <w:rFonts w:hint="default"/>
      </w:rPr>
    </w:lvl>
    <w:lvl w:ilvl="7">
      <w:start w:val="1"/>
      <w:numFmt w:val="bullet"/>
      <w:lvlText w:val="•"/>
      <w:lvlJc w:val="left"/>
      <w:pPr>
        <w:ind w:left="9092" w:hanging="1681"/>
      </w:pPr>
      <w:rPr>
        <w:rFonts w:hint="default"/>
      </w:rPr>
    </w:lvl>
    <w:lvl w:ilvl="8">
      <w:start w:val="1"/>
      <w:numFmt w:val="bullet"/>
      <w:lvlText w:val="•"/>
      <w:lvlJc w:val="left"/>
      <w:pPr>
        <w:ind w:left="10128" w:hanging="1681"/>
      </w:pPr>
      <w:rPr>
        <w:rFonts w:hint="default"/>
      </w:rPr>
    </w:lvl>
  </w:abstractNum>
  <w:abstractNum w:abstractNumId="13">
    <w:multiLevelType w:val="hybridMultilevel"/>
    <w:lvl w:ilvl="0">
      <w:start w:val="8"/>
      <w:numFmt w:val="decimal"/>
      <w:lvlText w:val="%1"/>
      <w:lvlJc w:val="left"/>
      <w:pPr>
        <w:ind w:left="1132" w:hanging="973"/>
        <w:jc w:val="left"/>
      </w:pPr>
      <w:rPr>
        <w:rFonts w:hint="default" w:ascii="Arial" w:hAnsi="Arial" w:eastAsia="Arial" w:cs="Arial"/>
        <w:spacing w:val="-1"/>
        <w:w w:val="99"/>
        <w:position w:val="-2"/>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12">
    <w:multiLevelType w:val="hybridMultilevel"/>
    <w:lvl w:ilvl="0">
      <w:start w:val="4"/>
      <w:numFmt w:val="decimal"/>
      <w:lvlText w:val="%1"/>
      <w:lvlJc w:val="left"/>
      <w:pPr>
        <w:ind w:left="1132" w:hanging="973"/>
        <w:jc w:val="left"/>
      </w:pPr>
      <w:rPr>
        <w:rFonts w:hint="default" w:ascii="Arial" w:hAnsi="Arial" w:eastAsia="Arial" w:cs="Arial"/>
        <w:spacing w:val="-13"/>
        <w:w w:val="99"/>
        <w:position w:val="6"/>
        <w:sz w:val="20"/>
        <w:szCs w:val="20"/>
      </w:rPr>
    </w:lvl>
    <w:lvl w:ilvl="1">
      <w:start w:val="1"/>
      <w:numFmt w:val="bullet"/>
      <w:lvlText w:val="•"/>
      <w:lvlJc w:val="left"/>
      <w:pPr>
        <w:ind w:left="2246" w:hanging="973"/>
      </w:pPr>
      <w:rPr>
        <w:rFonts w:hint="default"/>
      </w:rPr>
    </w:lvl>
    <w:lvl w:ilvl="2">
      <w:start w:val="1"/>
      <w:numFmt w:val="bullet"/>
      <w:lvlText w:val="•"/>
      <w:lvlJc w:val="left"/>
      <w:pPr>
        <w:ind w:left="3352" w:hanging="973"/>
      </w:pPr>
      <w:rPr>
        <w:rFonts w:hint="default"/>
      </w:rPr>
    </w:lvl>
    <w:lvl w:ilvl="3">
      <w:start w:val="1"/>
      <w:numFmt w:val="bullet"/>
      <w:lvlText w:val="•"/>
      <w:lvlJc w:val="left"/>
      <w:pPr>
        <w:ind w:left="4458" w:hanging="973"/>
      </w:pPr>
      <w:rPr>
        <w:rFonts w:hint="default"/>
      </w:rPr>
    </w:lvl>
    <w:lvl w:ilvl="4">
      <w:start w:val="1"/>
      <w:numFmt w:val="bullet"/>
      <w:lvlText w:val="•"/>
      <w:lvlJc w:val="left"/>
      <w:pPr>
        <w:ind w:left="5564" w:hanging="973"/>
      </w:pPr>
      <w:rPr>
        <w:rFonts w:hint="default"/>
      </w:rPr>
    </w:lvl>
    <w:lvl w:ilvl="5">
      <w:start w:val="1"/>
      <w:numFmt w:val="bullet"/>
      <w:lvlText w:val="•"/>
      <w:lvlJc w:val="left"/>
      <w:pPr>
        <w:ind w:left="6670" w:hanging="973"/>
      </w:pPr>
      <w:rPr>
        <w:rFonts w:hint="default"/>
      </w:rPr>
    </w:lvl>
    <w:lvl w:ilvl="6">
      <w:start w:val="1"/>
      <w:numFmt w:val="bullet"/>
      <w:lvlText w:val="•"/>
      <w:lvlJc w:val="left"/>
      <w:pPr>
        <w:ind w:left="7776" w:hanging="973"/>
      </w:pPr>
      <w:rPr>
        <w:rFonts w:hint="default"/>
      </w:rPr>
    </w:lvl>
    <w:lvl w:ilvl="7">
      <w:start w:val="1"/>
      <w:numFmt w:val="bullet"/>
      <w:lvlText w:val="•"/>
      <w:lvlJc w:val="left"/>
      <w:pPr>
        <w:ind w:left="8882" w:hanging="973"/>
      </w:pPr>
      <w:rPr>
        <w:rFonts w:hint="default"/>
      </w:rPr>
    </w:lvl>
    <w:lvl w:ilvl="8">
      <w:start w:val="1"/>
      <w:numFmt w:val="bullet"/>
      <w:lvlText w:val="•"/>
      <w:lvlJc w:val="left"/>
      <w:pPr>
        <w:ind w:left="9988" w:hanging="973"/>
      </w:pPr>
      <w:rPr>
        <w:rFonts w:hint="default"/>
      </w:rPr>
    </w:lvl>
  </w:abstractNum>
  <w:abstractNum w:abstractNumId="11">
    <w:multiLevelType w:val="hybridMultilevel"/>
    <w:lvl w:ilvl="0">
      <w:start w:val="50"/>
      <w:numFmt w:val="decimal"/>
      <w:lvlText w:val="%1"/>
      <w:lvlJc w:val="left"/>
      <w:pPr>
        <w:ind w:left="1132" w:hanging="973"/>
        <w:jc w:val="left"/>
      </w:pPr>
      <w:rPr>
        <w:rFonts w:hint="default" w:ascii="Arial" w:hAnsi="Arial" w:eastAsia="Arial" w:cs="Arial"/>
        <w:spacing w:val="-26"/>
        <w:w w:val="99"/>
        <w:position w:val="-5"/>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10">
    <w:multiLevelType w:val="hybridMultilevel"/>
    <w:lvl w:ilvl="0">
      <w:start w:val="44"/>
      <w:numFmt w:val="decimal"/>
      <w:lvlText w:val="%1"/>
      <w:lvlJc w:val="left"/>
      <w:pPr>
        <w:ind w:left="1132" w:hanging="973"/>
        <w:jc w:val="left"/>
      </w:pPr>
      <w:rPr>
        <w:rFonts w:hint="default" w:ascii="Arial" w:hAnsi="Arial" w:eastAsia="Arial" w:cs="Arial"/>
        <w:spacing w:val="-3"/>
        <w:w w:val="99"/>
        <w:position w:val="-6"/>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9">
    <w:multiLevelType w:val="hybridMultilevel"/>
    <w:lvl w:ilvl="0">
      <w:start w:val="40"/>
      <w:numFmt w:val="decimal"/>
      <w:lvlText w:val="%1"/>
      <w:lvlJc w:val="left"/>
      <w:pPr>
        <w:ind w:left="1132" w:hanging="973"/>
        <w:jc w:val="left"/>
      </w:pPr>
      <w:rPr>
        <w:rFonts w:hint="default" w:ascii="Arial" w:hAnsi="Arial" w:eastAsia="Arial" w:cs="Arial"/>
        <w:spacing w:val="-2"/>
        <w:w w:val="99"/>
        <w:position w:val="2"/>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8">
    <w:multiLevelType w:val="hybridMultilevel"/>
    <w:lvl w:ilvl="0">
      <w:start w:val="32"/>
      <w:numFmt w:val="decimal"/>
      <w:lvlText w:val="%1"/>
      <w:lvlJc w:val="left"/>
      <w:pPr>
        <w:ind w:left="1132" w:hanging="973"/>
        <w:jc w:val="left"/>
      </w:pPr>
      <w:rPr>
        <w:rFonts w:hint="default" w:ascii="Arial" w:hAnsi="Arial" w:eastAsia="Arial" w:cs="Arial"/>
        <w:spacing w:val="-1"/>
        <w:w w:val="99"/>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7">
    <w:multiLevelType w:val="hybridMultilevel"/>
    <w:lvl w:ilvl="0">
      <w:start w:val="28"/>
      <w:numFmt w:val="decimal"/>
      <w:lvlText w:val="%1"/>
      <w:lvlJc w:val="left"/>
      <w:pPr>
        <w:ind w:left="1132" w:hanging="973"/>
        <w:jc w:val="left"/>
      </w:pPr>
      <w:rPr>
        <w:rFonts w:hint="default" w:ascii="Arial" w:hAnsi="Arial" w:eastAsia="Arial" w:cs="Arial"/>
        <w:spacing w:val="-1"/>
        <w:w w:val="99"/>
        <w:position w:val="9"/>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6">
    <w:multiLevelType w:val="hybridMultilevel"/>
    <w:lvl w:ilvl="0">
      <w:start w:val="23"/>
      <w:numFmt w:val="decimal"/>
      <w:lvlText w:val="%1"/>
      <w:lvlJc w:val="left"/>
      <w:pPr>
        <w:ind w:left="1132" w:hanging="973"/>
        <w:jc w:val="left"/>
      </w:pPr>
      <w:rPr>
        <w:rFonts w:hint="default" w:ascii="Arial" w:hAnsi="Arial" w:eastAsia="Arial" w:cs="Arial"/>
        <w:spacing w:val="-2"/>
        <w:w w:val="99"/>
        <w:position w:val="-6"/>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5">
    <w:multiLevelType w:val="hybridMultilevel"/>
    <w:lvl w:ilvl="0">
      <w:start w:val="18"/>
      <w:numFmt w:val="decimal"/>
      <w:lvlText w:val="%1"/>
      <w:lvlJc w:val="left"/>
      <w:pPr>
        <w:ind w:left="1132" w:hanging="973"/>
        <w:jc w:val="left"/>
      </w:pPr>
      <w:rPr>
        <w:rFonts w:hint="default" w:ascii="Arial" w:hAnsi="Arial" w:eastAsia="Arial" w:cs="Arial"/>
        <w:spacing w:val="-5"/>
        <w:w w:val="99"/>
        <w:position w:val="-2"/>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4">
    <w:multiLevelType w:val="hybridMultilevel"/>
    <w:lvl w:ilvl="0">
      <w:start w:val="12"/>
      <w:numFmt w:val="decimal"/>
      <w:lvlText w:val="%1"/>
      <w:lvlJc w:val="left"/>
      <w:pPr>
        <w:ind w:left="1132" w:hanging="973"/>
        <w:jc w:val="left"/>
      </w:pPr>
      <w:rPr>
        <w:rFonts w:hint="default" w:ascii="Arial" w:hAnsi="Arial" w:eastAsia="Arial" w:cs="Arial"/>
        <w:spacing w:val="-3"/>
        <w:w w:val="99"/>
        <w:position w:val="-3"/>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3">
    <w:multiLevelType w:val="hybridMultilevel"/>
    <w:lvl w:ilvl="0">
      <w:start w:val="8"/>
      <w:numFmt w:val="decimal"/>
      <w:lvlText w:val="%1"/>
      <w:lvlJc w:val="left"/>
      <w:pPr>
        <w:ind w:left="1132" w:hanging="973"/>
        <w:jc w:val="left"/>
      </w:pPr>
      <w:rPr>
        <w:rFonts w:hint="default" w:ascii="Arial" w:hAnsi="Arial" w:eastAsia="Arial" w:cs="Arial"/>
        <w:spacing w:val="-27"/>
        <w:w w:val="99"/>
        <w:position w:val="5"/>
        <w:sz w:val="20"/>
        <w:szCs w:val="20"/>
      </w:rPr>
    </w:lvl>
    <w:lvl w:ilvl="1">
      <w:start w:val="1"/>
      <w:numFmt w:val="bullet"/>
      <w:lvlText w:val="•"/>
      <w:lvlJc w:val="left"/>
      <w:pPr>
        <w:ind w:left="2148" w:hanging="973"/>
      </w:pPr>
      <w:rPr>
        <w:rFonts w:hint="default"/>
      </w:rPr>
    </w:lvl>
    <w:lvl w:ilvl="2">
      <w:start w:val="1"/>
      <w:numFmt w:val="bullet"/>
      <w:lvlText w:val="•"/>
      <w:lvlJc w:val="left"/>
      <w:pPr>
        <w:ind w:left="3156" w:hanging="973"/>
      </w:pPr>
      <w:rPr>
        <w:rFonts w:hint="default"/>
      </w:rPr>
    </w:lvl>
    <w:lvl w:ilvl="3">
      <w:start w:val="1"/>
      <w:numFmt w:val="bullet"/>
      <w:lvlText w:val="•"/>
      <w:lvlJc w:val="left"/>
      <w:pPr>
        <w:ind w:left="4164" w:hanging="973"/>
      </w:pPr>
      <w:rPr>
        <w:rFonts w:hint="default"/>
      </w:rPr>
    </w:lvl>
    <w:lvl w:ilvl="4">
      <w:start w:val="1"/>
      <w:numFmt w:val="bullet"/>
      <w:lvlText w:val="•"/>
      <w:lvlJc w:val="left"/>
      <w:pPr>
        <w:ind w:left="5172" w:hanging="973"/>
      </w:pPr>
      <w:rPr>
        <w:rFonts w:hint="default"/>
      </w:rPr>
    </w:lvl>
    <w:lvl w:ilvl="5">
      <w:start w:val="1"/>
      <w:numFmt w:val="bullet"/>
      <w:lvlText w:val="•"/>
      <w:lvlJc w:val="left"/>
      <w:pPr>
        <w:ind w:left="6180" w:hanging="973"/>
      </w:pPr>
      <w:rPr>
        <w:rFonts w:hint="default"/>
      </w:rPr>
    </w:lvl>
    <w:lvl w:ilvl="6">
      <w:start w:val="1"/>
      <w:numFmt w:val="bullet"/>
      <w:lvlText w:val="•"/>
      <w:lvlJc w:val="left"/>
      <w:pPr>
        <w:ind w:left="7188" w:hanging="973"/>
      </w:pPr>
      <w:rPr>
        <w:rFonts w:hint="default"/>
      </w:rPr>
    </w:lvl>
    <w:lvl w:ilvl="7">
      <w:start w:val="1"/>
      <w:numFmt w:val="bullet"/>
      <w:lvlText w:val="•"/>
      <w:lvlJc w:val="left"/>
      <w:pPr>
        <w:ind w:left="8196" w:hanging="973"/>
      </w:pPr>
      <w:rPr>
        <w:rFonts w:hint="default"/>
      </w:rPr>
    </w:lvl>
    <w:lvl w:ilvl="8">
      <w:start w:val="1"/>
      <w:numFmt w:val="bullet"/>
      <w:lvlText w:val="•"/>
      <w:lvlJc w:val="left"/>
      <w:pPr>
        <w:ind w:left="9204" w:hanging="973"/>
      </w:pPr>
      <w:rPr>
        <w:rFonts w:hint="default"/>
      </w:rPr>
    </w:lvl>
  </w:abstractNum>
  <w:abstractNum w:abstractNumId="1">
    <w:multiLevelType w:val="hybridMultilevel"/>
    <w:lvl w:ilvl="0">
      <w:start w:val="1"/>
      <w:numFmt w:val="decimal"/>
      <w:lvlText w:val="%1"/>
      <w:lvlJc w:val="left"/>
      <w:pPr>
        <w:ind w:left="144" w:hanging="424"/>
        <w:jc w:val="left"/>
      </w:pPr>
      <w:rPr>
        <w:rFonts w:hint="default"/>
      </w:rPr>
    </w:lvl>
    <w:lvl w:ilvl="1">
      <w:start w:val="4"/>
      <w:numFmt w:val="decimal"/>
      <w:lvlText w:val="%1.%2"/>
      <w:lvlJc w:val="left"/>
      <w:pPr>
        <w:ind w:left="144" w:hanging="424"/>
        <w:jc w:val="left"/>
      </w:pPr>
      <w:rPr>
        <w:rFonts w:hint="default" w:ascii="Arial" w:hAnsi="Arial" w:eastAsia="Arial" w:cs="Arial"/>
        <w:w w:val="100"/>
        <w:sz w:val="24"/>
        <w:szCs w:val="24"/>
      </w:rPr>
    </w:lvl>
    <w:lvl w:ilvl="2">
      <w:start w:val="1"/>
      <w:numFmt w:val="bullet"/>
      <w:lvlText w:val=""/>
      <w:lvlJc w:val="left"/>
      <w:pPr>
        <w:ind w:left="864" w:hanging="360"/>
      </w:pPr>
      <w:rPr>
        <w:rFonts w:hint="default" w:ascii="Symbol" w:hAnsi="Symbol" w:eastAsia="Symbol" w:cs="Symbol"/>
        <w:w w:val="100"/>
        <w:sz w:val="24"/>
        <w:szCs w:val="24"/>
      </w:rPr>
    </w:lvl>
    <w:lvl w:ilvl="3">
      <w:start w:val="1"/>
      <w:numFmt w:val="bullet"/>
      <w:lvlText w:val="•"/>
      <w:lvlJc w:val="left"/>
      <w:pPr>
        <w:ind w:left="2824"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788" w:hanging="360"/>
      </w:pPr>
      <w:rPr>
        <w:rFonts w:hint="default"/>
      </w:rPr>
    </w:lvl>
    <w:lvl w:ilvl="6">
      <w:start w:val="1"/>
      <w:numFmt w:val="bullet"/>
      <w:lvlText w:val="•"/>
      <w:lvlJc w:val="left"/>
      <w:pPr>
        <w:ind w:left="5771" w:hanging="360"/>
      </w:pPr>
      <w:rPr>
        <w:rFonts w:hint="default"/>
      </w:rPr>
    </w:lvl>
    <w:lvl w:ilvl="7">
      <w:start w:val="1"/>
      <w:numFmt w:val="bullet"/>
      <w:lvlText w:val="•"/>
      <w:lvlJc w:val="left"/>
      <w:pPr>
        <w:ind w:left="6753" w:hanging="360"/>
      </w:pPr>
      <w:rPr>
        <w:rFonts w:hint="default"/>
      </w:rPr>
    </w:lvl>
    <w:lvl w:ilvl="8">
      <w:start w:val="1"/>
      <w:numFmt w:val="bullet"/>
      <w:lvlText w:val="•"/>
      <w:lvlJc w:val="left"/>
      <w:pPr>
        <w:ind w:left="7735" w:hanging="360"/>
      </w:pPr>
      <w:rPr>
        <w:rFonts w:hint="default"/>
      </w:rPr>
    </w:lvl>
  </w:abstractNum>
  <w:num w:numId="3">
    <w:abstractNumId w:val="2"/>
  </w:num>
  <w:num w:numId="1">
    <w:abstractNumId w:val="0"/>
  </w:num>
  <w:num w:numId="116">
    <w:abstractNumId w:val="115"/>
  </w:num>
  <w:num w:numId="115">
    <w:abstractNumId w:val="114"/>
  </w:num>
  <w:num w:numId="114">
    <w:abstractNumId w:val="113"/>
  </w:num>
  <w:num w:numId="112">
    <w:abstractNumId w:val="111"/>
  </w:num>
  <w:num w:numId="111">
    <w:abstractNumId w:val="110"/>
  </w:num>
  <w:num w:numId="110">
    <w:abstractNumId w:val="109"/>
  </w:num>
  <w:num w:numId="109">
    <w:abstractNumId w:val="108"/>
  </w:num>
  <w:num w:numId="108">
    <w:abstractNumId w:val="107"/>
  </w:num>
  <w:num w:numId="107">
    <w:abstractNumId w:val="106"/>
  </w:num>
  <w:num w:numId="106">
    <w:abstractNumId w:val="105"/>
  </w:num>
  <w:num w:numId="105">
    <w:abstractNumId w:val="104"/>
  </w:num>
  <w:num w:numId="113">
    <w:abstractNumId w:val="112"/>
  </w:num>
  <w:num w:numId="104">
    <w:abstractNumId w:val="103"/>
  </w:num>
  <w:num w:numId="103">
    <w:abstractNumId w:val="102"/>
  </w:num>
  <w:num w:numId="102">
    <w:abstractNumId w:val="101"/>
  </w:num>
  <w:num w:numId="101">
    <w:abstractNumId w:val="100"/>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198"/>
      <w:ind w:left="392"/>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3"/>
      <w:ind w:left="144" w:right="144"/>
      <w:outlineLvl w:val="1"/>
    </w:pPr>
    <w:rPr>
      <w:rFonts w:ascii="Arial" w:hAnsi="Arial" w:eastAsia="Arial" w:cs="Arial"/>
      <w:b/>
      <w:bCs/>
      <w:sz w:val="28"/>
      <w:szCs w:val="28"/>
    </w:rPr>
  </w:style>
  <w:style w:styleId="Heading2" w:type="paragraph">
    <w:name w:val="Heading 2"/>
    <w:basedOn w:val="Normal"/>
    <w:uiPriority w:val="1"/>
    <w:qFormat/>
    <w:pPr>
      <w:spacing w:before="41"/>
      <w:ind w:left="144" w:right="144"/>
      <w:outlineLvl w:val="2"/>
    </w:pPr>
    <w:rPr>
      <w:rFonts w:ascii="Arial" w:hAnsi="Arial" w:eastAsia="Arial" w:cs="Arial"/>
      <w:sz w:val="28"/>
      <w:szCs w:val="28"/>
    </w:rPr>
  </w:style>
  <w:style w:styleId="Heading3" w:type="paragraph">
    <w:name w:val="Heading 3"/>
    <w:basedOn w:val="Normal"/>
    <w:uiPriority w:val="1"/>
    <w:qFormat/>
    <w:pPr>
      <w:spacing w:before="139"/>
      <w:ind w:left="144" w:right="144"/>
      <w:outlineLvl w:val="3"/>
    </w:pPr>
    <w:rPr>
      <w:rFonts w:ascii="Arial" w:hAnsi="Arial" w:eastAsia="Arial" w:cs="Arial"/>
      <w:b/>
      <w:bCs/>
      <w:sz w:val="24"/>
      <w:szCs w:val="24"/>
    </w:rPr>
  </w:style>
  <w:style w:styleId="ListParagraph" w:type="paragraph">
    <w:name w:val="List Paragraph"/>
    <w:basedOn w:val="Normal"/>
    <w:uiPriority w:val="1"/>
    <w:qFormat/>
    <w:pPr>
      <w:spacing w:line="256" w:lineRule="exact"/>
      <w:ind w:left="1132" w:hanging="972"/>
    </w:pPr>
    <w:rPr>
      <w:rFonts w:ascii="Cambria" w:hAnsi="Cambria" w:eastAsia="Cambria" w:cs="Cambria"/>
    </w:rPr>
  </w:style>
  <w:style w:styleId="TableParagraph" w:type="paragraph">
    <w:name w:val="Table Paragraph"/>
    <w:basedOn w:val="Normal"/>
    <w:uiPriority w:val="1"/>
    <w:qFormat/>
    <w:pPr/>
    <w:rPr>
      <w:rFonts w:ascii="Verdana" w:hAnsi="Verdana" w:eastAsia="Verdana" w:cs="Verdan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oter" Target="footer2.xml"/><Relationship Id="rId11" Type="http://schemas.openxmlformats.org/officeDocument/2006/relationships/footer" Target="footer3.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footer" Target="footer6.xml"/><Relationship Id="rId15" Type="http://schemas.openxmlformats.org/officeDocument/2006/relationships/footer" Target="footer7.xml"/><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image" Target="media/image4.png"/><Relationship Id="rId19" Type="http://schemas.openxmlformats.org/officeDocument/2006/relationships/footer" Target="footer10.xml"/><Relationship Id="rId20" Type="http://schemas.openxmlformats.org/officeDocument/2006/relationships/footer" Target="footer11.xml"/><Relationship Id="rId21" Type="http://schemas.openxmlformats.org/officeDocument/2006/relationships/footer" Target="footer12.xml"/><Relationship Id="rId22" Type="http://schemas.openxmlformats.org/officeDocument/2006/relationships/footer" Target="footer13.xml"/><Relationship Id="rId23" Type="http://schemas.openxmlformats.org/officeDocument/2006/relationships/footer" Target="footer14.xml"/><Relationship Id="rId24" Type="http://schemas.openxmlformats.org/officeDocument/2006/relationships/image" Target="media/image5.jpeg"/><Relationship Id="rId25" Type="http://schemas.openxmlformats.org/officeDocument/2006/relationships/image" Target="media/image6.jpeg"/><Relationship Id="rId26" Type="http://schemas.openxmlformats.org/officeDocument/2006/relationships/footer" Target="footer15.xml"/><Relationship Id="rId27" Type="http://schemas.openxmlformats.org/officeDocument/2006/relationships/image" Target="media/image7.jpeg"/><Relationship Id="rId28" Type="http://schemas.openxmlformats.org/officeDocument/2006/relationships/image" Target="media/image8.jpeg"/><Relationship Id="rId29" Type="http://schemas.openxmlformats.org/officeDocument/2006/relationships/image" Target="media/image9.jpeg"/><Relationship Id="rId30" Type="http://schemas.openxmlformats.org/officeDocument/2006/relationships/image" Target="media/image10.jpeg"/><Relationship Id="rId31" Type="http://schemas.openxmlformats.org/officeDocument/2006/relationships/image" Target="media/image11.jpeg"/><Relationship Id="rId32" Type="http://schemas.openxmlformats.org/officeDocument/2006/relationships/image" Target="media/image12.jpeg"/><Relationship Id="rId33" Type="http://schemas.openxmlformats.org/officeDocument/2006/relationships/image" Target="media/image13.jpeg"/><Relationship Id="rId34" Type="http://schemas.openxmlformats.org/officeDocument/2006/relationships/image" Target="media/image14.jpeg"/><Relationship Id="rId35" Type="http://schemas.openxmlformats.org/officeDocument/2006/relationships/image" Target="media/image15.jpeg"/><Relationship Id="rId36" Type="http://schemas.openxmlformats.org/officeDocument/2006/relationships/image" Target="media/image16.jpeg"/><Relationship Id="rId37" Type="http://schemas.openxmlformats.org/officeDocument/2006/relationships/image" Target="media/image17.jpeg"/><Relationship Id="rId38" Type="http://schemas.openxmlformats.org/officeDocument/2006/relationships/header" Target="header2.xml"/><Relationship Id="rId39" Type="http://schemas.openxmlformats.org/officeDocument/2006/relationships/footer" Target="footer16.xml"/><Relationship Id="rId40" Type="http://schemas.openxmlformats.org/officeDocument/2006/relationships/image" Target="media/image18.png"/><Relationship Id="rId41" Type="http://schemas.openxmlformats.org/officeDocument/2006/relationships/image" Target="media/image19.png"/><Relationship Id="rId42" Type="http://schemas.openxmlformats.org/officeDocument/2006/relationships/image" Target="media/image20.jpeg"/><Relationship Id="rId43" Type="http://schemas.openxmlformats.org/officeDocument/2006/relationships/image" Target="media/image21.png"/><Relationship Id="rId44" Type="http://schemas.openxmlformats.org/officeDocument/2006/relationships/image" Target="media/image22.png"/><Relationship Id="rId45" Type="http://schemas.openxmlformats.org/officeDocument/2006/relationships/image" Target="media/image23.png"/><Relationship Id="rId46" Type="http://schemas.openxmlformats.org/officeDocument/2006/relationships/image" Target="media/image24.png"/><Relationship Id="rId47" Type="http://schemas.openxmlformats.org/officeDocument/2006/relationships/image" Target="media/image25.png"/><Relationship Id="rId48" Type="http://schemas.openxmlformats.org/officeDocument/2006/relationships/header" Target="header3.xml"/><Relationship Id="rId49" Type="http://schemas.openxmlformats.org/officeDocument/2006/relationships/footer" Target="footer17.xml"/><Relationship Id="rId50" Type="http://schemas.openxmlformats.org/officeDocument/2006/relationships/image" Target="media/image26.png"/><Relationship Id="rId51" Type="http://schemas.openxmlformats.org/officeDocument/2006/relationships/image" Target="media/image27.jpeg"/><Relationship Id="rId52" Type="http://schemas.openxmlformats.org/officeDocument/2006/relationships/header" Target="header4.xml"/><Relationship Id="rId53" Type="http://schemas.openxmlformats.org/officeDocument/2006/relationships/footer" Target="footer18.xml"/><Relationship Id="rId54" Type="http://schemas.openxmlformats.org/officeDocument/2006/relationships/hyperlink" Target="mailto:dlangel@uaemex.mx" TargetMode="External"/><Relationship Id="rId55" Type="http://schemas.openxmlformats.org/officeDocument/2006/relationships/header" Target="header5.xml"/><Relationship Id="rId56" Type="http://schemas.openxmlformats.org/officeDocument/2006/relationships/footer" Target="footer19.xml"/><Relationship Id="rId57" Type="http://schemas.openxmlformats.org/officeDocument/2006/relationships/header" Target="header6.xml"/><Relationship Id="rId58" Type="http://schemas.openxmlformats.org/officeDocument/2006/relationships/footer" Target="footer20.xml"/><Relationship Id="rId59" Type="http://schemas.openxmlformats.org/officeDocument/2006/relationships/header" Target="header7.xml"/><Relationship Id="rId60" Type="http://schemas.openxmlformats.org/officeDocument/2006/relationships/footer" Target="footer21.xml"/><Relationship Id="rId61" Type="http://schemas.openxmlformats.org/officeDocument/2006/relationships/header" Target="header8.xml"/><Relationship Id="rId62" Type="http://schemas.openxmlformats.org/officeDocument/2006/relationships/footer" Target="footer22.xml"/><Relationship Id="rId63" Type="http://schemas.openxmlformats.org/officeDocument/2006/relationships/header" Target="header9.xml"/><Relationship Id="rId64" Type="http://schemas.openxmlformats.org/officeDocument/2006/relationships/footer" Target="footer23.xml"/><Relationship Id="rId65" Type="http://schemas.openxmlformats.org/officeDocument/2006/relationships/header" Target="header10.xml"/><Relationship Id="rId66" Type="http://schemas.openxmlformats.org/officeDocument/2006/relationships/footer" Target="footer24.xml"/><Relationship Id="rId67" Type="http://schemas.openxmlformats.org/officeDocument/2006/relationships/header" Target="header11.xml"/><Relationship Id="rId68" Type="http://schemas.openxmlformats.org/officeDocument/2006/relationships/footer" Target="footer25.xml"/><Relationship Id="rId69" Type="http://schemas.openxmlformats.org/officeDocument/2006/relationships/header" Target="header12.xml"/><Relationship Id="rId70" Type="http://schemas.openxmlformats.org/officeDocument/2006/relationships/footer" Target="footer26.xml"/><Relationship Id="rId71" Type="http://schemas.openxmlformats.org/officeDocument/2006/relationships/header" Target="header13.xml"/><Relationship Id="rId72" Type="http://schemas.openxmlformats.org/officeDocument/2006/relationships/footer" Target="footer27.xml"/><Relationship Id="rId73" Type="http://schemas.openxmlformats.org/officeDocument/2006/relationships/header" Target="header14.xml"/><Relationship Id="rId74" Type="http://schemas.openxmlformats.org/officeDocument/2006/relationships/footer" Target="footer28.xml"/><Relationship Id="rId75" Type="http://schemas.openxmlformats.org/officeDocument/2006/relationships/header" Target="header15.xml"/><Relationship Id="rId76" Type="http://schemas.openxmlformats.org/officeDocument/2006/relationships/footer" Target="footer29.xml"/><Relationship Id="rId77" Type="http://schemas.openxmlformats.org/officeDocument/2006/relationships/header" Target="header16.xml"/><Relationship Id="rId78" Type="http://schemas.openxmlformats.org/officeDocument/2006/relationships/footer" Target="footer30.xml"/><Relationship Id="rId79" Type="http://schemas.openxmlformats.org/officeDocument/2006/relationships/image" Target="media/image28.png"/><Relationship Id="rId8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2017-05-25T02:19:13Z</dcterms:created>
  <dcterms:modified xsi:type="dcterms:W3CDTF">2017-05-25T02:19:13Z</dcterms:modified>
</cp:coreProperties>
</file>