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pPr>
    </w:p>
    <w:p>
      <w:pPr>
        <w:spacing w:before="66"/>
        <w:ind w:left="2665" w:right="538" w:firstLine="0"/>
        <w:jc w:val="center"/>
        <w:rPr>
          <w:b/>
          <w:sz w:val="26"/>
        </w:rPr>
      </w:pPr>
      <w:r>
        <w:rPr/>
        <w:drawing>
          <wp:anchor distT="0" distB="0" distL="0" distR="0" allowOverlap="1" layoutInCell="1" locked="0" behindDoc="1" simplePos="0" relativeHeight="268340927">
            <wp:simplePos x="0" y="0"/>
            <wp:positionH relativeFrom="page">
              <wp:posOffset>419100</wp:posOffset>
            </wp:positionH>
            <wp:positionV relativeFrom="paragraph">
              <wp:posOffset>-186731</wp:posOffset>
            </wp:positionV>
            <wp:extent cx="1562100" cy="13843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62100" cy="1384300"/>
                    </a:xfrm>
                    <a:prstGeom prst="rect">
                      <a:avLst/>
                    </a:prstGeom>
                  </pic:spPr>
                </pic:pic>
              </a:graphicData>
            </a:graphic>
          </wp:anchor>
        </w:drawing>
      </w:r>
      <w:r>
        <w:rPr>
          <w:b/>
          <w:sz w:val="26"/>
        </w:rPr>
        <w:t>UNIVERSIDAD AUTÓNOMA DEL ESTADO DE MÉXICO</w:t>
      </w:r>
    </w:p>
    <w:p>
      <w:pPr>
        <w:pStyle w:val="BodyText"/>
        <w:rPr>
          <w:b/>
          <w:sz w:val="26"/>
        </w:rPr>
      </w:pPr>
    </w:p>
    <w:p>
      <w:pPr>
        <w:pStyle w:val="BodyText"/>
        <w:rPr>
          <w:b/>
          <w:sz w:val="26"/>
        </w:rPr>
      </w:pPr>
    </w:p>
    <w:p>
      <w:pPr>
        <w:spacing w:line="273" w:lineRule="auto" w:before="193"/>
        <w:ind w:left="2878" w:right="308" w:hanging="418"/>
        <w:jc w:val="left"/>
        <w:rPr>
          <w:b/>
          <w:sz w:val="26"/>
        </w:rPr>
      </w:pPr>
      <w:r>
        <w:rPr>
          <w:b/>
          <w:sz w:val="26"/>
        </w:rPr>
        <w:t>PROGRAMA DE MAESTRÍA Y DOCTORADO EN CIENCIAS AGROPECUARIAS Y RECURSOS NATURALES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line="271" w:lineRule="auto" w:before="177"/>
        <w:ind w:left="2921" w:right="308" w:firstLine="561"/>
      </w:pPr>
      <w:r>
        <w:rPr/>
        <w:t>EVALUACIÓN CLÍNICA DE LA GABAPENTINA COMO MONOTERAPIA EN PERROS CON EPILEPSIA IDIOPÁTICA</w:t>
      </w:r>
    </w:p>
    <w:p>
      <w:pPr>
        <w:pStyle w:val="BodyText"/>
      </w:pPr>
    </w:p>
    <w:p>
      <w:pPr>
        <w:pStyle w:val="BodyText"/>
        <w:spacing w:before="3"/>
        <w:rPr>
          <w:sz w:val="35"/>
        </w:rPr>
      </w:pPr>
    </w:p>
    <w:p>
      <w:pPr>
        <w:spacing w:before="0"/>
        <w:ind w:left="2665" w:right="534" w:firstLine="0"/>
        <w:jc w:val="center"/>
        <w:rPr>
          <w:b/>
          <w:sz w:val="52"/>
        </w:rPr>
      </w:pPr>
      <w:r>
        <w:rPr>
          <w:b/>
          <w:sz w:val="52"/>
        </w:rPr>
        <w:t>TESIS</w:t>
      </w:r>
    </w:p>
    <w:p>
      <w:pPr>
        <w:pStyle w:val="BodyText"/>
        <w:spacing w:before="2"/>
        <w:rPr>
          <w:b/>
          <w:sz w:val="72"/>
        </w:rPr>
      </w:pPr>
    </w:p>
    <w:p>
      <w:pPr>
        <w:spacing w:line="278" w:lineRule="auto" w:before="1"/>
        <w:ind w:left="3003" w:right="269" w:hanging="576"/>
        <w:jc w:val="left"/>
        <w:rPr>
          <w:sz w:val="26"/>
        </w:rPr>
      </w:pPr>
      <w:r>
        <w:rPr>
          <w:sz w:val="26"/>
        </w:rPr>
        <w:t>QUE PARA OBTENER EL GRADO DE MAESTRA EN CIENCIAS AGROPECUARIAS Y RECURSOS NATURALES</w:t>
      </w:r>
    </w:p>
    <w:p>
      <w:pPr>
        <w:pStyle w:val="BodyText"/>
        <w:rPr>
          <w:sz w:val="26"/>
        </w:rPr>
      </w:pPr>
    </w:p>
    <w:p>
      <w:pPr>
        <w:pStyle w:val="BodyText"/>
        <w:rPr>
          <w:sz w:val="26"/>
        </w:rPr>
      </w:pPr>
    </w:p>
    <w:p>
      <w:pPr>
        <w:pStyle w:val="BodyText"/>
        <w:rPr>
          <w:sz w:val="26"/>
        </w:rPr>
      </w:pPr>
    </w:p>
    <w:p>
      <w:pPr>
        <w:pStyle w:val="BodyText"/>
        <w:spacing w:before="10"/>
        <w:rPr>
          <w:sz w:val="33"/>
        </w:rPr>
      </w:pPr>
    </w:p>
    <w:p>
      <w:pPr>
        <w:spacing w:before="1"/>
        <w:ind w:left="2665" w:right="534" w:firstLine="0"/>
        <w:jc w:val="center"/>
        <w:rPr>
          <w:sz w:val="26"/>
        </w:rPr>
      </w:pPr>
      <w:r>
        <w:rPr>
          <w:sz w:val="26"/>
        </w:rPr>
        <w:t>PRESENTA:</w:t>
      </w:r>
    </w:p>
    <w:p>
      <w:pPr>
        <w:pStyle w:val="BodyText"/>
        <w:spacing w:before="8"/>
        <w:rPr>
          <w:sz w:val="20"/>
        </w:rPr>
      </w:pPr>
    </w:p>
    <w:p>
      <w:pPr>
        <w:pStyle w:val="BodyText"/>
        <w:ind w:left="2665" w:right="538"/>
        <w:jc w:val="center"/>
      </w:pPr>
      <w:r>
        <w:rPr/>
        <w:t>MVZ. Esp. ELIZABETH AVILEZ GARCIA</w:t>
      </w:r>
    </w:p>
    <w:p>
      <w:pPr>
        <w:pStyle w:val="BodyText"/>
      </w:pPr>
    </w:p>
    <w:p>
      <w:pPr>
        <w:pStyle w:val="BodyText"/>
      </w:pPr>
    </w:p>
    <w:p>
      <w:pPr>
        <w:pStyle w:val="BodyText"/>
      </w:pPr>
    </w:p>
    <w:p>
      <w:pPr>
        <w:pStyle w:val="BodyText"/>
      </w:pPr>
    </w:p>
    <w:p>
      <w:pPr>
        <w:pStyle w:val="BodyText"/>
        <w:spacing w:before="10"/>
        <w:rPr>
          <w:sz w:val="19"/>
        </w:rPr>
      </w:pPr>
    </w:p>
    <w:p>
      <w:pPr>
        <w:spacing w:before="0"/>
        <w:ind w:left="3646" w:right="0" w:firstLine="0"/>
        <w:jc w:val="left"/>
        <w:rPr>
          <w:sz w:val="26"/>
        </w:rPr>
      </w:pPr>
      <w:r>
        <w:rPr>
          <w:sz w:val="26"/>
        </w:rPr>
        <w:t>El Cerrillo Piedras Blancas, Toluca, Estado de México, julio</w:t>
      </w:r>
    </w:p>
    <w:p>
      <w:pPr>
        <w:spacing w:before="47"/>
        <w:ind w:left="6148" w:right="308" w:firstLine="0"/>
        <w:jc w:val="left"/>
        <w:rPr>
          <w:sz w:val="26"/>
        </w:rPr>
      </w:pPr>
      <w:r>
        <w:rPr>
          <w:sz w:val="26"/>
        </w:rPr>
        <w:t>2015.</w:t>
      </w:r>
    </w:p>
    <w:p>
      <w:pPr>
        <w:spacing w:after="0"/>
        <w:jc w:val="left"/>
        <w:rPr>
          <w:sz w:val="26"/>
        </w:rPr>
        <w:sectPr>
          <w:type w:val="continuous"/>
          <w:pgSz w:w="12240" w:h="15840"/>
          <w:pgMar w:top="1460" w:bottom="280" w:left="560" w:right="1640"/>
        </w:sectPr>
      </w:pPr>
    </w:p>
    <w:p>
      <w:pPr>
        <w:pStyle w:val="BodyText"/>
        <w:spacing w:before="4"/>
        <w:rPr>
          <w:sz w:val="21"/>
        </w:rPr>
      </w:pPr>
    </w:p>
    <w:p>
      <w:pPr>
        <w:spacing w:before="66"/>
        <w:ind w:left="2645" w:right="538" w:firstLine="0"/>
        <w:jc w:val="center"/>
        <w:rPr>
          <w:b/>
          <w:sz w:val="26"/>
        </w:rPr>
      </w:pPr>
      <w:r>
        <w:rPr/>
        <w:drawing>
          <wp:anchor distT="0" distB="0" distL="0" distR="0" allowOverlap="1" layoutInCell="1" locked="0" behindDoc="1" simplePos="0" relativeHeight="268340951">
            <wp:simplePos x="0" y="0"/>
            <wp:positionH relativeFrom="page">
              <wp:posOffset>438150</wp:posOffset>
            </wp:positionH>
            <wp:positionV relativeFrom="paragraph">
              <wp:posOffset>-120056</wp:posOffset>
            </wp:positionV>
            <wp:extent cx="1562100" cy="138430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562100" cy="1384300"/>
                    </a:xfrm>
                    <a:prstGeom prst="rect">
                      <a:avLst/>
                    </a:prstGeom>
                  </pic:spPr>
                </pic:pic>
              </a:graphicData>
            </a:graphic>
          </wp:anchor>
        </w:drawing>
      </w:r>
      <w:r>
        <w:rPr>
          <w:b/>
          <w:sz w:val="26"/>
        </w:rPr>
        <w:t>UNIVERSIDAD AUTÓNOMA DEL ESTADO DE MÉXICO</w:t>
      </w:r>
    </w:p>
    <w:p>
      <w:pPr>
        <w:pStyle w:val="BodyText"/>
        <w:rPr>
          <w:b/>
          <w:sz w:val="26"/>
        </w:rPr>
      </w:pPr>
    </w:p>
    <w:p>
      <w:pPr>
        <w:pStyle w:val="BodyText"/>
        <w:rPr>
          <w:b/>
          <w:sz w:val="26"/>
        </w:rPr>
      </w:pPr>
    </w:p>
    <w:p>
      <w:pPr>
        <w:spacing w:line="273" w:lineRule="auto" w:before="193"/>
        <w:ind w:left="2858" w:right="308" w:hanging="418"/>
        <w:jc w:val="left"/>
        <w:rPr>
          <w:b/>
          <w:sz w:val="26"/>
        </w:rPr>
      </w:pPr>
      <w:r>
        <w:rPr>
          <w:b/>
          <w:sz w:val="26"/>
        </w:rPr>
        <w:t>PROGRAMA DE MAESTRÍA Y DOCTORADO EN CIENCIAS AGROPECUARIAS Y RECURSOS NATURALES</w:t>
      </w:r>
    </w:p>
    <w:p>
      <w:pPr>
        <w:pStyle w:val="BodyText"/>
        <w:rPr>
          <w:b/>
          <w:sz w:val="26"/>
        </w:rPr>
      </w:pPr>
    </w:p>
    <w:p>
      <w:pPr>
        <w:pStyle w:val="BodyText"/>
        <w:spacing w:before="2"/>
        <w:rPr>
          <w:b/>
          <w:sz w:val="34"/>
        </w:rPr>
      </w:pPr>
    </w:p>
    <w:p>
      <w:pPr>
        <w:pStyle w:val="BodyText"/>
        <w:spacing w:line="271" w:lineRule="auto"/>
        <w:ind w:left="2901" w:right="308" w:firstLine="561"/>
      </w:pPr>
      <w:r>
        <w:rPr/>
        <w:t>EVALUACIÓN CLÍNICA DE LA GABAPENTINA COMO MONOTERAPIA EN PERROS CON EPILEPSIA IDIOPÁTICA</w:t>
      </w:r>
    </w:p>
    <w:p>
      <w:pPr>
        <w:pStyle w:val="BodyText"/>
      </w:pPr>
    </w:p>
    <w:p>
      <w:pPr>
        <w:pStyle w:val="BodyText"/>
        <w:spacing w:before="9"/>
        <w:rPr>
          <w:sz w:val="34"/>
        </w:rPr>
      </w:pPr>
    </w:p>
    <w:p>
      <w:pPr>
        <w:spacing w:before="0"/>
        <w:ind w:left="2645" w:right="534" w:firstLine="0"/>
        <w:jc w:val="center"/>
        <w:rPr>
          <w:b/>
          <w:sz w:val="52"/>
        </w:rPr>
      </w:pPr>
      <w:r>
        <w:rPr>
          <w:b/>
          <w:sz w:val="52"/>
        </w:rPr>
        <w:t>TESIS</w:t>
      </w:r>
    </w:p>
    <w:p>
      <w:pPr>
        <w:pStyle w:val="BodyText"/>
        <w:spacing w:before="7"/>
        <w:rPr>
          <w:b/>
          <w:sz w:val="72"/>
        </w:rPr>
      </w:pPr>
    </w:p>
    <w:p>
      <w:pPr>
        <w:spacing w:line="273" w:lineRule="auto" w:before="0"/>
        <w:ind w:left="2983" w:right="269" w:hanging="576"/>
        <w:jc w:val="left"/>
        <w:rPr>
          <w:sz w:val="26"/>
        </w:rPr>
      </w:pPr>
      <w:r>
        <w:rPr>
          <w:sz w:val="26"/>
        </w:rPr>
        <w:t>QUE PARA OBTENER EL GRADO DE MAESTRA EN CIENCIAS AGROPECUARIAS Y RECURSOS NATURALES</w:t>
      </w:r>
    </w:p>
    <w:p>
      <w:pPr>
        <w:pStyle w:val="BodyText"/>
        <w:rPr>
          <w:sz w:val="26"/>
        </w:rPr>
      </w:pPr>
    </w:p>
    <w:p>
      <w:pPr>
        <w:pStyle w:val="BodyText"/>
        <w:rPr>
          <w:sz w:val="26"/>
        </w:rPr>
      </w:pPr>
    </w:p>
    <w:p>
      <w:pPr>
        <w:spacing w:before="152"/>
        <w:ind w:left="2645" w:right="534" w:firstLine="0"/>
        <w:jc w:val="center"/>
        <w:rPr>
          <w:sz w:val="26"/>
        </w:rPr>
      </w:pPr>
      <w:r>
        <w:rPr>
          <w:sz w:val="26"/>
        </w:rPr>
        <w:t>PRESENTA:</w:t>
      </w:r>
    </w:p>
    <w:p>
      <w:pPr>
        <w:pStyle w:val="BodyText"/>
        <w:spacing w:before="8"/>
        <w:rPr>
          <w:sz w:val="20"/>
        </w:rPr>
      </w:pPr>
    </w:p>
    <w:p>
      <w:pPr>
        <w:pStyle w:val="BodyText"/>
        <w:ind w:left="2645" w:right="538"/>
        <w:jc w:val="center"/>
      </w:pPr>
      <w:r>
        <w:rPr/>
        <w:t>MVZ. Esp. ELIZABETH AVILEZ GARCIA</w:t>
      </w:r>
    </w:p>
    <w:p>
      <w:pPr>
        <w:pStyle w:val="BodyText"/>
      </w:pPr>
    </w:p>
    <w:p>
      <w:pPr>
        <w:pStyle w:val="BodyText"/>
      </w:pPr>
    </w:p>
    <w:p>
      <w:pPr>
        <w:pStyle w:val="BodyText"/>
        <w:spacing w:before="7"/>
        <w:rPr>
          <w:sz w:val="20"/>
        </w:rPr>
      </w:pPr>
    </w:p>
    <w:p>
      <w:pPr>
        <w:pStyle w:val="Heading2"/>
        <w:ind w:left="2642" w:right="538"/>
        <w:jc w:val="center"/>
      </w:pPr>
      <w:r>
        <w:rPr/>
        <w:t>COMITÉ DE TUTORES</w:t>
      </w:r>
    </w:p>
    <w:p>
      <w:pPr>
        <w:pStyle w:val="BodyText"/>
        <w:spacing w:before="7"/>
        <w:rPr>
          <w:b/>
          <w:sz w:val="20"/>
        </w:rPr>
      </w:pPr>
    </w:p>
    <w:p>
      <w:pPr>
        <w:pStyle w:val="BodyText"/>
        <w:spacing w:line="451" w:lineRule="auto"/>
        <w:ind w:left="3224" w:right="1126"/>
        <w:jc w:val="center"/>
      </w:pPr>
      <w:r>
        <w:rPr/>
        <w:t>D en C. JOSÉ ANTONIO IBANCOVICHI CAMARILLO D en C. JOSÉ MAURO VICTORIA MORA</w:t>
      </w:r>
    </w:p>
    <w:p>
      <w:pPr>
        <w:spacing w:before="14"/>
        <w:ind w:left="2645" w:right="530" w:firstLine="0"/>
        <w:jc w:val="center"/>
        <w:rPr>
          <w:sz w:val="26"/>
        </w:rPr>
      </w:pPr>
      <w:r>
        <w:rPr>
          <w:sz w:val="26"/>
        </w:rPr>
        <w:t>D en C. MARCO ANTONIO DE PAZ CAMPOS</w:t>
      </w:r>
    </w:p>
    <w:p>
      <w:pPr>
        <w:pStyle w:val="BodyText"/>
        <w:rPr>
          <w:sz w:val="26"/>
        </w:rPr>
      </w:pPr>
    </w:p>
    <w:p>
      <w:pPr>
        <w:pStyle w:val="BodyText"/>
        <w:rPr>
          <w:sz w:val="26"/>
        </w:rPr>
      </w:pPr>
    </w:p>
    <w:p>
      <w:pPr>
        <w:spacing w:before="188"/>
        <w:ind w:left="3626" w:right="0" w:firstLine="0"/>
        <w:jc w:val="left"/>
        <w:rPr>
          <w:sz w:val="26"/>
        </w:rPr>
      </w:pPr>
      <w:r>
        <w:rPr>
          <w:sz w:val="26"/>
        </w:rPr>
        <w:t>El Cerrillo Piedras Blancas, Toluca, Estado de México, julio</w:t>
      </w:r>
    </w:p>
    <w:p>
      <w:pPr>
        <w:spacing w:before="46"/>
        <w:ind w:left="6128" w:right="308" w:firstLine="0"/>
        <w:jc w:val="left"/>
        <w:rPr>
          <w:sz w:val="26"/>
        </w:rPr>
      </w:pPr>
      <w:r>
        <w:rPr>
          <w:sz w:val="26"/>
        </w:rPr>
        <w:t>2015.</w:t>
      </w:r>
    </w:p>
    <w:p>
      <w:pPr>
        <w:spacing w:after="0"/>
        <w:jc w:val="left"/>
        <w:rPr>
          <w:sz w:val="26"/>
        </w:rPr>
        <w:sectPr>
          <w:pgSz w:w="12240" w:h="15840"/>
          <w:pgMar w:top="1500" w:bottom="280" w:left="580" w:right="1640"/>
        </w:sectPr>
      </w:pPr>
    </w:p>
    <w:p>
      <w:pPr>
        <w:pStyle w:val="BodyText"/>
        <w:rPr>
          <w:sz w:val="20"/>
        </w:rPr>
      </w:pPr>
    </w:p>
    <w:p>
      <w:pPr>
        <w:pStyle w:val="BodyText"/>
        <w:rPr>
          <w:sz w:val="20"/>
        </w:rPr>
      </w:pPr>
    </w:p>
    <w:p>
      <w:pPr>
        <w:pStyle w:val="BodyText"/>
        <w:spacing w:before="9"/>
        <w:rPr>
          <w:sz w:val="25"/>
        </w:rPr>
      </w:pPr>
    </w:p>
    <w:p>
      <w:pPr>
        <w:spacing w:before="69"/>
        <w:ind w:left="858" w:right="98" w:firstLine="0"/>
        <w:jc w:val="left"/>
        <w:rPr>
          <w:b/>
          <w:i/>
          <w:sz w:val="24"/>
        </w:rPr>
      </w:pPr>
      <w:r>
        <w:rPr>
          <w:b/>
          <w:i/>
          <w:sz w:val="24"/>
        </w:rPr>
        <w:t>Agradecimientos</w:t>
      </w:r>
    </w:p>
    <w:p>
      <w:pPr>
        <w:pStyle w:val="BodyText"/>
        <w:rPr>
          <w:b/>
          <w:i/>
        </w:rPr>
      </w:pPr>
    </w:p>
    <w:p>
      <w:pPr>
        <w:pStyle w:val="BodyText"/>
        <w:rPr>
          <w:b/>
          <w:i/>
        </w:rPr>
      </w:pPr>
    </w:p>
    <w:p>
      <w:pPr>
        <w:pStyle w:val="BodyText"/>
        <w:spacing w:line="480" w:lineRule="auto" w:before="204"/>
        <w:ind w:left="858" w:right="98"/>
      </w:pPr>
      <w:r>
        <w:rPr/>
        <w:t>Deseo expresar mi agradecimiento a las personas que colaboraron en la realización de este trabajo.</w:t>
      </w:r>
    </w:p>
    <w:p>
      <w:pPr>
        <w:pStyle w:val="ListParagraph"/>
        <w:numPr>
          <w:ilvl w:val="0"/>
          <w:numId w:val="1"/>
        </w:numPr>
        <w:tabs>
          <w:tab w:pos="1219" w:val="left" w:leader="none"/>
        </w:tabs>
        <w:spacing w:line="470" w:lineRule="auto" w:before="214" w:after="0"/>
        <w:ind w:left="1219" w:right="103" w:hanging="361"/>
        <w:jc w:val="both"/>
        <w:rPr>
          <w:sz w:val="24"/>
        </w:rPr>
      </w:pPr>
      <w:r>
        <w:rPr>
          <w:sz w:val="24"/>
        </w:rPr>
        <w:t>A los doctores José Antonio Ibancovichi Camarillo, Alejandro Quijano, Samuel Chait, Carlos Acevedo y José Mauro Victoria Mora por su apoyo, amistad y enseñanzas.</w:t>
      </w:r>
    </w:p>
    <w:p>
      <w:pPr>
        <w:pStyle w:val="BodyText"/>
        <w:spacing w:before="5"/>
        <w:rPr>
          <w:sz w:val="19"/>
        </w:rPr>
      </w:pPr>
    </w:p>
    <w:p>
      <w:pPr>
        <w:pStyle w:val="ListParagraph"/>
        <w:numPr>
          <w:ilvl w:val="0"/>
          <w:numId w:val="1"/>
        </w:numPr>
        <w:tabs>
          <w:tab w:pos="1218" w:val="left" w:leader="none"/>
          <w:tab w:pos="1219" w:val="left" w:leader="none"/>
        </w:tabs>
        <w:spacing w:line="240" w:lineRule="auto" w:before="1" w:after="0"/>
        <w:ind w:left="1219" w:right="0" w:hanging="361"/>
        <w:jc w:val="left"/>
        <w:rPr>
          <w:sz w:val="24"/>
        </w:rPr>
      </w:pPr>
      <w:r>
        <w:rPr>
          <w:sz w:val="24"/>
        </w:rPr>
        <w:t>Al laboratorio </w:t>
      </w:r>
      <w:r>
        <w:rPr>
          <w:i/>
          <w:sz w:val="24"/>
        </w:rPr>
        <w:t>ALPHA-CHEM, </w:t>
      </w:r>
      <w:r>
        <w:rPr>
          <w:sz w:val="24"/>
        </w:rPr>
        <w:t>en especial a sus</w:t>
      </w:r>
      <w:r>
        <w:rPr>
          <w:spacing w:val="-18"/>
          <w:sz w:val="24"/>
        </w:rPr>
        <w:t> </w:t>
      </w:r>
      <w:r>
        <w:rPr>
          <w:sz w:val="24"/>
        </w:rPr>
        <w:t>colaboradores.</w:t>
      </w:r>
    </w:p>
    <w:p>
      <w:pPr>
        <w:pStyle w:val="BodyText"/>
      </w:pPr>
    </w:p>
    <w:p>
      <w:pPr>
        <w:pStyle w:val="ListParagraph"/>
        <w:numPr>
          <w:ilvl w:val="0"/>
          <w:numId w:val="1"/>
        </w:numPr>
        <w:tabs>
          <w:tab w:pos="1218" w:val="left" w:leader="none"/>
          <w:tab w:pos="1219" w:val="left" w:leader="none"/>
        </w:tabs>
        <w:spacing w:line="465" w:lineRule="auto" w:before="198" w:after="0"/>
        <w:ind w:left="1219" w:right="123" w:hanging="361"/>
        <w:jc w:val="left"/>
        <w:rPr>
          <w:sz w:val="24"/>
        </w:rPr>
      </w:pPr>
      <w:r>
        <w:rPr>
          <w:sz w:val="24"/>
        </w:rPr>
        <w:t>Al MVZ. Eduardo García Sánchez por su exhaustiva colaboración con el trabajo de</w:t>
      </w:r>
      <w:r>
        <w:rPr>
          <w:spacing w:val="-4"/>
          <w:sz w:val="24"/>
        </w:rPr>
        <w:t> </w:t>
      </w:r>
      <w:r>
        <w:rPr>
          <w:sz w:val="24"/>
        </w:rPr>
        <w:t>campo.</w:t>
      </w:r>
    </w:p>
    <w:p>
      <w:pPr>
        <w:pStyle w:val="BodyText"/>
        <w:spacing w:before="11"/>
        <w:rPr>
          <w:sz w:val="19"/>
        </w:rPr>
      </w:pPr>
    </w:p>
    <w:p>
      <w:pPr>
        <w:pStyle w:val="ListParagraph"/>
        <w:numPr>
          <w:ilvl w:val="0"/>
          <w:numId w:val="1"/>
        </w:numPr>
        <w:tabs>
          <w:tab w:pos="1218" w:val="left" w:leader="none"/>
          <w:tab w:pos="1219" w:val="left" w:leader="none"/>
        </w:tabs>
        <w:spacing w:line="240" w:lineRule="auto" w:before="0" w:after="0"/>
        <w:ind w:left="1219" w:right="0" w:hanging="361"/>
        <w:jc w:val="left"/>
        <w:rPr>
          <w:sz w:val="24"/>
        </w:rPr>
      </w:pPr>
      <w:r>
        <w:rPr>
          <w:sz w:val="24"/>
        </w:rPr>
        <w:t>A Karina Barrera por su </w:t>
      </w:r>
      <w:r>
        <w:rPr>
          <w:spacing w:val="-3"/>
          <w:sz w:val="24"/>
        </w:rPr>
        <w:t>apoyo </w:t>
      </w:r>
      <w:r>
        <w:rPr>
          <w:sz w:val="24"/>
        </w:rPr>
        <w:t>y</w:t>
      </w:r>
      <w:r>
        <w:rPr>
          <w:spacing w:val="-5"/>
          <w:sz w:val="24"/>
        </w:rPr>
        <w:t> </w:t>
      </w:r>
      <w:r>
        <w:rPr>
          <w:sz w:val="24"/>
        </w:rPr>
        <w:t>amabilidad.</w:t>
      </w:r>
    </w:p>
    <w:p>
      <w:pPr>
        <w:pStyle w:val="BodyText"/>
      </w:pPr>
    </w:p>
    <w:p>
      <w:pPr>
        <w:pStyle w:val="ListParagraph"/>
        <w:numPr>
          <w:ilvl w:val="0"/>
          <w:numId w:val="1"/>
        </w:numPr>
        <w:tabs>
          <w:tab w:pos="1218" w:val="left" w:leader="none"/>
          <w:tab w:pos="1219" w:val="left" w:leader="none"/>
        </w:tabs>
        <w:spacing w:line="460" w:lineRule="auto" w:before="198" w:after="0"/>
        <w:ind w:left="1219" w:right="110" w:hanging="361"/>
        <w:jc w:val="left"/>
        <w:rPr>
          <w:sz w:val="24"/>
        </w:rPr>
      </w:pPr>
      <w:r>
        <w:rPr>
          <w:sz w:val="24"/>
        </w:rPr>
        <w:t>Al </w:t>
      </w:r>
      <w:r>
        <w:rPr>
          <w:i/>
          <w:sz w:val="24"/>
        </w:rPr>
        <w:t>Hospital Veterinario para Pequeñas Especies </w:t>
      </w:r>
      <w:r>
        <w:rPr>
          <w:sz w:val="24"/>
        </w:rPr>
        <w:t>de </w:t>
      </w:r>
      <w:r>
        <w:rPr>
          <w:spacing w:val="-3"/>
          <w:sz w:val="24"/>
        </w:rPr>
        <w:t>la </w:t>
      </w:r>
      <w:r>
        <w:rPr>
          <w:sz w:val="24"/>
        </w:rPr>
        <w:t>UAEMex por </w:t>
      </w:r>
      <w:r>
        <w:rPr>
          <w:spacing w:val="-3"/>
          <w:sz w:val="24"/>
        </w:rPr>
        <w:t>las </w:t>
      </w:r>
      <w:r>
        <w:rPr>
          <w:sz w:val="24"/>
        </w:rPr>
        <w:t>facilidades</w:t>
      </w:r>
      <w:r>
        <w:rPr>
          <w:spacing w:val="-15"/>
          <w:sz w:val="24"/>
        </w:rPr>
        <w:t> </w:t>
      </w:r>
      <w:r>
        <w:rPr>
          <w:sz w:val="24"/>
        </w:rPr>
        <w:t>brindadas.</w:t>
      </w:r>
    </w:p>
    <w:p>
      <w:pPr>
        <w:spacing w:after="0" w:line="460" w:lineRule="auto"/>
        <w:jc w:val="left"/>
        <w:rPr>
          <w:sz w:val="24"/>
        </w:rPr>
        <w:sectPr>
          <w:pgSz w:w="12240" w:h="15840"/>
          <w:pgMar w:top="1500" w:bottom="280" w:left="1720" w:right="1420"/>
        </w:sectPr>
      </w:pPr>
    </w:p>
    <w:p>
      <w:pPr>
        <w:pStyle w:val="BodyText"/>
        <w:rPr>
          <w:sz w:val="20"/>
        </w:rPr>
      </w:pPr>
    </w:p>
    <w:p>
      <w:pPr>
        <w:pStyle w:val="BodyText"/>
        <w:rPr>
          <w:sz w:val="20"/>
        </w:rPr>
      </w:pPr>
    </w:p>
    <w:p>
      <w:pPr>
        <w:pStyle w:val="BodyText"/>
        <w:spacing w:before="9"/>
        <w:rPr>
          <w:sz w:val="25"/>
        </w:rPr>
      </w:pPr>
    </w:p>
    <w:p>
      <w:pPr>
        <w:spacing w:before="69"/>
        <w:ind w:left="858" w:right="0" w:firstLine="0"/>
        <w:jc w:val="left"/>
        <w:rPr>
          <w:b/>
          <w:i/>
          <w:sz w:val="24"/>
        </w:rPr>
      </w:pPr>
      <w:r>
        <w:rPr>
          <w:b/>
          <w:i/>
          <w:sz w:val="24"/>
        </w:rPr>
        <w:t>Dedicatorias</w:t>
      </w:r>
    </w:p>
    <w:p>
      <w:pPr>
        <w:pStyle w:val="BodyText"/>
        <w:rPr>
          <w:b/>
          <w:i/>
          <w:sz w:val="20"/>
        </w:rPr>
      </w:pPr>
    </w:p>
    <w:p>
      <w:pPr>
        <w:pStyle w:val="BodyText"/>
        <w:spacing w:before="6"/>
        <w:rPr>
          <w:b/>
          <w:i/>
          <w:sz w:val="20"/>
        </w:rPr>
      </w:pPr>
    </w:p>
    <w:p>
      <w:pPr>
        <w:spacing w:after="0"/>
        <w:rPr>
          <w:sz w:val="20"/>
        </w:rPr>
        <w:sectPr>
          <w:pgSz w:w="12240" w:h="15840"/>
          <w:pgMar w:top="1500" w:bottom="280" w:left="1720" w:right="1560"/>
        </w:sectPr>
      </w:pPr>
    </w:p>
    <w:p>
      <w:pPr>
        <w:pStyle w:val="BodyText"/>
        <w:spacing w:before="1"/>
        <w:rPr>
          <w:b/>
          <w:i/>
          <w:sz w:val="23"/>
        </w:rPr>
      </w:pPr>
    </w:p>
    <w:p>
      <w:pPr>
        <w:spacing w:line="480" w:lineRule="auto" w:before="0"/>
        <w:ind w:left="263" w:right="-17" w:firstLine="0"/>
        <w:jc w:val="left"/>
        <w:rPr>
          <w:sz w:val="24"/>
        </w:rPr>
      </w:pPr>
      <w:r>
        <w:rPr>
          <w:i/>
          <w:sz w:val="24"/>
        </w:rPr>
        <w:t>A Dios nuestro señor todopoderoso </w:t>
      </w:r>
      <w:r>
        <w:rPr>
          <w:i/>
          <w:sz w:val="24"/>
        </w:rPr>
        <w:t>que dispone de todo para un fin, gracias por todo lo que has colocado con justa precisión en mi camino</w:t>
      </w:r>
      <w:r>
        <w:rPr>
          <w:sz w:val="24"/>
        </w:rPr>
        <w:t>.</w:t>
      </w:r>
    </w:p>
    <w:p>
      <w:pPr>
        <w:spacing w:line="480" w:lineRule="auto" w:before="69"/>
        <w:ind w:left="263" w:right="235" w:firstLine="475"/>
        <w:jc w:val="both"/>
        <w:rPr>
          <w:i/>
          <w:sz w:val="24"/>
        </w:rPr>
      </w:pPr>
      <w:r>
        <w:rPr/>
        <w:br w:type="column"/>
      </w:r>
      <w:r>
        <w:rPr>
          <w:i/>
          <w:sz w:val="24"/>
        </w:rPr>
        <w:t>A mis papas cómplices de </w:t>
      </w:r>
      <w:r>
        <w:rPr>
          <w:i/>
          <w:sz w:val="24"/>
        </w:rPr>
        <w:t>mis sacrificios y fruto de los suyos.</w:t>
      </w:r>
    </w:p>
    <w:p>
      <w:pPr>
        <w:spacing w:after="0" w:line="480" w:lineRule="auto"/>
        <w:jc w:val="both"/>
        <w:rPr>
          <w:sz w:val="24"/>
        </w:rPr>
        <w:sectPr>
          <w:type w:val="continuous"/>
          <w:pgSz w:w="12240" w:h="15840"/>
          <w:pgMar w:top="1460" w:bottom="280" w:left="1720" w:right="1560"/>
          <w:cols w:num="2" w:equalWidth="0">
            <w:col w:w="3853" w:space="1357"/>
            <w:col w:w="3750"/>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9"/>
        </w:rPr>
      </w:pPr>
    </w:p>
    <w:p>
      <w:pPr>
        <w:spacing w:before="0"/>
        <w:ind w:left="5612" w:right="0" w:firstLine="0"/>
        <w:jc w:val="left"/>
        <w:rPr>
          <w:i/>
          <w:sz w:val="24"/>
        </w:rPr>
      </w:pPr>
      <w:r>
        <w:rPr>
          <w:i/>
          <w:sz w:val="24"/>
        </w:rPr>
        <w:t>Con  un  infinito  amor  desde   el</w:t>
      </w:r>
    </w:p>
    <w:p>
      <w:pPr>
        <w:pStyle w:val="BodyText"/>
        <w:spacing w:before="11"/>
        <w:rPr>
          <w:i/>
          <w:sz w:val="17"/>
        </w:rPr>
      </w:pPr>
    </w:p>
    <w:p>
      <w:pPr>
        <w:spacing w:after="0"/>
        <w:rPr>
          <w:sz w:val="17"/>
        </w:rPr>
        <w:sectPr>
          <w:type w:val="continuous"/>
          <w:pgSz w:w="12240" w:h="15840"/>
          <w:pgMar w:top="1460" w:bottom="280" w:left="1720" w:right="1560"/>
        </w:sectPr>
      </w:pPr>
    </w:p>
    <w:p>
      <w:pPr>
        <w:pStyle w:val="BodyText"/>
        <w:rPr>
          <w:i/>
        </w:rPr>
      </w:pPr>
    </w:p>
    <w:p>
      <w:pPr>
        <w:spacing w:line="480" w:lineRule="auto" w:before="197"/>
        <w:ind w:left="354" w:right="0" w:firstLine="0"/>
        <w:jc w:val="both"/>
        <w:rPr>
          <w:sz w:val="24"/>
        </w:rPr>
      </w:pPr>
      <w:r>
        <w:rPr>
          <w:i/>
          <w:sz w:val="24"/>
        </w:rPr>
        <w:t>A mis abuelos Ofelia </w:t>
      </w:r>
      <w:r>
        <w:rPr>
          <w:i/>
          <w:sz w:val="24"/>
        </w:rPr>
        <w:t>García Rogel y Heriberto García Quinto en el cielo</w:t>
      </w:r>
      <w:r>
        <w:rPr>
          <w:sz w:val="24"/>
        </w:rPr>
        <w:t>.</w:t>
      </w:r>
    </w:p>
    <w:p>
      <w:pPr>
        <w:spacing w:line="480" w:lineRule="auto" w:before="69"/>
        <w:ind w:left="354" w:right="101" w:firstLine="0"/>
        <w:jc w:val="both"/>
        <w:rPr>
          <w:i/>
          <w:sz w:val="24"/>
        </w:rPr>
      </w:pPr>
      <w:r>
        <w:rPr/>
        <w:br w:type="column"/>
      </w:r>
      <w:r>
        <w:rPr>
          <w:i/>
          <w:sz w:val="24"/>
        </w:rPr>
        <w:t>fondo de mi ser a mi lucecita </w:t>
      </w:r>
      <w:r>
        <w:rPr>
          <w:i/>
          <w:sz w:val="24"/>
        </w:rPr>
        <w:t>hermosa Sara Elizabeth García Avilez que ha estado aquí desde el primer latido de su corazón siguiéndome en este viaje por ti y para</w:t>
      </w:r>
      <w:r>
        <w:rPr>
          <w:i/>
          <w:spacing w:val="-2"/>
          <w:sz w:val="24"/>
        </w:rPr>
        <w:t> </w:t>
      </w:r>
      <w:r>
        <w:rPr>
          <w:i/>
          <w:sz w:val="24"/>
        </w:rPr>
        <w:t>ti.</w:t>
      </w:r>
    </w:p>
    <w:p>
      <w:pPr>
        <w:spacing w:after="0" w:line="480" w:lineRule="auto"/>
        <w:jc w:val="both"/>
        <w:rPr>
          <w:sz w:val="24"/>
        </w:rPr>
        <w:sectPr>
          <w:type w:val="continuous"/>
          <w:pgSz w:w="12240" w:h="15840"/>
          <w:pgMar w:top="1460" w:bottom="280" w:left="1720" w:right="1560"/>
          <w:cols w:num="2" w:equalWidth="0">
            <w:col w:w="2974" w:space="2283"/>
            <w:col w:w="3703"/>
          </w:cols>
        </w:sectPr>
      </w:pPr>
    </w:p>
    <w:p>
      <w:pPr>
        <w:pStyle w:val="BodyText"/>
        <w:rPr>
          <w:i/>
          <w:sz w:val="20"/>
        </w:rPr>
      </w:pPr>
    </w:p>
    <w:p>
      <w:pPr>
        <w:pStyle w:val="BodyText"/>
        <w:rPr>
          <w:i/>
          <w:sz w:val="20"/>
        </w:rPr>
      </w:pPr>
    </w:p>
    <w:p>
      <w:pPr>
        <w:pStyle w:val="BodyText"/>
        <w:spacing w:before="4"/>
        <w:rPr>
          <w:i/>
          <w:sz w:val="23"/>
        </w:rPr>
      </w:pPr>
    </w:p>
    <w:p>
      <w:pPr>
        <w:spacing w:line="480" w:lineRule="auto" w:before="69"/>
        <w:ind w:left="1502" w:right="1660" w:firstLine="0"/>
        <w:jc w:val="both"/>
        <w:rPr>
          <w:i/>
          <w:sz w:val="24"/>
        </w:rPr>
      </w:pPr>
      <w:r>
        <w:rPr>
          <w:i/>
          <w:sz w:val="24"/>
        </w:rPr>
        <w:t>Al MVZ. Eduardo García Sánchez continuando aún a la </w:t>
      </w:r>
      <w:r>
        <w:rPr>
          <w:i/>
          <w:sz w:val="24"/>
        </w:rPr>
        <w:t>distancia a través de los ojos de nuestra hija, siempre  habrá un lugar especial para ti en mi</w:t>
      </w:r>
      <w:r>
        <w:rPr>
          <w:i/>
          <w:spacing w:val="-12"/>
          <w:sz w:val="24"/>
        </w:rPr>
        <w:t> </w:t>
      </w:r>
      <w:r>
        <w:rPr>
          <w:i/>
          <w:sz w:val="24"/>
        </w:rPr>
        <w:t>corazón.</w:t>
      </w:r>
    </w:p>
    <w:p>
      <w:pPr>
        <w:spacing w:after="0" w:line="480" w:lineRule="auto"/>
        <w:jc w:val="both"/>
        <w:rPr>
          <w:sz w:val="24"/>
        </w:rPr>
        <w:sectPr>
          <w:type w:val="continuous"/>
          <w:pgSz w:w="12240" w:h="15840"/>
          <w:pgMar w:top="1460" w:bottom="280" w:left="1720" w:right="1560"/>
        </w:sectPr>
      </w:pPr>
    </w:p>
    <w:p>
      <w:pPr>
        <w:pStyle w:val="BodyText"/>
        <w:rPr>
          <w:i/>
          <w:sz w:val="20"/>
        </w:rPr>
      </w:pPr>
    </w:p>
    <w:p>
      <w:pPr>
        <w:pStyle w:val="BodyText"/>
        <w:rPr>
          <w:i/>
          <w:sz w:val="20"/>
        </w:rPr>
      </w:pPr>
    </w:p>
    <w:p>
      <w:pPr>
        <w:pStyle w:val="BodyText"/>
        <w:spacing w:before="3"/>
        <w:rPr>
          <w:i/>
          <w:sz w:val="23"/>
        </w:rPr>
      </w:pPr>
    </w:p>
    <w:p>
      <w:pPr>
        <w:spacing w:line="484" w:lineRule="auto" w:before="69"/>
        <w:ind w:left="2068" w:right="1573" w:hanging="101"/>
        <w:jc w:val="left"/>
        <w:rPr>
          <w:i/>
          <w:sz w:val="24"/>
        </w:rPr>
      </w:pPr>
      <w:r>
        <w:rPr>
          <w:i/>
          <w:sz w:val="24"/>
        </w:rPr>
        <w:t>A los propietarios que incansablemente colaboraron y </w:t>
      </w:r>
      <w:r>
        <w:rPr>
          <w:i/>
          <w:sz w:val="24"/>
        </w:rPr>
        <w:t>lucharon con fe en la recuperación de sus mascotas.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line="480" w:lineRule="auto" w:before="188"/>
        <w:ind w:left="1588" w:right="1467" w:hanging="4"/>
        <w:jc w:val="center"/>
        <w:rPr>
          <w:i/>
          <w:sz w:val="24"/>
        </w:rPr>
      </w:pPr>
      <w:r>
        <w:rPr>
          <w:i/>
          <w:sz w:val="24"/>
        </w:rPr>
        <w:t>A todos los animales que contribuyeron a través de su </w:t>
      </w:r>
      <w:r>
        <w:rPr>
          <w:i/>
          <w:sz w:val="24"/>
        </w:rPr>
        <w:t>padecimiento a la salud y confort de otros. En especial y</w:t>
      </w:r>
      <w:r>
        <w:rPr>
          <w:i/>
          <w:spacing w:val="-14"/>
          <w:sz w:val="24"/>
        </w:rPr>
        <w:t> </w:t>
      </w:r>
      <w:r>
        <w:rPr>
          <w:i/>
          <w:sz w:val="24"/>
        </w:rPr>
        <w:t>en memoria de</w:t>
      </w:r>
      <w:r>
        <w:rPr>
          <w:i/>
          <w:spacing w:val="-7"/>
          <w:sz w:val="24"/>
        </w:rPr>
        <w:t> </w:t>
      </w:r>
      <w:r>
        <w:rPr>
          <w:i/>
          <w:sz w:val="24"/>
        </w:rPr>
        <w:t>Kisha.</w:t>
      </w:r>
    </w:p>
    <w:p>
      <w:pPr>
        <w:spacing w:after="0" w:line="480" w:lineRule="auto"/>
        <w:jc w:val="center"/>
        <w:rPr>
          <w:sz w:val="24"/>
        </w:rPr>
        <w:sectPr>
          <w:pgSz w:w="12240" w:h="15840"/>
          <w:pgMar w:top="1500" w:bottom="280" w:left="1720" w:right="1720"/>
        </w:sectPr>
      </w:pPr>
    </w:p>
    <w:p>
      <w:pPr>
        <w:pStyle w:val="BodyText"/>
        <w:spacing w:before="6"/>
        <w:rPr>
          <w:i/>
          <w:sz w:val="20"/>
        </w:rPr>
      </w:pPr>
    </w:p>
    <w:p>
      <w:pPr>
        <w:pStyle w:val="Heading2"/>
        <w:spacing w:before="69"/>
        <w:ind w:left="202" w:right="155"/>
        <w:jc w:val="center"/>
        <w:rPr>
          <w:rFonts w:ascii="Arial"/>
        </w:rPr>
      </w:pPr>
      <w:r>
        <w:rPr>
          <w:rFonts w:ascii="Arial"/>
        </w:rPr>
        <w:t>Contenido</w:t>
      </w:r>
    </w:p>
    <w:p>
      <w:pPr>
        <w:spacing w:after="0"/>
        <w:jc w:val="center"/>
        <w:rPr>
          <w:rFonts w:ascii="Arial"/>
        </w:rPr>
        <w:sectPr>
          <w:pgSz w:w="12240" w:h="15840"/>
          <w:pgMar w:top="1500" w:bottom="2086" w:left="1720" w:right="1420"/>
        </w:sectPr>
      </w:pPr>
    </w:p>
    <w:sdt>
      <w:sdtPr>
        <w:docPartObj>
          <w:docPartGallery w:val="Table of Contents"/>
          <w:docPartUnique/>
        </w:docPartObj>
      </w:sdtPr>
      <w:sdtEndPr/>
      <w:sdtContent>
        <w:p>
          <w:pPr>
            <w:pStyle w:val="TOC3"/>
            <w:tabs>
              <w:tab w:pos="8990" w:val="right" w:leader="dot"/>
            </w:tabs>
            <w:spacing w:before="147"/>
            <w:rPr>
              <w:rFonts w:ascii="Calibri"/>
            </w:rPr>
          </w:pPr>
          <w:hyperlink w:history="true" w:anchor="_bookmark0">
            <w:r>
              <w:rPr>
                <w:rFonts w:ascii="Calibri"/>
              </w:rPr>
              <w:t>RESUMEN</w:t>
              <w:tab/>
              <w:t>ix</w:t>
            </w:r>
          </w:hyperlink>
        </w:p>
        <w:p>
          <w:pPr>
            <w:pStyle w:val="TOC3"/>
            <w:tabs>
              <w:tab w:pos="8983" w:val="right" w:leader="dot"/>
            </w:tabs>
            <w:spacing w:before="241"/>
            <w:rPr>
              <w:rFonts w:ascii="Calibri"/>
            </w:rPr>
          </w:pPr>
          <w:hyperlink w:history="true" w:anchor="_bookmark1">
            <w:r>
              <w:rPr>
                <w:rFonts w:ascii="Calibri"/>
              </w:rPr>
              <w:t>SUMMARY</w:t>
              <w:tab/>
              <w:t>x</w:t>
            </w:r>
          </w:hyperlink>
        </w:p>
        <w:p>
          <w:pPr>
            <w:pStyle w:val="TOC2"/>
            <w:tabs>
              <w:tab w:pos="8985" w:val="right" w:leader="dot"/>
            </w:tabs>
            <w:spacing w:before="240"/>
            <w:ind w:left="152" w:firstLine="0"/>
          </w:pPr>
          <w:hyperlink w:history="true" w:anchor="_bookmark2">
            <w:r>
              <w:rPr/>
              <w:t>CAPITULO</w:t>
            </w:r>
            <w:r>
              <w:rPr>
                <w:spacing w:val="-5"/>
              </w:rPr>
              <w:t> </w:t>
            </w:r>
            <w:r>
              <w:rPr/>
              <w:t>I</w:t>
              <w:tab/>
              <w:t>1</w:t>
            </w:r>
          </w:hyperlink>
        </w:p>
        <w:p>
          <w:pPr>
            <w:pStyle w:val="TOC3"/>
            <w:tabs>
              <w:tab w:pos="8985" w:val="right" w:leader="dot"/>
            </w:tabs>
            <w:rPr>
              <w:rFonts w:ascii="Calibri" w:hAnsi="Calibri"/>
            </w:rPr>
          </w:pPr>
          <w:hyperlink w:history="true" w:anchor="_bookmark3">
            <w:r>
              <w:rPr>
                <w:rFonts w:ascii="Calibri" w:hAnsi="Calibri"/>
              </w:rPr>
              <w:t>INTRODUCCIÓN</w:t>
              <w:tab/>
              <w:t>1</w:t>
            </w:r>
          </w:hyperlink>
        </w:p>
        <w:p>
          <w:pPr>
            <w:pStyle w:val="TOC2"/>
            <w:tabs>
              <w:tab w:pos="8985" w:val="right" w:leader="dot"/>
            </w:tabs>
            <w:spacing w:before="240"/>
            <w:ind w:left="152" w:firstLine="0"/>
          </w:pPr>
          <w:hyperlink w:history="true" w:anchor="_bookmark4">
            <w:r>
              <w:rPr/>
              <w:t>CAPITULO</w:t>
            </w:r>
            <w:r>
              <w:rPr>
                <w:spacing w:val="-5"/>
              </w:rPr>
              <w:t> </w:t>
            </w:r>
            <w:r>
              <w:rPr/>
              <w:t>II</w:t>
              <w:tab/>
              <w:t>3</w:t>
            </w:r>
          </w:hyperlink>
        </w:p>
        <w:p>
          <w:pPr>
            <w:pStyle w:val="TOC3"/>
            <w:tabs>
              <w:tab w:pos="8985" w:val="right" w:leader="dot"/>
            </w:tabs>
            <w:spacing w:before="144"/>
            <w:rPr>
              <w:rFonts w:ascii="Calibri" w:hAnsi="Calibri"/>
            </w:rPr>
          </w:pPr>
          <w:hyperlink w:history="true" w:anchor="_bookmark5">
            <w:r>
              <w:rPr>
                <w:rFonts w:ascii="Calibri" w:hAnsi="Calibri"/>
              </w:rPr>
              <w:t>REVISIÓN</w:t>
            </w:r>
            <w:r>
              <w:rPr>
                <w:rFonts w:ascii="Calibri" w:hAnsi="Calibri"/>
                <w:spacing w:val="-2"/>
              </w:rPr>
              <w:t> </w:t>
            </w:r>
            <w:r>
              <w:rPr>
                <w:rFonts w:ascii="Calibri" w:hAnsi="Calibri"/>
              </w:rPr>
              <w:t>DE</w:t>
            </w:r>
            <w:r>
              <w:rPr>
                <w:rFonts w:ascii="Calibri" w:hAnsi="Calibri"/>
                <w:spacing w:val="-6"/>
              </w:rPr>
              <w:t> </w:t>
            </w:r>
            <w:r>
              <w:rPr>
                <w:rFonts w:ascii="Calibri" w:hAnsi="Calibri"/>
              </w:rPr>
              <w:t>LITERATURA</w:t>
              <w:tab/>
              <w:t>3</w:t>
            </w:r>
          </w:hyperlink>
        </w:p>
        <w:p>
          <w:pPr>
            <w:pStyle w:val="TOC2"/>
            <w:numPr>
              <w:ilvl w:val="0"/>
              <w:numId w:val="2"/>
            </w:numPr>
            <w:tabs>
              <w:tab w:pos="594" w:val="left" w:leader="none"/>
              <w:tab w:pos="595" w:val="left" w:leader="none"/>
              <w:tab w:pos="8985" w:val="right" w:leader="dot"/>
            </w:tabs>
            <w:spacing w:line="240" w:lineRule="auto" w:before="240" w:after="0"/>
            <w:ind w:left="594" w:right="0" w:hanging="442"/>
            <w:jc w:val="left"/>
          </w:pPr>
          <w:hyperlink w:history="true" w:anchor="_bookmark6">
            <w:r>
              <w:rPr/>
              <w:t>Epilepsia</w:t>
              <w:tab/>
              <w:t>3</w:t>
            </w:r>
          </w:hyperlink>
        </w:p>
        <w:p>
          <w:pPr>
            <w:pStyle w:val="TOC2"/>
            <w:numPr>
              <w:ilvl w:val="0"/>
              <w:numId w:val="2"/>
            </w:numPr>
            <w:tabs>
              <w:tab w:pos="594" w:val="left" w:leader="none"/>
              <w:tab w:pos="595" w:val="left" w:leader="none"/>
              <w:tab w:pos="8985" w:val="right" w:leader="dot"/>
            </w:tabs>
            <w:spacing w:line="240" w:lineRule="auto" w:before="139" w:after="0"/>
            <w:ind w:left="594" w:right="0" w:hanging="442"/>
            <w:jc w:val="left"/>
          </w:pPr>
          <w:hyperlink w:history="true" w:anchor="_bookmark7">
            <w:r>
              <w:rPr/>
              <w:t>Epidemiología</w:t>
              <w:tab/>
              <w:t>3</w:t>
            </w:r>
          </w:hyperlink>
        </w:p>
        <w:p>
          <w:pPr>
            <w:pStyle w:val="TOC2"/>
            <w:numPr>
              <w:ilvl w:val="0"/>
              <w:numId w:val="2"/>
            </w:numPr>
            <w:tabs>
              <w:tab w:pos="594" w:val="left" w:leader="none"/>
              <w:tab w:pos="595" w:val="left" w:leader="none"/>
              <w:tab w:pos="8985" w:val="right" w:leader="dot"/>
            </w:tabs>
            <w:spacing w:line="240" w:lineRule="auto" w:before="140" w:after="0"/>
            <w:ind w:left="594" w:right="0" w:hanging="442"/>
            <w:jc w:val="left"/>
          </w:pPr>
          <w:hyperlink w:history="true" w:anchor="_bookmark8">
            <w:r>
              <w:rPr/>
              <w:t>Terminología</w:t>
              <w:tab/>
              <w:t>5</w:t>
            </w:r>
          </w:hyperlink>
        </w:p>
        <w:p>
          <w:pPr>
            <w:pStyle w:val="TOC2"/>
            <w:numPr>
              <w:ilvl w:val="0"/>
              <w:numId w:val="2"/>
            </w:numPr>
            <w:tabs>
              <w:tab w:pos="594" w:val="left" w:leader="none"/>
              <w:tab w:pos="595" w:val="left" w:leader="none"/>
              <w:tab w:pos="8985" w:val="right" w:leader="dot"/>
            </w:tabs>
            <w:spacing w:line="240" w:lineRule="auto" w:before="139" w:after="0"/>
            <w:ind w:left="594" w:right="0" w:hanging="442"/>
            <w:jc w:val="left"/>
          </w:pPr>
          <w:hyperlink w:history="true" w:anchor="_bookmark9">
            <w:r>
              <w:rPr/>
              <w:t>Anatomía cerebrocortical normal</w:t>
            </w:r>
            <w:r>
              <w:rPr>
                <w:spacing w:val="-5"/>
              </w:rPr>
              <w:t> </w:t>
            </w:r>
            <w:r>
              <w:rPr/>
              <w:t>y</w:t>
            </w:r>
            <w:r>
              <w:rPr>
                <w:spacing w:val="-3"/>
              </w:rPr>
              <w:t> </w:t>
            </w:r>
            <w:r>
              <w:rPr/>
              <w:t>conectividad</w:t>
              <w:tab/>
              <w:t>5</w:t>
            </w:r>
          </w:hyperlink>
        </w:p>
        <w:p>
          <w:pPr>
            <w:pStyle w:val="TOC2"/>
            <w:numPr>
              <w:ilvl w:val="0"/>
              <w:numId w:val="2"/>
            </w:numPr>
            <w:tabs>
              <w:tab w:pos="594" w:val="left" w:leader="none"/>
              <w:tab w:pos="595" w:val="left" w:leader="none"/>
              <w:tab w:pos="8983" w:val="right" w:leader="dot"/>
            </w:tabs>
            <w:spacing w:line="240" w:lineRule="auto" w:before="139" w:after="0"/>
            <w:ind w:left="594" w:right="0" w:hanging="442"/>
            <w:jc w:val="left"/>
          </w:pPr>
          <w:hyperlink w:history="true" w:anchor="_bookmark10">
            <w:r>
              <w:rPr/>
              <w:t>Fisiopatología Básica De La</w:t>
            </w:r>
            <w:r>
              <w:rPr>
                <w:spacing w:val="-9"/>
              </w:rPr>
              <w:t> </w:t>
            </w:r>
            <w:r>
              <w:rPr/>
              <w:t>Excitabilidad</w:t>
            </w:r>
            <w:r>
              <w:rPr>
                <w:spacing w:val="-4"/>
              </w:rPr>
              <w:t> </w:t>
            </w:r>
            <w:r>
              <w:rPr/>
              <w:t>Neuronal</w:t>
              <w:tab/>
              <w:t>10</w:t>
            </w:r>
          </w:hyperlink>
        </w:p>
        <w:p>
          <w:pPr>
            <w:pStyle w:val="TOC2"/>
            <w:numPr>
              <w:ilvl w:val="0"/>
              <w:numId w:val="2"/>
            </w:numPr>
            <w:tabs>
              <w:tab w:pos="594" w:val="left" w:leader="none"/>
              <w:tab w:pos="595" w:val="left" w:leader="none"/>
              <w:tab w:pos="8983" w:val="right" w:leader="dot"/>
            </w:tabs>
            <w:spacing w:line="240" w:lineRule="auto" w:before="139" w:after="0"/>
            <w:ind w:left="594" w:right="0" w:hanging="442"/>
            <w:jc w:val="left"/>
          </w:pPr>
          <w:hyperlink w:history="true" w:anchor="_bookmark11">
            <w:r>
              <w:rPr/>
              <w:t>Epileptogénesis</w:t>
              <w:tab/>
              <w:t>15</w:t>
            </w:r>
          </w:hyperlink>
        </w:p>
        <w:p>
          <w:pPr>
            <w:pStyle w:val="TOC2"/>
            <w:numPr>
              <w:ilvl w:val="0"/>
              <w:numId w:val="2"/>
            </w:numPr>
            <w:tabs>
              <w:tab w:pos="594" w:val="left" w:leader="none"/>
              <w:tab w:pos="595" w:val="left" w:leader="none"/>
              <w:tab w:pos="8983" w:val="right" w:leader="dot"/>
            </w:tabs>
            <w:spacing w:line="240" w:lineRule="auto" w:before="144" w:after="0"/>
            <w:ind w:left="594" w:right="0" w:hanging="442"/>
            <w:jc w:val="left"/>
          </w:pPr>
          <w:hyperlink w:history="true" w:anchor="_bookmark12">
            <w:r>
              <w:rPr/>
              <w:t>Etiología</w:t>
              <w:tab/>
              <w:t>20</w:t>
            </w:r>
          </w:hyperlink>
        </w:p>
        <w:p>
          <w:pPr>
            <w:pStyle w:val="TOC2"/>
            <w:numPr>
              <w:ilvl w:val="0"/>
              <w:numId w:val="2"/>
            </w:numPr>
            <w:tabs>
              <w:tab w:pos="594" w:val="left" w:leader="none"/>
              <w:tab w:pos="595" w:val="left" w:leader="none"/>
              <w:tab w:pos="8983" w:val="right" w:leader="dot"/>
            </w:tabs>
            <w:spacing w:line="240" w:lineRule="auto" w:before="139" w:after="0"/>
            <w:ind w:left="594" w:right="0" w:hanging="442"/>
            <w:jc w:val="left"/>
          </w:pPr>
          <w:hyperlink w:history="true" w:anchor="_bookmark13">
            <w:r>
              <w:rPr/>
              <w:t>Clasificación De</w:t>
            </w:r>
            <w:r>
              <w:rPr>
                <w:spacing w:val="-6"/>
              </w:rPr>
              <w:t> </w:t>
            </w:r>
            <w:r>
              <w:rPr/>
              <w:t>La</w:t>
            </w:r>
            <w:r>
              <w:rPr>
                <w:spacing w:val="-3"/>
              </w:rPr>
              <w:t> </w:t>
            </w:r>
            <w:r>
              <w:rPr/>
              <w:t>Epilepsia</w:t>
              <w:tab/>
              <w:t>24</w:t>
            </w:r>
          </w:hyperlink>
        </w:p>
        <w:p>
          <w:pPr>
            <w:pStyle w:val="TOC2"/>
            <w:numPr>
              <w:ilvl w:val="0"/>
              <w:numId w:val="2"/>
            </w:numPr>
            <w:tabs>
              <w:tab w:pos="594" w:val="left" w:leader="none"/>
              <w:tab w:pos="595" w:val="left" w:leader="none"/>
              <w:tab w:pos="8983" w:val="right" w:leader="dot"/>
            </w:tabs>
            <w:spacing w:line="240" w:lineRule="auto" w:before="139" w:after="0"/>
            <w:ind w:left="594" w:right="0" w:hanging="442"/>
            <w:jc w:val="left"/>
          </w:pPr>
          <w:hyperlink w:history="true" w:anchor="_bookmark14">
            <w:r>
              <w:rPr/>
              <w:t>Clasificación de</w:t>
            </w:r>
            <w:r>
              <w:rPr>
                <w:spacing w:val="-6"/>
              </w:rPr>
              <w:t> </w:t>
            </w:r>
            <w:r>
              <w:rPr/>
              <w:t>las</w:t>
            </w:r>
            <w:r>
              <w:rPr>
                <w:spacing w:val="-3"/>
              </w:rPr>
              <w:t> </w:t>
            </w:r>
            <w:r>
              <w:rPr/>
              <w:t>convulsiones</w:t>
              <w:tab/>
              <w:t>25</w:t>
            </w:r>
          </w:hyperlink>
        </w:p>
        <w:p>
          <w:pPr>
            <w:pStyle w:val="TOC2"/>
            <w:numPr>
              <w:ilvl w:val="0"/>
              <w:numId w:val="2"/>
            </w:numPr>
            <w:tabs>
              <w:tab w:pos="815" w:val="left" w:leader="none"/>
              <w:tab w:pos="816" w:val="left" w:leader="none"/>
              <w:tab w:pos="8983" w:val="right" w:leader="dot"/>
            </w:tabs>
            <w:spacing w:line="240" w:lineRule="auto" w:before="139" w:after="0"/>
            <w:ind w:left="815" w:right="0" w:hanging="663"/>
            <w:jc w:val="left"/>
          </w:pPr>
          <w:hyperlink w:history="true" w:anchor="_bookmark15">
            <w:r>
              <w:rPr/>
              <w:t>Características clínicas de la</w:t>
            </w:r>
            <w:r>
              <w:rPr>
                <w:spacing w:val="-9"/>
              </w:rPr>
              <w:t> </w:t>
            </w:r>
            <w:r>
              <w:rPr/>
              <w:t>epilepsia</w:t>
            </w:r>
            <w:r>
              <w:rPr>
                <w:spacing w:val="-8"/>
              </w:rPr>
              <w:t> </w:t>
            </w:r>
            <w:r>
              <w:rPr/>
              <w:t>idiopática</w:t>
              <w:tab/>
              <w:t>29</w:t>
            </w:r>
          </w:hyperlink>
        </w:p>
        <w:p>
          <w:pPr>
            <w:pStyle w:val="TOC2"/>
            <w:numPr>
              <w:ilvl w:val="0"/>
              <w:numId w:val="2"/>
            </w:numPr>
            <w:tabs>
              <w:tab w:pos="815" w:val="left" w:leader="none"/>
              <w:tab w:pos="816" w:val="left" w:leader="none"/>
              <w:tab w:pos="8983" w:val="right" w:leader="dot"/>
            </w:tabs>
            <w:spacing w:line="240" w:lineRule="auto" w:before="140" w:after="0"/>
            <w:ind w:left="815" w:right="0" w:hanging="663"/>
            <w:jc w:val="left"/>
          </w:pPr>
          <w:hyperlink w:history="true" w:anchor="_bookmark16">
            <w:r>
              <w:rPr/>
              <w:t>Evaluación</w:t>
            </w:r>
            <w:r>
              <w:rPr>
                <w:spacing w:val="-4"/>
              </w:rPr>
              <w:t> </w:t>
            </w:r>
            <w:r>
              <w:rPr/>
              <w:t>diagnóstica</w:t>
              <w:tab/>
              <w:t>32</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17">
            <w:r>
              <w:rPr/>
              <w:t>Historia</w:t>
            </w:r>
            <w:r>
              <w:rPr>
                <w:spacing w:val="-3"/>
              </w:rPr>
              <w:t> </w:t>
            </w:r>
            <w:r>
              <w:rPr/>
              <w:t>clínica</w:t>
              <w:tab/>
              <w:t>32</w:t>
            </w:r>
          </w:hyperlink>
        </w:p>
        <w:p>
          <w:pPr>
            <w:pStyle w:val="TOC2"/>
            <w:numPr>
              <w:ilvl w:val="1"/>
              <w:numId w:val="2"/>
            </w:numPr>
            <w:tabs>
              <w:tab w:pos="815" w:val="left" w:leader="none"/>
              <w:tab w:pos="816" w:val="left" w:leader="none"/>
              <w:tab w:pos="8983" w:val="right" w:leader="dot"/>
            </w:tabs>
            <w:spacing w:line="240" w:lineRule="auto" w:before="144" w:after="0"/>
            <w:ind w:left="815" w:right="0" w:hanging="663"/>
            <w:jc w:val="left"/>
          </w:pPr>
          <w:hyperlink w:history="true" w:anchor="_bookmark18">
            <w:r>
              <w:rPr/>
              <w:t>Examen físico</w:t>
            </w:r>
            <w:r>
              <w:rPr>
                <w:spacing w:val="-7"/>
              </w:rPr>
              <w:t> </w:t>
            </w:r>
            <w:r>
              <w:rPr/>
              <w:t>y</w:t>
            </w:r>
            <w:r>
              <w:rPr>
                <w:spacing w:val="-3"/>
              </w:rPr>
              <w:t> </w:t>
            </w:r>
            <w:r>
              <w:rPr/>
              <w:t>neurológico</w:t>
              <w:tab/>
              <w:t>34</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19">
            <w:r>
              <w:rPr/>
              <w:t>Exámenes</w:t>
            </w:r>
            <w:r>
              <w:rPr>
                <w:spacing w:val="-4"/>
              </w:rPr>
              <w:t> </w:t>
            </w:r>
            <w:r>
              <w:rPr/>
              <w:t>diagnósticos</w:t>
              <w:tab/>
              <w:t>37</w:t>
            </w:r>
          </w:hyperlink>
        </w:p>
        <w:p>
          <w:pPr>
            <w:pStyle w:val="TOC2"/>
            <w:numPr>
              <w:ilvl w:val="0"/>
              <w:numId w:val="2"/>
            </w:numPr>
            <w:tabs>
              <w:tab w:pos="815" w:val="left" w:leader="none"/>
              <w:tab w:pos="816" w:val="left" w:leader="none"/>
              <w:tab w:pos="8983" w:val="right" w:leader="dot"/>
            </w:tabs>
            <w:spacing w:line="240" w:lineRule="auto" w:before="140" w:after="0"/>
            <w:ind w:left="815" w:right="0" w:hanging="663"/>
            <w:jc w:val="left"/>
          </w:pPr>
          <w:hyperlink w:history="true" w:anchor="_bookmark20">
            <w:r>
              <w:rPr/>
              <w:t>Principios de la</w:t>
            </w:r>
            <w:r>
              <w:rPr>
                <w:spacing w:val="-7"/>
              </w:rPr>
              <w:t> </w:t>
            </w:r>
            <w:r>
              <w:rPr/>
              <w:t>terapia</w:t>
            </w:r>
            <w:r>
              <w:rPr>
                <w:spacing w:val="-3"/>
              </w:rPr>
              <w:t> </w:t>
            </w:r>
            <w:r>
              <w:rPr/>
              <w:t>antiepiléptica</w:t>
              <w:tab/>
              <w:t>39</w:t>
            </w:r>
          </w:hyperlink>
        </w:p>
        <w:p>
          <w:pPr>
            <w:pStyle w:val="TOC2"/>
            <w:numPr>
              <w:ilvl w:val="1"/>
              <w:numId w:val="2"/>
            </w:numPr>
            <w:tabs>
              <w:tab w:pos="590" w:val="left" w:leader="none"/>
              <w:tab w:pos="8983" w:val="right" w:leader="dot"/>
            </w:tabs>
            <w:spacing w:line="240" w:lineRule="auto" w:before="139" w:after="0"/>
            <w:ind w:left="589" w:right="0" w:hanging="437"/>
            <w:jc w:val="left"/>
          </w:pPr>
          <w:hyperlink w:history="true" w:anchor="_bookmark21">
            <w:r>
              <w:rPr/>
              <w:t>Inicio</w:t>
            </w:r>
            <w:r>
              <w:rPr>
                <w:spacing w:val="-4"/>
              </w:rPr>
              <w:t> </w:t>
            </w:r>
            <w:r>
              <w:rPr/>
              <w:t>del</w:t>
            </w:r>
            <w:r>
              <w:rPr>
                <w:spacing w:val="-1"/>
              </w:rPr>
              <w:t> </w:t>
            </w:r>
            <w:r>
              <w:rPr/>
              <w:t>tratamiento</w:t>
              <w:tab/>
              <w:t>41</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22">
            <w:r>
              <w:rPr/>
              <w:t>Elección del</w:t>
            </w:r>
            <w:r>
              <w:rPr>
                <w:spacing w:val="-4"/>
              </w:rPr>
              <w:t> </w:t>
            </w:r>
            <w:r>
              <w:rPr/>
              <w:t>fármaco</w:t>
            </w:r>
            <w:r>
              <w:rPr>
                <w:spacing w:val="-4"/>
              </w:rPr>
              <w:t> </w:t>
            </w:r>
            <w:r>
              <w:rPr/>
              <w:t>anticonvulsivo</w:t>
              <w:tab/>
              <w:t>45</w:t>
            </w:r>
          </w:hyperlink>
        </w:p>
        <w:p>
          <w:pPr>
            <w:pStyle w:val="TOC2"/>
            <w:numPr>
              <w:ilvl w:val="1"/>
              <w:numId w:val="2"/>
            </w:numPr>
            <w:tabs>
              <w:tab w:pos="815" w:val="left" w:leader="none"/>
              <w:tab w:pos="816" w:val="left" w:leader="none"/>
              <w:tab w:pos="8983" w:val="right" w:leader="dot"/>
            </w:tabs>
            <w:spacing w:line="240" w:lineRule="auto" w:before="144" w:after="0"/>
            <w:ind w:left="815" w:right="0" w:hanging="663"/>
            <w:jc w:val="left"/>
            <w:rPr>
              <w:rFonts w:ascii="Times New Roman"/>
            </w:rPr>
          </w:pPr>
          <w:hyperlink w:history="true" w:anchor="_bookmark23">
            <w:r>
              <w:rPr>
                <w:rFonts w:ascii="Times New Roman"/>
              </w:rPr>
              <w:t>Dosis</w:t>
            </w:r>
            <w:r>
              <w:rPr/>
              <w:tab/>
              <w:t>46</w:t>
            </w:r>
          </w:hyperlink>
        </w:p>
        <w:p>
          <w:pPr>
            <w:pStyle w:val="TOC2"/>
            <w:numPr>
              <w:ilvl w:val="1"/>
              <w:numId w:val="2"/>
            </w:numPr>
            <w:tabs>
              <w:tab w:pos="815" w:val="left" w:leader="none"/>
              <w:tab w:pos="816" w:val="left" w:leader="none"/>
              <w:tab w:pos="8983" w:val="right" w:leader="dot"/>
            </w:tabs>
            <w:spacing w:line="240" w:lineRule="auto" w:before="140" w:after="0"/>
            <w:ind w:left="815" w:right="0" w:hanging="663"/>
            <w:jc w:val="left"/>
            <w:rPr>
              <w:rFonts w:ascii="Times New Roman" w:hAnsi="Times New Roman"/>
            </w:rPr>
          </w:pPr>
          <w:hyperlink w:history="true" w:anchor="_bookmark24">
            <w:r>
              <w:rPr>
                <w:rFonts w:ascii="Times New Roman" w:hAnsi="Times New Roman"/>
              </w:rPr>
              <w:t>Monitorización de la</w:t>
            </w:r>
            <w:r>
              <w:rPr>
                <w:rFonts w:ascii="Times New Roman" w:hAnsi="Times New Roman"/>
                <w:spacing w:val="-4"/>
              </w:rPr>
              <w:t> </w:t>
            </w:r>
            <w:r>
              <w:rPr>
                <w:rFonts w:ascii="Times New Roman" w:hAnsi="Times New Roman"/>
              </w:rPr>
              <w:t>terapia</w:t>
            </w:r>
            <w:r>
              <w:rPr>
                <w:rFonts w:ascii="Times New Roman" w:hAnsi="Times New Roman"/>
                <w:spacing w:val="4"/>
              </w:rPr>
              <w:t> </w:t>
            </w:r>
            <w:r>
              <w:rPr>
                <w:rFonts w:ascii="Times New Roman" w:hAnsi="Times New Roman"/>
              </w:rPr>
              <w:t>anticonvulsiva</w:t>
            </w:r>
            <w:r>
              <w:rPr/>
              <w:tab/>
              <w:t>46</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rPr>
              <w:rFonts w:ascii="Times New Roman" w:hAnsi="Times New Roman"/>
            </w:rPr>
          </w:pPr>
          <w:hyperlink w:history="true" w:anchor="_bookmark25">
            <w:r>
              <w:rPr>
                <w:rFonts w:ascii="Times New Roman" w:hAnsi="Times New Roman"/>
              </w:rPr>
              <w:t>Interrupción de la terapia</w:t>
            </w:r>
            <w:r>
              <w:rPr>
                <w:rFonts w:ascii="Times New Roman" w:hAnsi="Times New Roman"/>
                <w:spacing w:val="4"/>
              </w:rPr>
              <w:t> </w:t>
            </w:r>
            <w:r>
              <w:rPr>
                <w:rFonts w:ascii="Times New Roman" w:hAnsi="Times New Roman"/>
              </w:rPr>
              <w:t>anticonvulsiva</w:t>
            </w:r>
            <w:r>
              <w:rPr/>
              <w:tab/>
              <w:t>49</w:t>
            </w:r>
          </w:hyperlink>
        </w:p>
        <w:p>
          <w:pPr>
            <w:pStyle w:val="TOC1"/>
          </w:pPr>
          <w:r>
            <w:rPr>
              <w:w w:val="100"/>
            </w:rPr>
            <w:t>i</w:t>
          </w:r>
        </w:p>
        <w:p>
          <w:pPr>
            <w:pStyle w:val="TOC2"/>
            <w:numPr>
              <w:ilvl w:val="0"/>
              <w:numId w:val="2"/>
            </w:numPr>
            <w:tabs>
              <w:tab w:pos="815" w:val="left" w:leader="none"/>
              <w:tab w:pos="816" w:val="left" w:leader="none"/>
              <w:tab w:pos="8983" w:val="right" w:leader="dot"/>
            </w:tabs>
            <w:spacing w:line="240" w:lineRule="auto" w:before="316" w:after="0"/>
            <w:ind w:left="815" w:right="0" w:hanging="663"/>
            <w:jc w:val="left"/>
            <w:rPr>
              <w:rFonts w:ascii="Times New Roman" w:hAnsi="Times New Roman"/>
            </w:rPr>
          </w:pPr>
          <w:hyperlink w:history="true" w:anchor="_bookmark26">
            <w:r>
              <w:rPr>
                <w:rFonts w:ascii="Times New Roman" w:hAnsi="Times New Roman"/>
              </w:rPr>
              <w:t>Fármacos</w:t>
            </w:r>
            <w:r>
              <w:rPr>
                <w:rFonts w:ascii="Times New Roman" w:hAnsi="Times New Roman"/>
                <w:spacing w:val="3"/>
              </w:rPr>
              <w:t> </w:t>
            </w:r>
            <w:r>
              <w:rPr>
                <w:rFonts w:ascii="Times New Roman" w:hAnsi="Times New Roman"/>
              </w:rPr>
              <w:t>anticonvulsivos</w:t>
            </w:r>
            <w:r>
              <w:rPr/>
              <w:tab/>
              <w:t>50</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rPr>
              <w:rFonts w:ascii="Times New Roman"/>
            </w:rPr>
          </w:pPr>
          <w:hyperlink w:history="true" w:anchor="_bookmark27">
            <w:r>
              <w:rPr>
                <w:rFonts w:ascii="Times New Roman"/>
              </w:rPr>
              <w:t>Fenobarbital</w:t>
            </w:r>
            <w:r>
              <w:rPr/>
              <w:tab/>
              <w:t>51</w:t>
            </w:r>
          </w:hyperlink>
        </w:p>
        <w:p>
          <w:pPr>
            <w:pStyle w:val="TOC2"/>
            <w:numPr>
              <w:ilvl w:val="1"/>
              <w:numId w:val="2"/>
            </w:numPr>
            <w:tabs>
              <w:tab w:pos="815" w:val="left" w:leader="none"/>
              <w:tab w:pos="816" w:val="left" w:leader="none"/>
              <w:tab w:pos="8983" w:val="right" w:leader="dot"/>
            </w:tabs>
            <w:spacing w:line="240" w:lineRule="auto" w:before="140" w:after="0"/>
            <w:ind w:left="815" w:right="0" w:hanging="663"/>
            <w:jc w:val="left"/>
            <w:rPr>
              <w:rFonts w:ascii="Times New Roman"/>
            </w:rPr>
          </w:pPr>
          <w:hyperlink w:history="true" w:anchor="_bookmark28">
            <w:r>
              <w:rPr>
                <w:rFonts w:ascii="Times New Roman"/>
              </w:rPr>
              <w:t>Primidona</w:t>
            </w:r>
            <w:r>
              <w:rPr/>
              <w:tab/>
              <w:t>53</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rPr>
              <w:rFonts w:ascii="Times New Roman"/>
            </w:rPr>
          </w:pPr>
          <w:hyperlink w:history="true" w:anchor="_bookmark29">
            <w:r>
              <w:rPr>
                <w:rFonts w:ascii="Times New Roman"/>
              </w:rPr>
              <w:t>Bromuro</w:t>
            </w:r>
            <w:r>
              <w:rPr>
                <w:rFonts w:ascii="Times New Roman"/>
                <w:spacing w:val="1"/>
              </w:rPr>
              <w:t> </w:t>
            </w:r>
            <w:r>
              <w:rPr>
                <w:rFonts w:ascii="Times New Roman"/>
              </w:rPr>
              <w:t>de</w:t>
            </w:r>
            <w:r>
              <w:rPr>
                <w:rFonts w:ascii="Times New Roman"/>
                <w:spacing w:val="-6"/>
              </w:rPr>
              <w:t> </w:t>
            </w:r>
            <w:r>
              <w:rPr>
                <w:rFonts w:ascii="Times New Roman"/>
              </w:rPr>
              <w:t>Potasio</w:t>
            </w:r>
            <w:r>
              <w:rPr/>
              <w:tab/>
              <w:t>53</w:t>
            </w:r>
          </w:hyperlink>
        </w:p>
        <w:p>
          <w:pPr>
            <w:pStyle w:val="TOC2"/>
            <w:numPr>
              <w:ilvl w:val="1"/>
              <w:numId w:val="2"/>
            </w:numPr>
            <w:tabs>
              <w:tab w:pos="815" w:val="left" w:leader="none"/>
              <w:tab w:pos="816" w:val="left" w:leader="none"/>
              <w:tab w:pos="8983" w:val="right" w:leader="dot"/>
            </w:tabs>
            <w:spacing w:line="240" w:lineRule="auto" w:before="144" w:after="0"/>
            <w:ind w:left="815" w:right="0" w:hanging="663"/>
            <w:jc w:val="left"/>
            <w:rPr>
              <w:rFonts w:ascii="Times New Roman"/>
            </w:rPr>
          </w:pPr>
          <w:hyperlink w:history="true" w:anchor="_bookmark30">
            <w:r>
              <w:rPr>
                <w:rFonts w:ascii="Times New Roman"/>
              </w:rPr>
              <w:t>Gabapentina</w:t>
            </w:r>
            <w:r>
              <w:rPr/>
              <w:tab/>
              <w:t>56</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rPr>
              <w:rFonts w:ascii="Times New Roman"/>
            </w:rPr>
          </w:pPr>
          <w:hyperlink w:history="true" w:anchor="_bookmark31">
            <w:r>
              <w:rPr>
                <w:rFonts w:ascii="Times New Roman"/>
              </w:rPr>
              <w:t>Felbamato</w:t>
            </w:r>
            <w:r>
              <w:rPr/>
              <w:tab/>
              <w:t>59</w:t>
            </w:r>
          </w:hyperlink>
        </w:p>
        <w:p>
          <w:pPr>
            <w:pStyle w:val="TOC2"/>
            <w:numPr>
              <w:ilvl w:val="1"/>
              <w:numId w:val="2"/>
            </w:numPr>
            <w:tabs>
              <w:tab w:pos="815" w:val="left" w:leader="none"/>
              <w:tab w:pos="816" w:val="left" w:leader="none"/>
              <w:tab w:pos="8983" w:val="right" w:leader="dot"/>
            </w:tabs>
            <w:spacing w:line="240" w:lineRule="auto" w:before="140" w:after="0"/>
            <w:ind w:left="815" w:right="0" w:hanging="663"/>
            <w:jc w:val="left"/>
            <w:rPr>
              <w:rFonts w:ascii="Times New Roman"/>
            </w:rPr>
          </w:pPr>
          <w:hyperlink w:history="true" w:anchor="_bookmark32">
            <w:r>
              <w:rPr>
                <w:rFonts w:ascii="Times New Roman"/>
              </w:rPr>
              <w:t>Benzodiazepinas</w:t>
            </w:r>
            <w:r>
              <w:rPr/>
              <w:tab/>
              <w:t>60</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33">
            <w:r>
              <w:rPr/>
              <w:t>Levetiracetam</w:t>
              <w:tab/>
              <w:t>61</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34">
            <w:r>
              <w:rPr/>
              <w:t>Zonisamida</w:t>
              <w:tab/>
              <w:t>63</w:t>
            </w:r>
          </w:hyperlink>
        </w:p>
        <w:p>
          <w:pPr>
            <w:pStyle w:val="TOC2"/>
            <w:numPr>
              <w:ilvl w:val="1"/>
              <w:numId w:val="2"/>
            </w:numPr>
            <w:tabs>
              <w:tab w:pos="590" w:val="left" w:leader="none"/>
              <w:tab w:pos="8983" w:val="right" w:leader="dot"/>
            </w:tabs>
            <w:spacing w:line="240" w:lineRule="auto" w:before="139" w:after="0"/>
            <w:ind w:left="589" w:right="0" w:hanging="437"/>
            <w:jc w:val="left"/>
          </w:pPr>
          <w:hyperlink w:history="true" w:anchor="_bookmark35">
            <w:r>
              <w:rPr/>
              <w:t>Nuevos</w:t>
            </w:r>
            <w:r>
              <w:rPr>
                <w:spacing w:val="-3"/>
              </w:rPr>
              <w:t> </w:t>
            </w:r>
            <w:r>
              <w:rPr/>
              <w:t>anticonvulsivos</w:t>
              <w:tab/>
              <w:t>65</w:t>
            </w:r>
          </w:hyperlink>
        </w:p>
        <w:p>
          <w:pPr>
            <w:pStyle w:val="TOC2"/>
            <w:numPr>
              <w:ilvl w:val="0"/>
              <w:numId w:val="2"/>
            </w:numPr>
            <w:tabs>
              <w:tab w:pos="815" w:val="left" w:leader="none"/>
              <w:tab w:pos="816" w:val="left" w:leader="none"/>
              <w:tab w:pos="8983" w:val="right" w:leader="dot"/>
            </w:tabs>
            <w:spacing w:line="240" w:lineRule="auto" w:before="145" w:after="0"/>
            <w:ind w:left="815" w:right="0" w:hanging="663"/>
            <w:jc w:val="left"/>
          </w:pPr>
          <w:hyperlink w:history="true" w:anchor="_bookmark36">
            <w:r>
              <w:rPr/>
              <w:t>Drogas</w:t>
            </w:r>
            <w:r>
              <w:rPr>
                <w:spacing w:val="-3"/>
              </w:rPr>
              <w:t> </w:t>
            </w:r>
            <w:r>
              <w:rPr/>
              <w:t>contraindicadas</w:t>
              <w:tab/>
              <w:t>67</w:t>
            </w:r>
          </w:hyperlink>
        </w:p>
        <w:p>
          <w:pPr>
            <w:pStyle w:val="TOC2"/>
            <w:numPr>
              <w:ilvl w:val="0"/>
              <w:numId w:val="2"/>
            </w:numPr>
            <w:tabs>
              <w:tab w:pos="815" w:val="left" w:leader="none"/>
              <w:tab w:pos="816" w:val="left" w:leader="none"/>
              <w:tab w:pos="8983" w:val="right" w:leader="dot"/>
            </w:tabs>
            <w:spacing w:line="240" w:lineRule="auto" w:before="139" w:after="0"/>
            <w:ind w:left="815" w:right="0" w:hanging="663"/>
            <w:jc w:val="left"/>
          </w:pPr>
          <w:hyperlink w:history="true" w:anchor="_bookmark37">
            <w:r>
              <w:rPr/>
              <w:t>Epilepsia</w:t>
            </w:r>
            <w:r>
              <w:rPr>
                <w:spacing w:val="-2"/>
              </w:rPr>
              <w:t> </w:t>
            </w:r>
            <w:r>
              <w:rPr/>
              <w:t>refractaria</w:t>
              <w:tab/>
              <w:t>69</w:t>
            </w:r>
          </w:hyperlink>
        </w:p>
        <w:p>
          <w:pPr>
            <w:pStyle w:val="TOC2"/>
            <w:numPr>
              <w:ilvl w:val="0"/>
              <w:numId w:val="2"/>
            </w:numPr>
            <w:tabs>
              <w:tab w:pos="815" w:val="left" w:leader="none"/>
              <w:tab w:pos="816" w:val="left" w:leader="none"/>
              <w:tab w:pos="8983" w:val="right" w:leader="dot"/>
            </w:tabs>
            <w:spacing w:line="240" w:lineRule="auto" w:before="139" w:after="0"/>
            <w:ind w:left="815" w:right="0" w:hanging="663"/>
            <w:jc w:val="left"/>
          </w:pPr>
          <w:hyperlink w:history="true" w:anchor="_bookmark38">
            <w:r>
              <w:rPr/>
              <w:t>Tratamientos alternos de la</w:t>
            </w:r>
            <w:r>
              <w:rPr>
                <w:spacing w:val="-9"/>
              </w:rPr>
              <w:t> </w:t>
            </w:r>
            <w:r>
              <w:rPr/>
              <w:t>epilepsia</w:t>
            </w:r>
            <w:r>
              <w:rPr>
                <w:spacing w:val="-3"/>
              </w:rPr>
              <w:t> </w:t>
            </w:r>
            <w:r>
              <w:rPr/>
              <w:t>idiopática</w:t>
              <w:tab/>
              <w:t>71</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39">
            <w:r>
              <w:rPr/>
              <w:t>Cirugía</w:t>
              <w:tab/>
              <w:t>71</w:t>
            </w:r>
          </w:hyperlink>
        </w:p>
        <w:p>
          <w:pPr>
            <w:pStyle w:val="TOC2"/>
            <w:numPr>
              <w:ilvl w:val="1"/>
              <w:numId w:val="2"/>
            </w:numPr>
            <w:tabs>
              <w:tab w:pos="815" w:val="left" w:leader="none"/>
              <w:tab w:pos="816" w:val="left" w:leader="none"/>
              <w:tab w:pos="8983" w:val="right" w:leader="dot"/>
            </w:tabs>
            <w:spacing w:line="240" w:lineRule="auto" w:before="140" w:after="0"/>
            <w:ind w:left="815" w:right="0" w:hanging="663"/>
            <w:jc w:val="left"/>
          </w:pPr>
          <w:hyperlink w:history="true" w:anchor="_bookmark40">
            <w:r>
              <w:rPr/>
              <w:t>Acupuntura</w:t>
              <w:tab/>
              <w:t>71</w:t>
            </w:r>
          </w:hyperlink>
        </w:p>
        <w:p>
          <w:pPr>
            <w:pStyle w:val="TOC2"/>
            <w:numPr>
              <w:ilvl w:val="1"/>
              <w:numId w:val="2"/>
            </w:numPr>
            <w:tabs>
              <w:tab w:pos="815" w:val="left" w:leader="none"/>
              <w:tab w:pos="816" w:val="left" w:leader="none"/>
              <w:tab w:pos="8983" w:val="right" w:leader="dot"/>
            </w:tabs>
            <w:spacing w:line="240" w:lineRule="auto" w:before="144" w:after="0"/>
            <w:ind w:left="815" w:right="0" w:hanging="663"/>
            <w:jc w:val="left"/>
          </w:pPr>
          <w:hyperlink w:history="true" w:anchor="_bookmark41">
            <w:r>
              <w:rPr/>
              <w:t>Homeopatía</w:t>
              <w:tab/>
              <w:t>72</w:t>
            </w:r>
          </w:hyperlink>
        </w:p>
        <w:p>
          <w:pPr>
            <w:pStyle w:val="TOC2"/>
            <w:numPr>
              <w:ilvl w:val="1"/>
              <w:numId w:val="2"/>
            </w:numPr>
            <w:tabs>
              <w:tab w:pos="815" w:val="left" w:leader="none"/>
              <w:tab w:pos="816" w:val="left" w:leader="none"/>
              <w:tab w:pos="8983" w:val="right" w:leader="dot"/>
            </w:tabs>
            <w:spacing w:line="240" w:lineRule="auto" w:before="139" w:after="0"/>
            <w:ind w:left="815" w:right="0" w:hanging="663"/>
            <w:jc w:val="left"/>
          </w:pPr>
          <w:hyperlink w:history="true" w:anchor="_bookmark42">
            <w:r>
              <w:rPr/>
              <w:t>Estimulación</w:t>
            </w:r>
            <w:r>
              <w:rPr>
                <w:spacing w:val="-4"/>
              </w:rPr>
              <w:t> </w:t>
            </w:r>
            <w:r>
              <w:rPr/>
              <w:t>vagal</w:t>
              <w:tab/>
              <w:t>73</w:t>
            </w:r>
          </w:hyperlink>
        </w:p>
        <w:p>
          <w:pPr>
            <w:pStyle w:val="TOC2"/>
            <w:numPr>
              <w:ilvl w:val="0"/>
              <w:numId w:val="2"/>
            </w:numPr>
            <w:tabs>
              <w:tab w:pos="815" w:val="left" w:leader="none"/>
              <w:tab w:pos="816" w:val="left" w:leader="none"/>
              <w:tab w:pos="8983" w:val="right" w:leader="dot"/>
            </w:tabs>
            <w:spacing w:line="240" w:lineRule="auto" w:before="139" w:after="0"/>
            <w:ind w:left="815" w:right="0" w:hanging="663"/>
            <w:jc w:val="left"/>
          </w:pPr>
          <w:hyperlink w:history="true" w:anchor="_bookmark43">
            <w:r>
              <w:rPr/>
              <w:t>Estatus epiléptico y terapia anticonvulsiva</w:t>
            </w:r>
            <w:r>
              <w:rPr>
                <w:spacing w:val="-13"/>
              </w:rPr>
              <w:t> </w:t>
            </w:r>
            <w:r>
              <w:rPr/>
              <w:t>de</w:t>
            </w:r>
            <w:r>
              <w:rPr>
                <w:spacing w:val="-3"/>
              </w:rPr>
              <w:t> </w:t>
            </w:r>
            <w:r>
              <w:rPr/>
              <w:t>emergencia</w:t>
              <w:tab/>
              <w:t>73</w:t>
            </w:r>
          </w:hyperlink>
        </w:p>
        <w:p>
          <w:pPr>
            <w:pStyle w:val="TOC2"/>
            <w:tabs>
              <w:tab w:pos="8983" w:val="right" w:leader="dot"/>
            </w:tabs>
            <w:spacing w:before="140"/>
            <w:ind w:left="152" w:firstLine="0"/>
          </w:pPr>
          <w:hyperlink w:history="true" w:anchor="_bookmark44">
            <w:r>
              <w:rPr/>
              <w:t>CAPITULO</w:t>
            </w:r>
            <w:r>
              <w:rPr>
                <w:spacing w:val="-5"/>
              </w:rPr>
              <w:t> </w:t>
            </w:r>
            <w:r>
              <w:rPr/>
              <w:t>III</w:t>
              <w:tab/>
              <w:t>79</w:t>
            </w:r>
          </w:hyperlink>
        </w:p>
        <w:p>
          <w:pPr>
            <w:pStyle w:val="TOC3"/>
            <w:tabs>
              <w:tab w:pos="8983" w:val="right" w:leader="dot"/>
            </w:tabs>
            <w:rPr>
              <w:rFonts w:ascii="Calibri" w:hAnsi="Calibri"/>
            </w:rPr>
          </w:pPr>
          <w:hyperlink w:history="true" w:anchor="_bookmark45">
            <w:r>
              <w:rPr>
                <w:rFonts w:ascii="Calibri" w:hAnsi="Calibri"/>
              </w:rPr>
              <w:t>JUSTIFICACIÓN</w:t>
              <w:tab/>
              <w:t>79</w:t>
            </w:r>
          </w:hyperlink>
        </w:p>
        <w:p>
          <w:pPr>
            <w:pStyle w:val="TOC2"/>
            <w:tabs>
              <w:tab w:pos="8983" w:val="right" w:leader="dot"/>
            </w:tabs>
            <w:spacing w:before="240"/>
            <w:ind w:left="152" w:firstLine="0"/>
          </w:pPr>
          <w:hyperlink w:history="true" w:anchor="_bookmark46">
            <w:r>
              <w:rPr/>
              <w:t>CAPITULO</w:t>
            </w:r>
            <w:r>
              <w:rPr>
                <w:spacing w:val="-5"/>
              </w:rPr>
              <w:t> </w:t>
            </w:r>
            <w:r>
              <w:rPr/>
              <w:t>IV</w:t>
              <w:tab/>
              <w:t>80</w:t>
            </w:r>
          </w:hyperlink>
        </w:p>
        <w:p>
          <w:pPr>
            <w:pStyle w:val="TOC3"/>
            <w:tabs>
              <w:tab w:pos="8983" w:val="right" w:leader="dot"/>
            </w:tabs>
            <w:rPr>
              <w:rFonts w:ascii="Calibri" w:hAnsi="Calibri"/>
            </w:rPr>
          </w:pPr>
          <w:hyperlink w:history="true" w:anchor="_bookmark47">
            <w:r>
              <w:rPr/>
              <w:t>HIPÓTESIS</w:t>
            </w:r>
            <w:r>
              <w:rPr>
                <w:rFonts w:ascii="Calibri" w:hAnsi="Calibri"/>
              </w:rPr>
              <w:tab/>
              <w:t>80</w:t>
            </w:r>
          </w:hyperlink>
        </w:p>
        <w:p>
          <w:pPr>
            <w:pStyle w:val="TOC2"/>
            <w:tabs>
              <w:tab w:pos="8983" w:val="right" w:leader="dot"/>
            </w:tabs>
            <w:spacing w:before="241"/>
            <w:ind w:left="152" w:firstLine="0"/>
          </w:pPr>
          <w:hyperlink w:history="true" w:anchor="_bookmark48">
            <w:r>
              <w:rPr/>
              <w:t>CAPITULO</w:t>
            </w:r>
            <w:r>
              <w:rPr>
                <w:spacing w:val="-6"/>
              </w:rPr>
              <w:t> </w:t>
            </w:r>
            <w:r>
              <w:rPr/>
              <w:t>V</w:t>
              <w:tab/>
              <w:t>81</w:t>
            </w:r>
          </w:hyperlink>
        </w:p>
        <w:p>
          <w:pPr>
            <w:pStyle w:val="TOC3"/>
            <w:tabs>
              <w:tab w:pos="8983" w:val="right" w:leader="dot"/>
            </w:tabs>
            <w:spacing w:before="144"/>
            <w:rPr>
              <w:rFonts w:ascii="Calibri"/>
            </w:rPr>
          </w:pPr>
          <w:hyperlink w:history="true" w:anchor="_bookmark49">
            <w:r>
              <w:rPr/>
              <w:t>OBJETIVO GENERAL</w:t>
            </w:r>
            <w:r>
              <w:rPr>
                <w:rFonts w:ascii="Calibri"/>
              </w:rPr>
              <w:tab/>
              <w:t>81</w:t>
            </w:r>
          </w:hyperlink>
        </w:p>
        <w:p>
          <w:pPr>
            <w:pStyle w:val="TOC3"/>
            <w:tabs>
              <w:tab w:pos="8983" w:val="right" w:leader="dot"/>
            </w:tabs>
            <w:spacing w:before="240"/>
            <w:rPr>
              <w:rFonts w:ascii="Calibri"/>
            </w:rPr>
          </w:pPr>
          <w:hyperlink w:history="true" w:anchor="_bookmark50">
            <w:r>
              <w:rPr/>
              <w:t>OBJETIVOS</w:t>
            </w:r>
            <w:r>
              <w:rPr>
                <w:spacing w:val="3"/>
              </w:rPr>
              <w:t> </w:t>
            </w:r>
            <w:r>
              <w:rPr/>
              <w:t>PARTICULARES</w:t>
            </w:r>
            <w:r>
              <w:rPr>
                <w:rFonts w:ascii="Calibri"/>
              </w:rPr>
              <w:tab/>
              <w:t>81</w:t>
            </w:r>
          </w:hyperlink>
        </w:p>
        <w:p>
          <w:pPr>
            <w:pStyle w:val="TOC2"/>
            <w:tabs>
              <w:tab w:pos="8983" w:val="right" w:leader="dot"/>
            </w:tabs>
            <w:spacing w:before="240"/>
            <w:ind w:left="152" w:firstLine="0"/>
          </w:pPr>
          <w:hyperlink w:history="true" w:anchor="_bookmark51">
            <w:r>
              <w:rPr/>
              <w:t>CAPITULO</w:t>
            </w:r>
            <w:r>
              <w:rPr>
                <w:spacing w:val="-6"/>
              </w:rPr>
              <w:t> </w:t>
            </w:r>
            <w:r>
              <w:rPr/>
              <w:t>VI</w:t>
              <w:tab/>
              <w:t>82</w:t>
            </w:r>
          </w:hyperlink>
        </w:p>
        <w:p>
          <w:pPr>
            <w:pStyle w:val="TOC3"/>
            <w:tabs>
              <w:tab w:pos="8983" w:val="right" w:leader="dot"/>
            </w:tabs>
            <w:rPr>
              <w:rFonts w:ascii="Calibri" w:hAnsi="Calibri"/>
            </w:rPr>
          </w:pPr>
          <w:hyperlink w:history="true" w:anchor="_bookmark52">
            <w:r>
              <w:rPr/>
              <w:t>MATERIAL</w:t>
            </w:r>
            <w:r>
              <w:rPr>
                <w:spacing w:val="1"/>
              </w:rPr>
              <w:t> </w:t>
            </w:r>
            <w:r>
              <w:rPr/>
              <w:t>Y</w:t>
            </w:r>
            <w:r>
              <w:rPr>
                <w:spacing w:val="-5"/>
              </w:rPr>
              <w:t> </w:t>
            </w:r>
            <w:r>
              <w:rPr/>
              <w:t>MÉTODO</w:t>
            </w:r>
            <w:r>
              <w:rPr>
                <w:rFonts w:ascii="Calibri" w:hAnsi="Calibri"/>
              </w:rPr>
              <w:tab/>
              <w:t>82</w:t>
            </w:r>
          </w:hyperlink>
        </w:p>
        <w:p>
          <w:pPr>
            <w:pStyle w:val="TOC2"/>
            <w:tabs>
              <w:tab w:pos="8983" w:val="right" w:leader="dot"/>
            </w:tabs>
            <w:spacing w:before="316"/>
            <w:ind w:left="152" w:firstLine="0"/>
          </w:pPr>
          <w:hyperlink w:history="true" w:anchor="_bookmark53">
            <w:r>
              <w:rPr/>
              <w:t>CAPITULO</w:t>
            </w:r>
            <w:r>
              <w:rPr>
                <w:spacing w:val="-5"/>
              </w:rPr>
              <w:t> </w:t>
            </w:r>
            <w:r>
              <w:rPr/>
              <w:t>VII</w:t>
              <w:tab/>
              <w:t>88</w:t>
            </w:r>
          </w:hyperlink>
        </w:p>
        <w:p>
          <w:pPr>
            <w:pStyle w:val="TOC3"/>
            <w:tabs>
              <w:tab w:pos="8983" w:val="right" w:leader="dot"/>
            </w:tabs>
            <w:rPr>
              <w:rFonts w:ascii="Calibri"/>
            </w:rPr>
          </w:pPr>
          <w:hyperlink w:history="true" w:anchor="_bookmark54">
            <w:r>
              <w:rPr/>
              <w:t>RESULTADOS</w:t>
            </w:r>
            <w:r>
              <w:rPr>
                <w:rFonts w:ascii="Calibri"/>
              </w:rPr>
              <w:tab/>
              <w:t>88</w:t>
            </w:r>
          </w:hyperlink>
        </w:p>
        <w:p>
          <w:pPr>
            <w:pStyle w:val="TOC3"/>
            <w:tabs>
              <w:tab w:pos="8983" w:val="right" w:leader="dot"/>
            </w:tabs>
            <w:spacing w:before="241"/>
            <w:rPr>
              <w:rFonts w:ascii="Calibri" w:hAnsi="Calibri"/>
            </w:rPr>
          </w:pPr>
          <w:hyperlink w:history="true" w:anchor="_bookmark55">
            <w:r>
              <w:rPr/>
              <w:t>1</w:t>
            </w:r>
            <w:r>
              <w:rPr>
                <w:spacing w:val="1"/>
              </w:rPr>
              <w:t> </w:t>
            </w:r>
            <w:r>
              <w:rPr/>
              <w:t>ARTÍCULO</w:t>
            </w:r>
            <w:r>
              <w:rPr>
                <w:spacing w:val="-1"/>
              </w:rPr>
              <w:t> </w:t>
            </w:r>
            <w:r>
              <w:rPr/>
              <w:t>CIENTÍFICO</w:t>
            </w:r>
            <w:r>
              <w:rPr>
                <w:rFonts w:ascii="Calibri" w:hAnsi="Calibri"/>
              </w:rPr>
              <w:tab/>
              <w:t>88</w:t>
            </w:r>
          </w:hyperlink>
        </w:p>
        <w:p>
          <w:pPr>
            <w:pStyle w:val="TOC2"/>
            <w:tabs>
              <w:tab w:pos="8983" w:val="right" w:leader="dot"/>
            </w:tabs>
            <w:spacing w:before="240"/>
            <w:ind w:left="152" w:firstLine="0"/>
          </w:pPr>
          <w:hyperlink w:history="true" w:anchor="_bookmark56">
            <w:r>
              <w:rPr/>
              <w:t>CAPITULO</w:t>
            </w:r>
            <w:r>
              <w:rPr>
                <w:spacing w:val="-5"/>
              </w:rPr>
              <w:t> </w:t>
            </w:r>
            <w:r>
              <w:rPr/>
              <w:t>VIII</w:t>
              <w:tab/>
              <w:t>96</w:t>
            </w:r>
          </w:hyperlink>
        </w:p>
        <w:p>
          <w:pPr>
            <w:pStyle w:val="TOC3"/>
            <w:tabs>
              <w:tab w:pos="8983" w:val="right" w:leader="dot"/>
            </w:tabs>
            <w:rPr>
              <w:rFonts w:ascii="Calibri" w:hAnsi="Calibri"/>
            </w:rPr>
          </w:pPr>
          <w:hyperlink w:history="true" w:anchor="_bookmark57">
            <w:r>
              <w:rPr/>
              <w:t>DISCUSIÓN GENERAL</w:t>
            </w:r>
            <w:r>
              <w:rPr>
                <w:rFonts w:ascii="Calibri" w:hAnsi="Calibri"/>
              </w:rPr>
              <w:tab/>
              <w:t>96</w:t>
            </w:r>
          </w:hyperlink>
        </w:p>
        <w:p>
          <w:pPr>
            <w:pStyle w:val="TOC2"/>
            <w:tabs>
              <w:tab w:pos="8978" w:val="right" w:leader="dot"/>
            </w:tabs>
            <w:spacing w:before="240"/>
            <w:ind w:left="152" w:firstLine="0"/>
          </w:pPr>
          <w:hyperlink w:history="true" w:anchor="_bookmark58">
            <w:r>
              <w:rPr/>
              <w:t>CAPITULO</w:t>
            </w:r>
            <w:r>
              <w:rPr>
                <w:spacing w:val="-5"/>
              </w:rPr>
              <w:t> </w:t>
            </w:r>
            <w:r>
              <w:rPr/>
              <w:t>IX</w:t>
              <w:tab/>
            </w:r>
            <w:r>
              <w:rPr>
                <w:spacing w:val="-2"/>
              </w:rPr>
              <w:t>104</w:t>
            </w:r>
          </w:hyperlink>
        </w:p>
        <w:p>
          <w:pPr>
            <w:pStyle w:val="TOC3"/>
            <w:tabs>
              <w:tab w:pos="8978" w:val="right" w:leader="dot"/>
            </w:tabs>
            <w:rPr>
              <w:rFonts w:ascii="Calibri"/>
            </w:rPr>
          </w:pPr>
          <w:hyperlink w:history="true" w:anchor="_bookmark59">
            <w:r>
              <w:rPr/>
              <w:t>CONCLUSIONES</w:t>
            </w:r>
            <w:r>
              <w:rPr>
                <w:rFonts w:ascii="Calibri"/>
              </w:rPr>
              <w:tab/>
            </w:r>
            <w:r>
              <w:rPr>
                <w:rFonts w:ascii="Calibri"/>
                <w:spacing w:val="-2"/>
              </w:rPr>
              <w:t>104</w:t>
            </w:r>
          </w:hyperlink>
        </w:p>
        <w:p>
          <w:pPr>
            <w:pStyle w:val="TOC2"/>
            <w:tabs>
              <w:tab w:pos="8978" w:val="right" w:leader="dot"/>
            </w:tabs>
            <w:spacing w:before="240"/>
            <w:ind w:left="152" w:firstLine="0"/>
          </w:pPr>
          <w:hyperlink w:history="true" w:anchor="_bookmark60">
            <w:r>
              <w:rPr/>
              <w:t>CAPITULO</w:t>
            </w:r>
            <w:r>
              <w:rPr>
                <w:spacing w:val="-5"/>
              </w:rPr>
              <w:t> </w:t>
            </w:r>
            <w:r>
              <w:rPr/>
              <w:t>X</w:t>
              <w:tab/>
            </w:r>
            <w:r>
              <w:rPr>
                <w:spacing w:val="-2"/>
              </w:rPr>
              <w:t>105</w:t>
            </w:r>
          </w:hyperlink>
        </w:p>
        <w:p>
          <w:pPr>
            <w:pStyle w:val="TOC3"/>
            <w:tabs>
              <w:tab w:pos="8978" w:val="right" w:leader="dot"/>
            </w:tabs>
            <w:spacing w:before="144"/>
            <w:rPr>
              <w:rFonts w:ascii="Calibri"/>
            </w:rPr>
          </w:pPr>
          <w:hyperlink w:history="true" w:anchor="_bookmark61">
            <w:r>
              <w:rPr/>
              <w:t>SUGERENCIAS</w:t>
            </w:r>
            <w:r>
              <w:rPr>
                <w:rFonts w:ascii="Calibri"/>
              </w:rPr>
              <w:tab/>
            </w:r>
            <w:r>
              <w:rPr>
                <w:rFonts w:ascii="Calibri"/>
                <w:spacing w:val="-2"/>
              </w:rPr>
              <w:t>105</w:t>
            </w:r>
          </w:hyperlink>
        </w:p>
        <w:p>
          <w:pPr>
            <w:pStyle w:val="TOC2"/>
            <w:tabs>
              <w:tab w:pos="8978" w:val="right" w:leader="dot"/>
            </w:tabs>
            <w:spacing w:before="241"/>
            <w:ind w:left="152" w:firstLine="0"/>
          </w:pPr>
          <w:hyperlink w:history="true" w:anchor="_bookmark62">
            <w:r>
              <w:rPr/>
              <w:t>CAPITULO</w:t>
            </w:r>
            <w:r>
              <w:rPr>
                <w:spacing w:val="-5"/>
              </w:rPr>
              <w:t> </w:t>
            </w:r>
            <w:r>
              <w:rPr/>
              <w:t>XI</w:t>
              <w:tab/>
            </w:r>
            <w:r>
              <w:rPr>
                <w:spacing w:val="-2"/>
              </w:rPr>
              <w:t>106</w:t>
            </w:r>
          </w:hyperlink>
        </w:p>
        <w:p>
          <w:pPr>
            <w:pStyle w:val="TOC3"/>
            <w:tabs>
              <w:tab w:pos="8978" w:val="right" w:leader="dot"/>
            </w:tabs>
            <w:rPr>
              <w:rFonts w:ascii="Calibri" w:hAnsi="Calibri"/>
            </w:rPr>
          </w:pPr>
          <w:hyperlink w:history="true" w:anchor="_bookmark63">
            <w:r>
              <w:rPr/>
              <w:t>REFERENCIAS</w:t>
            </w:r>
            <w:r>
              <w:rPr>
                <w:spacing w:val="3"/>
              </w:rPr>
              <w:t> </w:t>
            </w:r>
            <w:r>
              <w:rPr/>
              <w:t>BIBLIOGRÁFICAS</w:t>
            </w:r>
            <w:r>
              <w:rPr>
                <w:rFonts w:ascii="Calibri" w:hAnsi="Calibri"/>
              </w:rPr>
              <w:tab/>
            </w:r>
            <w:r>
              <w:rPr>
                <w:rFonts w:ascii="Calibri" w:hAnsi="Calibri"/>
                <w:spacing w:val="-2"/>
              </w:rPr>
              <w:t>106</w:t>
            </w:r>
          </w:hyperlink>
        </w:p>
      </w:sdtContent>
    </w:sdt>
    <w:p>
      <w:pPr>
        <w:spacing w:after="0"/>
        <w:rPr>
          <w:rFonts w:ascii="Calibri" w:hAnsi="Calibri"/>
        </w:rPr>
        <w:sectPr>
          <w:type w:val="continuous"/>
          <w:pgSz w:w="12240" w:h="15840"/>
          <w:pgMar w:top="1500" w:bottom="2086" w:left="1720" w:right="1420"/>
        </w:sectPr>
      </w:pPr>
    </w:p>
    <w:p>
      <w:pPr>
        <w:pStyle w:val="BodyText"/>
        <w:rPr>
          <w:rFonts w:ascii="Calibri"/>
        </w:rPr>
      </w:pPr>
    </w:p>
    <w:p>
      <w:pPr>
        <w:pStyle w:val="BodyText"/>
        <w:rPr>
          <w:rFonts w:ascii="Calibri"/>
        </w:rPr>
      </w:pPr>
    </w:p>
    <w:p>
      <w:pPr>
        <w:pStyle w:val="BodyText"/>
        <w:spacing w:before="3"/>
        <w:rPr>
          <w:rFonts w:ascii="Calibri"/>
          <w:sz w:val="19"/>
        </w:rPr>
      </w:pPr>
    </w:p>
    <w:p>
      <w:pPr>
        <w:pStyle w:val="BodyText"/>
        <w:tabs>
          <w:tab w:pos="2985" w:val="left" w:leader="none"/>
        </w:tabs>
        <w:ind w:left="152" w:right="98"/>
      </w:pPr>
      <w:r>
        <w:rPr/>
        <w:t>EI</w:t>
        <w:tab/>
        <w:t>Epilepsia</w:t>
      </w:r>
      <w:r>
        <w:rPr>
          <w:spacing w:val="-15"/>
        </w:rPr>
        <w:t> </w:t>
      </w:r>
      <w:r>
        <w:rPr/>
        <w:t>idiopática</w:t>
      </w:r>
    </w:p>
    <w:p>
      <w:pPr>
        <w:pStyle w:val="BodyText"/>
        <w:spacing w:before="7"/>
        <w:rPr>
          <w:sz w:val="20"/>
        </w:rPr>
      </w:pPr>
    </w:p>
    <w:p>
      <w:pPr>
        <w:pStyle w:val="BodyText"/>
        <w:tabs>
          <w:tab w:pos="2985" w:val="left" w:leader="none"/>
        </w:tabs>
        <w:ind w:left="152" w:right="98"/>
      </w:pPr>
      <w:r>
        <w:rPr/>
        <w:t>ANOVA</w:t>
        <w:tab/>
        <w:t>Análisis de varianza de una</w:t>
      </w:r>
      <w:r>
        <w:rPr>
          <w:spacing w:val="-14"/>
        </w:rPr>
        <w:t> </w:t>
      </w:r>
      <w:r>
        <w:rPr/>
        <w:t>vía</w:t>
      </w:r>
    </w:p>
    <w:p>
      <w:pPr>
        <w:pStyle w:val="BodyText"/>
        <w:rPr>
          <w:sz w:val="21"/>
        </w:rPr>
      </w:pPr>
    </w:p>
    <w:p>
      <w:pPr>
        <w:pStyle w:val="BodyText"/>
        <w:tabs>
          <w:tab w:pos="2985" w:val="left" w:leader="none"/>
        </w:tabs>
        <w:spacing w:before="1"/>
        <w:ind w:left="152" w:right="98"/>
      </w:pPr>
      <w:r>
        <w:rPr/>
        <w:t>GBP</w:t>
        <w:tab/>
        <w:t>Gabapentina</w:t>
      </w:r>
    </w:p>
    <w:p>
      <w:pPr>
        <w:pStyle w:val="BodyText"/>
        <w:rPr>
          <w:sz w:val="21"/>
        </w:rPr>
      </w:pPr>
    </w:p>
    <w:p>
      <w:pPr>
        <w:pStyle w:val="BodyText"/>
        <w:tabs>
          <w:tab w:pos="2985" w:val="left" w:leader="none"/>
        </w:tabs>
        <w:spacing w:before="1"/>
        <w:ind w:left="152" w:right="98"/>
      </w:pPr>
      <w:r>
        <w:rPr/>
        <w:t>G GBP</w:t>
        <w:tab/>
        <w:t>Grupo</w:t>
      </w:r>
      <w:r>
        <w:rPr>
          <w:spacing w:val="-9"/>
        </w:rPr>
        <w:t> </w:t>
      </w:r>
      <w:r>
        <w:rPr/>
        <w:t>gabapentina</w:t>
      </w:r>
    </w:p>
    <w:p>
      <w:pPr>
        <w:pStyle w:val="BodyText"/>
        <w:spacing w:before="1"/>
        <w:rPr>
          <w:sz w:val="21"/>
        </w:rPr>
      </w:pPr>
    </w:p>
    <w:p>
      <w:pPr>
        <w:pStyle w:val="BodyText"/>
        <w:tabs>
          <w:tab w:pos="2985" w:val="left" w:leader="none"/>
        </w:tabs>
        <w:ind w:left="152" w:right="98"/>
      </w:pPr>
      <w:r>
        <w:rPr/>
        <w:t>G</w:t>
      </w:r>
      <w:r>
        <w:rPr>
          <w:spacing w:val="-1"/>
        </w:rPr>
        <w:t> </w:t>
      </w:r>
      <w:r>
        <w:rPr/>
        <w:t>FB</w:t>
        <w:tab/>
        <w:t>Grupo</w:t>
      </w:r>
      <w:r>
        <w:rPr>
          <w:spacing w:val="-7"/>
        </w:rPr>
        <w:t> </w:t>
      </w:r>
      <w:r>
        <w:rPr/>
        <w:t>fenobarbital</w:t>
      </w:r>
    </w:p>
    <w:p>
      <w:pPr>
        <w:pStyle w:val="BodyText"/>
        <w:rPr>
          <w:sz w:val="21"/>
        </w:rPr>
      </w:pPr>
    </w:p>
    <w:p>
      <w:pPr>
        <w:pStyle w:val="BodyText"/>
        <w:tabs>
          <w:tab w:pos="2985" w:val="left" w:leader="none"/>
        </w:tabs>
        <w:spacing w:before="1"/>
        <w:ind w:left="152" w:right="98"/>
      </w:pPr>
      <w:r>
        <w:rPr/>
        <w:t>PO</w:t>
        <w:tab/>
        <w:t>Por </w:t>
      </w:r>
      <w:r>
        <w:rPr>
          <w:spacing w:val="-4"/>
        </w:rPr>
        <w:t>vía</w:t>
      </w:r>
      <w:r>
        <w:rPr>
          <w:spacing w:val="9"/>
        </w:rPr>
        <w:t> </w:t>
      </w:r>
      <w:r>
        <w:rPr/>
        <w:t>oral</w:t>
      </w:r>
    </w:p>
    <w:p>
      <w:pPr>
        <w:pStyle w:val="BodyText"/>
        <w:spacing w:before="7"/>
        <w:rPr>
          <w:sz w:val="20"/>
        </w:rPr>
      </w:pPr>
    </w:p>
    <w:p>
      <w:pPr>
        <w:pStyle w:val="BodyText"/>
        <w:tabs>
          <w:tab w:pos="2985" w:val="left" w:leader="none"/>
        </w:tabs>
        <w:ind w:left="152" w:right="98"/>
      </w:pPr>
      <w:r>
        <w:rPr/>
        <w:t>ILAE</w:t>
        <w:tab/>
        <w:t>Liga Internacional contra </w:t>
      </w:r>
      <w:r>
        <w:rPr>
          <w:spacing w:val="-5"/>
        </w:rPr>
        <w:t>la</w:t>
      </w:r>
      <w:r>
        <w:rPr>
          <w:spacing w:val="-16"/>
        </w:rPr>
        <w:t> </w:t>
      </w:r>
      <w:r>
        <w:rPr/>
        <w:t>Epilepsia</w:t>
      </w:r>
    </w:p>
    <w:p>
      <w:pPr>
        <w:pStyle w:val="BodyText"/>
        <w:spacing w:before="1"/>
        <w:rPr>
          <w:sz w:val="21"/>
        </w:rPr>
      </w:pPr>
    </w:p>
    <w:p>
      <w:pPr>
        <w:pStyle w:val="BodyText"/>
        <w:tabs>
          <w:tab w:pos="2985" w:val="left" w:leader="none"/>
        </w:tabs>
        <w:ind w:left="152" w:right="98"/>
      </w:pPr>
      <w:r>
        <w:rPr>
          <w:spacing w:val="-3"/>
        </w:rPr>
        <w:t>AC</w:t>
        <w:tab/>
      </w:r>
      <w:r>
        <w:rPr/>
        <w:t>Anticonvulsivos</w:t>
      </w:r>
    </w:p>
    <w:p>
      <w:pPr>
        <w:pStyle w:val="BodyText"/>
        <w:rPr>
          <w:sz w:val="21"/>
        </w:rPr>
      </w:pPr>
    </w:p>
    <w:p>
      <w:pPr>
        <w:pStyle w:val="BodyText"/>
        <w:tabs>
          <w:tab w:pos="2640" w:val="left" w:leader="none"/>
        </w:tabs>
        <w:spacing w:before="1"/>
        <w:ind w:left="152" w:right="98"/>
      </w:pPr>
      <w:r>
        <w:rPr/>
        <w:t>BID</w:t>
        <w:tab/>
        <w:t>Dos veces al</w:t>
      </w:r>
      <w:r>
        <w:rPr>
          <w:spacing w:val="-16"/>
        </w:rPr>
        <w:t> </w:t>
      </w:r>
      <w:r>
        <w:rPr/>
        <w:t>día</w:t>
      </w:r>
    </w:p>
    <w:p>
      <w:pPr>
        <w:pStyle w:val="BodyText"/>
        <w:rPr>
          <w:sz w:val="21"/>
        </w:rPr>
      </w:pPr>
    </w:p>
    <w:p>
      <w:pPr>
        <w:pStyle w:val="BodyText"/>
        <w:tabs>
          <w:tab w:pos="2985" w:val="left" w:leader="none"/>
        </w:tabs>
        <w:spacing w:before="1"/>
        <w:ind w:left="152" w:right="98"/>
      </w:pPr>
      <w:r>
        <w:rPr/>
        <w:t>TID</w:t>
        <w:tab/>
        <w:t>Tres veces al</w:t>
      </w:r>
      <w:r>
        <w:rPr>
          <w:spacing w:val="-13"/>
        </w:rPr>
        <w:t> </w:t>
      </w:r>
      <w:r>
        <w:rPr/>
        <w:t>día</w:t>
      </w:r>
    </w:p>
    <w:p>
      <w:pPr>
        <w:pStyle w:val="BodyText"/>
        <w:spacing w:before="1"/>
        <w:rPr>
          <w:sz w:val="21"/>
        </w:rPr>
      </w:pPr>
    </w:p>
    <w:p>
      <w:pPr>
        <w:pStyle w:val="BodyText"/>
        <w:tabs>
          <w:tab w:pos="2985" w:val="left" w:leader="none"/>
        </w:tabs>
        <w:ind w:left="152" w:right="98"/>
      </w:pPr>
      <w:r>
        <w:rPr/>
        <w:t>FAS</w:t>
        <w:tab/>
        <w:t>Fosfatasa</w:t>
      </w:r>
      <w:r>
        <w:rPr>
          <w:spacing w:val="-9"/>
        </w:rPr>
        <w:t> </w:t>
      </w:r>
      <w:r>
        <w:rPr/>
        <w:t>alcalina</w:t>
      </w:r>
    </w:p>
    <w:p>
      <w:pPr>
        <w:pStyle w:val="BodyText"/>
        <w:spacing w:before="7"/>
        <w:rPr>
          <w:sz w:val="20"/>
        </w:rPr>
      </w:pPr>
    </w:p>
    <w:p>
      <w:pPr>
        <w:pStyle w:val="BodyText"/>
        <w:tabs>
          <w:tab w:pos="2985" w:val="left" w:leader="none"/>
        </w:tabs>
        <w:ind w:left="152" w:right="98"/>
      </w:pPr>
      <w:r>
        <w:rPr/>
        <w:t>ALT</w:t>
        <w:tab/>
        <w:t>Alanino </w:t>
      </w:r>
      <w:r>
        <w:rPr>
          <w:spacing w:val="-3"/>
        </w:rPr>
        <w:t>Amino</w:t>
      </w:r>
      <w:r>
        <w:rPr>
          <w:spacing w:val="-1"/>
        </w:rPr>
        <w:t> </w:t>
      </w:r>
      <w:r>
        <w:rPr/>
        <w:t>Transferasa</w:t>
      </w:r>
    </w:p>
    <w:p>
      <w:pPr>
        <w:pStyle w:val="BodyText"/>
        <w:rPr>
          <w:sz w:val="21"/>
        </w:rPr>
      </w:pPr>
    </w:p>
    <w:p>
      <w:pPr>
        <w:pStyle w:val="BodyText"/>
        <w:tabs>
          <w:tab w:pos="2985" w:val="left" w:leader="none"/>
        </w:tabs>
        <w:spacing w:before="1"/>
        <w:ind w:left="152" w:right="98"/>
      </w:pPr>
      <w:r>
        <w:rPr/>
        <w:t>AST</w:t>
        <w:tab/>
        <w:t>Aspartato </w:t>
      </w:r>
      <w:r>
        <w:rPr>
          <w:spacing w:val="-3"/>
        </w:rPr>
        <w:t>Amino</w:t>
      </w:r>
      <w:r>
        <w:rPr>
          <w:spacing w:val="-2"/>
        </w:rPr>
        <w:t> </w:t>
      </w:r>
      <w:r>
        <w:rPr/>
        <w:t>Transferasa</w:t>
      </w:r>
    </w:p>
    <w:p>
      <w:pPr>
        <w:pStyle w:val="BodyText"/>
        <w:spacing w:before="1"/>
        <w:rPr>
          <w:sz w:val="21"/>
        </w:rPr>
      </w:pPr>
    </w:p>
    <w:p>
      <w:pPr>
        <w:pStyle w:val="BodyText"/>
        <w:tabs>
          <w:tab w:pos="2985" w:val="left" w:leader="none"/>
        </w:tabs>
        <w:ind w:left="152" w:right="98"/>
      </w:pPr>
      <w:r>
        <w:rPr/>
        <w:t>TPM</w:t>
        <w:tab/>
        <w:t>Topiramato</w:t>
      </w:r>
    </w:p>
    <w:p>
      <w:pPr>
        <w:pStyle w:val="BodyText"/>
        <w:rPr>
          <w:sz w:val="21"/>
        </w:rPr>
      </w:pPr>
    </w:p>
    <w:p>
      <w:pPr>
        <w:pStyle w:val="BodyText"/>
        <w:tabs>
          <w:tab w:pos="2985" w:val="left" w:leader="none"/>
        </w:tabs>
        <w:spacing w:before="1"/>
        <w:ind w:left="152" w:right="98"/>
      </w:pPr>
      <w:r>
        <w:rPr/>
        <w:t>LCR</w:t>
        <w:tab/>
        <w:t>Líquido</w:t>
      </w:r>
      <w:r>
        <w:rPr>
          <w:spacing w:val="-20"/>
        </w:rPr>
        <w:t> </w:t>
      </w:r>
      <w:r>
        <w:rPr/>
        <w:t>cefalorraquídeo</w:t>
      </w:r>
    </w:p>
    <w:p>
      <w:pPr>
        <w:pStyle w:val="BodyText"/>
        <w:spacing w:before="6"/>
        <w:rPr>
          <w:sz w:val="20"/>
        </w:rPr>
      </w:pPr>
    </w:p>
    <w:p>
      <w:pPr>
        <w:pStyle w:val="BodyText"/>
        <w:tabs>
          <w:tab w:pos="2985" w:val="left" w:leader="none"/>
        </w:tabs>
        <w:spacing w:before="1"/>
        <w:ind w:left="152" w:right="98"/>
      </w:pPr>
      <w:r>
        <w:rPr>
          <w:position w:val="2"/>
        </w:rPr>
        <w:t>t</w:t>
      </w:r>
      <w:r>
        <w:rPr>
          <w:spacing w:val="1"/>
          <w:position w:val="2"/>
        </w:rPr>
        <w:t> </w:t>
      </w:r>
      <w:r>
        <w:rPr>
          <w:sz w:val="16"/>
        </w:rPr>
        <w:t>½</w:t>
        <w:tab/>
      </w:r>
      <w:r>
        <w:rPr>
          <w:position w:val="2"/>
        </w:rPr>
        <w:t>Vida media de un</w:t>
      </w:r>
      <w:r>
        <w:rPr>
          <w:spacing w:val="-14"/>
          <w:position w:val="2"/>
        </w:rPr>
        <w:t> </w:t>
      </w:r>
      <w:r>
        <w:rPr>
          <w:position w:val="2"/>
        </w:rPr>
        <w:t>fármaco</w:t>
      </w:r>
    </w:p>
    <w:p>
      <w:pPr>
        <w:pStyle w:val="BodyText"/>
        <w:spacing w:before="10"/>
        <w:rPr>
          <w:sz w:val="20"/>
        </w:rPr>
      </w:pPr>
    </w:p>
    <w:p>
      <w:pPr>
        <w:pStyle w:val="BodyText"/>
        <w:tabs>
          <w:tab w:pos="2985" w:val="left" w:leader="none"/>
        </w:tabs>
        <w:ind w:left="152" w:right="98"/>
      </w:pPr>
      <w:r>
        <w:rPr/>
        <w:t>IV</w:t>
        <w:tab/>
        <w:t>Vía</w:t>
      </w:r>
      <w:r>
        <w:rPr>
          <w:spacing w:val="-12"/>
        </w:rPr>
        <w:t> </w:t>
      </w:r>
      <w:r>
        <w:rPr/>
        <w:t>intravenosa</w:t>
      </w:r>
    </w:p>
    <w:p>
      <w:pPr>
        <w:pStyle w:val="BodyText"/>
        <w:spacing w:before="1"/>
        <w:rPr>
          <w:sz w:val="21"/>
        </w:rPr>
      </w:pPr>
    </w:p>
    <w:p>
      <w:pPr>
        <w:pStyle w:val="BodyText"/>
        <w:tabs>
          <w:tab w:pos="2985" w:val="left" w:leader="none"/>
        </w:tabs>
        <w:ind w:left="152" w:right="98"/>
      </w:pPr>
      <w:r>
        <w:rPr/>
        <w:t>IM</w:t>
        <w:tab/>
        <w:t>Vía</w:t>
      </w:r>
      <w:r>
        <w:rPr>
          <w:spacing w:val="-14"/>
        </w:rPr>
        <w:t> </w:t>
      </w:r>
      <w:r>
        <w:rPr/>
        <w:t>intramuscular</w:t>
      </w:r>
    </w:p>
    <w:p>
      <w:pPr>
        <w:pStyle w:val="BodyText"/>
        <w:rPr>
          <w:sz w:val="21"/>
        </w:rPr>
      </w:pPr>
    </w:p>
    <w:p>
      <w:pPr>
        <w:pStyle w:val="BodyText"/>
        <w:tabs>
          <w:tab w:pos="2985" w:val="left" w:leader="none"/>
        </w:tabs>
        <w:spacing w:before="1"/>
        <w:ind w:left="152" w:right="98"/>
      </w:pPr>
      <w:r>
        <w:rPr/>
        <w:t>FB</w:t>
        <w:tab/>
        <w:t>Fenobarbital</w:t>
      </w:r>
    </w:p>
    <w:p>
      <w:pPr>
        <w:pStyle w:val="BodyText"/>
        <w:rPr>
          <w:sz w:val="21"/>
        </w:rPr>
      </w:pPr>
    </w:p>
    <w:p>
      <w:pPr>
        <w:pStyle w:val="BodyText"/>
        <w:tabs>
          <w:tab w:pos="2985" w:val="left" w:leader="none"/>
        </w:tabs>
        <w:spacing w:before="1"/>
        <w:ind w:left="152" w:right="98"/>
      </w:pPr>
      <w:r>
        <w:rPr/>
        <w:t>NMDA</w:t>
        <w:tab/>
        <w:t>N-metil-D-Aspartato</w:t>
      </w:r>
    </w:p>
    <w:p>
      <w:pPr>
        <w:pStyle w:val="BodyText"/>
        <w:spacing w:before="8"/>
        <w:rPr>
          <w:sz w:val="20"/>
        </w:rPr>
      </w:pPr>
    </w:p>
    <w:p>
      <w:pPr>
        <w:pStyle w:val="BodyText"/>
        <w:tabs>
          <w:tab w:pos="2985" w:val="left" w:leader="none"/>
        </w:tabs>
        <w:ind w:left="152" w:right="98"/>
      </w:pPr>
      <w:r>
        <w:rPr/>
        <w:t>AMPA</w:t>
        <w:tab/>
        <w:t>Ácido propiónico</w:t>
      </w:r>
      <w:r>
        <w:rPr>
          <w:spacing w:val="-22"/>
        </w:rPr>
        <w:t> </w:t>
      </w:r>
      <w:r>
        <w:rPr/>
        <w:t>alfa-amino-3-hidroxi-5-metil-4-isoxazol</w:t>
      </w:r>
    </w:p>
    <w:p>
      <w:pPr>
        <w:spacing w:after="0"/>
        <w:sectPr>
          <w:footerReference w:type="default" r:id="rId6"/>
          <w:pgSz w:w="12240" w:h="15840"/>
          <w:pgMar w:footer="2131" w:header="0" w:top="1500" w:bottom="2320" w:left="1720" w:right="1420"/>
          <w:pgNumType w:start="4"/>
        </w:sectPr>
      </w:pPr>
    </w:p>
    <w:p>
      <w:pPr>
        <w:pStyle w:val="BodyText"/>
        <w:spacing w:before="2"/>
        <w:rPr>
          <w:sz w:val="20"/>
        </w:rPr>
      </w:pPr>
    </w:p>
    <w:p>
      <w:pPr>
        <w:pStyle w:val="BodyText"/>
        <w:tabs>
          <w:tab w:pos="2985" w:val="left" w:leader="none"/>
        </w:tabs>
        <w:spacing w:before="70"/>
        <w:ind w:left="152" w:right="98"/>
      </w:pPr>
      <w:r>
        <w:rPr/>
        <w:t>Br</w:t>
        <w:tab/>
        <w:t>Bromuro</w:t>
      </w:r>
    </w:p>
    <w:p>
      <w:pPr>
        <w:pStyle w:val="BodyText"/>
        <w:spacing w:before="1"/>
        <w:rPr>
          <w:sz w:val="21"/>
        </w:rPr>
      </w:pPr>
    </w:p>
    <w:p>
      <w:pPr>
        <w:pStyle w:val="BodyText"/>
        <w:tabs>
          <w:tab w:pos="2985" w:val="left" w:leader="none"/>
        </w:tabs>
        <w:ind w:left="152" w:right="98"/>
      </w:pPr>
      <w:r>
        <w:rPr/>
        <w:t>BrK</w:t>
        <w:tab/>
        <w:t>Bromuro de</w:t>
      </w:r>
      <w:r>
        <w:rPr>
          <w:spacing w:val="-14"/>
        </w:rPr>
        <w:t> </w:t>
      </w:r>
      <w:r>
        <w:rPr/>
        <w:t>potasio</w:t>
      </w:r>
    </w:p>
    <w:p>
      <w:pPr>
        <w:pStyle w:val="BodyText"/>
        <w:spacing w:before="7"/>
        <w:rPr>
          <w:sz w:val="20"/>
        </w:rPr>
      </w:pPr>
    </w:p>
    <w:p>
      <w:pPr>
        <w:pStyle w:val="BodyText"/>
        <w:tabs>
          <w:tab w:pos="2985" w:val="left" w:leader="none"/>
        </w:tabs>
        <w:ind w:left="152" w:right="98"/>
      </w:pPr>
      <w:r>
        <w:rPr/>
        <w:t>BrNa</w:t>
        <w:tab/>
        <w:t>Bromuro de</w:t>
      </w:r>
      <w:r>
        <w:rPr>
          <w:spacing w:val="2"/>
        </w:rPr>
        <w:t> </w:t>
      </w:r>
      <w:r>
        <w:rPr>
          <w:spacing w:val="-3"/>
        </w:rPr>
        <w:t>sodio</w:t>
      </w:r>
    </w:p>
    <w:p>
      <w:pPr>
        <w:pStyle w:val="BodyText"/>
        <w:rPr>
          <w:sz w:val="21"/>
        </w:rPr>
      </w:pPr>
    </w:p>
    <w:p>
      <w:pPr>
        <w:pStyle w:val="BodyText"/>
        <w:tabs>
          <w:tab w:pos="2985" w:val="left" w:leader="none"/>
        </w:tabs>
        <w:spacing w:before="1"/>
        <w:ind w:left="152" w:right="98"/>
      </w:pPr>
      <w:r>
        <w:rPr/>
        <w:t>SNC</w:t>
        <w:tab/>
        <w:t>Sistema Nervioso</w:t>
      </w:r>
      <w:r>
        <w:rPr>
          <w:spacing w:val="-8"/>
        </w:rPr>
        <w:t> </w:t>
      </w:r>
      <w:r>
        <w:rPr/>
        <w:t>Central</w:t>
      </w:r>
    </w:p>
    <w:p>
      <w:pPr>
        <w:pStyle w:val="BodyText"/>
        <w:rPr>
          <w:sz w:val="21"/>
        </w:rPr>
      </w:pPr>
    </w:p>
    <w:p>
      <w:pPr>
        <w:pStyle w:val="BodyText"/>
        <w:tabs>
          <w:tab w:pos="2985" w:val="left" w:leader="none"/>
        </w:tabs>
        <w:spacing w:before="1"/>
        <w:ind w:left="152" w:right="98"/>
      </w:pPr>
      <w:r>
        <w:rPr/>
        <w:t>Cl</w:t>
      </w:r>
      <w:r>
        <w:rPr>
          <w:spacing w:val="-7"/>
        </w:rPr>
        <w:t> </w:t>
      </w:r>
      <w:r>
        <w:rPr/>
        <w:t>Na</w:t>
        <w:tab/>
        <w:t>Cloruro de</w:t>
      </w:r>
      <w:r>
        <w:rPr>
          <w:spacing w:val="2"/>
        </w:rPr>
        <w:t> </w:t>
      </w:r>
      <w:r>
        <w:rPr>
          <w:spacing w:val="-3"/>
        </w:rPr>
        <w:t>sodio</w:t>
      </w:r>
    </w:p>
    <w:p>
      <w:pPr>
        <w:pStyle w:val="BodyText"/>
        <w:spacing w:before="1"/>
        <w:rPr>
          <w:sz w:val="21"/>
        </w:rPr>
      </w:pPr>
    </w:p>
    <w:p>
      <w:pPr>
        <w:pStyle w:val="BodyText"/>
        <w:tabs>
          <w:tab w:pos="2985" w:val="left" w:leader="none"/>
        </w:tabs>
        <w:ind w:left="152" w:right="98"/>
      </w:pPr>
      <w:r>
        <w:rPr/>
        <w:t>EEG</w:t>
        <w:tab/>
        <w:t>Electroencefalografía</w:t>
      </w:r>
    </w:p>
    <w:p>
      <w:pPr>
        <w:pStyle w:val="BodyText"/>
        <w:rPr>
          <w:sz w:val="21"/>
        </w:rPr>
      </w:pPr>
    </w:p>
    <w:p>
      <w:pPr>
        <w:pStyle w:val="BodyText"/>
        <w:tabs>
          <w:tab w:pos="2985" w:val="left" w:leader="none"/>
        </w:tabs>
        <w:spacing w:before="1"/>
        <w:ind w:left="152" w:right="98"/>
      </w:pPr>
      <w:r>
        <w:rPr/>
        <w:t>KA</w:t>
        <w:tab/>
        <w:t>Kainato</w:t>
      </w:r>
    </w:p>
    <w:p>
      <w:pPr>
        <w:pStyle w:val="BodyText"/>
        <w:spacing w:before="7"/>
        <w:rPr>
          <w:sz w:val="20"/>
        </w:rPr>
      </w:pPr>
    </w:p>
    <w:p>
      <w:pPr>
        <w:pStyle w:val="BodyText"/>
        <w:tabs>
          <w:tab w:pos="2985" w:val="left" w:leader="none"/>
        </w:tabs>
        <w:ind w:left="152" w:right="98"/>
      </w:pPr>
      <w:r>
        <w:rPr/>
        <w:t>FDA</w:t>
        <w:tab/>
        <w:t>Food and Drug</w:t>
      </w:r>
      <w:r>
        <w:rPr>
          <w:spacing w:val="-12"/>
        </w:rPr>
        <w:t> </w:t>
      </w:r>
      <w:r>
        <w:rPr/>
        <w:t>Administration</w:t>
      </w:r>
    </w:p>
    <w:p>
      <w:pPr>
        <w:spacing w:after="0"/>
        <w:sectPr>
          <w:pgSz w:w="12240" w:h="15840"/>
          <w:pgMar w:header="0" w:footer="2131" w:top="1500" w:bottom="2320" w:left="1720" w:right="1420"/>
        </w:sectPr>
      </w:pPr>
    </w:p>
    <w:p>
      <w:pPr>
        <w:pStyle w:val="Heading1"/>
        <w:spacing w:before="51" w:after="6"/>
        <w:ind w:right="242"/>
      </w:pPr>
      <w:r>
        <w:rPr>
          <w:w w:val="95"/>
        </w:rPr>
        <w:t>TABLAS</w:t>
      </w:r>
    </w:p>
    <w:p>
      <w:pPr>
        <w:pStyle w:val="BodyText"/>
        <w:spacing w:line="72" w:lineRule="exact"/>
        <w:ind w:left="106"/>
        <w:rPr>
          <w:sz w:val="7"/>
        </w:rPr>
      </w:pPr>
      <w:r>
        <w:rPr>
          <w:position w:val="0"/>
          <w:sz w:val="7"/>
        </w:rPr>
        <w:pict>
          <v:group style="width:452.15pt;height:3.65pt;mso-position-horizontal-relative:char;mso-position-vertical-relative:line" coordorigin="0,0" coordsize="9043,73">
            <v:line style="position:absolute" from="22,65" to="9021,65" stroked="true" strokeweight=".72pt" strokecolor="#000000"/>
            <v:line style="position:absolute" from="22,22" to="9021,22" stroked="true" strokeweight="2.16pt" strokecolor="#000000"/>
          </v:group>
        </w:pict>
      </w:r>
      <w:r>
        <w:rPr>
          <w:position w:val="0"/>
          <w:sz w:val="7"/>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2"/>
        </w:rPr>
      </w:pPr>
    </w:p>
    <w:tbl>
      <w:tblPr>
        <w:tblW w:w="0" w:type="auto"/>
        <w:jc w:val="left"/>
        <w:tblInd w:w="7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4"/>
        <w:gridCol w:w="5428"/>
        <w:gridCol w:w="964"/>
      </w:tblGrid>
      <w:tr>
        <w:trPr>
          <w:trHeight w:val="379" w:hRule="exact"/>
        </w:trPr>
        <w:tc>
          <w:tcPr>
            <w:tcW w:w="1844" w:type="dxa"/>
          </w:tcPr>
          <w:p>
            <w:pPr/>
          </w:p>
        </w:tc>
        <w:tc>
          <w:tcPr>
            <w:tcW w:w="5428" w:type="dxa"/>
          </w:tcPr>
          <w:p>
            <w:pPr/>
          </w:p>
        </w:tc>
        <w:tc>
          <w:tcPr>
            <w:tcW w:w="964" w:type="dxa"/>
          </w:tcPr>
          <w:p>
            <w:pPr>
              <w:pStyle w:val="TableParagraph"/>
              <w:spacing w:line="245" w:lineRule="exact"/>
              <w:ind w:left="115"/>
              <w:rPr>
                <w:sz w:val="24"/>
              </w:rPr>
            </w:pPr>
            <w:r>
              <w:rPr>
                <w:sz w:val="24"/>
              </w:rPr>
              <w:t>Página</w:t>
            </w:r>
          </w:p>
        </w:tc>
      </w:tr>
      <w:tr>
        <w:trPr>
          <w:trHeight w:val="1810" w:hRule="exact"/>
        </w:trPr>
        <w:tc>
          <w:tcPr>
            <w:tcW w:w="1844" w:type="dxa"/>
          </w:tcPr>
          <w:p>
            <w:pPr>
              <w:pStyle w:val="TableParagraph"/>
              <w:spacing w:line="448" w:lineRule="auto" w:before="108"/>
              <w:ind w:left="200" w:right="4"/>
              <w:rPr>
                <w:sz w:val="24"/>
              </w:rPr>
            </w:pPr>
            <w:r>
              <w:rPr>
                <w:sz w:val="24"/>
              </w:rPr>
              <w:t>Tabla 1. (Revisión de Literatura)</w:t>
            </w:r>
          </w:p>
        </w:tc>
        <w:tc>
          <w:tcPr>
            <w:tcW w:w="5428" w:type="dxa"/>
          </w:tcPr>
          <w:p>
            <w:pPr>
              <w:pStyle w:val="TableParagraph"/>
              <w:spacing w:line="271" w:lineRule="auto" w:before="113"/>
              <w:ind w:left="430"/>
              <w:rPr>
                <w:sz w:val="24"/>
              </w:rPr>
            </w:pPr>
            <w:r>
              <w:rPr>
                <w:sz w:val="24"/>
              </w:rPr>
              <w:t>Causas comunes de convulsiones en perros y predisposición racial</w:t>
            </w:r>
          </w:p>
        </w:tc>
        <w:tc>
          <w:tcPr>
            <w:tcW w:w="964" w:type="dxa"/>
          </w:tcPr>
          <w:p>
            <w:pPr>
              <w:pStyle w:val="TableParagraph"/>
              <w:spacing w:before="108"/>
              <w:ind w:left="231"/>
              <w:rPr>
                <w:sz w:val="24"/>
              </w:rPr>
            </w:pPr>
            <w:r>
              <w:rPr>
                <w:sz w:val="24"/>
              </w:rPr>
              <w:t>21</w:t>
            </w:r>
          </w:p>
        </w:tc>
      </w:tr>
      <w:tr>
        <w:trPr>
          <w:trHeight w:val="2070" w:hRule="exact"/>
        </w:trPr>
        <w:tc>
          <w:tcPr>
            <w:tcW w:w="1844" w:type="dxa"/>
          </w:tcPr>
          <w:p>
            <w:pPr>
              <w:pStyle w:val="TableParagraph"/>
              <w:spacing w:before="11"/>
              <w:rPr>
                <w:b/>
                <w:sz w:val="31"/>
              </w:rPr>
            </w:pPr>
          </w:p>
          <w:p>
            <w:pPr>
              <w:pStyle w:val="TableParagraph"/>
              <w:spacing w:line="448" w:lineRule="auto"/>
              <w:ind w:left="200" w:right="4"/>
              <w:rPr>
                <w:sz w:val="24"/>
              </w:rPr>
            </w:pPr>
            <w:r>
              <w:rPr>
                <w:sz w:val="24"/>
              </w:rPr>
              <w:t>Tabla 2 (Revisión de Literatura)</w:t>
            </w:r>
          </w:p>
        </w:tc>
        <w:tc>
          <w:tcPr>
            <w:tcW w:w="5428" w:type="dxa"/>
          </w:tcPr>
          <w:p>
            <w:pPr>
              <w:pStyle w:val="TableParagraph"/>
              <w:spacing w:before="4"/>
              <w:rPr>
                <w:b/>
                <w:sz w:val="32"/>
              </w:rPr>
            </w:pPr>
          </w:p>
          <w:p>
            <w:pPr>
              <w:pStyle w:val="TableParagraph"/>
              <w:spacing w:line="271" w:lineRule="auto"/>
              <w:ind w:left="430"/>
              <w:rPr>
                <w:sz w:val="24"/>
              </w:rPr>
            </w:pPr>
            <w:r>
              <w:rPr>
                <w:sz w:val="24"/>
              </w:rPr>
              <w:t>Clasificación de las convulsiones, según su apariencia clínica, en perros</w:t>
            </w:r>
          </w:p>
        </w:tc>
        <w:tc>
          <w:tcPr>
            <w:tcW w:w="964" w:type="dxa"/>
          </w:tcPr>
          <w:p>
            <w:pPr>
              <w:pStyle w:val="TableParagraph"/>
              <w:spacing w:before="11"/>
              <w:rPr>
                <w:b/>
                <w:sz w:val="31"/>
              </w:rPr>
            </w:pPr>
          </w:p>
          <w:p>
            <w:pPr>
              <w:pStyle w:val="TableParagraph"/>
              <w:ind w:left="231"/>
              <w:rPr>
                <w:sz w:val="24"/>
              </w:rPr>
            </w:pPr>
            <w:r>
              <w:rPr>
                <w:sz w:val="24"/>
              </w:rPr>
              <w:t>27</w:t>
            </w:r>
          </w:p>
        </w:tc>
      </w:tr>
      <w:tr>
        <w:trPr>
          <w:trHeight w:val="2069" w:hRule="exact"/>
        </w:trPr>
        <w:tc>
          <w:tcPr>
            <w:tcW w:w="1844" w:type="dxa"/>
          </w:tcPr>
          <w:p>
            <w:pPr>
              <w:pStyle w:val="TableParagraph"/>
              <w:spacing w:before="11"/>
              <w:rPr>
                <w:b/>
                <w:sz w:val="31"/>
              </w:rPr>
            </w:pPr>
          </w:p>
          <w:p>
            <w:pPr>
              <w:pStyle w:val="TableParagraph"/>
              <w:spacing w:line="448" w:lineRule="auto"/>
              <w:ind w:left="200" w:right="4"/>
              <w:rPr>
                <w:sz w:val="24"/>
              </w:rPr>
            </w:pPr>
            <w:r>
              <w:rPr>
                <w:sz w:val="24"/>
              </w:rPr>
              <w:t>Tabla 3 (Revisión de Literatura)</w:t>
            </w:r>
          </w:p>
        </w:tc>
        <w:tc>
          <w:tcPr>
            <w:tcW w:w="5428" w:type="dxa"/>
          </w:tcPr>
          <w:p>
            <w:pPr>
              <w:pStyle w:val="TableParagraph"/>
              <w:spacing w:before="4"/>
              <w:rPr>
                <w:b/>
                <w:sz w:val="32"/>
              </w:rPr>
            </w:pPr>
          </w:p>
          <w:p>
            <w:pPr>
              <w:pStyle w:val="TableParagraph"/>
              <w:spacing w:line="271" w:lineRule="auto"/>
              <w:ind w:left="430"/>
              <w:rPr>
                <w:sz w:val="24"/>
              </w:rPr>
            </w:pPr>
            <w:r>
              <w:rPr>
                <w:sz w:val="24"/>
              </w:rPr>
              <w:t>Eventos paroxismales no epilépticos que podrían emular un ataque epiléptico</w:t>
            </w:r>
          </w:p>
        </w:tc>
        <w:tc>
          <w:tcPr>
            <w:tcW w:w="964" w:type="dxa"/>
          </w:tcPr>
          <w:p>
            <w:pPr>
              <w:pStyle w:val="TableParagraph"/>
              <w:spacing w:before="11"/>
              <w:rPr>
                <w:b/>
                <w:sz w:val="31"/>
              </w:rPr>
            </w:pPr>
          </w:p>
          <w:p>
            <w:pPr>
              <w:pStyle w:val="TableParagraph"/>
              <w:ind w:left="231"/>
              <w:rPr>
                <w:sz w:val="24"/>
              </w:rPr>
            </w:pPr>
            <w:r>
              <w:rPr>
                <w:sz w:val="24"/>
              </w:rPr>
              <w:t>35</w:t>
            </w:r>
          </w:p>
        </w:tc>
      </w:tr>
      <w:tr>
        <w:trPr>
          <w:trHeight w:val="1675" w:hRule="exact"/>
        </w:trPr>
        <w:tc>
          <w:tcPr>
            <w:tcW w:w="1844" w:type="dxa"/>
          </w:tcPr>
          <w:p>
            <w:pPr>
              <w:pStyle w:val="TableParagraph"/>
              <w:spacing w:line="520" w:lineRule="atLeast" w:before="123"/>
              <w:ind w:left="200" w:right="4"/>
              <w:rPr>
                <w:sz w:val="24"/>
              </w:rPr>
            </w:pPr>
            <w:r>
              <w:rPr>
                <w:sz w:val="24"/>
              </w:rPr>
              <w:t>Tabla 4 (Revisión de Literatura)</w:t>
            </w:r>
          </w:p>
        </w:tc>
        <w:tc>
          <w:tcPr>
            <w:tcW w:w="5428" w:type="dxa"/>
          </w:tcPr>
          <w:p>
            <w:pPr>
              <w:pStyle w:val="TableParagraph"/>
              <w:spacing w:before="11"/>
              <w:rPr>
                <w:b/>
                <w:sz w:val="31"/>
              </w:rPr>
            </w:pPr>
          </w:p>
          <w:p>
            <w:pPr>
              <w:pStyle w:val="TableParagraph"/>
              <w:ind w:left="430"/>
              <w:rPr>
                <w:sz w:val="24"/>
              </w:rPr>
            </w:pPr>
            <w:r>
              <w:rPr>
                <w:sz w:val="24"/>
              </w:rPr>
              <w:t>Manejo del estatus epiléptico</w:t>
            </w:r>
          </w:p>
        </w:tc>
        <w:tc>
          <w:tcPr>
            <w:tcW w:w="964" w:type="dxa"/>
          </w:tcPr>
          <w:p>
            <w:pPr>
              <w:pStyle w:val="TableParagraph"/>
              <w:spacing w:before="11"/>
              <w:rPr>
                <w:b/>
                <w:sz w:val="31"/>
              </w:rPr>
            </w:pPr>
          </w:p>
          <w:p>
            <w:pPr>
              <w:pStyle w:val="TableParagraph"/>
              <w:ind w:left="231"/>
              <w:rPr>
                <w:sz w:val="24"/>
              </w:rPr>
            </w:pPr>
            <w:r>
              <w:rPr>
                <w:sz w:val="24"/>
              </w:rPr>
              <w:t>76</w:t>
            </w:r>
          </w:p>
        </w:tc>
      </w:tr>
    </w:tbl>
    <w:p>
      <w:pPr>
        <w:spacing w:after="0"/>
        <w:rPr>
          <w:sz w:val="24"/>
        </w:rPr>
        <w:sectPr>
          <w:pgSz w:w="12240" w:h="15840"/>
          <w:pgMar w:header="0" w:footer="2131" w:top="1080" w:bottom="2320" w:left="1620" w:right="1360"/>
        </w:sectPr>
      </w:pPr>
    </w:p>
    <w:p>
      <w:pPr>
        <w:spacing w:before="51" w:after="6"/>
        <w:ind w:left="0" w:right="241" w:firstLine="0"/>
        <w:jc w:val="right"/>
        <w:rPr>
          <w:b/>
          <w:sz w:val="28"/>
        </w:rPr>
      </w:pPr>
      <w:r>
        <w:rPr>
          <w:b/>
          <w:w w:val="95"/>
          <w:sz w:val="28"/>
        </w:rPr>
        <w:t>FIGURAS</w:t>
      </w:r>
    </w:p>
    <w:p>
      <w:pPr>
        <w:pStyle w:val="BodyText"/>
        <w:spacing w:line="72" w:lineRule="exact"/>
        <w:ind w:left="166"/>
        <w:rPr>
          <w:sz w:val="7"/>
        </w:rPr>
      </w:pPr>
      <w:r>
        <w:rPr>
          <w:position w:val="0"/>
          <w:sz w:val="7"/>
        </w:rPr>
        <w:pict>
          <v:group style="width:452.15pt;height:3.65pt;mso-position-horizontal-relative:char;mso-position-vertical-relative:line" coordorigin="0,0" coordsize="9043,73">
            <v:line style="position:absolute" from="22,65" to="9021,65" stroked="true" strokeweight=".72pt" strokecolor="#000000"/>
            <v:line style="position:absolute" from="22,22" to="9021,22" stroked="true" strokeweight="2.16pt" strokecolor="#000000"/>
          </v:group>
        </w:pict>
      </w:r>
      <w:r>
        <w:rPr>
          <w:position w:val="0"/>
          <w:sz w:val="7"/>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9"/>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6"/>
        <w:gridCol w:w="6827"/>
        <w:gridCol w:w="895"/>
      </w:tblGrid>
      <w:tr>
        <w:trPr>
          <w:trHeight w:val="497" w:hRule="exact"/>
        </w:trPr>
        <w:tc>
          <w:tcPr>
            <w:tcW w:w="1356" w:type="dxa"/>
          </w:tcPr>
          <w:p>
            <w:pPr>
              <w:pStyle w:val="TableParagraph"/>
              <w:spacing w:line="245" w:lineRule="exact"/>
              <w:ind w:right="260"/>
              <w:jc w:val="right"/>
              <w:rPr>
                <w:sz w:val="24"/>
              </w:rPr>
            </w:pPr>
            <w:r>
              <w:rPr>
                <w:sz w:val="24"/>
              </w:rPr>
              <w:t>Figura</w:t>
            </w:r>
          </w:p>
        </w:tc>
        <w:tc>
          <w:tcPr>
            <w:tcW w:w="6827" w:type="dxa"/>
          </w:tcPr>
          <w:p>
            <w:pPr/>
          </w:p>
        </w:tc>
        <w:tc>
          <w:tcPr>
            <w:tcW w:w="895" w:type="dxa"/>
          </w:tcPr>
          <w:p>
            <w:pPr>
              <w:pStyle w:val="TableParagraph"/>
              <w:spacing w:line="245" w:lineRule="exact"/>
              <w:ind w:left="46"/>
              <w:rPr>
                <w:sz w:val="24"/>
              </w:rPr>
            </w:pPr>
            <w:r>
              <w:rPr>
                <w:sz w:val="24"/>
              </w:rPr>
              <w:t>Página</w:t>
            </w:r>
          </w:p>
        </w:tc>
      </w:tr>
      <w:tr>
        <w:trPr>
          <w:trHeight w:val="891" w:hRule="exact"/>
        </w:trPr>
        <w:tc>
          <w:tcPr>
            <w:tcW w:w="1356" w:type="dxa"/>
          </w:tcPr>
          <w:p>
            <w:pPr>
              <w:pStyle w:val="TableParagraph"/>
              <w:rPr>
                <w:b/>
                <w:sz w:val="20"/>
              </w:rPr>
            </w:pPr>
          </w:p>
          <w:p>
            <w:pPr>
              <w:pStyle w:val="TableParagraph"/>
              <w:ind w:right="225"/>
              <w:jc w:val="right"/>
              <w:rPr>
                <w:b/>
                <w:sz w:val="24"/>
              </w:rPr>
            </w:pPr>
            <w:r>
              <w:rPr>
                <w:b/>
                <w:sz w:val="24"/>
              </w:rPr>
              <w:t>Figura 1.</w:t>
            </w:r>
          </w:p>
        </w:tc>
        <w:tc>
          <w:tcPr>
            <w:tcW w:w="6827" w:type="dxa"/>
          </w:tcPr>
          <w:p>
            <w:pPr>
              <w:pStyle w:val="TableParagraph"/>
              <w:rPr>
                <w:b/>
                <w:sz w:val="20"/>
              </w:rPr>
            </w:pPr>
          </w:p>
          <w:p>
            <w:pPr>
              <w:pStyle w:val="TableParagraph"/>
              <w:spacing w:line="274" w:lineRule="exact"/>
              <w:ind w:left="227" w:right="68"/>
              <w:rPr>
                <w:sz w:val="24"/>
              </w:rPr>
            </w:pPr>
            <w:r>
              <w:rPr>
                <w:sz w:val="24"/>
              </w:rPr>
              <w:t>Ilustración de una neurona piramidal y sus componentes. Tomado de (March, 1998).</w:t>
            </w:r>
          </w:p>
        </w:tc>
        <w:tc>
          <w:tcPr>
            <w:tcW w:w="895" w:type="dxa"/>
          </w:tcPr>
          <w:p>
            <w:pPr>
              <w:pStyle w:val="TableParagraph"/>
              <w:rPr>
                <w:b/>
                <w:sz w:val="20"/>
              </w:rPr>
            </w:pPr>
          </w:p>
          <w:p>
            <w:pPr>
              <w:pStyle w:val="TableParagraph"/>
              <w:ind w:left="171"/>
              <w:rPr>
                <w:b/>
                <w:sz w:val="24"/>
              </w:rPr>
            </w:pPr>
            <w:r>
              <w:rPr>
                <w:b/>
                <w:sz w:val="24"/>
              </w:rPr>
              <w:t>6</w:t>
            </w:r>
          </w:p>
        </w:tc>
      </w:tr>
      <w:tr>
        <w:trPr>
          <w:trHeight w:val="1030" w:hRule="exact"/>
        </w:trPr>
        <w:tc>
          <w:tcPr>
            <w:tcW w:w="1356" w:type="dxa"/>
          </w:tcPr>
          <w:p>
            <w:pPr>
              <w:pStyle w:val="TableParagraph"/>
              <w:spacing w:before="94"/>
              <w:ind w:right="225"/>
              <w:jc w:val="right"/>
              <w:rPr>
                <w:b/>
                <w:sz w:val="24"/>
              </w:rPr>
            </w:pPr>
            <w:r>
              <w:rPr>
                <w:b/>
                <w:sz w:val="24"/>
              </w:rPr>
              <w:t>Figura 2.</w:t>
            </w:r>
          </w:p>
        </w:tc>
        <w:tc>
          <w:tcPr>
            <w:tcW w:w="6827" w:type="dxa"/>
          </w:tcPr>
          <w:p>
            <w:pPr>
              <w:pStyle w:val="TableParagraph"/>
              <w:spacing w:before="89"/>
              <w:ind w:left="227" w:right="177"/>
              <w:jc w:val="both"/>
              <w:rPr>
                <w:sz w:val="24"/>
              </w:rPr>
            </w:pPr>
            <w:r>
              <w:rPr>
                <w:sz w:val="24"/>
              </w:rPr>
              <w:t>Ilustración representativa de las 6 láminas cerebrocorticales y las características del tipo de neuronas presentes en cada una.</w:t>
            </w:r>
            <w:r>
              <w:rPr>
                <w:spacing w:val="-21"/>
                <w:sz w:val="24"/>
              </w:rPr>
              <w:t> </w:t>
            </w:r>
            <w:r>
              <w:rPr>
                <w:sz w:val="24"/>
              </w:rPr>
              <w:t>Tomado de (De Lahunta </w:t>
            </w:r>
            <w:r>
              <w:rPr>
                <w:spacing w:val="-3"/>
                <w:sz w:val="24"/>
              </w:rPr>
              <w:t>et </w:t>
            </w:r>
            <w:r>
              <w:rPr>
                <w:spacing w:val="-4"/>
                <w:sz w:val="24"/>
              </w:rPr>
              <w:t>al,</w:t>
            </w:r>
            <w:r>
              <w:rPr>
                <w:spacing w:val="17"/>
                <w:sz w:val="24"/>
              </w:rPr>
              <w:t> </w:t>
            </w:r>
            <w:r>
              <w:rPr>
                <w:sz w:val="24"/>
              </w:rPr>
              <w:t>2009).</w:t>
            </w:r>
          </w:p>
        </w:tc>
        <w:tc>
          <w:tcPr>
            <w:tcW w:w="895" w:type="dxa"/>
          </w:tcPr>
          <w:p>
            <w:pPr>
              <w:pStyle w:val="TableParagraph"/>
              <w:spacing w:before="94"/>
              <w:ind w:left="171"/>
              <w:rPr>
                <w:b/>
                <w:sz w:val="24"/>
              </w:rPr>
            </w:pPr>
            <w:r>
              <w:rPr>
                <w:b/>
                <w:sz w:val="24"/>
              </w:rPr>
              <w:t>7</w:t>
            </w:r>
          </w:p>
        </w:tc>
      </w:tr>
      <w:tr>
        <w:trPr>
          <w:trHeight w:val="2958" w:hRule="exact"/>
        </w:trPr>
        <w:tc>
          <w:tcPr>
            <w:tcW w:w="1356" w:type="dxa"/>
          </w:tcPr>
          <w:p>
            <w:pPr>
              <w:pStyle w:val="TableParagraph"/>
              <w:spacing w:before="91"/>
              <w:ind w:right="225"/>
              <w:jc w:val="right"/>
              <w:rPr>
                <w:b/>
                <w:sz w:val="24"/>
              </w:rPr>
            </w:pPr>
            <w:r>
              <w:rPr>
                <w:b/>
                <w:sz w:val="24"/>
              </w:rPr>
              <w:t>Figura 3.</w:t>
            </w:r>
          </w:p>
        </w:tc>
        <w:tc>
          <w:tcPr>
            <w:tcW w:w="6827" w:type="dxa"/>
          </w:tcPr>
          <w:p>
            <w:pPr>
              <w:pStyle w:val="TableParagraph"/>
              <w:spacing w:before="86"/>
              <w:ind w:left="227" w:right="170"/>
              <w:jc w:val="both"/>
              <w:rPr>
                <w:sz w:val="24"/>
              </w:rPr>
            </w:pPr>
            <w:r>
              <w:rPr>
                <w:sz w:val="24"/>
              </w:rPr>
              <w:t>Neocorteza, que muestra algunos componentes celulares del entorno neural donde una convulsión </w:t>
            </w:r>
            <w:r>
              <w:rPr>
                <w:spacing w:val="-3"/>
                <w:sz w:val="24"/>
              </w:rPr>
              <w:t>ha </w:t>
            </w:r>
            <w:r>
              <w:rPr>
                <w:sz w:val="24"/>
              </w:rPr>
              <w:t>iniciado. La excitación y </w:t>
            </w:r>
            <w:r>
              <w:rPr>
                <w:spacing w:val="-3"/>
                <w:sz w:val="24"/>
              </w:rPr>
              <w:t>la </w:t>
            </w:r>
            <w:r>
              <w:rPr>
                <w:sz w:val="24"/>
              </w:rPr>
              <w:t>inhibición pre-alimentación. En </w:t>
            </w:r>
            <w:r>
              <w:rPr>
                <w:spacing w:val="-3"/>
                <w:sz w:val="24"/>
              </w:rPr>
              <w:t>la </w:t>
            </w:r>
            <w:r>
              <w:rPr>
                <w:sz w:val="24"/>
              </w:rPr>
              <w:t>lámina IV </w:t>
            </w:r>
            <w:r>
              <w:rPr>
                <w:spacing w:val="-3"/>
                <w:sz w:val="24"/>
              </w:rPr>
              <w:t>la </w:t>
            </w:r>
            <w:r>
              <w:rPr>
                <w:sz w:val="24"/>
              </w:rPr>
              <w:t>neurona tálamo- receptiva en "A" se activa por fibras talámicas entrantes. Esta neurona, a su vez, envía proyecciones axonales excitatorias de las neuronas B y C. La neurona piramidal B, excita otras neuronas, incluyendo </w:t>
            </w:r>
            <w:r>
              <w:rPr>
                <w:spacing w:val="-3"/>
                <w:sz w:val="24"/>
              </w:rPr>
              <w:t>las </w:t>
            </w:r>
            <w:r>
              <w:rPr>
                <w:sz w:val="24"/>
              </w:rPr>
              <w:t>neuronas piramidales de las láminas V/VI (D) (excitación). Interneuronas </w:t>
            </w:r>
            <w:r>
              <w:rPr>
                <w:spacing w:val="-3"/>
                <w:sz w:val="24"/>
              </w:rPr>
              <w:t>no </w:t>
            </w:r>
            <w:r>
              <w:rPr>
                <w:sz w:val="24"/>
              </w:rPr>
              <w:t>espinosas GABAérgicas </w:t>
            </w:r>
            <w:r>
              <w:rPr>
                <w:spacing w:val="-3"/>
                <w:sz w:val="24"/>
              </w:rPr>
              <w:t>“C” </w:t>
            </w:r>
            <w:r>
              <w:rPr>
                <w:sz w:val="24"/>
              </w:rPr>
              <w:t>envían proyecciones inhibidoras a </w:t>
            </w:r>
            <w:r>
              <w:rPr>
                <w:spacing w:val="-5"/>
                <w:sz w:val="24"/>
              </w:rPr>
              <w:t>la </w:t>
            </w:r>
            <w:r>
              <w:rPr>
                <w:sz w:val="24"/>
              </w:rPr>
              <w:t>neurona “B” (inhibición). Modificada de (March,</w:t>
            </w:r>
            <w:r>
              <w:rPr>
                <w:spacing w:val="-7"/>
                <w:sz w:val="24"/>
              </w:rPr>
              <w:t> </w:t>
            </w:r>
            <w:r>
              <w:rPr>
                <w:sz w:val="24"/>
              </w:rPr>
              <w:t>1998).</w:t>
            </w:r>
          </w:p>
        </w:tc>
        <w:tc>
          <w:tcPr>
            <w:tcW w:w="895" w:type="dxa"/>
          </w:tcPr>
          <w:p>
            <w:pPr>
              <w:pStyle w:val="TableParagraph"/>
              <w:spacing w:before="91"/>
              <w:ind w:left="171"/>
              <w:rPr>
                <w:b/>
                <w:sz w:val="24"/>
              </w:rPr>
            </w:pPr>
            <w:r>
              <w:rPr>
                <w:b/>
                <w:sz w:val="24"/>
              </w:rPr>
              <w:t>9</w:t>
            </w:r>
          </w:p>
        </w:tc>
      </w:tr>
      <w:tr>
        <w:trPr>
          <w:trHeight w:val="3515" w:hRule="exact"/>
        </w:trPr>
        <w:tc>
          <w:tcPr>
            <w:tcW w:w="1356" w:type="dxa"/>
          </w:tcPr>
          <w:p>
            <w:pPr>
              <w:pStyle w:val="TableParagraph"/>
              <w:spacing w:before="91"/>
              <w:ind w:right="225"/>
              <w:jc w:val="right"/>
              <w:rPr>
                <w:b/>
                <w:sz w:val="24"/>
              </w:rPr>
            </w:pPr>
            <w:r>
              <w:rPr>
                <w:b/>
                <w:sz w:val="24"/>
              </w:rPr>
              <w:t>Figura 4.</w:t>
            </w:r>
          </w:p>
        </w:tc>
        <w:tc>
          <w:tcPr>
            <w:tcW w:w="6827" w:type="dxa"/>
          </w:tcPr>
          <w:p>
            <w:pPr>
              <w:pStyle w:val="TableParagraph"/>
              <w:spacing w:before="86"/>
              <w:ind w:left="227" w:right="169"/>
              <w:jc w:val="both"/>
              <w:rPr>
                <w:sz w:val="24"/>
              </w:rPr>
            </w:pPr>
            <w:r>
              <w:rPr>
                <w:sz w:val="24"/>
              </w:rPr>
              <w:t>Sinapsis glutamatérgicas y GABAérgicas. </w:t>
            </w:r>
            <w:r>
              <w:rPr>
                <w:spacing w:val="3"/>
                <w:sz w:val="24"/>
              </w:rPr>
              <w:t>El </w:t>
            </w:r>
            <w:r>
              <w:rPr>
                <w:sz w:val="24"/>
              </w:rPr>
              <w:t>glutamato se libera presinápticamente por </w:t>
            </w:r>
            <w:r>
              <w:rPr>
                <w:spacing w:val="-4"/>
                <w:sz w:val="24"/>
              </w:rPr>
              <w:t>las</w:t>
            </w:r>
            <w:r>
              <w:rPr>
                <w:spacing w:val="52"/>
                <w:sz w:val="24"/>
              </w:rPr>
              <w:t> </w:t>
            </w:r>
            <w:r>
              <w:rPr>
                <w:sz w:val="24"/>
              </w:rPr>
              <w:t>neuronas excitatorias para activar postsinápticamente los receptores en las espinas dendríticas de NMDA, AMPA, y kainato (KA). El glutamato </w:t>
            </w:r>
            <w:r>
              <w:rPr>
                <w:spacing w:val="-3"/>
                <w:sz w:val="24"/>
              </w:rPr>
              <w:t>es </w:t>
            </w:r>
            <w:r>
              <w:rPr>
                <w:sz w:val="24"/>
              </w:rPr>
              <w:t>absorbido por los astrocitos presinápticos. Los astrocitos convierten el glutamato en glutamina o α-ketoglutarato que </w:t>
            </w:r>
            <w:r>
              <w:rPr>
                <w:spacing w:val="-3"/>
                <w:sz w:val="24"/>
              </w:rPr>
              <w:t>luego </w:t>
            </w:r>
            <w:r>
              <w:rPr>
                <w:sz w:val="24"/>
              </w:rPr>
              <w:t>se recicla de nuevo al axón terminal para </w:t>
            </w:r>
            <w:r>
              <w:rPr>
                <w:spacing w:val="-3"/>
                <w:sz w:val="24"/>
              </w:rPr>
              <w:t>la </w:t>
            </w:r>
            <w:r>
              <w:rPr>
                <w:sz w:val="24"/>
              </w:rPr>
              <w:t>reconversión de nuevo a glutamato. Receptores de GABA están situados en los ejes dendríticos y en </w:t>
            </w:r>
            <w:r>
              <w:rPr>
                <w:spacing w:val="4"/>
                <w:sz w:val="24"/>
              </w:rPr>
              <w:t>el </w:t>
            </w:r>
            <w:r>
              <w:rPr>
                <w:position w:val="2"/>
                <w:sz w:val="24"/>
              </w:rPr>
              <w:t>soma celular. </w:t>
            </w:r>
            <w:r>
              <w:rPr>
                <w:spacing w:val="3"/>
                <w:position w:val="2"/>
                <w:sz w:val="24"/>
              </w:rPr>
              <w:t>El </w:t>
            </w:r>
            <w:r>
              <w:rPr>
                <w:position w:val="2"/>
                <w:sz w:val="24"/>
              </w:rPr>
              <w:t>receptor GABA</w:t>
            </w:r>
            <w:r>
              <w:rPr>
                <w:sz w:val="16"/>
              </w:rPr>
              <w:t>A </w:t>
            </w:r>
            <w:r>
              <w:rPr>
                <w:position w:val="2"/>
                <w:sz w:val="24"/>
              </w:rPr>
              <w:t>también contiene sitios de unión </w:t>
            </w:r>
            <w:r>
              <w:rPr>
                <w:sz w:val="24"/>
              </w:rPr>
              <w:t>para las benzodiazepinas y los barbitúricos que aumentan el flujo de cloruro a través de los canales de cloro. Tomada de (March, 1998).</w:t>
            </w:r>
          </w:p>
        </w:tc>
        <w:tc>
          <w:tcPr>
            <w:tcW w:w="895" w:type="dxa"/>
          </w:tcPr>
          <w:p>
            <w:pPr>
              <w:pStyle w:val="TableParagraph"/>
              <w:spacing w:before="91"/>
              <w:ind w:left="171"/>
              <w:rPr>
                <w:b/>
                <w:sz w:val="24"/>
              </w:rPr>
            </w:pPr>
            <w:r>
              <w:rPr>
                <w:b/>
                <w:sz w:val="24"/>
              </w:rPr>
              <w:t>14</w:t>
            </w:r>
          </w:p>
        </w:tc>
      </w:tr>
      <w:tr>
        <w:trPr>
          <w:trHeight w:val="751" w:hRule="exact"/>
        </w:trPr>
        <w:tc>
          <w:tcPr>
            <w:tcW w:w="1356" w:type="dxa"/>
          </w:tcPr>
          <w:p>
            <w:pPr>
              <w:pStyle w:val="TableParagraph"/>
              <w:spacing w:before="91"/>
              <w:ind w:right="225"/>
              <w:jc w:val="right"/>
              <w:rPr>
                <w:b/>
                <w:sz w:val="24"/>
              </w:rPr>
            </w:pPr>
            <w:r>
              <w:rPr>
                <w:b/>
                <w:sz w:val="24"/>
              </w:rPr>
              <w:t>Figura 5.</w:t>
            </w:r>
          </w:p>
        </w:tc>
        <w:tc>
          <w:tcPr>
            <w:tcW w:w="6827" w:type="dxa"/>
          </w:tcPr>
          <w:p>
            <w:pPr>
              <w:pStyle w:val="TableParagraph"/>
              <w:spacing w:line="274" w:lineRule="exact" w:before="91"/>
              <w:ind w:left="227" w:right="68"/>
              <w:rPr>
                <w:sz w:val="24"/>
              </w:rPr>
            </w:pPr>
            <w:r>
              <w:rPr>
                <w:sz w:val="24"/>
              </w:rPr>
              <w:t>Ilustración del proceso de la epileptogénesis. Tomado de (Cross y Cavazos, 2007)</w:t>
            </w:r>
          </w:p>
        </w:tc>
        <w:tc>
          <w:tcPr>
            <w:tcW w:w="895" w:type="dxa"/>
          </w:tcPr>
          <w:p>
            <w:pPr>
              <w:pStyle w:val="TableParagraph"/>
              <w:spacing w:before="91"/>
              <w:ind w:left="171"/>
              <w:rPr>
                <w:b/>
                <w:sz w:val="24"/>
              </w:rPr>
            </w:pPr>
            <w:r>
              <w:rPr>
                <w:b/>
                <w:sz w:val="24"/>
              </w:rPr>
              <w:t>16</w:t>
            </w:r>
          </w:p>
        </w:tc>
      </w:tr>
      <w:tr>
        <w:trPr>
          <w:trHeight w:val="634" w:hRule="exact"/>
        </w:trPr>
        <w:tc>
          <w:tcPr>
            <w:tcW w:w="1356" w:type="dxa"/>
          </w:tcPr>
          <w:p>
            <w:pPr>
              <w:pStyle w:val="TableParagraph"/>
              <w:spacing w:before="94"/>
              <w:ind w:right="225"/>
              <w:jc w:val="right"/>
              <w:rPr>
                <w:b/>
                <w:sz w:val="24"/>
              </w:rPr>
            </w:pPr>
            <w:r>
              <w:rPr>
                <w:b/>
                <w:sz w:val="24"/>
              </w:rPr>
              <w:t>Figura 6.</w:t>
            </w:r>
          </w:p>
        </w:tc>
        <w:tc>
          <w:tcPr>
            <w:tcW w:w="6827" w:type="dxa"/>
          </w:tcPr>
          <w:p>
            <w:pPr>
              <w:pStyle w:val="TableParagraph"/>
              <w:spacing w:line="274" w:lineRule="exact" w:before="94"/>
              <w:ind w:left="227" w:right="68"/>
              <w:rPr>
                <w:sz w:val="24"/>
              </w:rPr>
            </w:pPr>
            <w:r>
              <w:rPr>
                <w:sz w:val="24"/>
              </w:rPr>
              <w:t>Los diversos aspectos de la epileptogénesis después de la injuria cerebral inicial y la evolución de la lesión inicial precipitante en la</w:t>
            </w:r>
          </w:p>
        </w:tc>
        <w:tc>
          <w:tcPr>
            <w:tcW w:w="895" w:type="dxa"/>
          </w:tcPr>
          <w:p>
            <w:pPr>
              <w:pStyle w:val="TableParagraph"/>
              <w:spacing w:before="94"/>
              <w:ind w:left="171"/>
              <w:rPr>
                <w:b/>
                <w:sz w:val="24"/>
              </w:rPr>
            </w:pPr>
            <w:r>
              <w:rPr>
                <w:b/>
                <w:sz w:val="24"/>
              </w:rPr>
              <w:t>17</w:t>
            </w:r>
          </w:p>
        </w:tc>
      </w:tr>
    </w:tbl>
    <w:p>
      <w:pPr>
        <w:spacing w:after="0"/>
        <w:rPr>
          <w:sz w:val="24"/>
        </w:rPr>
        <w:sectPr>
          <w:pgSz w:w="12240" w:h="15840"/>
          <w:pgMar w:header="0" w:footer="2131" w:top="1080" w:bottom="2320" w:left="1560" w:right="1360"/>
        </w:sectPr>
      </w:pPr>
    </w:p>
    <w:p>
      <w:pPr>
        <w:pStyle w:val="BodyText"/>
        <w:spacing w:before="7"/>
        <w:rPr>
          <w:b/>
          <w:sz w:val="20"/>
        </w:rPr>
      </w:pPr>
    </w:p>
    <w:p>
      <w:pPr>
        <w:pStyle w:val="BodyText"/>
        <w:spacing w:before="69"/>
        <w:ind w:left="1535" w:right="1130"/>
        <w:jc w:val="both"/>
      </w:pPr>
      <w:r>
        <w:rPr/>
        <w:t>epilepsia crónica. Un insulto inicial en forma de lesión en </w:t>
      </w:r>
      <w:r>
        <w:rPr>
          <w:spacing w:val="-3"/>
        </w:rPr>
        <w:t>la </w:t>
      </w:r>
      <w:r>
        <w:rPr/>
        <w:t>cabeza o el estatus epiléptico generalmente conduce a una serie de cambios celulares y moleculares en el hipocampo. Un aumento transitorio en </w:t>
      </w:r>
      <w:r>
        <w:rPr>
          <w:spacing w:val="-3"/>
        </w:rPr>
        <w:t>la </w:t>
      </w:r>
      <w:r>
        <w:rPr/>
        <w:t>proliferación de células madre/progenitoras neurales se produce inmediatamente después de un estatus epiléptico que resulta en neurogénesis anormal. Una multitud de alteraciones en el </w:t>
      </w:r>
      <w:r>
        <w:rPr>
          <w:spacing w:val="-3"/>
        </w:rPr>
        <w:t>medio </w:t>
      </w:r>
      <w:r>
        <w:rPr/>
        <w:t>de </w:t>
      </w:r>
      <w:r>
        <w:rPr>
          <w:spacing w:val="-3"/>
        </w:rPr>
        <w:t>la </w:t>
      </w:r>
      <w:r>
        <w:rPr/>
        <w:t>circunvolución dentada y </w:t>
      </w:r>
      <w:r>
        <w:rPr>
          <w:spacing w:val="4"/>
        </w:rPr>
        <w:t>el </w:t>
      </w:r>
      <w:r>
        <w:rPr/>
        <w:t>hipocampo subcampos CA1 y CA3 conducen a una  reorganización sináptica anormal, </w:t>
      </w:r>
      <w:r>
        <w:rPr>
          <w:spacing w:val="-3"/>
        </w:rPr>
        <w:t>la </w:t>
      </w:r>
      <w:r>
        <w:rPr/>
        <w:t>pérdida de </w:t>
      </w:r>
      <w:r>
        <w:rPr>
          <w:spacing w:val="-5"/>
        </w:rPr>
        <w:t>la </w:t>
      </w:r>
      <w:r>
        <w:rPr/>
        <w:t>inhibición funcional por el sistema GABAérgico y alteración de </w:t>
      </w:r>
      <w:r>
        <w:rPr>
          <w:spacing w:val="-3"/>
        </w:rPr>
        <w:t>la  </w:t>
      </w:r>
      <w:r>
        <w:rPr/>
        <w:t>plasticidad todo esto aumenta el proceso de epileptogénesis. Colectivamente, estos cambios contribuyen a la aparición de convulsiones espontáneas recurrentes. Tomado de (Acharya et </w:t>
      </w:r>
      <w:r>
        <w:rPr>
          <w:spacing w:val="-4"/>
        </w:rPr>
        <w:t>al,</w:t>
      </w:r>
      <w:r>
        <w:rPr>
          <w:spacing w:val="52"/>
        </w:rPr>
        <w:t> </w:t>
      </w:r>
      <w:r>
        <w:rPr/>
        <w:t>2005).</w:t>
      </w:r>
    </w:p>
    <w:p>
      <w:pPr>
        <w:spacing w:after="0"/>
        <w:jc w:val="both"/>
        <w:sectPr>
          <w:pgSz w:w="12240" w:h="15840"/>
          <w:pgMar w:header="0" w:footer="2131" w:top="1500" w:bottom="2320" w:left="1720" w:right="1420"/>
        </w:sectPr>
      </w:pPr>
    </w:p>
    <w:p>
      <w:pPr>
        <w:pStyle w:val="BodyText"/>
        <w:spacing w:before="1"/>
      </w:pPr>
    </w:p>
    <w:p>
      <w:pPr>
        <w:pStyle w:val="Heading1"/>
        <w:ind w:left="202" w:right="164"/>
        <w:jc w:val="center"/>
        <w:rPr>
          <w:rFonts w:ascii="Arial"/>
        </w:rPr>
      </w:pPr>
      <w:bookmarkStart w:name="_bookmark0" w:id="1"/>
      <w:bookmarkEnd w:id="1"/>
      <w:r>
        <w:rPr>
          <w:b w:val="0"/>
        </w:rPr>
      </w:r>
      <w:r>
        <w:rPr>
          <w:rFonts w:ascii="Arial"/>
        </w:rPr>
        <w:t>RESUMEN</w:t>
      </w:r>
    </w:p>
    <w:p>
      <w:pPr>
        <w:pStyle w:val="BodyText"/>
        <w:rPr>
          <w:rFonts w:ascii="Arial"/>
          <w:b/>
          <w:sz w:val="28"/>
        </w:rPr>
      </w:pPr>
    </w:p>
    <w:p>
      <w:pPr>
        <w:pStyle w:val="BodyText"/>
        <w:spacing w:before="1"/>
        <w:rPr>
          <w:rFonts w:ascii="Arial"/>
          <w:b/>
          <w:sz w:val="27"/>
        </w:rPr>
      </w:pPr>
    </w:p>
    <w:p>
      <w:pPr>
        <w:pStyle w:val="BodyText"/>
        <w:spacing w:line="480" w:lineRule="auto"/>
        <w:ind w:left="152" w:right="106"/>
        <w:jc w:val="both"/>
      </w:pPr>
      <w:r>
        <w:rPr/>
        <w:t>La epilepsia idiopática en personas como animales es un padecimiento neurológico crónico común, el cual se manifiesta con convulsiones recurrentes. El tratamiento tiene como objetivo el control de las convulsiones: disminución de las mismas, frecuencia e intensidad con mínimos efectos adversos a través del uso de fármacos anticonvulsivos. Debido a que generalmente el tratamiento la mayoría de las veces es de por vida se requiere un fármaco eficaz, seguro, de bajo costo y carente de restricciones para su venta. En este estudio se comparo la eficacia de gabapentina como monoterapia en perros diagnosticados clínicamente con epilepsia idiopática. Se utilizaron 30 perros los cuales se distribuyeron de manera aleatoria en 3 grupos de 10 pacientes cada uno para recibir dosis de 30 mg/kg/día, 60 mg/kg/día por vía oral cada 8 horas de gabapentina respectivamente y comparando con fenobarbital 4 mg/kg/día por vía oral cada 12 horas. Se evaluó el número de convulsiones, severidad, duración y efectos adversos del fármaco antes y por un período de 3 meses.</w:t>
      </w:r>
    </w:p>
    <w:p>
      <w:pPr>
        <w:spacing w:after="0" w:line="480" w:lineRule="auto"/>
        <w:jc w:val="both"/>
        <w:sectPr>
          <w:footerReference w:type="default" r:id="rId7"/>
          <w:pgSz w:w="12240" w:h="15840"/>
          <w:pgMar w:footer="2131" w:header="0" w:top="1500" w:bottom="2320" w:left="1720" w:right="1420"/>
          <w:pgNumType w:start="9"/>
        </w:sectPr>
      </w:pPr>
    </w:p>
    <w:p>
      <w:pPr>
        <w:pStyle w:val="BodyText"/>
        <w:spacing w:before="1"/>
      </w:pPr>
    </w:p>
    <w:p>
      <w:pPr>
        <w:pStyle w:val="Heading1"/>
        <w:ind w:left="202" w:right="159"/>
        <w:jc w:val="center"/>
        <w:rPr>
          <w:rFonts w:ascii="Arial"/>
        </w:rPr>
      </w:pPr>
      <w:bookmarkStart w:name="_bookmark1" w:id="2"/>
      <w:bookmarkEnd w:id="2"/>
      <w:r>
        <w:rPr>
          <w:b w:val="0"/>
        </w:rPr>
      </w:r>
      <w:r>
        <w:rPr>
          <w:rFonts w:ascii="Arial"/>
        </w:rPr>
        <w:t>SUMMARY</w:t>
      </w:r>
    </w:p>
    <w:p>
      <w:pPr>
        <w:pStyle w:val="BodyText"/>
        <w:rPr>
          <w:rFonts w:ascii="Arial"/>
          <w:b/>
          <w:sz w:val="28"/>
        </w:rPr>
      </w:pPr>
    </w:p>
    <w:p>
      <w:pPr>
        <w:pStyle w:val="BodyText"/>
        <w:spacing w:before="1"/>
        <w:rPr>
          <w:rFonts w:ascii="Arial"/>
          <w:b/>
          <w:sz w:val="27"/>
        </w:rPr>
      </w:pPr>
    </w:p>
    <w:p>
      <w:pPr>
        <w:pStyle w:val="BodyText"/>
        <w:spacing w:line="480" w:lineRule="auto"/>
        <w:ind w:left="858" w:right="103"/>
        <w:jc w:val="both"/>
      </w:pPr>
      <w:r>
        <w:rPr/>
        <w:t>Idiopathic epilepsy in people and animals is a common chronic neurological disorder, which is manifested by recurrent seizures. Treatment aims to control seizures: reduced the same frequency and intensity with minimal adverse effects through the use of anticonvulsants. Because usually the treatment most often is an effective drug for life, safe, inexpensive and devoid of restrictions for sale is required. In this study the effectiveness of gabapentin as monotherapy in dogs clinically diagnosed with idiopathic epilepsy was compared. 30 dogs which were distributed at random into 3 groups of 10 patients each to receive a dose of 30 mg/kg/day used, 60 mg/kg/day orally every 8 hours respectively gabapentin and phenobarbital comparing 4 mg/kg/day for every 12 hours oral route. The number of seizures, severity, duration, and adverse drug effects before and for a period of three months was evaluated.</w:t>
      </w:r>
    </w:p>
    <w:p>
      <w:pPr>
        <w:spacing w:after="0" w:line="480" w:lineRule="auto"/>
        <w:jc w:val="both"/>
        <w:sectPr>
          <w:pgSz w:w="12240" w:h="15840"/>
          <w:pgMar w:header="0" w:footer="2131" w:top="1500" w:bottom="2320" w:left="1720" w:right="1420"/>
        </w:sectPr>
      </w:pPr>
    </w:p>
    <w:p>
      <w:pPr>
        <w:pStyle w:val="BodyText"/>
        <w:spacing w:before="8"/>
        <w:rPr>
          <w:sz w:val="21"/>
        </w:rPr>
      </w:pPr>
    </w:p>
    <w:p>
      <w:pPr>
        <w:pStyle w:val="Heading1"/>
        <w:spacing w:after="6"/>
        <w:ind w:right="244"/>
      </w:pPr>
      <w:bookmarkStart w:name="_bookmark2" w:id="3"/>
      <w:bookmarkEnd w:id="3"/>
      <w:r>
        <w:rPr>
          <w:b w:val="0"/>
        </w:rPr>
      </w:r>
      <w:r>
        <w:rPr/>
        <w:t>CAPITULO I</w:t>
      </w:r>
    </w:p>
    <w:p>
      <w:pPr>
        <w:pStyle w:val="BodyText"/>
        <w:spacing w:line="86" w:lineRule="exact"/>
        <w:ind w:left="115"/>
        <w:rPr>
          <w:sz w:val="8"/>
        </w:rPr>
      </w:pPr>
      <w:r>
        <w:rPr>
          <w:position w:val="-1"/>
          <w:sz w:val="8"/>
        </w:rPr>
        <w:pict>
          <v:group style="width:452.85pt;height:4.350pt;mso-position-horizontal-relative:char;mso-position-vertical-relative:line" coordorigin="0,0" coordsize="9057,87">
            <v:line style="position:absolute" from="29,79" to="9028,79" stroked="true" strokeweight=".72pt" strokecolor="#000000"/>
            <v:line style="position:absolute" from="29,29" to="9028,29" stroked="true" strokeweight="2.88pt" strokecolor="#000000"/>
          </v:group>
        </w:pict>
      </w:r>
      <w:r>
        <w:rPr>
          <w:position w:val="-1"/>
          <w:sz w:val="8"/>
        </w:rPr>
      </w:r>
    </w:p>
    <w:p>
      <w:pPr>
        <w:pStyle w:val="BodyText"/>
        <w:spacing w:before="4"/>
        <w:rPr>
          <w:b/>
          <w:sz w:val="14"/>
        </w:rPr>
      </w:pPr>
    </w:p>
    <w:p>
      <w:pPr>
        <w:pStyle w:val="Heading1"/>
        <w:ind w:left="3853" w:right="3209"/>
        <w:jc w:val="center"/>
        <w:rPr>
          <w:rFonts w:ascii="Arial" w:hAnsi="Arial"/>
        </w:rPr>
      </w:pPr>
      <w:bookmarkStart w:name="_bookmark3" w:id="4"/>
      <w:bookmarkEnd w:id="4"/>
      <w:r>
        <w:rPr>
          <w:b w:val="0"/>
        </w:rPr>
      </w:r>
      <w:r>
        <w:rPr>
          <w:rFonts w:ascii="Arial" w:hAnsi="Arial"/>
        </w:rPr>
        <w:t>INTRODUCCIÓN</w:t>
      </w:r>
    </w:p>
    <w:p>
      <w:pPr>
        <w:pStyle w:val="BodyText"/>
        <w:rPr>
          <w:rFonts w:ascii="Arial"/>
          <w:b/>
          <w:sz w:val="28"/>
        </w:rPr>
      </w:pPr>
    </w:p>
    <w:p>
      <w:pPr>
        <w:pStyle w:val="BodyText"/>
        <w:spacing w:before="7"/>
        <w:rPr>
          <w:rFonts w:ascii="Arial"/>
          <w:b/>
          <w:sz w:val="26"/>
        </w:rPr>
      </w:pPr>
    </w:p>
    <w:p>
      <w:pPr>
        <w:pStyle w:val="BodyText"/>
        <w:spacing w:line="480" w:lineRule="auto"/>
        <w:ind w:left="192" w:right="247"/>
        <w:jc w:val="both"/>
      </w:pPr>
      <w:r>
        <w:rPr/>
        <w:t>La epilepsia se define según la liga Internacional contra la epilepsia (ILAE) como una condición neurológica crónica caracterizada por convulsiones epilépticas recurrentes (Goiz, et al., 2008; Licht, et al., 2002; Radulovic, et al., 1995). Mismas que no son provocadas, no existe anomalía cerebral (o no se puede identificar) a menudo implica una predisposición familiar o genética (Knowles, 1998). En perros flúctua desde 0.5% a 5.7% de las consultas (Holliday y Colette, 1998; Licht, et al., 2002; March, 1998).</w:t>
      </w:r>
    </w:p>
    <w:p>
      <w:pPr>
        <w:pStyle w:val="BodyText"/>
        <w:spacing w:line="480" w:lineRule="auto" w:before="212"/>
        <w:ind w:left="192" w:right="244"/>
        <w:jc w:val="both"/>
      </w:pPr>
      <w:r>
        <w:rPr/>
        <w:t>La terapéutica va enfocada a la disminución de la frecuencia y severidad de  las convulsiones con la administración de antiepilépticos (Andrews y Fischer, 1994; Govendir, et al., 2005). En donde se encuentre un equilibrio razonable entre el control de las convulsiones y los efectos secundarios de los fármacos antiepilépticos (Knowles, 1998). La gabapentina es un anticonvulsionante con un perfil farmacocinético favorable, caracterizada por la ausencia de unión a proteínas plasmáticas y no interacción con otros fármacos (Andrews y Fischer, 1994; Muscas, et al., 2000). El preciso mecanismo de acción de la gabapentina no es conocido, se cree que inhibe los canales de sodio dependientes de voltaje y se une a un canal de calcio en el cerebro, pero la importancia de estas acciones y los efectos anticonvulsivos de la gabapentina todavía no se han aclarado (Podell,1998).</w:t>
      </w:r>
    </w:p>
    <w:p>
      <w:pPr>
        <w:spacing w:after="0" w:line="480" w:lineRule="auto"/>
        <w:jc w:val="both"/>
        <w:sectPr>
          <w:footerReference w:type="default" r:id="rId8"/>
          <w:pgSz w:w="12240" w:h="15840"/>
          <w:pgMar w:footer="2131" w:header="0" w:top="1500" w:bottom="2320" w:left="1680" w:right="1280"/>
          <w:pgNumType w:start="1"/>
        </w:sectPr>
      </w:pPr>
    </w:p>
    <w:p>
      <w:pPr>
        <w:pStyle w:val="BodyText"/>
        <w:spacing w:before="7"/>
        <w:rPr>
          <w:sz w:val="20"/>
        </w:rPr>
      </w:pPr>
    </w:p>
    <w:p>
      <w:pPr>
        <w:pStyle w:val="BodyText"/>
        <w:spacing w:line="480" w:lineRule="auto" w:before="69"/>
        <w:ind w:left="152" w:right="105" w:firstLine="57"/>
        <w:jc w:val="both"/>
      </w:pPr>
      <w:r>
        <w:rPr/>
        <w:t>En dos estudios clínicos realizados en perros la gabapentina demostró su eficacia en la epilepsia refractaria al añadirse a la terapia convencional, basada en fenobarbital y/o bromuro de potasio mostrando efectos adversos leves consistentes en ataxia y sedación moderadas (Goiz et al., 2008; Platt et al., 2006).</w:t>
      </w:r>
    </w:p>
    <w:p>
      <w:pPr>
        <w:pStyle w:val="BodyText"/>
        <w:spacing w:line="480" w:lineRule="auto" w:before="212"/>
        <w:ind w:left="152" w:right="101" w:firstLine="57"/>
        <w:jc w:val="both"/>
      </w:pPr>
      <w:r>
        <w:rPr/>
        <w:t>Sin embargo, se desconoce su efecto al ser usada como monoterapia en perros </w:t>
      </w:r>
      <w:r>
        <w:rPr>
          <w:spacing w:val="-5"/>
        </w:rPr>
        <w:t>lo  </w:t>
      </w:r>
      <w:r>
        <w:rPr/>
        <w:t>que podría redundar, en caso de ser efectiva, en considerarla como terapia inicial al ser segura y carecer de restricciones para su venta. En humanos el perfil de seguridad de </w:t>
      </w:r>
      <w:r>
        <w:rPr>
          <w:spacing w:val="-3"/>
        </w:rPr>
        <w:t>la </w:t>
      </w:r>
      <w:r>
        <w:rPr/>
        <w:t>gabapentina y </w:t>
      </w:r>
      <w:r>
        <w:rPr>
          <w:spacing w:val="-3"/>
        </w:rPr>
        <w:t>la </w:t>
      </w:r>
      <w:r>
        <w:rPr/>
        <w:t>ausencia de de interacciones hacen que sea un fármaco indicado en epilepsias de reciente diagnóstico, tanto en monoterapia como </w:t>
      </w:r>
      <w:r>
        <w:rPr>
          <w:spacing w:val="-3"/>
        </w:rPr>
        <w:t>en </w:t>
      </w:r>
      <w:r>
        <w:rPr/>
        <w:t>politerapia (Sancho,</w:t>
      </w:r>
      <w:r>
        <w:rPr>
          <w:spacing w:val="-14"/>
        </w:rPr>
        <w:t> </w:t>
      </w:r>
      <w:r>
        <w:rPr/>
        <w:t>2002).</w:t>
      </w:r>
    </w:p>
    <w:p>
      <w:pPr>
        <w:spacing w:after="0" w:line="480" w:lineRule="auto"/>
        <w:jc w:val="both"/>
        <w:sectPr>
          <w:pgSz w:w="12240" w:h="15840"/>
          <w:pgMar w:header="0" w:footer="2131" w:top="1500" w:bottom="2320" w:left="1720" w:right="1420"/>
        </w:sectPr>
      </w:pPr>
    </w:p>
    <w:p>
      <w:pPr>
        <w:pStyle w:val="BodyText"/>
        <w:spacing w:before="8"/>
        <w:rPr>
          <w:sz w:val="21"/>
        </w:rPr>
      </w:pPr>
    </w:p>
    <w:p>
      <w:pPr>
        <w:pStyle w:val="Heading1"/>
        <w:spacing w:after="6"/>
        <w:ind w:right="241"/>
      </w:pPr>
      <w:bookmarkStart w:name="_bookmark4" w:id="5"/>
      <w:bookmarkEnd w:id="5"/>
      <w:r>
        <w:rPr>
          <w:b w:val="0"/>
        </w:rPr>
      </w:r>
      <w:r>
        <w:rPr/>
        <w:t>CAPITULO II</w:t>
      </w:r>
    </w:p>
    <w:p>
      <w:pPr>
        <w:pStyle w:val="BodyText"/>
        <w:spacing w:line="86" w:lineRule="exact"/>
        <w:ind w:left="119"/>
        <w:rPr>
          <w:sz w:val="8"/>
        </w:rPr>
      </w:pPr>
      <w:r>
        <w:rPr>
          <w:position w:val="-1"/>
          <w:sz w:val="8"/>
        </w:rPr>
        <w:pict>
          <v:group style="width:452.85pt;height:4.350pt;mso-position-horizontal-relative:char;mso-position-vertical-relative:line" coordorigin="0,0" coordsize="9057,87">
            <v:line style="position:absolute" from="29,79" to="9028,79" stroked="true" strokeweight=".72pt" strokecolor="#000000"/>
            <v:line style="position:absolute" from="29,29" to="9028,29" stroked="true" strokeweight="2.88pt" strokecolor="#000000"/>
          </v:group>
        </w:pict>
      </w:r>
      <w:r>
        <w:rPr>
          <w:position w:val="-1"/>
          <w:sz w:val="8"/>
        </w:rPr>
      </w:r>
    </w:p>
    <w:p>
      <w:pPr>
        <w:pStyle w:val="BodyText"/>
        <w:spacing w:before="4"/>
        <w:rPr>
          <w:b/>
          <w:sz w:val="14"/>
        </w:rPr>
      </w:pPr>
    </w:p>
    <w:p>
      <w:pPr>
        <w:pStyle w:val="Heading1"/>
        <w:ind w:left="3206" w:right="164"/>
        <w:jc w:val="left"/>
        <w:rPr>
          <w:rFonts w:ascii="Arial" w:hAnsi="Arial"/>
        </w:rPr>
      </w:pPr>
      <w:bookmarkStart w:name="_bookmark5" w:id="6"/>
      <w:bookmarkEnd w:id="6"/>
      <w:r>
        <w:rPr>
          <w:b w:val="0"/>
        </w:rPr>
      </w:r>
      <w:r>
        <w:rPr>
          <w:rFonts w:ascii="Arial" w:hAnsi="Arial"/>
        </w:rPr>
        <w:t>REVISIÓN DE LITERATURA</w:t>
      </w:r>
    </w:p>
    <w:p>
      <w:pPr>
        <w:pStyle w:val="BodyText"/>
        <w:rPr>
          <w:rFonts w:ascii="Arial"/>
          <w:b/>
          <w:sz w:val="28"/>
        </w:rPr>
      </w:pPr>
    </w:p>
    <w:p>
      <w:pPr>
        <w:pStyle w:val="BodyText"/>
        <w:spacing w:before="5"/>
        <w:rPr>
          <w:rFonts w:ascii="Arial"/>
          <w:b/>
          <w:sz w:val="30"/>
        </w:rPr>
      </w:pPr>
    </w:p>
    <w:p>
      <w:pPr>
        <w:pStyle w:val="Heading2"/>
        <w:numPr>
          <w:ilvl w:val="0"/>
          <w:numId w:val="3"/>
        </w:numPr>
        <w:tabs>
          <w:tab w:pos="2395" w:val="left" w:leader="none"/>
        </w:tabs>
        <w:spacing w:line="240" w:lineRule="auto" w:before="0" w:after="0"/>
        <w:ind w:left="2395" w:right="0" w:hanging="346"/>
        <w:jc w:val="left"/>
        <w:rPr>
          <w:rFonts w:ascii="Cambria"/>
        </w:rPr>
      </w:pPr>
      <w:bookmarkStart w:name="_bookmark6" w:id="7"/>
      <w:bookmarkEnd w:id="7"/>
      <w:r>
        <w:rPr>
          <w:b w:val="0"/>
        </w:rPr>
      </w:r>
      <w:bookmarkStart w:name="_bookmark6" w:id="8"/>
      <w:bookmarkEnd w:id="8"/>
      <w:r>
        <w:rPr>
          <w:rFonts w:ascii="Cambria"/>
        </w:rPr>
        <w:t>E</w:t>
      </w:r>
      <w:r>
        <w:rPr>
          <w:rFonts w:ascii="Cambria"/>
        </w:rPr>
        <w:t>pilepsia</w:t>
      </w:r>
    </w:p>
    <w:p>
      <w:pPr>
        <w:pStyle w:val="BodyText"/>
        <w:spacing w:line="480" w:lineRule="auto" w:before="97"/>
        <w:ind w:left="272" w:right="162"/>
        <w:jc w:val="both"/>
      </w:pPr>
      <w:r>
        <w:rPr/>
        <w:t>La epilepsia es tan antigua como lo es la propia humanidad. Fue descrita por primera vez hace cerca de 3 mil años en Acadiano, Mesopotamia (actual Irak). Las crisis convulsivas se atribuían al dios de la Luna. En los comienzos del siglo XVII, William Gilbert describió el fenómeno eléctrico responsable de la epilepsia, descartando la teoría mística y sobrenatural. La palabra </w:t>
      </w:r>
      <w:r>
        <w:rPr>
          <w:i/>
        </w:rPr>
        <w:t>epilepsia </w:t>
      </w:r>
      <w:r>
        <w:rPr/>
        <w:t>deriva del griego </w:t>
      </w:r>
      <w:r>
        <w:rPr>
          <w:i/>
        </w:rPr>
        <w:t>ëpilamvanein </w:t>
      </w:r>
      <w:r>
        <w:rPr/>
        <w:t>(ataque, convulsión) (Goldensohn, 1997).</w:t>
      </w:r>
    </w:p>
    <w:p>
      <w:pPr>
        <w:pStyle w:val="BodyText"/>
        <w:spacing w:line="480" w:lineRule="auto" w:before="212"/>
        <w:ind w:left="272" w:right="161"/>
        <w:jc w:val="both"/>
      </w:pPr>
      <w:r>
        <w:rPr/>
        <w:t>Según la ILAE, la epilepsia se define como una condición neurológica crónica que se manifiesta con convulsiones epilépticas recurrentes (Goiz et al., 2008). Dicho de otra manera es un grupo heterogéneo de condiciones que comúnmente se manifiestan como convulsiones recurrentes (Thomas, 2010; Yacubian, 2008). La cual puede convertirse en progresiva con relación a los disturbios cognitivos, frecuencia y gravedad de los eventos críticos (Yacubian, 2008).</w:t>
      </w:r>
    </w:p>
    <w:p>
      <w:pPr>
        <w:pStyle w:val="BodyText"/>
        <w:spacing w:before="3"/>
        <w:rPr>
          <w:sz w:val="22"/>
        </w:rPr>
      </w:pPr>
    </w:p>
    <w:p>
      <w:pPr>
        <w:pStyle w:val="Heading2"/>
        <w:numPr>
          <w:ilvl w:val="0"/>
          <w:numId w:val="3"/>
        </w:numPr>
        <w:tabs>
          <w:tab w:pos="2395" w:val="left" w:leader="none"/>
        </w:tabs>
        <w:spacing w:line="240" w:lineRule="auto" w:before="0" w:after="0"/>
        <w:ind w:left="2395" w:right="0" w:hanging="346"/>
        <w:jc w:val="left"/>
        <w:rPr>
          <w:rFonts w:ascii="Cambria" w:hAnsi="Cambria"/>
        </w:rPr>
      </w:pPr>
      <w:bookmarkStart w:name="_bookmark7" w:id="9"/>
      <w:bookmarkEnd w:id="9"/>
      <w:r>
        <w:rPr>
          <w:b w:val="0"/>
        </w:rPr>
      </w:r>
      <w:bookmarkStart w:name="_bookmark7" w:id="10"/>
      <w:bookmarkEnd w:id="10"/>
      <w:r>
        <w:rPr>
          <w:rFonts w:ascii="Cambria" w:hAnsi="Cambria"/>
        </w:rPr>
        <w:t>E</w:t>
      </w:r>
      <w:r>
        <w:rPr>
          <w:rFonts w:ascii="Cambria" w:hAnsi="Cambria"/>
        </w:rPr>
        <w:t>pidemiología</w:t>
      </w:r>
    </w:p>
    <w:p>
      <w:pPr>
        <w:pStyle w:val="BodyText"/>
        <w:spacing w:line="480" w:lineRule="auto" w:before="97"/>
        <w:ind w:left="272" w:right="162"/>
        <w:jc w:val="both"/>
      </w:pPr>
      <w:r>
        <w:rPr/>
        <w:t>Es una de las enfermedades neurológicas más frecuentes en la práctica clínica en humanos, afecta aproximadamente 1 a 2% de la población mundial (Purves et al., 2004; Ren, 2009) y se ha estimado que 2 a 4 millones de personas en Estados Unidos aproximadamente 1 de 50 niños y 1 de 100 adultos son afectadas (Steven, 2001).</w:t>
      </w:r>
    </w:p>
    <w:p>
      <w:pPr>
        <w:spacing w:after="0" w:line="480" w:lineRule="auto"/>
        <w:jc w:val="both"/>
        <w:sectPr>
          <w:pgSz w:w="12240" w:h="15840"/>
          <w:pgMar w:header="0" w:footer="2131" w:top="1500" w:bottom="2320" w:left="1600" w:right="1360"/>
        </w:sectPr>
      </w:pPr>
    </w:p>
    <w:p>
      <w:pPr>
        <w:pStyle w:val="BodyText"/>
        <w:spacing w:before="7"/>
        <w:rPr>
          <w:sz w:val="20"/>
        </w:rPr>
      </w:pPr>
    </w:p>
    <w:p>
      <w:pPr>
        <w:pStyle w:val="BodyText"/>
        <w:spacing w:line="480" w:lineRule="auto" w:before="69"/>
        <w:ind w:left="152" w:right="98" w:firstLine="57"/>
        <w:jc w:val="both"/>
      </w:pPr>
      <w:r>
        <w:rPr/>
        <w:t>Se estima que </w:t>
      </w:r>
      <w:r>
        <w:rPr>
          <w:spacing w:val="-3"/>
        </w:rPr>
        <w:t>la </w:t>
      </w:r>
      <w:r>
        <w:rPr/>
        <w:t>incidencia de epilepsia en perros referida por hospitales de enseñanza es igual a </w:t>
      </w:r>
      <w:r>
        <w:rPr>
          <w:spacing w:val="-3"/>
        </w:rPr>
        <w:t>la </w:t>
      </w:r>
      <w:r>
        <w:rPr/>
        <w:t>de humanos 1 a 2%. La prevalencia de </w:t>
      </w:r>
      <w:r>
        <w:rPr>
          <w:spacing w:val="-3"/>
        </w:rPr>
        <w:t>la </w:t>
      </w:r>
      <w:r>
        <w:rPr/>
        <w:t>enfermedad en los perros es difícil de establecer por problemas con el diagnóstico y reporte de </w:t>
      </w:r>
      <w:r>
        <w:rPr>
          <w:spacing w:val="-4"/>
        </w:rPr>
        <w:t>solo </w:t>
      </w:r>
      <w:r>
        <w:rPr/>
        <w:t>algunos animales con  criterios específicos para epilepsia idiopática (Bunch, 1983). Sin embargo según publicaciones se estima un rango de 0.5 y 4.1% siendo los machos más afectados (Bielfelt et </w:t>
      </w:r>
      <w:r>
        <w:rPr>
          <w:spacing w:val="-4"/>
        </w:rPr>
        <w:t>al, </w:t>
      </w:r>
      <w:r>
        <w:rPr/>
        <w:t>1971; Falco et </w:t>
      </w:r>
      <w:r>
        <w:rPr>
          <w:spacing w:val="-4"/>
        </w:rPr>
        <w:t>al, </w:t>
      </w:r>
      <w:r>
        <w:rPr/>
        <w:t>1974; Wallace, 1975; Cunningham y Farnbach,  1988; Lane  y Bunch, 1990). En perros es </w:t>
      </w:r>
      <w:r>
        <w:rPr>
          <w:spacing w:val="-3"/>
        </w:rPr>
        <w:t>la </w:t>
      </w:r>
      <w:r>
        <w:rPr/>
        <w:t>causa más común de convulsiones recurrentes generalizadas (Jaggy y Bernardini, 1998; Jaggy et al., 1998; Croft, 1965). Ya que el 14% de los perros  que acuden a consulta presentan convulsiones como signo neurológico (Palmer, 1972) y de este porcentaje el 80% es reconocido como epilepsia idiopática (Schwartz y Porsche,</w:t>
      </w:r>
      <w:r>
        <w:rPr>
          <w:spacing w:val="-37"/>
        </w:rPr>
        <w:t> </w:t>
      </w:r>
      <w:r>
        <w:rPr/>
        <w:t>1994).</w:t>
      </w:r>
    </w:p>
    <w:p>
      <w:pPr>
        <w:pStyle w:val="BodyText"/>
        <w:spacing w:line="480" w:lineRule="auto" w:before="207"/>
        <w:ind w:left="152" w:right="104"/>
        <w:jc w:val="both"/>
      </w:pPr>
      <w:r>
        <w:rPr/>
        <w:t>Una predisposición familiar a la epilepsia idiopática ha sido descrita, y es basada en la alta incidencia de la enfermedad en razas específicas (Van velden, 1968; Martinek y Horak, 1970; Bielfelt et al., 1971; Falco et al., 1974; Wallace, 1975; Cunningham y Farnbach, 1988). 25 a 30 razas de perros (de aproximadamente 150 razas reconocidas por el American Kennel Club) se informó presentaron una alta prevalencia de convulsiones. Estos incluyen algunas razas populares (por ejemplo, Beagle, Cocker Spaniel, Pastor Alemán, Golden Retriever, Labrador Retriever y Poodle), así como de las menos comunes (por ejemplo, Bernés de la montaña, Keeshonds y San Bernardo) (</w:t>
      </w:r>
      <w:r>
        <w:rPr>
          <w:color w:val="2D2D2D"/>
        </w:rPr>
        <w:t>Shell, 1993a; </w:t>
      </w:r>
      <w:r>
        <w:rPr/>
        <w:t>Kathmann et al, 1999).</w:t>
      </w:r>
    </w:p>
    <w:p>
      <w:pPr>
        <w:spacing w:after="0" w:line="480" w:lineRule="auto"/>
        <w:jc w:val="both"/>
        <w:sectPr>
          <w:pgSz w:w="12240" w:h="15840"/>
          <w:pgMar w:header="0" w:footer="2131" w:top="1500" w:bottom="2320" w:left="1720" w:right="1420"/>
        </w:sectPr>
      </w:pPr>
    </w:p>
    <w:p>
      <w:pPr>
        <w:pStyle w:val="BodyText"/>
        <w:spacing w:before="4"/>
        <w:rPr>
          <w:sz w:val="21"/>
        </w:rPr>
      </w:pPr>
    </w:p>
    <w:p>
      <w:pPr>
        <w:pStyle w:val="Heading2"/>
        <w:numPr>
          <w:ilvl w:val="0"/>
          <w:numId w:val="3"/>
        </w:numPr>
        <w:tabs>
          <w:tab w:pos="2275" w:val="left" w:leader="none"/>
        </w:tabs>
        <w:spacing w:line="240" w:lineRule="auto" w:before="67" w:after="0"/>
        <w:ind w:left="2275" w:right="0" w:hanging="346"/>
        <w:jc w:val="left"/>
        <w:rPr>
          <w:rFonts w:ascii="Cambria" w:hAnsi="Cambria"/>
        </w:rPr>
      </w:pPr>
      <w:bookmarkStart w:name="_bookmark8" w:id="11"/>
      <w:bookmarkEnd w:id="11"/>
      <w:r>
        <w:rPr>
          <w:b w:val="0"/>
        </w:rPr>
      </w:r>
      <w:bookmarkStart w:name="_bookmark8" w:id="12"/>
      <w:bookmarkEnd w:id="12"/>
      <w:r>
        <w:rPr>
          <w:rFonts w:ascii="Cambria" w:hAnsi="Cambria"/>
        </w:rPr>
        <w:t>T</w:t>
      </w:r>
      <w:r>
        <w:rPr>
          <w:rFonts w:ascii="Cambria" w:hAnsi="Cambria"/>
        </w:rPr>
        <w:t>erminología</w:t>
      </w:r>
    </w:p>
    <w:p>
      <w:pPr>
        <w:pStyle w:val="BodyText"/>
        <w:spacing w:line="480" w:lineRule="auto" w:before="97"/>
        <w:ind w:left="152" w:right="112"/>
        <w:jc w:val="both"/>
      </w:pPr>
      <w:r>
        <w:rPr/>
        <w:t>CONVULSIÓN. Trastorno de la función cerebral con características de paroxismo transitorio, con tendencia recurrente y terminación espontánea generalmente con manifestaciones motoras (Bagley, 2005).</w:t>
      </w:r>
    </w:p>
    <w:p>
      <w:pPr>
        <w:pStyle w:val="BodyText"/>
        <w:spacing w:line="480" w:lineRule="auto" w:before="207"/>
        <w:ind w:left="152" w:right="110"/>
        <w:jc w:val="both"/>
      </w:pPr>
      <w:r>
        <w:rPr/>
        <w:t>CRISIS EPILÉTICA. Crisis cerebral que resulta de una descarga neuronal excesiva. Puede dividirse en generalizadas, focales, o focales con generalización secundaria (Pellegrino, 2003a).</w:t>
      </w:r>
    </w:p>
    <w:p>
      <w:pPr>
        <w:pStyle w:val="BodyText"/>
        <w:spacing w:line="480" w:lineRule="auto" w:before="212"/>
        <w:ind w:left="152" w:right="103"/>
        <w:jc w:val="both"/>
      </w:pPr>
      <w:r>
        <w:rPr/>
        <w:t>STATUS EPILÉPTICO. Convulsión continúa que dura más de 5 minutos; es </w:t>
      </w:r>
      <w:r>
        <w:rPr>
          <w:spacing w:val="-3"/>
        </w:rPr>
        <w:t>la </w:t>
      </w:r>
      <w:r>
        <w:rPr/>
        <w:t>estimación del tiempo necesario para causar daño cerebral o también se considera status 2 ó </w:t>
      </w:r>
      <w:r>
        <w:rPr>
          <w:spacing w:val="-4"/>
        </w:rPr>
        <w:t>más </w:t>
      </w:r>
      <w:r>
        <w:rPr/>
        <w:t>convulsiones discretas sin recuperación total de </w:t>
      </w:r>
      <w:r>
        <w:rPr>
          <w:spacing w:val="-5"/>
        </w:rPr>
        <w:t>la </w:t>
      </w:r>
      <w:r>
        <w:rPr/>
        <w:t>conciencia entre convulsión y convulsión. Estos casos son urgencias neurológicas (Thomas,</w:t>
      </w:r>
      <w:r>
        <w:rPr>
          <w:spacing w:val="-18"/>
        </w:rPr>
        <w:t> </w:t>
      </w:r>
      <w:r>
        <w:rPr/>
        <w:t>2010).</w:t>
      </w:r>
    </w:p>
    <w:p>
      <w:pPr>
        <w:pStyle w:val="BodyText"/>
        <w:spacing w:line="480" w:lineRule="auto" w:before="212"/>
        <w:ind w:left="152" w:right="110"/>
        <w:jc w:val="both"/>
      </w:pPr>
      <w:r>
        <w:rPr/>
        <w:t>CONVULSIONES EN RACIMO. (CLUSTER) Dos o más convulsiones que ocurren en un período corto (minutos a horas), en este caso el paciente recobra la conciencia entre convulsiones. Otros autores consideran convulsiones en racimo si ocurren dos o más crisis en un período de 24 horas o en dos o tres días. También llamadas convulsiones seriadas, convulsiones agudas repetitivas (Knowles, 1998).</w:t>
      </w:r>
    </w:p>
    <w:p>
      <w:pPr>
        <w:pStyle w:val="BodyText"/>
        <w:spacing w:before="10"/>
        <w:rPr>
          <w:sz w:val="21"/>
        </w:rPr>
      </w:pPr>
    </w:p>
    <w:p>
      <w:pPr>
        <w:pStyle w:val="Heading2"/>
        <w:numPr>
          <w:ilvl w:val="0"/>
          <w:numId w:val="3"/>
        </w:numPr>
        <w:tabs>
          <w:tab w:pos="2275" w:val="left" w:leader="none"/>
        </w:tabs>
        <w:spacing w:line="240" w:lineRule="auto" w:before="0" w:after="0"/>
        <w:ind w:left="2275" w:right="0" w:hanging="346"/>
        <w:jc w:val="left"/>
        <w:rPr>
          <w:rFonts w:ascii="Cambria" w:hAnsi="Cambria"/>
        </w:rPr>
      </w:pPr>
      <w:bookmarkStart w:name="_bookmark9" w:id="13"/>
      <w:bookmarkEnd w:id="13"/>
      <w:r>
        <w:rPr>
          <w:b w:val="0"/>
        </w:rPr>
      </w:r>
      <w:bookmarkStart w:name="_bookmark9" w:id="14"/>
      <w:bookmarkEnd w:id="14"/>
      <w:r>
        <w:rPr>
          <w:rFonts w:ascii="Cambria" w:hAnsi="Cambria"/>
        </w:rPr>
        <w:t>A</w:t>
      </w:r>
      <w:r>
        <w:rPr>
          <w:rFonts w:ascii="Cambria" w:hAnsi="Cambria"/>
        </w:rPr>
        <w:t>natomía cerebrocortical normal y</w:t>
      </w:r>
      <w:r>
        <w:rPr>
          <w:rFonts w:ascii="Cambria" w:hAnsi="Cambria"/>
          <w:spacing w:val="-27"/>
        </w:rPr>
        <w:t> </w:t>
      </w:r>
      <w:r>
        <w:rPr>
          <w:rFonts w:ascii="Cambria" w:hAnsi="Cambria"/>
        </w:rPr>
        <w:t>conectividad</w:t>
      </w:r>
    </w:p>
    <w:p>
      <w:pPr>
        <w:pStyle w:val="BodyText"/>
        <w:spacing w:line="480" w:lineRule="auto" w:before="102"/>
        <w:ind w:left="152" w:right="102"/>
        <w:jc w:val="both"/>
      </w:pPr>
      <w:r>
        <w:rPr/>
        <w:t>Disfunción cerebrocortical es la causa primaria de la epileptogénesis en animales. El conocimiento de la anatomía normal de la corteza cerebral y la citoarquitectura es fundamental para la comprensión de la epilepsia. La función normal del sistema nervioso</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8"/>
        <w:jc w:val="both"/>
      </w:pPr>
      <w:r>
        <w:rPr/>
        <w:t>central (SNC) se basa en la iniciación y la transmisión de impulsos excitatorios de una región a otra, la mayoría de las neuronas en el cerebro son excitatorias y utilizan el glutamato como su neurotransmisor excitatorio. En la corteza cerebral, las principales neuronas glutamaérgicas son neuronas piramidales, por la forma más o menos piramidal de sus cuerpos celulares figura 1 (March, 1998).</w:t>
      </w:r>
    </w:p>
    <w:p>
      <w:pPr>
        <w:pStyle w:val="BodyText"/>
        <w:spacing w:before="2"/>
        <w:rPr>
          <w:sz w:val="15"/>
        </w:rPr>
      </w:pPr>
      <w:r>
        <w:rPr/>
        <w:drawing>
          <wp:anchor distT="0" distB="0" distL="0" distR="0" allowOverlap="1" layoutInCell="1" locked="0" behindDoc="0" simplePos="0" relativeHeight="1168">
            <wp:simplePos x="0" y="0"/>
            <wp:positionH relativeFrom="page">
              <wp:posOffset>2377439</wp:posOffset>
            </wp:positionH>
            <wp:positionV relativeFrom="paragraph">
              <wp:posOffset>135575</wp:posOffset>
            </wp:positionV>
            <wp:extent cx="3250210" cy="4142613"/>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9" cstate="print"/>
                    <a:stretch>
                      <a:fillRect/>
                    </a:stretch>
                  </pic:blipFill>
                  <pic:spPr>
                    <a:xfrm>
                      <a:off x="0" y="0"/>
                      <a:ext cx="3250210" cy="414261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552" w:lineRule="exact" w:before="24"/>
        <w:ind w:left="3845" w:right="474" w:hanging="3314"/>
      </w:pPr>
      <w:r>
        <w:rPr/>
        <w:t>Figura 1. Ilustración de una neurona piramidal y sus componentes. Tomado de (March, 1998)</w:t>
      </w:r>
    </w:p>
    <w:p>
      <w:pPr>
        <w:spacing w:after="0" w:line="552" w:lineRule="exact"/>
        <w:sectPr>
          <w:pgSz w:w="12240" w:h="15840"/>
          <w:pgMar w:header="0" w:footer="2131" w:top="1500" w:bottom="2320" w:left="1720" w:right="1420"/>
        </w:sectPr>
      </w:pPr>
    </w:p>
    <w:p>
      <w:pPr>
        <w:pStyle w:val="BodyText"/>
        <w:spacing w:before="3"/>
        <w:rPr>
          <w:b/>
          <w:sz w:val="27"/>
        </w:rPr>
      </w:pPr>
    </w:p>
    <w:p>
      <w:pPr>
        <w:pStyle w:val="BodyText"/>
        <w:ind w:left="720"/>
        <w:rPr>
          <w:sz w:val="20"/>
        </w:rPr>
      </w:pPr>
      <w:r>
        <w:rPr>
          <w:sz w:val="20"/>
        </w:rPr>
        <w:drawing>
          <wp:inline distT="0" distB="0" distL="0" distR="0">
            <wp:extent cx="4878982" cy="5611558"/>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0" cstate="print"/>
                    <a:stretch>
                      <a:fillRect/>
                    </a:stretch>
                  </pic:blipFill>
                  <pic:spPr>
                    <a:xfrm>
                      <a:off x="0" y="0"/>
                      <a:ext cx="4878982" cy="5611558"/>
                    </a:xfrm>
                    <a:prstGeom prst="rect">
                      <a:avLst/>
                    </a:prstGeom>
                  </pic:spPr>
                </pic:pic>
              </a:graphicData>
            </a:graphic>
          </wp:inline>
        </w:drawing>
      </w:r>
      <w:r>
        <w:rPr>
          <w:sz w:val="20"/>
        </w:rPr>
      </w:r>
    </w:p>
    <w:p>
      <w:pPr>
        <w:pStyle w:val="BodyText"/>
        <w:spacing w:before="6"/>
        <w:rPr>
          <w:b/>
          <w:sz w:val="8"/>
        </w:rPr>
      </w:pPr>
    </w:p>
    <w:p>
      <w:pPr>
        <w:spacing w:line="480" w:lineRule="auto" w:before="69"/>
        <w:ind w:left="152" w:right="110" w:firstLine="0"/>
        <w:jc w:val="both"/>
        <w:rPr>
          <w:b/>
          <w:sz w:val="24"/>
        </w:rPr>
      </w:pPr>
      <w:r>
        <w:rPr>
          <w:b/>
          <w:sz w:val="24"/>
        </w:rPr>
        <w:t>Figura 2. Ilustración representativa de las 6 láminas cerebrocorticales y las características del tipo de neuronas presentes en cada una. Tomado de (De Lahunta et al, 2009)</w:t>
      </w:r>
    </w:p>
    <w:p>
      <w:pPr>
        <w:spacing w:after="0" w:line="480" w:lineRule="auto"/>
        <w:jc w:val="both"/>
        <w:rPr>
          <w:sz w:val="24"/>
        </w:rPr>
        <w:sectPr>
          <w:pgSz w:w="12240" w:h="15840"/>
          <w:pgMar w:header="0" w:footer="2131" w:top="1500" w:bottom="2320" w:left="1720" w:right="1420"/>
        </w:sectPr>
      </w:pPr>
    </w:p>
    <w:p>
      <w:pPr>
        <w:pStyle w:val="BodyText"/>
        <w:spacing w:before="7"/>
        <w:rPr>
          <w:b/>
          <w:sz w:val="20"/>
        </w:rPr>
      </w:pPr>
    </w:p>
    <w:p>
      <w:pPr>
        <w:pStyle w:val="BodyText"/>
        <w:spacing w:line="480" w:lineRule="auto" w:before="69"/>
        <w:ind w:left="152" w:right="103"/>
        <w:jc w:val="both"/>
      </w:pPr>
      <w:r>
        <w:rPr/>
        <w:t>Dentro de las 6 láminas cerebrocorticales, muchas neuronas piramidales residen en las láminas 2, 3 y 5, 6. (De Lahunta et al, 2009; Kandel y Schwartz, 1991) (Figura 2). Los procesos dendríticos y el soma de las neuronas piramidales reciben e integran las señales de entrada o aferentes. Si se despolariza la neurona a un nivel suficiente por entradas aferentes excitatorias, un potencial de acción se genera en la región del soma axonal y se propaga debajo por el axón primario y colateral. Neuronas piramidales de la lámina 2 y 3 envían proyecciones axonales a otras áreas corticales y neuronas piramidales de la lámina 5 y 6 (Figura 3). Neuronas piramidales en las láminas 5 y 6 proyectan a las áreas subcorticales (Kandel y Schwartz, 1991; Blume, 1993; Conners, 1998).</w:t>
      </w:r>
    </w:p>
    <w:p>
      <w:pPr>
        <w:spacing w:after="0" w:line="480" w:lineRule="auto"/>
        <w:jc w:val="both"/>
        <w:sectPr>
          <w:pgSz w:w="12240" w:h="15840"/>
          <w:pgMar w:header="0" w:footer="2131" w:top="1500" w:bottom="2320" w:left="1720" w:right="1420"/>
        </w:sectPr>
      </w:pPr>
    </w:p>
    <w:p>
      <w:pPr>
        <w:pStyle w:val="BodyText"/>
        <w:spacing w:before="3"/>
        <w:rPr>
          <w:sz w:val="27"/>
        </w:rPr>
      </w:pPr>
    </w:p>
    <w:p>
      <w:pPr>
        <w:pStyle w:val="BodyText"/>
        <w:ind w:left="152"/>
        <w:rPr>
          <w:sz w:val="20"/>
        </w:rPr>
      </w:pPr>
      <w:r>
        <w:rPr>
          <w:sz w:val="20"/>
        </w:rPr>
        <w:pict>
          <v:group style="width:442.3pt;height:395.8pt;mso-position-horizontal-relative:char;mso-position-vertical-relative:line" coordorigin="0,0" coordsize="8846,7916">
            <v:shape style="position:absolute;left:0;top:0;width:8846;height:7916" type="#_x0000_t75" stroked="false">
              <v:imagedata r:id="rId11" o:title=""/>
            </v:shape>
            <v:shape style="position:absolute;left:5094;top:538;width:401;height:377" type="#_x0000_t75" stroked="false">
              <v:imagedata r:id="rId12" o:title=""/>
            </v:shape>
            <v:shape style="position:absolute;left:3072;top:1602;width:419;height:360" coordorigin="3072,1602" coordsize="419,360" path="m3282,1602l3200,1616,3133,1655,3088,1712,3072,1782,3088,1852,3133,1909,3200,1948,3282,1962,3363,1948,3430,1909,3475,1852,3491,1782,3475,1712,3430,1655,3363,1616,3282,1602xe" filled="true" fillcolor="#ffffff" stroked="false">
              <v:path arrowok="t"/>
              <v:fill type="solid"/>
            </v:shape>
            <v:shape style="position:absolute;left:3072;top:1602;width:419;height:360" coordorigin="3072,1602" coordsize="419,360" path="m3282,1602l3200,1616,3133,1655,3088,1712,3072,1782,3088,1852,3133,1909,3200,1948,3282,1962,3363,1948,3430,1909,3475,1852,3491,1782,3475,1712,3430,1655,3363,1616,3282,1602xe" filled="false" stroked="true" strokeweight=".75pt" strokecolor="#000000">
              <v:path arrowok="t"/>
            </v:shape>
            <v:shape style="position:absolute;left:4833;top:2930;width:401;height:411" type="#_x0000_t75" stroked="false">
              <v:imagedata r:id="rId13" o:title=""/>
            </v:shape>
            <v:shape style="position:absolute;left:5101;top:4196;width:386;height:451" coordorigin="5101,4196" coordsize="386,451" path="m5294,4196l5233,4207,5180,4240,5138,4288,5111,4350,5101,4421,5111,4493,5138,4555,5180,4603,5233,4635,5294,4647,5355,4635,5408,4603,5450,4555,5477,4493,5487,4421,5477,4350,5450,4288,5408,4240,5355,4207,5294,4196xe" filled="true" fillcolor="#ffffff" stroked="false">
              <v:path arrowok="t"/>
              <v:fill type="solid"/>
            </v:shape>
            <v:shape style="position:absolute;left:5101;top:4196;width:386;height:451" coordorigin="5101,4196" coordsize="386,451" path="m5294,4196l5233,4207,5180,4240,5138,4288,5111,4350,5101,4421,5111,4493,5138,4555,5180,4603,5233,4635,5294,4647,5355,4635,5408,4603,5450,4555,5477,4493,5487,4421,5477,4350,5450,4288,5408,4240,5355,4207,5294,4196xe" filled="false" stroked="true" strokeweight=".75pt" strokecolor="#000000">
              <v:path arrowok="t"/>
            </v:shape>
            <v:shape style="position:absolute;left:5268;top:684;width:84;height:159" type="#_x0000_t202" filled="false" stroked="false">
              <v:textbox inset="0,0,0,0">
                <w:txbxContent>
                  <w:p>
                    <w:pPr>
                      <w:spacing w:line="158" w:lineRule="exact" w:before="0"/>
                      <w:ind w:left="0" w:right="0" w:firstLine="0"/>
                      <w:jc w:val="left"/>
                      <w:rPr>
                        <w:rFonts w:ascii="Calibri"/>
                        <w:b/>
                        <w:sz w:val="16"/>
                      </w:rPr>
                    </w:pPr>
                    <w:r>
                      <w:rPr>
                        <w:rFonts w:ascii="Calibri"/>
                        <w:b/>
                        <w:w w:val="98"/>
                        <w:sz w:val="16"/>
                      </w:rPr>
                      <w:t>C</w:t>
                    </w:r>
                  </w:p>
                </w:txbxContent>
              </v:textbox>
              <w10:wrap type="none"/>
            </v:shape>
            <v:shape style="position:absolute;left:3242;top:1745;width:89;height:159" type="#_x0000_t202" filled="false" stroked="false">
              <v:textbox inset="0,0,0,0">
                <w:txbxContent>
                  <w:p>
                    <w:pPr>
                      <w:spacing w:line="158" w:lineRule="exact" w:before="0"/>
                      <w:ind w:left="0" w:right="0" w:firstLine="0"/>
                      <w:jc w:val="left"/>
                      <w:rPr>
                        <w:rFonts w:ascii="Calibri"/>
                        <w:b/>
                        <w:sz w:val="16"/>
                      </w:rPr>
                    </w:pPr>
                    <w:r>
                      <w:rPr>
                        <w:rFonts w:ascii="Calibri"/>
                        <w:b/>
                        <w:w w:val="99"/>
                        <w:sz w:val="16"/>
                      </w:rPr>
                      <w:t>B</w:t>
                    </w:r>
                  </w:p>
                </w:txbxContent>
              </v:textbox>
              <w10:wrap type="none"/>
            </v:shape>
            <v:shape style="position:absolute;left:5009;top:3085;width:96;height:159" type="#_x0000_t202" filled="false" stroked="false">
              <v:textbox inset="0,0,0,0">
                <w:txbxContent>
                  <w:p>
                    <w:pPr>
                      <w:spacing w:line="158" w:lineRule="exact" w:before="0"/>
                      <w:ind w:left="0" w:right="0" w:firstLine="0"/>
                      <w:jc w:val="left"/>
                      <w:rPr>
                        <w:rFonts w:ascii="Calibri"/>
                        <w:b/>
                        <w:sz w:val="16"/>
                      </w:rPr>
                    </w:pPr>
                    <w:r>
                      <w:rPr>
                        <w:rFonts w:ascii="Calibri"/>
                        <w:b/>
                        <w:w w:val="98"/>
                        <w:sz w:val="16"/>
                      </w:rPr>
                      <w:t>A</w:t>
                    </w:r>
                  </w:p>
                </w:txbxContent>
              </v:textbox>
              <w10:wrap type="none"/>
            </v:shape>
            <v:shape style="position:absolute;left:5268;top:4352;width:100;height:159" type="#_x0000_t202" filled="false" stroked="false">
              <v:textbox inset="0,0,0,0">
                <w:txbxContent>
                  <w:p>
                    <w:pPr>
                      <w:spacing w:line="158" w:lineRule="exact" w:before="0"/>
                      <w:ind w:left="0" w:right="0" w:firstLine="0"/>
                      <w:jc w:val="left"/>
                      <w:rPr>
                        <w:rFonts w:ascii="Calibri"/>
                        <w:b/>
                        <w:sz w:val="16"/>
                      </w:rPr>
                    </w:pPr>
                    <w:r>
                      <w:rPr>
                        <w:rFonts w:ascii="Calibri"/>
                        <w:b/>
                        <w:w w:val="99"/>
                        <w:sz w:val="16"/>
                      </w:rPr>
                      <w:t>D</w:t>
                    </w:r>
                  </w:p>
                </w:txbxContent>
              </v:textbox>
              <w10:wrap type="none"/>
            </v:shape>
          </v:group>
        </w:pict>
      </w:r>
      <w:r>
        <w:rPr>
          <w:sz w:val="20"/>
        </w:rPr>
      </w:r>
    </w:p>
    <w:p>
      <w:pPr>
        <w:pStyle w:val="BodyText"/>
        <w:rPr>
          <w:sz w:val="20"/>
        </w:rPr>
      </w:pPr>
    </w:p>
    <w:p>
      <w:pPr>
        <w:pStyle w:val="BodyText"/>
        <w:spacing w:before="1"/>
        <w:rPr>
          <w:sz w:val="19"/>
        </w:rPr>
      </w:pPr>
    </w:p>
    <w:p>
      <w:pPr>
        <w:pStyle w:val="Heading2"/>
        <w:spacing w:line="360" w:lineRule="auto" w:before="1"/>
        <w:ind w:left="202" w:right="166"/>
        <w:jc w:val="center"/>
      </w:pPr>
      <w:r>
        <w:rPr/>
        <w:t>Figura 3. Neocorteza, que muestra algunos componentes celulares del entorno neural donde una convulsión ha iniciado. La excitación y la inhibición pre-alimentación. En la lámina IV la neurona tálamo-receptiva en "A" se activa por fibras talámicas entrantes. Esta neurona, a su vez, envía proyecciones axonales excitatorias de las neuronas B y C. La neurona piramidal B, excita otras neuronas, incluyendo las neuronas piramidales de las láminas V/VI (D) (excitación). Interneuronas no espinosas GABAérgicas “C” envían proyecciones inhibidoras a la neurona “B” (inhibición). (Modificada de March, 1998)</w:t>
      </w:r>
    </w:p>
    <w:p>
      <w:pPr>
        <w:spacing w:after="0" w:line="360" w:lineRule="auto"/>
        <w:jc w:val="center"/>
        <w:sectPr>
          <w:pgSz w:w="12240" w:h="15840"/>
          <w:pgMar w:header="0" w:footer="2131" w:top="1500" w:bottom="2320" w:left="1720" w:right="1420"/>
        </w:sectPr>
      </w:pPr>
    </w:p>
    <w:p>
      <w:pPr>
        <w:pStyle w:val="BodyText"/>
        <w:spacing w:before="7"/>
        <w:rPr>
          <w:b/>
          <w:sz w:val="20"/>
        </w:rPr>
      </w:pPr>
    </w:p>
    <w:p>
      <w:pPr>
        <w:pStyle w:val="BodyText"/>
        <w:spacing w:line="480" w:lineRule="auto" w:before="69"/>
        <w:ind w:left="152" w:right="102"/>
        <w:jc w:val="both"/>
      </w:pPr>
      <w:r>
        <w:rPr/>
        <w:t>Normalmente, </w:t>
      </w:r>
      <w:r>
        <w:rPr>
          <w:spacing w:val="-3"/>
        </w:rPr>
        <w:t>las </w:t>
      </w:r>
      <w:r>
        <w:rPr/>
        <w:t>neuronas piramidales corticales son excitadas por el tálamo-cortical (fibras aferentes originadas en el tálamo y proyectadas a </w:t>
      </w:r>
      <w:r>
        <w:rPr>
          <w:spacing w:val="-3"/>
        </w:rPr>
        <w:t>la </w:t>
      </w:r>
      <w:r>
        <w:rPr/>
        <w:t>corteza) o aferentes procedentes de otra área </w:t>
      </w:r>
      <w:r>
        <w:rPr>
          <w:spacing w:val="-2"/>
        </w:rPr>
        <w:t>cortical. </w:t>
      </w:r>
      <w:r>
        <w:rPr/>
        <w:t>La principal vía de excitación es indirecta en combinación con interneuronas espinosas glutamaérgicas en </w:t>
      </w:r>
      <w:r>
        <w:rPr>
          <w:spacing w:val="-3"/>
        </w:rPr>
        <w:t>la </w:t>
      </w:r>
      <w:r>
        <w:rPr/>
        <w:t>lámina 4 que reciben </w:t>
      </w:r>
      <w:r>
        <w:rPr>
          <w:spacing w:val="-3"/>
        </w:rPr>
        <w:t>la </w:t>
      </w:r>
      <w:r>
        <w:rPr/>
        <w:t>información aferente </w:t>
      </w:r>
      <w:r>
        <w:rPr>
          <w:spacing w:val="-5"/>
        </w:rPr>
        <w:t>y, </w:t>
      </w:r>
      <w:r>
        <w:rPr/>
        <w:t>a su vez, excitan neuronas piramidales vecinas de las láminas 2, 3 y 5, 6. (Kandel y Schwartz, 1991; Conners, 1998) </w:t>
      </w:r>
      <w:r>
        <w:rPr>
          <w:spacing w:val="-3"/>
        </w:rPr>
        <w:t>las </w:t>
      </w:r>
      <w:r>
        <w:rPr/>
        <w:t>neuronas estrelladas espinosas también pueden excitar o inhibir las interneuronas que, a su vez, inhiben neuronas vecinas (Figura 3). (Conners, 1998).</w:t>
      </w:r>
    </w:p>
    <w:p>
      <w:pPr>
        <w:pStyle w:val="BodyText"/>
        <w:spacing w:line="480" w:lineRule="auto" w:before="212"/>
        <w:ind w:left="152" w:right="108"/>
        <w:jc w:val="both"/>
      </w:pPr>
      <w:r>
        <w:rPr/>
        <w:t>Muchas neuronas inhibitorias también envían axones colaterales a más neuronas piramidales distantes en zonas corticales adyacentes. Esta inhibición lateral resulta en la formación de un área inexcitable fuera de la zona blanco (target zone) aferente primaria llamado "inhibidor marginal” (Fenner, 1989). Otra forma de inhibición de las neuronas piramidales es "inhibición por retroalimentación”. La activación de neuronas piramidales excita a las interneuronas inhibitorias y estas a su vez inhiben por retroalimentación a las neuronas piramidales que habían causado su activación (Conners, 1998; Knowles y Luders, 1993). Bajo circunstancias normales, todos estos circuitos inhibitorios locales y regionales modulan la actividad dentro de la corteza cerebral y previenen la propagación anormal de la actividad excitatoria (March, 1998).</w:t>
      </w:r>
    </w:p>
    <w:p>
      <w:pPr>
        <w:pStyle w:val="BodyText"/>
        <w:spacing w:before="2"/>
        <w:rPr>
          <w:sz w:val="22"/>
        </w:rPr>
      </w:pPr>
    </w:p>
    <w:p>
      <w:pPr>
        <w:pStyle w:val="Heading2"/>
        <w:numPr>
          <w:ilvl w:val="0"/>
          <w:numId w:val="3"/>
        </w:numPr>
        <w:tabs>
          <w:tab w:pos="2275" w:val="left" w:leader="none"/>
        </w:tabs>
        <w:spacing w:line="240" w:lineRule="auto" w:before="1" w:after="0"/>
        <w:ind w:left="2275" w:right="0" w:hanging="346"/>
        <w:jc w:val="left"/>
        <w:rPr>
          <w:rFonts w:ascii="Cambria" w:hAnsi="Cambria"/>
        </w:rPr>
      </w:pPr>
      <w:bookmarkStart w:name="_bookmark10" w:id="15"/>
      <w:bookmarkEnd w:id="15"/>
      <w:r>
        <w:rPr>
          <w:b w:val="0"/>
        </w:rPr>
      </w:r>
      <w:bookmarkStart w:name="_bookmark10" w:id="16"/>
      <w:bookmarkEnd w:id="16"/>
      <w:r>
        <w:rPr>
          <w:rFonts w:ascii="Cambria" w:hAnsi="Cambria"/>
        </w:rPr>
        <w:t>F</w:t>
      </w:r>
      <w:r>
        <w:rPr>
          <w:rFonts w:ascii="Cambria" w:hAnsi="Cambria"/>
        </w:rPr>
        <w:t>isiopatología Básica De La Excitabilidad</w:t>
      </w:r>
      <w:r>
        <w:rPr>
          <w:rFonts w:ascii="Cambria" w:hAnsi="Cambria"/>
          <w:spacing w:val="-31"/>
        </w:rPr>
        <w:t> </w:t>
      </w:r>
      <w:r>
        <w:rPr>
          <w:rFonts w:ascii="Cambria" w:hAnsi="Cambria"/>
        </w:rPr>
        <w:t>Neuronal</w:t>
      </w:r>
    </w:p>
    <w:p>
      <w:pPr>
        <w:pStyle w:val="BodyText"/>
        <w:spacing w:before="97"/>
        <w:ind w:left="152"/>
        <w:jc w:val="both"/>
      </w:pPr>
      <w:r>
        <w:rPr/>
        <w:t>Las convulsiones son el resultado final de un estado de mayor excitabilidad    neuronal y de</w:t>
      </w:r>
    </w:p>
    <w:p>
      <w:pPr>
        <w:pStyle w:val="BodyText"/>
      </w:pPr>
    </w:p>
    <w:p>
      <w:pPr>
        <w:pStyle w:val="BodyText"/>
        <w:ind w:left="152"/>
        <w:jc w:val="both"/>
      </w:pPr>
      <w:r>
        <w:rPr/>
        <w:t>sincronización.  La  función  normal  </w:t>
      </w:r>
      <w:r>
        <w:rPr>
          <w:spacing w:val="2"/>
        </w:rPr>
        <w:t>del  </w:t>
      </w:r>
      <w:r>
        <w:rPr/>
        <w:t>cerebro  es  mantener  una  excitabilidad </w:t>
      </w:r>
      <w:r>
        <w:rPr>
          <w:spacing w:val="55"/>
        </w:rPr>
        <w:t> </w:t>
      </w:r>
      <w:r>
        <w:rPr/>
        <w:t>integral</w:t>
      </w:r>
    </w:p>
    <w:p>
      <w:pPr>
        <w:spacing w:after="0"/>
        <w:jc w:val="both"/>
        <w:sectPr>
          <w:footerReference w:type="default" r:id="rId14"/>
          <w:pgSz w:w="12240" w:h="15840"/>
          <w:pgMar w:footer="2131" w:header="0" w:top="1500" w:bottom="2320" w:left="1720" w:right="1420"/>
        </w:sectPr>
      </w:pPr>
    </w:p>
    <w:p>
      <w:pPr>
        <w:pStyle w:val="BodyText"/>
        <w:spacing w:before="7"/>
        <w:rPr>
          <w:sz w:val="20"/>
        </w:rPr>
      </w:pPr>
    </w:p>
    <w:p>
      <w:pPr>
        <w:pStyle w:val="BodyText"/>
        <w:spacing w:line="480" w:lineRule="auto" w:before="69"/>
        <w:ind w:left="152" w:right="100"/>
        <w:jc w:val="both"/>
      </w:pPr>
      <w:r>
        <w:rPr/>
        <w:t>intrínseca de los conjuntos neuronales. Pequeños cambios en </w:t>
      </w:r>
      <w:r>
        <w:rPr>
          <w:spacing w:val="-3"/>
        </w:rPr>
        <w:t>la </w:t>
      </w:r>
      <w:r>
        <w:rPr/>
        <w:t>excitabilidad neuronal </w:t>
      </w:r>
      <w:r>
        <w:rPr>
          <w:spacing w:val="2"/>
        </w:rPr>
        <w:t>del </w:t>
      </w:r>
      <w:r>
        <w:rPr/>
        <w:t>circuito debido al aumento de excitabilidad inherente, el aumento de  </w:t>
      </w:r>
      <w:r>
        <w:rPr>
          <w:spacing w:val="-5"/>
        </w:rPr>
        <w:t>la  </w:t>
      </w:r>
      <w:r>
        <w:rPr/>
        <w:t>excitación recurrente o </w:t>
      </w:r>
      <w:r>
        <w:rPr>
          <w:spacing w:val="-5"/>
        </w:rPr>
        <w:t>la </w:t>
      </w:r>
      <w:r>
        <w:rPr/>
        <w:t>inhibición recurrente deficiente puede ser todo </w:t>
      </w:r>
      <w:r>
        <w:rPr>
          <w:spacing w:val="-5"/>
        </w:rPr>
        <w:t>lo </w:t>
      </w:r>
      <w:r>
        <w:rPr/>
        <w:t>que se requiere para que se produzca </w:t>
      </w:r>
      <w:r>
        <w:rPr>
          <w:spacing w:val="-5"/>
        </w:rPr>
        <w:t>la </w:t>
      </w:r>
      <w:r>
        <w:rPr/>
        <w:t>actividad epileptiforme. En otras palabras, un ligero aumento o reducción de </w:t>
      </w:r>
      <w:r>
        <w:rPr>
          <w:spacing w:val="-5"/>
        </w:rPr>
        <w:t>la </w:t>
      </w:r>
      <w:r>
        <w:rPr/>
        <w:t>función cerebrocortical normal podría inducir una convulsión (Meldrum, 1994). Por esta razón, el conocimiento de </w:t>
      </w:r>
      <w:r>
        <w:rPr>
          <w:spacing w:val="-4"/>
        </w:rPr>
        <w:t>las</w:t>
      </w:r>
      <w:r>
        <w:rPr>
          <w:spacing w:val="52"/>
        </w:rPr>
        <w:t> </w:t>
      </w:r>
      <w:r>
        <w:rPr/>
        <w:t>propiedades neuronales normales es </w:t>
      </w:r>
      <w:r>
        <w:rPr>
          <w:spacing w:val="-3"/>
        </w:rPr>
        <w:t>la </w:t>
      </w:r>
      <w:r>
        <w:rPr/>
        <w:t>clave para </w:t>
      </w:r>
      <w:r>
        <w:rPr>
          <w:spacing w:val="-3"/>
        </w:rPr>
        <w:t>la </w:t>
      </w:r>
      <w:r>
        <w:rPr/>
        <w:t>comprensión de </w:t>
      </w:r>
      <w:r>
        <w:rPr>
          <w:spacing w:val="-5"/>
        </w:rPr>
        <w:t>la </w:t>
      </w:r>
      <w:r>
        <w:rPr/>
        <w:t>epileptogénesis.</w:t>
      </w:r>
    </w:p>
    <w:p>
      <w:pPr>
        <w:pStyle w:val="BodyText"/>
        <w:spacing w:line="480" w:lineRule="auto" w:before="212"/>
        <w:ind w:left="152" w:right="101"/>
        <w:jc w:val="both"/>
      </w:pPr>
      <w:r>
        <w:rPr/>
        <w:t>La neurona está polarizada en estado de reposo, el interior de </w:t>
      </w:r>
      <w:r>
        <w:rPr>
          <w:spacing w:val="-3"/>
        </w:rPr>
        <w:t>la </w:t>
      </w:r>
      <w:r>
        <w:rPr/>
        <w:t>célula debe ser </w:t>
      </w:r>
      <w:r>
        <w:rPr>
          <w:spacing w:val="-3"/>
        </w:rPr>
        <w:t>más </w:t>
      </w:r>
      <w:r>
        <w:rPr/>
        <w:t>negativo que el exterior. Este potencial de membrana en reposo de aproximadamente -70 milivoltios se mantiene por una permeabilidad selectiva de </w:t>
      </w:r>
      <w:r>
        <w:rPr>
          <w:spacing w:val="-5"/>
        </w:rPr>
        <w:t>la </w:t>
      </w:r>
      <w:r>
        <w:rPr/>
        <w:t>membrana  plasmática  a ciertos </w:t>
      </w:r>
      <w:r>
        <w:rPr>
          <w:spacing w:val="-3"/>
        </w:rPr>
        <w:t>iones, </w:t>
      </w:r>
      <w:r>
        <w:rPr>
          <w:spacing w:val="-5"/>
        </w:rPr>
        <w:t>la </w:t>
      </w:r>
      <w:r>
        <w:rPr/>
        <w:t>retención de </w:t>
      </w:r>
      <w:r>
        <w:rPr>
          <w:spacing w:val="-3"/>
        </w:rPr>
        <w:t>más </w:t>
      </w:r>
      <w:r>
        <w:rPr/>
        <w:t>aniones orgánicos en el interior de </w:t>
      </w:r>
      <w:r>
        <w:rPr>
          <w:spacing w:val="-5"/>
        </w:rPr>
        <w:t>la </w:t>
      </w:r>
      <w:r>
        <w:rPr/>
        <w:t>célula  que en su parte exterior, y por </w:t>
      </w:r>
      <w:r>
        <w:rPr>
          <w:spacing w:val="-5"/>
        </w:rPr>
        <w:t>la </w:t>
      </w:r>
      <w:r>
        <w:rPr/>
        <w:t>bomba de sodio-potasio dependiente de energía. La bomba de sodio potasio expulsa fuera de </w:t>
      </w:r>
      <w:r>
        <w:rPr>
          <w:spacing w:val="-3"/>
        </w:rPr>
        <w:t>la </w:t>
      </w:r>
      <w:r>
        <w:rPr/>
        <w:t>célula sodio e introduce potasio en una relación de 3:2. </w:t>
      </w:r>
      <w:r>
        <w:rPr>
          <w:spacing w:val="3"/>
        </w:rPr>
        <w:t>El </w:t>
      </w:r>
      <w:r>
        <w:rPr/>
        <w:t>potencial transmembrana es requerido para mantener un nivel alto de potasio intracelular y </w:t>
      </w:r>
      <w:r>
        <w:rPr>
          <w:spacing w:val="-3"/>
        </w:rPr>
        <w:t>bajo </w:t>
      </w:r>
      <w:r>
        <w:rPr/>
        <w:t>extracelular. En reposo, </w:t>
      </w:r>
      <w:r>
        <w:rPr>
          <w:spacing w:val="-5"/>
        </w:rPr>
        <w:t>la </w:t>
      </w:r>
      <w:r>
        <w:rPr/>
        <w:t>membrana celular es muy permeable al potasio y muy poco permeable al sodio y otros cationes (Heinemann y Eder, 1998). Al cambiar </w:t>
      </w:r>
      <w:r>
        <w:rPr>
          <w:spacing w:val="-3"/>
        </w:rPr>
        <w:t>la  </w:t>
      </w:r>
      <w:r>
        <w:rPr/>
        <w:t>permeabilidad de </w:t>
      </w:r>
      <w:r>
        <w:rPr>
          <w:spacing w:val="-3"/>
        </w:rPr>
        <w:t>la </w:t>
      </w:r>
      <w:r>
        <w:rPr/>
        <w:t>célula por el sodio o el calcio el resultado es flujo de cargas positivas y un estado de despolarización. Una onda de despolarización se propaga posteriormente a otras partes de </w:t>
      </w:r>
      <w:r>
        <w:rPr>
          <w:spacing w:val="-3"/>
        </w:rPr>
        <w:t>la </w:t>
      </w:r>
      <w:r>
        <w:rPr/>
        <w:t>célula en forma de un potencial postsináptico excitatorio o potencial de acción  (Heinemann  y  Eder,  1998;  Kimura,  1989).  Si  </w:t>
      </w:r>
      <w:r>
        <w:rPr>
          <w:spacing w:val="-3"/>
        </w:rPr>
        <w:t>la  </w:t>
      </w:r>
      <w:r>
        <w:rPr/>
        <w:t>membrana  plasmática  se</w:t>
      </w:r>
      <w:r>
        <w:rPr>
          <w:spacing w:val="-18"/>
        </w:rPr>
        <w:t> </w:t>
      </w:r>
      <w:r>
        <w:rPr/>
        <w:t>hace</w:t>
      </w:r>
    </w:p>
    <w:p>
      <w:pPr>
        <w:pStyle w:val="BodyText"/>
        <w:spacing w:before="10"/>
        <w:ind w:left="152"/>
        <w:jc w:val="both"/>
      </w:pPr>
      <w:r>
        <w:rPr/>
        <w:t>permeable selectivamente al anión cloruro, la célula se hiperpolariza debido al flujo de  una</w:t>
      </w:r>
    </w:p>
    <w:p>
      <w:pPr>
        <w:spacing w:after="0"/>
        <w:jc w:val="both"/>
        <w:sectPr>
          <w:footerReference w:type="default" r:id="rId15"/>
          <w:pgSz w:w="12240" w:h="15840"/>
          <w:pgMar w:footer="2131" w:header="0" w:top="1500" w:bottom="2320" w:left="1720" w:right="1420"/>
          <w:pgNumType w:start="11"/>
        </w:sectPr>
      </w:pPr>
    </w:p>
    <w:p>
      <w:pPr>
        <w:pStyle w:val="BodyText"/>
        <w:spacing w:before="7"/>
        <w:rPr>
          <w:sz w:val="20"/>
        </w:rPr>
      </w:pPr>
    </w:p>
    <w:p>
      <w:pPr>
        <w:pStyle w:val="BodyText"/>
        <w:spacing w:line="480" w:lineRule="auto" w:before="69"/>
        <w:ind w:left="152" w:right="103"/>
        <w:jc w:val="both"/>
      </w:pPr>
      <w:r>
        <w:rPr/>
        <w:t>carga negativa, y el potencial postsináptico inhibitorio es generado. Se logra el </w:t>
      </w:r>
      <w:r>
        <w:rPr>
          <w:spacing w:val="-3"/>
        </w:rPr>
        <w:t>mismo</w:t>
      </w:r>
      <w:r>
        <w:rPr>
          <w:spacing w:val="54"/>
        </w:rPr>
        <w:t> </w:t>
      </w:r>
      <w:r>
        <w:rPr/>
        <w:t>estado de hiperpolarización si se activan los canales de salida de potasio (pérdida intracelular de cargas positivas), sin embargo, en circunstancias normales, </w:t>
      </w:r>
      <w:r>
        <w:rPr>
          <w:spacing w:val="-5"/>
        </w:rPr>
        <w:t>la </w:t>
      </w:r>
      <w:r>
        <w:rPr/>
        <w:t>activación de este </w:t>
      </w:r>
      <w:r>
        <w:rPr>
          <w:spacing w:val="-3"/>
        </w:rPr>
        <w:t>flujo </w:t>
      </w:r>
      <w:r>
        <w:rPr/>
        <w:t>se retrasa con respecto a </w:t>
      </w:r>
      <w:r>
        <w:rPr>
          <w:spacing w:val="-5"/>
        </w:rPr>
        <w:t>la </w:t>
      </w:r>
      <w:r>
        <w:rPr/>
        <w:t>activación de </w:t>
      </w:r>
      <w:r>
        <w:rPr>
          <w:spacing w:val="-4"/>
        </w:rPr>
        <w:t>las </w:t>
      </w:r>
      <w:r>
        <w:rPr/>
        <w:t>corrientes de cloruro. Muchos de los canales iónicos en las membranas plasmáticas neuronales actúan con un ligando dependiente de voltaje. Los neurotransmisores liberados presinápticamente activan los canales iónicos por ligandos postsinápticos mientras que los cambios en </w:t>
      </w:r>
      <w:r>
        <w:rPr>
          <w:spacing w:val="-3"/>
        </w:rPr>
        <w:t>la </w:t>
      </w:r>
      <w:r>
        <w:rPr/>
        <w:t>polarización de </w:t>
      </w:r>
      <w:r>
        <w:rPr>
          <w:spacing w:val="-3"/>
        </w:rPr>
        <w:t>la </w:t>
      </w:r>
      <w:r>
        <w:rPr/>
        <w:t>membrana activan una variedad de canales iónicos dependientes de voltaje. Otros canales pueden ser inhibidos por cambios en los niveles de calcio intracelular. La distribución de  los tipos de canales varía según </w:t>
      </w:r>
      <w:r>
        <w:rPr>
          <w:spacing w:val="-3"/>
        </w:rPr>
        <w:t>la </w:t>
      </w:r>
      <w:r>
        <w:rPr/>
        <w:t>región de </w:t>
      </w:r>
      <w:r>
        <w:rPr>
          <w:spacing w:val="-3"/>
        </w:rPr>
        <w:t>la </w:t>
      </w:r>
      <w:r>
        <w:rPr/>
        <w:t>neurona. Por ejemplo, las regiones postsinápticas de las espinas dendríticas pueden contener canales de iones que se inhiben por ligandos para glutamato o </w:t>
      </w:r>
      <w:r>
        <w:rPr>
          <w:spacing w:val="-3"/>
        </w:rPr>
        <w:t>ácido </w:t>
      </w:r>
      <w:r>
        <w:rPr/>
        <w:t>gama-aminobutírico </w:t>
      </w:r>
      <w:r>
        <w:rPr>
          <w:spacing w:val="-3"/>
        </w:rPr>
        <w:t>(GABA) </w:t>
      </w:r>
      <w:r>
        <w:rPr/>
        <w:t>o por cambios de voltaje. Los canales de sodio cerrados por el glutamato incluyen el kainato </w:t>
      </w:r>
      <w:r>
        <w:rPr>
          <w:spacing w:val="-3"/>
        </w:rPr>
        <w:t>(KA) </w:t>
      </w:r>
      <w:r>
        <w:rPr/>
        <w:t>y ácido propiónico alfa-amino-3-hidroxi-5-metil-4-isoxazol (AMPA) y subtipos de canales N-metil-D- aspartato (NMDA) (Heinemann y Eder,</w:t>
      </w:r>
      <w:r>
        <w:rPr>
          <w:spacing w:val="-12"/>
        </w:rPr>
        <w:t> </w:t>
      </w:r>
      <w:r>
        <w:rPr/>
        <w:t>1998).</w:t>
      </w:r>
    </w:p>
    <w:p>
      <w:pPr>
        <w:pStyle w:val="BodyText"/>
        <w:spacing w:line="480" w:lineRule="auto" w:before="207"/>
        <w:ind w:left="152" w:right="99"/>
        <w:jc w:val="both"/>
      </w:pPr>
      <w:r>
        <w:rPr/>
        <w:t>Los receptores (NMDA), median el flujo de los canales de sodio y calcio y son también activados por el glutamato. En general, los canales de NMDA son activados por un umbral más alto que los canales que no pertenecen a este grupo, lo cual contribuye a los componentes posteriores del potencial postsináptico (Kandel y Schwartz, 1991). Un importante canal de calcio dependiente de voltaje también existe en la estructura  dendrítica</w:t>
      </w:r>
    </w:p>
    <w:p>
      <w:pPr>
        <w:pStyle w:val="BodyText"/>
        <w:spacing w:before="10"/>
        <w:ind w:left="152"/>
        <w:jc w:val="both"/>
      </w:pPr>
      <w:r>
        <w:rPr/>
        <w:t>y se activa cuando la despolarización parcial celular se lleva a cabo. La entrada de calcio   a</w:t>
      </w:r>
    </w:p>
    <w:p>
      <w:pPr>
        <w:spacing w:after="0"/>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5"/>
        <w:jc w:val="both"/>
      </w:pPr>
      <w:r>
        <w:rPr/>
        <w:t>través de estos canales da como resultado un aumento en la despolarización celular dentro de los procesos dendríticos (Conners, 1998).</w:t>
      </w:r>
    </w:p>
    <w:p>
      <w:pPr>
        <w:pStyle w:val="BodyText"/>
        <w:spacing w:line="480" w:lineRule="auto" w:before="211"/>
        <w:ind w:left="152" w:right="105"/>
        <w:jc w:val="both"/>
      </w:pPr>
      <w:r>
        <w:rPr>
          <w:position w:val="2"/>
        </w:rPr>
        <w:t>Los receptores GABA</w:t>
      </w:r>
      <w:r>
        <w:rPr>
          <w:sz w:val="16"/>
        </w:rPr>
        <w:t>A </w:t>
      </w:r>
      <w:r>
        <w:rPr>
          <w:position w:val="2"/>
        </w:rPr>
        <w:t>postsinápticos cierran los canales de cloruro en la región del soma </w:t>
      </w:r>
      <w:r>
        <w:rPr/>
        <w:t>celular y ejes dendríticos. El GABA es el principal neurotransmisor inhibidor del cerebro y sus acciones resultan en la generación de un potencial de acción inhibitorio postsináptico. </w:t>
      </w:r>
      <w:r>
        <w:rPr>
          <w:position w:val="2"/>
        </w:rPr>
        <w:t>Los receptores de GABA</w:t>
      </w:r>
      <w:r>
        <w:rPr>
          <w:sz w:val="16"/>
        </w:rPr>
        <w:t>B </w:t>
      </w:r>
      <w:r>
        <w:rPr>
          <w:position w:val="2"/>
        </w:rPr>
        <w:t>postsinápticos son una puerta hacia el exterior de los canales de </w:t>
      </w:r>
      <w:r>
        <w:rPr/>
        <w:t>potasio en las dendritas. Los canales de potasio y calcio dependientes de voltaje también se encuentran localizados en los procesos dendríticos y axonales (Fig. 4) (Heinemann y Eder, 1998; MacDonald, 1998).</w:t>
      </w:r>
    </w:p>
    <w:p>
      <w:pPr>
        <w:spacing w:after="0" w:line="480" w:lineRule="auto"/>
        <w:jc w:val="both"/>
        <w:sectPr>
          <w:pgSz w:w="12240" w:h="15840"/>
          <w:pgMar w:header="0" w:footer="2131" w:top="1500" w:bottom="2320" w:left="1720" w:right="1420"/>
        </w:sectPr>
      </w:pPr>
    </w:p>
    <w:p>
      <w:pPr>
        <w:pStyle w:val="BodyText"/>
        <w:spacing w:before="3"/>
        <w:rPr>
          <w:sz w:val="27"/>
        </w:rPr>
      </w:pPr>
    </w:p>
    <w:p>
      <w:pPr>
        <w:pStyle w:val="BodyText"/>
        <w:ind w:left="1726"/>
        <w:rPr>
          <w:sz w:val="20"/>
        </w:rPr>
      </w:pPr>
      <w:r>
        <w:rPr>
          <w:sz w:val="20"/>
        </w:rPr>
        <w:drawing>
          <wp:inline distT="0" distB="0" distL="0" distR="0">
            <wp:extent cx="3621188" cy="4162329"/>
            <wp:effectExtent l="0" t="0" r="0" b="0"/>
            <wp:docPr id="9" name="image7.png" descr=""/>
            <wp:cNvGraphicFramePr>
              <a:graphicFrameLocks noChangeAspect="1"/>
            </wp:cNvGraphicFramePr>
            <a:graphic>
              <a:graphicData uri="http://schemas.openxmlformats.org/drawingml/2006/picture">
                <pic:pic>
                  <pic:nvPicPr>
                    <pic:cNvPr id="10" name="image7.png"/>
                    <pic:cNvPicPr/>
                  </pic:nvPicPr>
                  <pic:blipFill>
                    <a:blip r:embed="rId16" cstate="print"/>
                    <a:stretch>
                      <a:fillRect/>
                    </a:stretch>
                  </pic:blipFill>
                  <pic:spPr>
                    <a:xfrm>
                      <a:off x="0" y="0"/>
                      <a:ext cx="3621188" cy="4162329"/>
                    </a:xfrm>
                    <a:prstGeom prst="rect">
                      <a:avLst/>
                    </a:prstGeom>
                  </pic:spPr>
                </pic:pic>
              </a:graphicData>
            </a:graphic>
          </wp:inline>
        </w:drawing>
      </w:r>
      <w:r>
        <w:rPr>
          <w:sz w:val="20"/>
        </w:rPr>
      </w:r>
    </w:p>
    <w:p>
      <w:pPr>
        <w:pStyle w:val="BodyText"/>
        <w:rPr>
          <w:sz w:val="20"/>
        </w:rPr>
      </w:pPr>
    </w:p>
    <w:p>
      <w:pPr>
        <w:pStyle w:val="BodyText"/>
        <w:spacing w:before="8"/>
        <w:rPr>
          <w:sz w:val="19"/>
        </w:rPr>
      </w:pPr>
    </w:p>
    <w:p>
      <w:pPr>
        <w:pStyle w:val="Heading2"/>
        <w:spacing w:line="432" w:lineRule="auto" w:before="1"/>
        <w:ind w:left="167" w:right="120" w:hanging="5"/>
        <w:jc w:val="center"/>
      </w:pPr>
      <w:r>
        <w:rPr/>
        <w:t>Figura 4. Sinapsis glutamaérgicas y gabaérgicas. El glutamato se libera en la membrana presináptica por las neuronas excitatorias para activar postsinápticamente los receptores en las espinas dendríticas de NMDA, AMPA, y kainato. El glutamato es absorbido por los astrocitos presinápticos. Los astrocitos convierten el glutamato en glutamina o α-ketoglutarato que luego se recicla de nuevo al axón terminal para la reconversión de nuevo a glutamato. Receptores de GABA están situados en los ejes </w:t>
      </w:r>
      <w:r>
        <w:rPr>
          <w:position w:val="2"/>
        </w:rPr>
        <w:t>dendríticos y en el soma celular. El receptor GABA</w:t>
      </w:r>
      <w:r>
        <w:rPr>
          <w:sz w:val="16"/>
        </w:rPr>
        <w:t>A </w:t>
      </w:r>
      <w:r>
        <w:rPr>
          <w:position w:val="2"/>
        </w:rPr>
        <w:t>también contiene sitios de unión </w:t>
      </w:r>
      <w:r>
        <w:rPr/>
        <w:t>para las benzodiacepinas y los barbitúricos que aumentan el flujo de cloruro a través de los canales de cloro. Tomada de (March, 1998).</w:t>
      </w:r>
    </w:p>
    <w:p>
      <w:pPr>
        <w:spacing w:after="0" w:line="432" w:lineRule="auto"/>
        <w:jc w:val="center"/>
        <w:sectPr>
          <w:pgSz w:w="12240" w:h="15840"/>
          <w:pgMar w:header="0" w:footer="2131" w:top="1500" w:bottom="2320" w:left="1720" w:right="1420"/>
        </w:sectPr>
      </w:pPr>
    </w:p>
    <w:p>
      <w:pPr>
        <w:pStyle w:val="BodyText"/>
        <w:spacing w:before="7"/>
        <w:rPr>
          <w:b/>
          <w:sz w:val="20"/>
        </w:rPr>
      </w:pPr>
    </w:p>
    <w:p>
      <w:pPr>
        <w:pStyle w:val="BodyText"/>
        <w:spacing w:line="480" w:lineRule="auto" w:before="69"/>
        <w:ind w:left="152" w:right="99"/>
        <w:jc w:val="both"/>
      </w:pPr>
      <w:r>
        <w:rPr/>
        <w:t>La suma espacial y temporal del potencial excitatorio post  sináptico en </w:t>
      </w:r>
      <w:r>
        <w:rPr>
          <w:spacing w:val="-3"/>
        </w:rPr>
        <w:t>la </w:t>
      </w:r>
      <w:r>
        <w:rPr/>
        <w:t>zona dendrítica  de una neurona puede despolarizar </w:t>
      </w:r>
      <w:r>
        <w:rPr>
          <w:spacing w:val="-3"/>
        </w:rPr>
        <w:t>la </w:t>
      </w:r>
      <w:r>
        <w:rPr/>
        <w:t>célula o el "umbral" y conducir a </w:t>
      </w:r>
      <w:r>
        <w:rPr>
          <w:spacing w:val="-3"/>
        </w:rPr>
        <w:t>la </w:t>
      </w:r>
      <w:r>
        <w:rPr/>
        <w:t>generación de un potencial de acción en </w:t>
      </w:r>
      <w:r>
        <w:rPr>
          <w:spacing w:val="-3"/>
        </w:rPr>
        <w:t>la </w:t>
      </w:r>
      <w:r>
        <w:rPr/>
        <w:t>región inicial. </w:t>
      </w:r>
      <w:r>
        <w:rPr>
          <w:spacing w:val="-3"/>
        </w:rPr>
        <w:t>Aquí, la </w:t>
      </w:r>
      <w:r>
        <w:rPr/>
        <w:t>membrana es rica en canales de sodio dependientes de voltaje sensibles a diferentes niveles de despolarización. El flujo de sodio genera un potencial de acción que se propaga a </w:t>
      </w:r>
      <w:r>
        <w:rPr>
          <w:spacing w:val="-5"/>
        </w:rPr>
        <w:t>lo </w:t>
      </w:r>
      <w:r>
        <w:rPr/>
        <w:t>largo del axón </w:t>
      </w:r>
      <w:r>
        <w:rPr>
          <w:spacing w:val="-5"/>
        </w:rPr>
        <w:t>y, </w:t>
      </w:r>
      <w:r>
        <w:rPr/>
        <w:t>finalmente, </w:t>
      </w:r>
      <w:r>
        <w:rPr>
          <w:spacing w:val="-3"/>
        </w:rPr>
        <w:t>llega </w:t>
      </w:r>
      <w:r>
        <w:rPr>
          <w:spacing w:val="2"/>
        </w:rPr>
        <w:t>al  </w:t>
      </w:r>
      <w:r>
        <w:rPr/>
        <w:t>axón terminal o sitio presináptico. </w:t>
      </w:r>
      <w:r>
        <w:rPr>
          <w:spacing w:val="2"/>
        </w:rPr>
        <w:t>Los </w:t>
      </w:r>
      <w:r>
        <w:rPr/>
        <w:t>canales de </w:t>
      </w:r>
      <w:r>
        <w:rPr>
          <w:spacing w:val="-3"/>
        </w:rPr>
        <w:t>calcio </w:t>
      </w:r>
      <w:r>
        <w:rPr/>
        <w:t>dependientes de voltaje que aquí participan en </w:t>
      </w:r>
      <w:r>
        <w:rPr>
          <w:spacing w:val="-3"/>
        </w:rPr>
        <w:t>la </w:t>
      </w:r>
      <w:r>
        <w:rPr/>
        <w:t>liberación de neurotransmisores. </w:t>
      </w:r>
      <w:r>
        <w:rPr>
          <w:spacing w:val="2"/>
        </w:rPr>
        <w:t>Si </w:t>
      </w:r>
      <w:r>
        <w:rPr>
          <w:spacing w:val="-3"/>
        </w:rPr>
        <w:t>la </w:t>
      </w:r>
      <w:r>
        <w:rPr/>
        <w:t>neurona es de tipo glutamaérgico, el glutamato es liberado, atravesando </w:t>
      </w:r>
      <w:r>
        <w:rPr>
          <w:spacing w:val="-5"/>
        </w:rPr>
        <w:t>la </w:t>
      </w:r>
      <w:r>
        <w:rPr/>
        <w:t>hendidura sináptica, y activa los receptores de glutamato a nivel postsináptico. La recaptación de glutamato se </w:t>
      </w:r>
      <w:r>
        <w:rPr>
          <w:spacing w:val="-3"/>
        </w:rPr>
        <w:t>lleva </w:t>
      </w:r>
      <w:r>
        <w:rPr/>
        <w:t>a cabo por los astrocitos residentes y por los mecanismos presinápticos (Figura 4) (Kandel y Schwartz, 1991; Heinemann y Eder, 1998; Knowles y Luders,</w:t>
      </w:r>
      <w:r>
        <w:rPr>
          <w:spacing w:val="-18"/>
        </w:rPr>
        <w:t> </w:t>
      </w:r>
      <w:r>
        <w:rPr/>
        <w:t>1993).</w:t>
      </w:r>
    </w:p>
    <w:p>
      <w:pPr>
        <w:pStyle w:val="BodyText"/>
      </w:pPr>
    </w:p>
    <w:p>
      <w:pPr>
        <w:pStyle w:val="BodyText"/>
      </w:pPr>
    </w:p>
    <w:p>
      <w:pPr>
        <w:pStyle w:val="BodyText"/>
      </w:pPr>
    </w:p>
    <w:p>
      <w:pPr>
        <w:pStyle w:val="Heading2"/>
        <w:numPr>
          <w:ilvl w:val="0"/>
          <w:numId w:val="3"/>
        </w:numPr>
        <w:tabs>
          <w:tab w:pos="2275" w:val="left" w:leader="none"/>
        </w:tabs>
        <w:spacing w:line="240" w:lineRule="auto" w:before="176" w:after="0"/>
        <w:ind w:left="2275" w:right="0" w:hanging="346"/>
        <w:jc w:val="left"/>
        <w:rPr>
          <w:rFonts w:ascii="Cambria" w:hAnsi="Cambria"/>
        </w:rPr>
      </w:pPr>
      <w:bookmarkStart w:name="_bookmark11" w:id="17"/>
      <w:bookmarkEnd w:id="17"/>
      <w:r>
        <w:rPr>
          <w:b w:val="0"/>
        </w:rPr>
      </w:r>
      <w:bookmarkStart w:name="_bookmark11" w:id="18"/>
      <w:bookmarkEnd w:id="18"/>
      <w:r>
        <w:rPr>
          <w:rFonts w:ascii="Cambria" w:hAnsi="Cambria"/>
        </w:rPr>
        <w:t>Ep</w:t>
      </w:r>
      <w:r>
        <w:rPr>
          <w:rFonts w:ascii="Cambria" w:hAnsi="Cambria"/>
        </w:rPr>
        <w:t>ileptogénesis</w:t>
      </w:r>
    </w:p>
    <w:p>
      <w:pPr>
        <w:pStyle w:val="BodyText"/>
        <w:spacing w:line="480" w:lineRule="auto" w:before="97"/>
        <w:ind w:left="152" w:right="111"/>
        <w:jc w:val="both"/>
      </w:pPr>
      <w:r>
        <w:rPr/>
        <w:t>Secuencia de eventos que convierten un circuito neuronal normal en un circuito hiperexcitable de larga duración (Munjal et al, 2008) (Figura 5).</w:t>
      </w:r>
    </w:p>
    <w:p>
      <w:pPr>
        <w:spacing w:after="0" w:line="480" w:lineRule="auto"/>
        <w:jc w:val="both"/>
        <w:sectPr>
          <w:pgSz w:w="12240" w:h="15840"/>
          <w:pgMar w:header="0" w:footer="2131" w:top="1500" w:bottom="2320" w:left="1720" w:right="1420"/>
        </w:sectPr>
      </w:pPr>
    </w:p>
    <w:p>
      <w:pPr>
        <w:pStyle w:val="BodyText"/>
        <w:spacing w:before="6"/>
        <w:rPr>
          <w:sz w:val="27"/>
        </w:rPr>
      </w:pPr>
    </w:p>
    <w:p>
      <w:pPr>
        <w:pStyle w:val="BodyText"/>
        <w:ind w:left="1527"/>
        <w:rPr>
          <w:sz w:val="20"/>
        </w:rPr>
      </w:pPr>
      <w:r>
        <w:rPr>
          <w:sz w:val="20"/>
        </w:rPr>
        <w:pict>
          <v:group style="width:304.55pt;height:261.5pt;mso-position-horizontal-relative:char;mso-position-vertical-relative:line" coordorigin="0,0" coordsize="6091,5230">
            <v:shape style="position:absolute;left:0;top:0;width:6091;height:4378" type="#_x0000_t75" stroked="false">
              <v:imagedata r:id="rId17" o:title=""/>
            </v:shape>
            <v:line style="position:absolute" from="52,5215" to="5872,5215" stroked="true" strokeweight="1.5pt" strokecolor="#4e6028"/>
            <v:line style="position:absolute" from="67,4438" to="67,5200" stroked="true" strokeweight="1.5pt" strokecolor="#4e6028"/>
            <v:line style="position:absolute" from="5822,4423" to="5872,4423" stroked="true" strokeweight="1.5pt" strokecolor="#4e6028"/>
            <v:line style="position:absolute" from="52,4423" to="62,4423" stroked="true" strokeweight="1.5pt" strokecolor="#4e6028"/>
            <v:line style="position:absolute" from="82,5185" to="5842,5185" stroked="true" strokeweight="1.5pt" strokecolor="#4e6028"/>
            <v:line style="position:absolute" from="97,5160" to="97,5170" stroked="true" strokeweight="1.5pt" strokecolor="#4e6028"/>
            <v:line style="position:absolute" from="5822,4453" to="5842,4453" stroked="true" strokeweight="1.5pt" strokecolor="#4e6028"/>
            <v:line style="position:absolute" from="5857,4437" to="5857,5200" stroked="true" strokeweight="1.5pt" strokecolor="#4e6028"/>
            <v:rect style="position:absolute;left:112;top:5160;width:5700;height:10" filled="true" fillcolor="#4e6028" stroked="false">
              <v:fill opacity="32896f" type="solid"/>
            </v:rect>
            <v:line style="position:absolute" from="5827,4467" to="5827,5170" stroked="true" strokeweight="1.5pt" strokecolor="#4e6028"/>
            <v:rect style="position:absolute;left:62;top:4397;width:5760;height:763" filled="true" fillcolor="#9bba58" stroked="false">
              <v:fill type="solid"/>
            </v:rect>
            <v:rect style="position:absolute;left:62;top:4397;width:5760;height:763" filled="false" stroked="true" strokeweight="3pt" strokecolor="#f1f1f1"/>
            <v:shape style="position:absolute;left:62;top:4397;width:5770;height:783" type="#_x0000_t202" filled="false" stroked="false">
              <v:textbox inset="0,0,0,0">
                <w:txbxContent>
                  <w:p>
                    <w:pPr>
                      <w:spacing w:before="97"/>
                      <w:ind w:left="243" w:right="254" w:firstLine="0"/>
                      <w:jc w:val="center"/>
                      <w:rPr>
                        <w:sz w:val="24"/>
                      </w:rPr>
                    </w:pPr>
                    <w:r>
                      <w:rPr>
                        <w:sz w:val="24"/>
                      </w:rPr>
                      <w:t>Figura 5. Ilustración del proceso de la epileptogénesis.</w:t>
                    </w:r>
                  </w:p>
                  <w:p>
                    <w:pPr>
                      <w:spacing w:before="36"/>
                      <w:ind w:left="243" w:right="243" w:firstLine="0"/>
                      <w:jc w:val="center"/>
                      <w:rPr>
                        <w:sz w:val="24"/>
                      </w:rPr>
                    </w:pPr>
                    <w:r>
                      <w:rPr>
                        <w:sz w:val="24"/>
                      </w:rPr>
                      <w:t>Tomado de (Cross y Cavazos, 2007)</w:t>
                    </w:r>
                  </w:p>
                </w:txbxContent>
              </v:textbox>
              <w10:wrap type="none"/>
            </v:shape>
          </v:group>
        </w:pict>
      </w:r>
      <w:r>
        <w:rPr>
          <w:sz w:val="20"/>
        </w:rPr>
      </w:r>
    </w:p>
    <w:p>
      <w:pPr>
        <w:pStyle w:val="BodyText"/>
        <w:rPr>
          <w:sz w:val="20"/>
        </w:rPr>
      </w:pPr>
    </w:p>
    <w:p>
      <w:pPr>
        <w:pStyle w:val="BodyText"/>
        <w:spacing w:before="7"/>
        <w:rPr>
          <w:sz w:val="17"/>
        </w:rPr>
      </w:pPr>
    </w:p>
    <w:p>
      <w:pPr>
        <w:pStyle w:val="BodyText"/>
        <w:spacing w:line="480" w:lineRule="auto" w:before="70"/>
        <w:ind w:left="152" w:right="104" w:firstLine="57"/>
        <w:jc w:val="both"/>
      </w:pPr>
      <w:r>
        <w:rPr/>
        <w:t>También se define como el proceso que conduce al desarrollo de la epilepsia. Parece actuar por un mecanismo único, es decir, la modulación de la liberación sináptica de neurotransmisores mediante la unión a la proteína de la vesícula sináptica, SV2A (Lynch et al., 2004; Gillard et al., 2006). La figura 6 ilustra los principales procesos epileptogénicos que surgen después de una lesión inicial capaz de desencadenar la aparición  de convulsiones motoras recurrentes. La lesión cerebral como resultado de las crisis es un proceso dinámico que comprende múltiples factores que contribuyen a la muerte neuronal esto incluye factores genéticos y excitotoxicidad que conduce a alteraciones en el metabolismo electrolítico intracelular, alteraciones mitocondriales, estrés oxidativo, la retirada  del  factor  de  crecimiento  o  el  agotamiento  y  aumento  de  la  concentración de</w:t>
      </w:r>
    </w:p>
    <w:p>
      <w:pPr>
        <w:pStyle w:val="BodyText"/>
        <w:spacing w:before="10"/>
        <w:ind w:left="152"/>
        <w:jc w:val="both"/>
      </w:pPr>
      <w:r>
        <w:rPr/>
        <w:t>citoquinas (Ferriero, 2005; Acharya et al, 2008).</w:t>
      </w:r>
    </w:p>
    <w:p>
      <w:pPr>
        <w:spacing w:after="0"/>
        <w:jc w:val="both"/>
        <w:sectPr>
          <w:pgSz w:w="12240" w:h="15840"/>
          <w:pgMar w:header="0" w:footer="2131" w:top="1500" w:bottom="2320" w:left="1720" w:right="1420"/>
        </w:sectPr>
      </w:pPr>
    </w:p>
    <w:p>
      <w:pPr>
        <w:pStyle w:val="BodyText"/>
        <w:spacing w:before="5" w:after="1"/>
        <w:rPr>
          <w:sz w:val="27"/>
        </w:rPr>
      </w:pPr>
    </w:p>
    <w:p>
      <w:pPr>
        <w:pStyle w:val="BodyText"/>
        <w:ind w:left="850"/>
        <w:rPr>
          <w:sz w:val="20"/>
        </w:rPr>
      </w:pPr>
      <w:r>
        <w:rPr>
          <w:sz w:val="20"/>
        </w:rPr>
        <w:drawing>
          <wp:inline distT="0" distB="0" distL="0" distR="0">
            <wp:extent cx="4710024" cy="5469255"/>
            <wp:effectExtent l="0" t="0" r="0" b="0"/>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18" cstate="print"/>
                    <a:stretch>
                      <a:fillRect/>
                    </a:stretch>
                  </pic:blipFill>
                  <pic:spPr>
                    <a:xfrm>
                      <a:off x="0" y="0"/>
                      <a:ext cx="4710024" cy="5469255"/>
                    </a:xfrm>
                    <a:prstGeom prst="rect">
                      <a:avLst/>
                    </a:prstGeom>
                  </pic:spPr>
                </pic:pic>
              </a:graphicData>
            </a:graphic>
          </wp:inline>
        </w:drawing>
      </w:r>
      <w:r>
        <w:rPr>
          <w:sz w:val="20"/>
        </w:rPr>
      </w:r>
    </w:p>
    <w:p>
      <w:pPr>
        <w:pStyle w:val="BodyText"/>
        <w:spacing w:before="2"/>
        <w:rPr>
          <w:sz w:val="20"/>
        </w:rPr>
      </w:pPr>
    </w:p>
    <w:p>
      <w:pPr>
        <w:spacing w:line="276" w:lineRule="auto" w:before="79"/>
        <w:ind w:left="152" w:right="98" w:firstLine="0"/>
        <w:jc w:val="left"/>
        <w:rPr>
          <w:b/>
          <w:sz w:val="18"/>
        </w:rPr>
      </w:pPr>
      <w:r>
        <w:rPr>
          <w:b/>
          <w:sz w:val="18"/>
        </w:rPr>
        <w:t>Figura 6. Los diversos aspectos de la epileptogénesis después de la injuria cerebral inicial y la evolución de la lesión inicial precipitante en la epilepsia crónica. Un insulto inicial en forma de lesión en la cabeza o el estatus epiléptico generalmente conduce a una serie de cambios celulares y moleculares en el hipocampo. Un aumento transitorio en la proliferación de células madre / progenitoras neurales se produce inmediatamente después de un estatus epiléptico que resulta en neurogénesis anormal. Una multitud de alteraciones en el medio de la circunvolución dentada y el hipocampo subcampos CA1 y CA3 conducen a una reorganización sináptica anormal, la pérdida de la inhibición funcional por el sistema GABAérgico y alteración de la plasticidad todo esto, aumenta el proceso de epileptogénesis. Colectivamente, estos cambios contribuyen a la aparición de convulsiones espontáneas recurrentes. Tomado de (Acharya et al, 2005).</w:t>
      </w:r>
    </w:p>
    <w:p>
      <w:pPr>
        <w:spacing w:after="0" w:line="276" w:lineRule="auto"/>
        <w:jc w:val="left"/>
        <w:rPr>
          <w:sz w:val="18"/>
        </w:rPr>
        <w:sectPr>
          <w:pgSz w:w="12240" w:h="15840"/>
          <w:pgMar w:header="0" w:footer="2131" w:top="1500" w:bottom="2320" w:left="1720" w:right="1420"/>
        </w:sectPr>
      </w:pPr>
    </w:p>
    <w:p>
      <w:pPr>
        <w:pStyle w:val="BodyText"/>
        <w:spacing w:before="7"/>
        <w:rPr>
          <w:b/>
          <w:sz w:val="20"/>
        </w:rPr>
      </w:pPr>
    </w:p>
    <w:p>
      <w:pPr>
        <w:pStyle w:val="BodyText"/>
        <w:spacing w:line="480" w:lineRule="auto" w:before="69"/>
        <w:ind w:left="152" w:right="104"/>
        <w:jc w:val="both"/>
      </w:pPr>
      <w:r>
        <w:rPr/>
        <w:t>La actividad convulsiva surge como secuela de </w:t>
      </w:r>
      <w:r>
        <w:rPr>
          <w:spacing w:val="-5"/>
        </w:rPr>
        <w:t>la </w:t>
      </w:r>
      <w:r>
        <w:rPr/>
        <w:t>actividad eléctrica hipersincrónica anormal que se deriva de un grupo localizado de neuronas en </w:t>
      </w:r>
      <w:r>
        <w:rPr>
          <w:spacing w:val="-3"/>
        </w:rPr>
        <w:t>la </w:t>
      </w:r>
      <w:r>
        <w:rPr/>
        <w:t>corteza cerebral o de </w:t>
      </w:r>
      <w:r>
        <w:rPr>
          <w:spacing w:val="2"/>
        </w:rPr>
        <w:t>toda  </w:t>
      </w:r>
      <w:r>
        <w:rPr>
          <w:spacing w:val="-3"/>
        </w:rPr>
        <w:t>la </w:t>
      </w:r>
      <w:r>
        <w:rPr/>
        <w:t>corteza en colaboración con estructuras subcorticales. La epilepsia es, ante todo, una consecuencia de un desequilibrio entre mecanismos excitatorios e inhibitorios a nivel cerebral. Los factores que intervienen en epileptogénesis son: </w:t>
      </w:r>
      <w:r>
        <w:rPr>
          <w:spacing w:val="-3"/>
        </w:rPr>
        <w:t>la </w:t>
      </w:r>
      <w:r>
        <w:rPr/>
        <w:t>neuroplasticidad, </w:t>
      </w:r>
      <w:r>
        <w:rPr>
          <w:spacing w:val="-3"/>
        </w:rPr>
        <w:t>la </w:t>
      </w:r>
      <w:r>
        <w:rPr/>
        <w:t>plasticidad sináptica, la disminución de </w:t>
      </w:r>
      <w:r>
        <w:rPr>
          <w:spacing w:val="-3"/>
        </w:rPr>
        <w:t>la </w:t>
      </w:r>
      <w:r>
        <w:rPr/>
        <w:t>actividad del GABA (ácido gamma amino butírico), aumento de </w:t>
      </w:r>
      <w:r>
        <w:rPr>
          <w:spacing w:val="-5"/>
        </w:rPr>
        <w:t>la </w:t>
      </w:r>
      <w:r>
        <w:rPr/>
        <w:t>actividad </w:t>
      </w:r>
      <w:r>
        <w:rPr>
          <w:spacing w:val="2"/>
        </w:rPr>
        <w:t>del </w:t>
      </w:r>
      <w:r>
        <w:rPr/>
        <w:t>glutamato, nueva formación de circuitos excitadores, alteraciones del receptor, canalopatías de iones, </w:t>
      </w:r>
      <w:r>
        <w:rPr>
          <w:spacing w:val="-3"/>
        </w:rPr>
        <w:t>la </w:t>
      </w:r>
      <w:r>
        <w:rPr/>
        <w:t>disfunción de las células de </w:t>
      </w:r>
      <w:r>
        <w:rPr>
          <w:spacing w:val="-3"/>
        </w:rPr>
        <w:t>la </w:t>
      </w:r>
      <w:r>
        <w:rPr/>
        <w:t>glia, disgenesia cortical y patologías de origen intracraneal (Berendt, 2007; Urbanska et </w:t>
      </w:r>
      <w:r>
        <w:rPr>
          <w:spacing w:val="-3"/>
        </w:rPr>
        <w:t>al,</w:t>
      </w:r>
      <w:r>
        <w:rPr>
          <w:spacing w:val="54"/>
        </w:rPr>
        <w:t> </w:t>
      </w:r>
      <w:r>
        <w:rPr/>
        <w:t>1998). Se han detectado bajos niveles de GABA y altos de glutamato en líquido cefalorraquídeo de perros epilépticos independiente de </w:t>
      </w:r>
      <w:r>
        <w:rPr>
          <w:spacing w:val="-3"/>
        </w:rPr>
        <w:t>la </w:t>
      </w:r>
      <w:r>
        <w:rPr/>
        <w:t>relación de tiempo de </w:t>
      </w:r>
      <w:r>
        <w:rPr>
          <w:spacing w:val="-3"/>
        </w:rPr>
        <w:t>la </w:t>
      </w:r>
      <w:r>
        <w:rPr/>
        <w:t>actividad convulsiva reciente. Elevaciones de glutamato </w:t>
      </w:r>
      <w:r>
        <w:rPr>
          <w:spacing w:val="-3"/>
        </w:rPr>
        <w:t>no </w:t>
      </w:r>
      <w:r>
        <w:rPr/>
        <w:t>están relacionados a si las convulsiones son de carácter focal o generalizada (Podell y Hadjiconstantinou,</w:t>
      </w:r>
      <w:r>
        <w:rPr>
          <w:spacing w:val="-20"/>
        </w:rPr>
        <w:t> </w:t>
      </w:r>
      <w:r>
        <w:rPr/>
        <w:t>1999).</w:t>
      </w:r>
    </w:p>
    <w:p>
      <w:pPr>
        <w:pStyle w:val="BodyText"/>
        <w:spacing w:line="480" w:lineRule="auto" w:before="10"/>
        <w:ind w:left="152" w:right="104"/>
        <w:jc w:val="both"/>
      </w:pPr>
      <w:r>
        <w:rPr/>
        <w:t>Durante un ataque de epilepsia, grandes poblaciones de neuronas en partes seleccionadas del sistema nervioso central abandonan su actividad normal y comienzan a disparar en sincronía periódica. Esta actividad patológica es sincronizada y transmitida de una neurona a </w:t>
      </w:r>
      <w:r>
        <w:rPr>
          <w:spacing w:val="-5"/>
        </w:rPr>
        <w:t>la </w:t>
      </w:r>
      <w:r>
        <w:rPr/>
        <w:t>siguiente principalmente a través de </w:t>
      </w:r>
      <w:r>
        <w:rPr>
          <w:spacing w:val="-5"/>
        </w:rPr>
        <w:t>la </w:t>
      </w:r>
      <w:r>
        <w:rPr/>
        <w:t>transmisión glutamaérgica excitatoria, aunque sinapsis GABA-érgicas también dan forma a </w:t>
      </w:r>
      <w:r>
        <w:rPr>
          <w:spacing w:val="-3"/>
        </w:rPr>
        <w:t>la </w:t>
      </w:r>
      <w:r>
        <w:rPr/>
        <w:t>hiperexcitabilidad relacionada con las convulsiones (Doherty y Dingledine, 2002). Independientemente de </w:t>
      </w:r>
      <w:r>
        <w:rPr>
          <w:spacing w:val="-3"/>
        </w:rPr>
        <w:t>la </w:t>
      </w:r>
      <w:r>
        <w:rPr/>
        <w:t>causa primaria, sinápticamente el glutamato liberado actúa sobre receptores ionotrópicos y </w:t>
      </w:r>
      <w:r>
        <w:rPr>
          <w:spacing w:val="40"/>
        </w:rPr>
        <w:t> </w:t>
      </w:r>
      <w:r>
        <w:rPr/>
        <w:t>metabotrópicos</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0"/>
        <w:jc w:val="both"/>
      </w:pPr>
      <w:r>
        <w:rPr/>
        <w:t>lo cual parece jugar un papel importante en el inicio y la propagación de la actividad convulsiva (Chapman, 2000; Meldrum, 1994).</w:t>
      </w:r>
    </w:p>
    <w:p>
      <w:pPr>
        <w:pStyle w:val="BodyText"/>
        <w:spacing w:line="480" w:lineRule="auto"/>
        <w:ind w:left="152" w:right="102"/>
        <w:jc w:val="both"/>
      </w:pPr>
      <w:r>
        <w:rPr/>
        <w:t>Canales de Ca</w:t>
      </w:r>
      <w:r>
        <w:rPr>
          <w:position w:val="9"/>
          <w:sz w:val="16"/>
        </w:rPr>
        <w:t>2+ </w:t>
      </w:r>
      <w:r>
        <w:rPr/>
        <w:t>dependientes de voltaje son críticos para </w:t>
      </w:r>
      <w:r>
        <w:rPr>
          <w:spacing w:val="-5"/>
        </w:rPr>
        <w:t>la </w:t>
      </w:r>
      <w:r>
        <w:rPr/>
        <w:t>función nerviosa. Mediante el acoplamiento los cambios en el potencial de membrana permiten </w:t>
      </w:r>
      <w:r>
        <w:rPr>
          <w:spacing w:val="-3"/>
        </w:rPr>
        <w:t>la </w:t>
      </w:r>
      <w:r>
        <w:rPr/>
        <w:t>afluencia de un  segundo mensajero'' Ca</w:t>
      </w:r>
      <w:r>
        <w:rPr>
          <w:position w:val="9"/>
          <w:sz w:val="16"/>
        </w:rPr>
        <w:t>2+</w:t>
      </w:r>
      <w:r>
        <w:rPr/>
        <w:t>, los canales de calcio dependientes de voltaje representan </w:t>
      </w:r>
      <w:r>
        <w:rPr>
          <w:spacing w:val="-3"/>
        </w:rPr>
        <w:t>la</w:t>
      </w:r>
      <w:r>
        <w:rPr>
          <w:spacing w:val="54"/>
        </w:rPr>
        <w:t> </w:t>
      </w:r>
      <w:r>
        <w:rPr/>
        <w:t>principal vía para </w:t>
      </w:r>
      <w:r>
        <w:rPr>
          <w:spacing w:val="-3"/>
        </w:rPr>
        <w:t>la </w:t>
      </w:r>
      <w:r>
        <w:rPr/>
        <w:t>traducción de señales eléctricas en los eventos bioquímicos que inician los procesos clave como liberación de neurotransmisores, </w:t>
      </w:r>
      <w:r>
        <w:rPr>
          <w:spacing w:val="-5"/>
        </w:rPr>
        <w:t>la </w:t>
      </w:r>
      <w:r>
        <w:rPr/>
        <w:t>excitabilidad celular y </w:t>
      </w:r>
      <w:r>
        <w:rPr>
          <w:spacing w:val="-3"/>
        </w:rPr>
        <w:t>la </w:t>
      </w:r>
      <w:r>
        <w:rPr/>
        <w:t>expresión génica. (Johnston et </w:t>
      </w:r>
      <w:r>
        <w:rPr>
          <w:spacing w:val="-4"/>
        </w:rPr>
        <w:t>al, </w:t>
      </w:r>
      <w:r>
        <w:rPr/>
        <w:t>1996; Catterall, 2000). Las convulsiones sin control conducen a </w:t>
      </w:r>
      <w:r>
        <w:rPr>
          <w:spacing w:val="-3"/>
        </w:rPr>
        <w:t>la </w:t>
      </w:r>
      <w:r>
        <w:rPr/>
        <w:t>excitotoxicidad (March, 1998). El daño cerebral causado  por  las convulsiones puede aumentar </w:t>
      </w:r>
      <w:r>
        <w:rPr>
          <w:spacing w:val="-5"/>
        </w:rPr>
        <w:t>la </w:t>
      </w:r>
      <w:r>
        <w:rPr/>
        <w:t>excitabilidad inherente de </w:t>
      </w:r>
      <w:r>
        <w:rPr>
          <w:spacing w:val="-4"/>
        </w:rPr>
        <w:t>las </w:t>
      </w:r>
      <w:r>
        <w:rPr/>
        <w:t>neuronas glutamaérgicas por alteración en el número, distribución y sensibilidad de receptores al glutamato, o por alteración de </w:t>
      </w:r>
      <w:r>
        <w:rPr>
          <w:spacing w:val="-3"/>
        </w:rPr>
        <w:t>la </w:t>
      </w:r>
      <w:r>
        <w:rPr/>
        <w:t>sensibilidad de los canales de </w:t>
      </w:r>
      <w:r>
        <w:rPr>
          <w:spacing w:val="-3"/>
        </w:rPr>
        <w:t>calcio </w:t>
      </w:r>
      <w:r>
        <w:rPr/>
        <w:t>dependientes de voltaje y en consecuencia incrementar </w:t>
      </w:r>
      <w:r>
        <w:rPr>
          <w:spacing w:val="-5"/>
        </w:rPr>
        <w:t>la </w:t>
      </w:r>
      <w:r>
        <w:rPr/>
        <w:t>excitabilidad neuronal. Puede ocurrir una reorganización sináptica en los circuitos neuronales, </w:t>
      </w:r>
      <w:r>
        <w:rPr>
          <w:spacing w:val="-3"/>
        </w:rPr>
        <w:t>ya </w:t>
      </w:r>
      <w:r>
        <w:rPr/>
        <w:t>que los axones excitatorios dañados desarrollan el crecimiento de ramas colaterales axonales que forman conexiones aberrantes con otras neuronas excitatorias o con procesos dendríticos de </w:t>
      </w:r>
      <w:r>
        <w:rPr>
          <w:spacing w:val="-5"/>
        </w:rPr>
        <w:t>la </w:t>
      </w:r>
      <w:r>
        <w:rPr/>
        <w:t>misma neurona que sufrió el daño (Badawy et </w:t>
      </w:r>
      <w:r>
        <w:rPr>
          <w:spacing w:val="-3"/>
        </w:rPr>
        <w:t>al, </w:t>
      </w:r>
      <w:r>
        <w:rPr/>
        <w:t>2009; March, 1998), esto </w:t>
      </w:r>
      <w:r>
        <w:rPr>
          <w:spacing w:val="-3"/>
        </w:rPr>
        <w:t>último </w:t>
      </w:r>
      <w:r>
        <w:rPr/>
        <w:t>genera un mecanismo auto propagación. La progresión de desórdenes convulsivos puede ocurrir por mecanismos de potencialización a largo plazo, el fenómeno de </w:t>
      </w:r>
      <w:r>
        <w:rPr>
          <w:i/>
        </w:rPr>
        <w:t>Kindling</w:t>
      </w:r>
      <w:r>
        <w:rPr/>
        <w:t>, que se refiere al incremento de excitabilidad  neuronal y el potencial para que ocurra </w:t>
      </w:r>
      <w:r>
        <w:rPr>
          <w:spacing w:val="-5"/>
        </w:rPr>
        <w:t>la </w:t>
      </w:r>
      <w:r>
        <w:rPr/>
        <w:t>actividad convulsiva en regiones </w:t>
      </w:r>
      <w:r>
        <w:rPr>
          <w:spacing w:val="-3"/>
        </w:rPr>
        <w:t>no </w:t>
      </w:r>
      <w:r>
        <w:rPr/>
        <w:t>afectadas inicialmente   con   estimulación   repetida   (March,   1998).   Los   estímulos  </w:t>
      </w:r>
      <w:r>
        <w:rPr>
          <w:spacing w:val="36"/>
        </w:rPr>
        <w:t> </w:t>
      </w:r>
      <w:r>
        <w:rPr/>
        <w:t>excitatorios</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1"/>
        <w:jc w:val="both"/>
      </w:pPr>
      <w:r>
        <w:rPr/>
        <w:t>persistentes en áreas corticales conectadas al foco primario, refuerzan las sinapsis excitatorias y ocasionan la aparición de nuevos focos epileptogénicos autónomos por reclutamiento neuronal adicional. Si el foco secundario se desarrolla en un área cerebrocortical homóloga en el hemisferio opuesto, se le conoce como foco de espejo, este foco puede también desarrollar actividad epiléptica independientemente del foco primario (Bollinger-Schmitz y Kline, 2000; March, 1998; Badawy et al, 2009).</w:t>
      </w:r>
    </w:p>
    <w:p>
      <w:pPr>
        <w:pStyle w:val="BodyText"/>
      </w:pPr>
    </w:p>
    <w:p>
      <w:pPr>
        <w:pStyle w:val="BodyText"/>
      </w:pPr>
    </w:p>
    <w:p>
      <w:pPr>
        <w:pStyle w:val="BodyText"/>
        <w:spacing w:before="10"/>
        <w:rPr>
          <w:sz w:val="21"/>
        </w:rPr>
      </w:pPr>
    </w:p>
    <w:p>
      <w:pPr>
        <w:pStyle w:val="Heading2"/>
        <w:numPr>
          <w:ilvl w:val="0"/>
          <w:numId w:val="3"/>
        </w:numPr>
        <w:tabs>
          <w:tab w:pos="2275" w:val="left" w:leader="none"/>
        </w:tabs>
        <w:spacing w:line="240" w:lineRule="auto" w:before="0" w:after="0"/>
        <w:ind w:left="2275" w:right="0" w:hanging="346"/>
        <w:jc w:val="left"/>
        <w:rPr>
          <w:rFonts w:ascii="Cambria" w:hAnsi="Cambria"/>
        </w:rPr>
      </w:pPr>
      <w:bookmarkStart w:name="_bookmark12" w:id="19"/>
      <w:bookmarkEnd w:id="19"/>
      <w:r>
        <w:rPr>
          <w:b w:val="0"/>
        </w:rPr>
      </w:r>
      <w:bookmarkStart w:name="_bookmark12" w:id="20"/>
      <w:bookmarkEnd w:id="20"/>
      <w:r>
        <w:rPr>
          <w:rFonts w:ascii="Cambria" w:hAnsi="Cambria"/>
        </w:rPr>
        <w:t>E</w:t>
      </w:r>
      <w:r>
        <w:rPr>
          <w:rFonts w:ascii="Cambria" w:hAnsi="Cambria"/>
        </w:rPr>
        <w:t>tiología</w:t>
      </w:r>
    </w:p>
    <w:p>
      <w:pPr>
        <w:pStyle w:val="BodyText"/>
        <w:spacing w:line="480" w:lineRule="auto" w:before="102"/>
        <w:ind w:left="152" w:right="107"/>
        <w:jc w:val="both"/>
      </w:pPr>
      <w:r>
        <w:rPr/>
        <w:t>Un aspecto importante dentro de </w:t>
      </w:r>
      <w:r>
        <w:rPr>
          <w:spacing w:val="-5"/>
        </w:rPr>
        <w:t>la </w:t>
      </w:r>
      <w:r>
        <w:rPr/>
        <w:t>epilepsia es que son pocos los casos en los que se identifica su etiología, en seres humanos; entre 55 y 85% de los casos se llega a precisar </w:t>
      </w:r>
      <w:r>
        <w:rPr>
          <w:spacing w:val="-3"/>
        </w:rPr>
        <w:t>la </w:t>
      </w:r>
      <w:r>
        <w:rPr/>
        <w:t>causa. </w:t>
      </w:r>
      <w:r>
        <w:rPr>
          <w:spacing w:val="3"/>
        </w:rPr>
        <w:t>En </w:t>
      </w:r>
      <w:r>
        <w:rPr>
          <w:spacing w:val="-3"/>
        </w:rPr>
        <w:t>la </w:t>
      </w:r>
      <w:r>
        <w:rPr/>
        <w:t>tabla 1 se presentan las causas que comúnmente originan convulsiones en perros, así como su predisposición que existe en cuanto a </w:t>
      </w:r>
      <w:r>
        <w:rPr>
          <w:spacing w:val="-5"/>
        </w:rPr>
        <w:t>la </w:t>
      </w:r>
      <w:r>
        <w:rPr/>
        <w:t>raza (Goiz et </w:t>
      </w:r>
      <w:r>
        <w:rPr>
          <w:spacing w:val="-3"/>
        </w:rPr>
        <w:t>al, </w:t>
      </w:r>
      <w:r>
        <w:rPr/>
        <w:t>2008). Actualmente, </w:t>
      </w:r>
      <w:r>
        <w:rPr>
          <w:spacing w:val="-3"/>
        </w:rPr>
        <w:t>la </w:t>
      </w:r>
      <w:r>
        <w:rPr/>
        <w:t>etiología de </w:t>
      </w:r>
      <w:r>
        <w:rPr>
          <w:spacing w:val="-5"/>
        </w:rPr>
        <w:t>la </w:t>
      </w:r>
      <w:r>
        <w:rPr/>
        <w:t>EI en los perros </w:t>
      </w:r>
      <w:r>
        <w:rPr>
          <w:spacing w:val="-3"/>
        </w:rPr>
        <w:t>no </w:t>
      </w:r>
      <w:r>
        <w:rPr/>
        <w:t>se </w:t>
      </w:r>
      <w:r>
        <w:rPr>
          <w:spacing w:val="-3"/>
        </w:rPr>
        <w:t>ha </w:t>
      </w:r>
      <w:r>
        <w:rPr/>
        <w:t>dilucidado, </w:t>
      </w:r>
      <w:r>
        <w:rPr>
          <w:spacing w:val="-3"/>
        </w:rPr>
        <w:t>pero </w:t>
      </w:r>
      <w:r>
        <w:rPr/>
        <w:t>es probable que,  en común con algunas epilepsias en los seres humanos, estén relacionadas con mutaciones de proteínas en </w:t>
      </w:r>
      <w:r>
        <w:rPr>
          <w:spacing w:val="-5"/>
        </w:rPr>
        <w:t>la </w:t>
      </w:r>
      <w:r>
        <w:rPr/>
        <w:t>membrana celular de </w:t>
      </w:r>
      <w:r>
        <w:rPr>
          <w:spacing w:val="-5"/>
        </w:rPr>
        <w:t>la </w:t>
      </w:r>
      <w:r>
        <w:rPr/>
        <w:t>neurona; llamadas canalopatías (Kaneko et </w:t>
      </w:r>
      <w:r>
        <w:rPr>
          <w:spacing w:val="-4"/>
        </w:rPr>
        <w:t>al, </w:t>
      </w:r>
      <w:r>
        <w:rPr/>
        <w:t>2002; Muller et </w:t>
      </w:r>
      <w:r>
        <w:rPr>
          <w:spacing w:val="-4"/>
        </w:rPr>
        <w:t>al, </w:t>
      </w:r>
      <w:r>
        <w:rPr/>
        <w:t>2003; Bernard et </w:t>
      </w:r>
      <w:r>
        <w:rPr>
          <w:spacing w:val="-4"/>
        </w:rPr>
        <w:t>al, </w:t>
      </w:r>
      <w:r>
        <w:rPr/>
        <w:t>2004). Con </w:t>
      </w:r>
      <w:r>
        <w:rPr>
          <w:spacing w:val="-5"/>
        </w:rPr>
        <w:t>la </w:t>
      </w:r>
      <w:r>
        <w:rPr/>
        <w:t>falta de pruebas diagnósticas específicas, el diagnóstico clínico de </w:t>
      </w:r>
      <w:r>
        <w:rPr>
          <w:spacing w:val="-3"/>
        </w:rPr>
        <w:t>la </w:t>
      </w:r>
      <w:r>
        <w:rPr/>
        <w:t>EI se basa en </w:t>
      </w:r>
      <w:r>
        <w:rPr>
          <w:spacing w:val="-3"/>
        </w:rPr>
        <w:t>la </w:t>
      </w:r>
      <w:r>
        <w:rPr/>
        <w:t>exclusión de otras posibles causas de convulsiones (Oliver et </w:t>
      </w:r>
      <w:r>
        <w:rPr>
          <w:spacing w:val="-4"/>
        </w:rPr>
        <w:t>al, </w:t>
      </w:r>
      <w:r>
        <w:rPr/>
        <w:t>1997; Knowles, 1998; Thomas,</w:t>
      </w:r>
      <w:r>
        <w:rPr>
          <w:spacing w:val="-4"/>
        </w:rPr>
        <w:t> </w:t>
      </w:r>
      <w:r>
        <w:rPr/>
        <w:t>2010).</w:t>
      </w:r>
    </w:p>
    <w:p>
      <w:pPr>
        <w:spacing w:after="0" w:line="480" w:lineRule="auto"/>
        <w:jc w:val="both"/>
        <w:sectPr>
          <w:footerReference w:type="default" r:id="rId19"/>
          <w:pgSz w:w="12240" w:h="15840"/>
          <w:pgMar w:footer="2131" w:header="0" w:top="1500" w:bottom="2320" w:left="1720" w:right="142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6"/>
        <w:gridCol w:w="4466"/>
        <w:gridCol w:w="2291"/>
      </w:tblGrid>
      <w:tr>
        <w:trPr>
          <w:trHeight w:val="1114" w:hRule="exact"/>
        </w:trPr>
        <w:tc>
          <w:tcPr>
            <w:tcW w:w="9753" w:type="dxa"/>
            <w:gridSpan w:val="3"/>
          </w:tcPr>
          <w:p>
            <w:pPr>
              <w:pStyle w:val="TableParagraph"/>
              <w:spacing w:line="480" w:lineRule="auto"/>
              <w:ind w:left="4633" w:right="87" w:hanging="4528"/>
              <w:rPr>
                <w:sz w:val="24"/>
              </w:rPr>
            </w:pPr>
            <w:r>
              <w:rPr>
                <w:sz w:val="24"/>
              </w:rPr>
              <w:t>Tabla 1. Causas comunes de convulsiones en perros y predisposición racial. Tomado De Goiz et al, 2008</w:t>
            </w:r>
          </w:p>
        </w:tc>
      </w:tr>
      <w:tr>
        <w:trPr>
          <w:trHeight w:val="840" w:hRule="exact"/>
        </w:trPr>
        <w:tc>
          <w:tcPr>
            <w:tcW w:w="2996" w:type="dxa"/>
          </w:tcPr>
          <w:p>
            <w:pPr>
              <w:pStyle w:val="TableParagraph"/>
              <w:spacing w:line="202" w:lineRule="exact"/>
              <w:ind w:left="307"/>
              <w:rPr>
                <w:sz w:val="18"/>
              </w:rPr>
            </w:pPr>
            <w:r>
              <w:rPr>
                <w:sz w:val="18"/>
              </w:rPr>
              <w:t>CAUSAS  INTRACRANEALES</w:t>
            </w:r>
          </w:p>
        </w:tc>
        <w:tc>
          <w:tcPr>
            <w:tcW w:w="4466" w:type="dxa"/>
          </w:tcPr>
          <w:p>
            <w:pPr/>
          </w:p>
        </w:tc>
        <w:tc>
          <w:tcPr>
            <w:tcW w:w="2291" w:type="dxa"/>
          </w:tcPr>
          <w:p>
            <w:pPr>
              <w:pStyle w:val="TableParagraph"/>
              <w:spacing w:line="477" w:lineRule="auto"/>
              <w:ind w:left="153" w:right="96" w:firstLine="81"/>
              <w:rPr>
                <w:sz w:val="18"/>
              </w:rPr>
            </w:pPr>
            <w:r>
              <w:rPr>
                <w:sz w:val="18"/>
              </w:rPr>
              <w:t>EDAD DE APARICIÓN DE LA PRIMERA CRISIS</w:t>
            </w:r>
          </w:p>
        </w:tc>
      </w:tr>
      <w:tr>
        <w:trPr>
          <w:trHeight w:val="1848" w:hRule="exact"/>
        </w:trPr>
        <w:tc>
          <w:tcPr>
            <w:tcW w:w="2996" w:type="dxa"/>
          </w:tcPr>
          <w:p>
            <w:pPr>
              <w:pStyle w:val="TableParagraph"/>
              <w:spacing w:line="221" w:lineRule="exact"/>
              <w:ind w:left="105"/>
              <w:rPr>
                <w:sz w:val="20"/>
              </w:rPr>
            </w:pPr>
            <w:r>
              <w:rPr>
                <w:sz w:val="20"/>
              </w:rPr>
              <w:t>Epilepsia idiopática</w:t>
            </w:r>
          </w:p>
        </w:tc>
        <w:tc>
          <w:tcPr>
            <w:tcW w:w="4466" w:type="dxa"/>
          </w:tcPr>
          <w:p>
            <w:pPr>
              <w:pStyle w:val="TableParagraph"/>
              <w:spacing w:line="480" w:lineRule="auto"/>
              <w:ind w:left="100" w:right="101"/>
              <w:jc w:val="both"/>
              <w:rPr>
                <w:sz w:val="20"/>
              </w:rPr>
            </w:pPr>
            <w:r>
              <w:rPr>
                <w:sz w:val="20"/>
              </w:rPr>
              <w:t>Pastor Alemán, San Bernardo, Setter Irlandés, Golden, Keeshond, Labrador, Husky Siberiano, Cocker Spaniel, Beagle, Poodle Estándar y miniatura, </w:t>
            </w:r>
            <w:r>
              <w:rPr>
                <w:spacing w:val="-3"/>
                <w:sz w:val="20"/>
              </w:rPr>
              <w:t>Fox </w:t>
            </w:r>
            <w:r>
              <w:rPr>
                <w:sz w:val="20"/>
              </w:rPr>
              <w:t>Terrier, Border</w:t>
            </w:r>
            <w:r>
              <w:rPr>
                <w:spacing w:val="7"/>
                <w:sz w:val="20"/>
              </w:rPr>
              <w:t> </w:t>
            </w:r>
            <w:r>
              <w:rPr>
                <w:sz w:val="20"/>
              </w:rPr>
              <w:t>Collie</w:t>
            </w:r>
          </w:p>
        </w:tc>
        <w:tc>
          <w:tcPr>
            <w:tcW w:w="2291" w:type="dxa"/>
          </w:tcPr>
          <w:p>
            <w:pPr>
              <w:pStyle w:val="TableParagraph"/>
              <w:spacing w:line="221" w:lineRule="exact"/>
              <w:ind w:left="100" w:right="96"/>
              <w:rPr>
                <w:sz w:val="20"/>
              </w:rPr>
            </w:pPr>
            <w:r>
              <w:rPr>
                <w:sz w:val="20"/>
              </w:rPr>
              <w:t>1-5 años</w:t>
            </w:r>
          </w:p>
        </w:tc>
      </w:tr>
      <w:tr>
        <w:trPr>
          <w:trHeight w:val="932" w:hRule="exact"/>
        </w:trPr>
        <w:tc>
          <w:tcPr>
            <w:tcW w:w="2996" w:type="dxa"/>
          </w:tcPr>
          <w:p>
            <w:pPr>
              <w:pStyle w:val="TableParagraph"/>
              <w:spacing w:line="221" w:lineRule="exact"/>
              <w:ind w:left="105"/>
              <w:rPr>
                <w:sz w:val="20"/>
              </w:rPr>
            </w:pPr>
            <w:r>
              <w:rPr>
                <w:sz w:val="20"/>
              </w:rPr>
              <w:t>Condiciones Idiopáticas</w:t>
            </w:r>
          </w:p>
        </w:tc>
        <w:tc>
          <w:tcPr>
            <w:tcW w:w="4466" w:type="dxa"/>
          </w:tcPr>
          <w:p>
            <w:pPr>
              <w:pStyle w:val="TableParagraph"/>
              <w:spacing w:line="482" w:lineRule="auto"/>
              <w:ind w:left="100" w:right="107"/>
              <w:rPr>
                <w:sz w:val="20"/>
              </w:rPr>
            </w:pPr>
            <w:r>
              <w:rPr>
                <w:sz w:val="20"/>
              </w:rPr>
              <w:t>Síndrome de Cocker Springer Spaniel, Golden Retriever</w:t>
            </w:r>
          </w:p>
        </w:tc>
        <w:tc>
          <w:tcPr>
            <w:tcW w:w="2291" w:type="dxa"/>
          </w:tcPr>
          <w:p>
            <w:pPr>
              <w:pStyle w:val="TableParagraph"/>
              <w:spacing w:line="221" w:lineRule="exact"/>
              <w:ind w:left="100" w:right="96"/>
              <w:rPr>
                <w:sz w:val="20"/>
              </w:rPr>
            </w:pPr>
            <w:r>
              <w:rPr>
                <w:sz w:val="20"/>
              </w:rPr>
              <w:t>3 meses a 3 años</w:t>
            </w:r>
          </w:p>
        </w:tc>
      </w:tr>
      <w:tr>
        <w:trPr>
          <w:trHeight w:val="6448" w:hRule="exact"/>
        </w:trPr>
        <w:tc>
          <w:tcPr>
            <w:tcW w:w="2996" w:type="dxa"/>
          </w:tcPr>
          <w:p>
            <w:pPr>
              <w:pStyle w:val="TableParagraph"/>
              <w:spacing w:line="221" w:lineRule="exact"/>
              <w:ind w:left="105"/>
              <w:rPr>
                <w:sz w:val="20"/>
              </w:rPr>
            </w:pPr>
            <w:r>
              <w:rPr>
                <w:sz w:val="20"/>
              </w:rPr>
              <w:t>Epilepsia Sintomática</w:t>
            </w:r>
          </w:p>
        </w:tc>
        <w:tc>
          <w:tcPr>
            <w:tcW w:w="4466" w:type="dxa"/>
          </w:tcPr>
          <w:p>
            <w:pPr>
              <w:pStyle w:val="TableParagraph"/>
              <w:spacing w:line="221" w:lineRule="exact"/>
              <w:ind w:left="100"/>
              <w:jc w:val="both"/>
              <w:rPr>
                <w:sz w:val="20"/>
              </w:rPr>
            </w:pPr>
            <w:r>
              <w:rPr>
                <w:sz w:val="20"/>
              </w:rPr>
              <w:t>Problemas congénitos hereditarios</w:t>
            </w:r>
          </w:p>
          <w:p>
            <w:pPr>
              <w:pStyle w:val="TableParagraph"/>
              <w:rPr>
                <w:sz w:val="20"/>
              </w:rPr>
            </w:pPr>
          </w:p>
          <w:p>
            <w:pPr>
              <w:pStyle w:val="TableParagraph"/>
              <w:spacing w:line="477" w:lineRule="auto" w:before="1"/>
              <w:ind w:left="100" w:right="106"/>
              <w:jc w:val="both"/>
              <w:rPr>
                <w:sz w:val="20"/>
              </w:rPr>
            </w:pPr>
            <w:r>
              <w:rPr>
                <w:sz w:val="20"/>
              </w:rPr>
              <w:t>Hidrocefalia: Chihuahua, Boston Terrier, Maltés, Yorkshire Terrier, Chow Chow, Pomerania, Poodle miniatura</w:t>
            </w:r>
          </w:p>
          <w:p>
            <w:pPr>
              <w:pStyle w:val="TableParagraph"/>
              <w:spacing w:line="480" w:lineRule="auto" w:before="11"/>
              <w:ind w:left="100" w:right="104"/>
              <w:jc w:val="both"/>
              <w:rPr>
                <w:sz w:val="20"/>
              </w:rPr>
            </w:pPr>
            <w:r>
              <w:rPr>
                <w:sz w:val="20"/>
              </w:rPr>
              <w:t>Lisencefalia: Lhasa Apso, Fox Terrier,  Setter irlandés</w:t>
            </w:r>
          </w:p>
          <w:p>
            <w:pPr>
              <w:pStyle w:val="TableParagraph"/>
              <w:spacing w:before="9"/>
              <w:ind w:left="100"/>
              <w:jc w:val="both"/>
              <w:rPr>
                <w:sz w:val="20"/>
              </w:rPr>
            </w:pPr>
            <w:r>
              <w:rPr>
                <w:sz w:val="20"/>
              </w:rPr>
              <w:t>Porencefalos</w:t>
            </w:r>
          </w:p>
          <w:p>
            <w:pPr>
              <w:pStyle w:val="TableParagraph"/>
              <w:rPr>
                <w:sz w:val="20"/>
              </w:rPr>
            </w:pPr>
          </w:p>
          <w:p>
            <w:pPr>
              <w:pStyle w:val="TableParagraph"/>
              <w:spacing w:line="477" w:lineRule="auto" w:before="1"/>
              <w:ind w:left="100" w:right="101"/>
              <w:jc w:val="both"/>
              <w:rPr>
                <w:sz w:val="20"/>
              </w:rPr>
            </w:pPr>
            <w:r>
              <w:rPr>
                <w:sz w:val="20"/>
              </w:rPr>
              <w:t>Enfermedades metabólicas de almacenamiento (lisosómicas): Beagle, Basset Hound, Poodle, Setter Inglés, Chihuahua, Cocker Spaniel, Pointer Alemán</w:t>
            </w:r>
          </w:p>
          <w:p>
            <w:pPr>
              <w:pStyle w:val="TableParagraph"/>
              <w:rPr>
                <w:sz w:val="20"/>
              </w:rPr>
            </w:pPr>
          </w:p>
          <w:p>
            <w:pPr>
              <w:pStyle w:val="TableParagraph"/>
              <w:rPr>
                <w:sz w:val="21"/>
              </w:rPr>
            </w:pPr>
          </w:p>
          <w:p>
            <w:pPr>
              <w:pStyle w:val="TableParagraph"/>
              <w:spacing w:before="1"/>
              <w:ind w:left="100"/>
              <w:jc w:val="both"/>
              <w:rPr>
                <w:sz w:val="20"/>
              </w:rPr>
            </w:pPr>
            <w:r>
              <w:rPr>
                <w:sz w:val="20"/>
              </w:rPr>
              <w:t>Neoplasia primaria</w:t>
            </w:r>
          </w:p>
          <w:p>
            <w:pPr>
              <w:pStyle w:val="TableParagraph"/>
              <w:rPr>
                <w:sz w:val="20"/>
              </w:rPr>
            </w:pPr>
          </w:p>
          <w:p>
            <w:pPr>
              <w:pStyle w:val="TableParagraph"/>
              <w:spacing w:before="1"/>
              <w:ind w:left="100"/>
              <w:jc w:val="both"/>
              <w:rPr>
                <w:sz w:val="20"/>
              </w:rPr>
            </w:pPr>
            <w:r>
              <w:rPr>
                <w:sz w:val="20"/>
              </w:rPr>
              <w:t>Meningiomas: Razas Dolicocefálicas</w:t>
            </w:r>
          </w:p>
          <w:p>
            <w:pPr>
              <w:pStyle w:val="TableParagraph"/>
              <w:spacing w:before="7"/>
              <w:rPr>
                <w:sz w:val="19"/>
              </w:rPr>
            </w:pPr>
          </w:p>
          <w:p>
            <w:pPr>
              <w:pStyle w:val="TableParagraph"/>
              <w:spacing w:before="1"/>
              <w:ind w:left="100"/>
              <w:jc w:val="both"/>
              <w:rPr>
                <w:sz w:val="20"/>
              </w:rPr>
            </w:pPr>
            <w:r>
              <w:rPr>
                <w:sz w:val="20"/>
              </w:rPr>
              <w:t>Tumor de células gliales: Razas Braquicéfalas</w:t>
            </w:r>
          </w:p>
        </w:tc>
        <w:tc>
          <w:tcPr>
            <w:tcW w:w="2291" w:type="dxa"/>
          </w:tcPr>
          <w:p>
            <w:pPr>
              <w:pStyle w:val="TableParagraph"/>
              <w:spacing w:line="221" w:lineRule="exact"/>
              <w:ind w:left="100" w:right="96"/>
              <w:rPr>
                <w:sz w:val="20"/>
              </w:rPr>
            </w:pPr>
            <w:r>
              <w:rPr>
                <w:sz w:val="20"/>
              </w:rPr>
              <w:t>&lt; 1 año</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20"/>
              </w:rPr>
            </w:pPr>
          </w:p>
          <w:p>
            <w:pPr>
              <w:pStyle w:val="TableParagraph"/>
              <w:ind w:left="100" w:right="96"/>
              <w:rPr>
                <w:sz w:val="20"/>
              </w:rPr>
            </w:pPr>
            <w:r>
              <w:rPr>
                <w:sz w:val="20"/>
              </w:rPr>
              <w:t>&gt;5 años</w:t>
            </w:r>
          </w:p>
          <w:p>
            <w:pPr>
              <w:pStyle w:val="TableParagraph"/>
              <w:rPr>
                <w:sz w:val="20"/>
              </w:rPr>
            </w:pPr>
          </w:p>
          <w:p>
            <w:pPr>
              <w:pStyle w:val="TableParagraph"/>
              <w:spacing w:before="1"/>
              <w:ind w:left="100" w:right="96"/>
              <w:rPr>
                <w:sz w:val="20"/>
              </w:rPr>
            </w:pPr>
            <w:r>
              <w:rPr>
                <w:sz w:val="20"/>
              </w:rPr>
              <w:t>&gt;5 años</w:t>
            </w:r>
          </w:p>
        </w:tc>
      </w:tr>
    </w:tbl>
    <w:p>
      <w:pPr>
        <w:spacing w:after="0"/>
        <w:rPr>
          <w:sz w:val="20"/>
        </w:rPr>
        <w:sectPr>
          <w:footerReference w:type="default" r:id="rId20"/>
          <w:pgSz w:w="12240" w:h="15840"/>
          <w:pgMar w:footer="2071" w:header="0" w:top="1500" w:bottom="2260" w:left="1640" w:right="600"/>
          <w:pgNumType w:start="21"/>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6"/>
        <w:gridCol w:w="4466"/>
        <w:gridCol w:w="2291"/>
      </w:tblGrid>
      <w:tr>
        <w:trPr>
          <w:trHeight w:val="10131" w:hRule="exact"/>
        </w:trPr>
        <w:tc>
          <w:tcPr>
            <w:tcW w:w="2996" w:type="dxa"/>
          </w:tcPr>
          <w:p>
            <w:pPr/>
          </w:p>
        </w:tc>
        <w:tc>
          <w:tcPr>
            <w:tcW w:w="4466" w:type="dxa"/>
          </w:tcPr>
          <w:p>
            <w:pPr>
              <w:pStyle w:val="TableParagraph"/>
              <w:tabs>
                <w:tab w:pos="1117" w:val="left" w:leader="none"/>
                <w:tab w:pos="2244" w:val="left" w:leader="none"/>
                <w:tab w:pos="3299" w:val="left" w:leader="none"/>
                <w:tab w:pos="3702" w:val="left" w:leader="none"/>
              </w:tabs>
              <w:spacing w:line="480" w:lineRule="auto"/>
              <w:ind w:left="100" w:right="107"/>
              <w:rPr>
                <w:sz w:val="20"/>
              </w:rPr>
            </w:pPr>
            <w:r>
              <w:rPr>
                <w:sz w:val="20"/>
              </w:rPr>
              <w:t>Neoplasia</w:t>
              <w:tab/>
              <w:t>secundaria:</w:t>
              <w:tab/>
              <w:t>Metástasis</w:t>
              <w:tab/>
              <w:t>de</w:t>
              <w:tab/>
            </w:r>
            <w:r>
              <w:rPr>
                <w:spacing w:val="-1"/>
                <w:sz w:val="20"/>
              </w:rPr>
              <w:t>tumores </w:t>
            </w:r>
            <w:r>
              <w:rPr>
                <w:sz w:val="20"/>
              </w:rPr>
              <w:t>cerebrales</w:t>
            </w:r>
          </w:p>
          <w:p>
            <w:pPr>
              <w:pStyle w:val="TableParagraph"/>
              <w:rPr>
                <w:sz w:val="20"/>
              </w:rPr>
            </w:pPr>
          </w:p>
          <w:p>
            <w:pPr>
              <w:pStyle w:val="TableParagraph"/>
              <w:spacing w:before="5"/>
              <w:rPr>
                <w:sz w:val="20"/>
              </w:rPr>
            </w:pPr>
          </w:p>
          <w:p>
            <w:pPr>
              <w:pStyle w:val="TableParagraph"/>
              <w:spacing w:before="1"/>
              <w:ind w:left="100" w:right="105"/>
              <w:rPr>
                <w:sz w:val="20"/>
              </w:rPr>
            </w:pPr>
            <w:r>
              <w:rPr>
                <w:sz w:val="20"/>
              </w:rPr>
              <w:t>Parásitos:  Migraciones  aberrantes  de  </w:t>
            </w:r>
            <w:r>
              <w:rPr>
                <w:i/>
                <w:sz w:val="20"/>
              </w:rPr>
              <w:t>Cuterebra  </w:t>
            </w:r>
            <w:r>
              <w:rPr>
                <w:sz w:val="20"/>
              </w:rPr>
              <w:t>o</w:t>
            </w:r>
          </w:p>
          <w:p>
            <w:pPr>
              <w:pStyle w:val="TableParagraph"/>
              <w:rPr>
                <w:sz w:val="20"/>
              </w:rPr>
            </w:pPr>
          </w:p>
          <w:p>
            <w:pPr>
              <w:pStyle w:val="TableParagraph"/>
              <w:spacing w:line="480" w:lineRule="auto" w:before="1"/>
              <w:ind w:left="100" w:right="3281"/>
              <w:rPr>
                <w:sz w:val="20"/>
              </w:rPr>
            </w:pPr>
            <w:r>
              <w:rPr>
                <w:i/>
                <w:sz w:val="20"/>
              </w:rPr>
              <w:t>Dirofilaria. </w:t>
            </w:r>
            <w:r>
              <w:rPr>
                <w:sz w:val="20"/>
              </w:rPr>
              <w:t>Inflamatorio: Distemper</w:t>
            </w:r>
          </w:p>
          <w:p>
            <w:pPr>
              <w:pStyle w:val="TableParagraph"/>
              <w:rPr>
                <w:sz w:val="20"/>
              </w:rPr>
            </w:pPr>
          </w:p>
          <w:p>
            <w:pPr>
              <w:pStyle w:val="TableParagraph"/>
              <w:rPr>
                <w:sz w:val="20"/>
              </w:rPr>
            </w:pPr>
          </w:p>
          <w:p>
            <w:pPr>
              <w:pStyle w:val="TableParagraph"/>
              <w:rPr>
                <w:sz w:val="20"/>
              </w:rPr>
            </w:pPr>
          </w:p>
          <w:p>
            <w:pPr>
              <w:pStyle w:val="TableParagraph"/>
              <w:spacing w:before="6"/>
              <w:rPr>
                <w:sz w:val="20"/>
              </w:rPr>
            </w:pPr>
          </w:p>
          <w:p>
            <w:pPr>
              <w:pStyle w:val="TableParagraph"/>
              <w:spacing w:before="1"/>
              <w:ind w:left="100" w:right="107"/>
              <w:rPr>
                <w:sz w:val="20"/>
              </w:rPr>
            </w:pPr>
            <w:r>
              <w:rPr>
                <w:sz w:val="20"/>
              </w:rPr>
              <w:t>Rabia</w:t>
            </w:r>
          </w:p>
          <w:p>
            <w:pPr>
              <w:pStyle w:val="TableParagraph"/>
              <w:rPr>
                <w:sz w:val="20"/>
              </w:rPr>
            </w:pPr>
          </w:p>
          <w:p>
            <w:pPr>
              <w:pStyle w:val="TableParagraph"/>
              <w:spacing w:line="480" w:lineRule="auto" w:before="1"/>
              <w:ind w:left="100" w:right="1614"/>
              <w:rPr>
                <w:sz w:val="20"/>
              </w:rPr>
            </w:pPr>
            <w:r>
              <w:rPr>
                <w:sz w:val="20"/>
              </w:rPr>
              <w:t>Encefalitis fúngica: razas grandes Encefalitis por protozoarios Encefalitis bacteriana Meningoencefalitis por rickettsias Toxoplasmosis</w:t>
            </w:r>
          </w:p>
          <w:p>
            <w:pPr>
              <w:pStyle w:val="TableParagraph"/>
              <w:spacing w:line="482" w:lineRule="auto" w:before="4"/>
              <w:ind w:left="100" w:right="148"/>
              <w:rPr>
                <w:sz w:val="20"/>
              </w:rPr>
            </w:pPr>
            <w:r>
              <w:rPr>
                <w:sz w:val="20"/>
              </w:rPr>
              <w:t>Meningoencefalitis granulomatosa: Poodle y Terrier Encefalitis del pug</w:t>
            </w:r>
          </w:p>
          <w:p>
            <w:pPr>
              <w:pStyle w:val="TableParagraph"/>
              <w:spacing w:line="480" w:lineRule="auto" w:before="7"/>
              <w:ind w:left="100" w:right="1470"/>
              <w:rPr>
                <w:sz w:val="20"/>
              </w:rPr>
            </w:pPr>
            <w:r>
              <w:rPr>
                <w:sz w:val="20"/>
              </w:rPr>
              <w:t>Trauma craneocefálico Vasculopatías (isquemia) Malformaciones arteriovenosas Deficiencias nutricionales (tiamina)</w:t>
            </w:r>
          </w:p>
        </w:tc>
        <w:tc>
          <w:tcPr>
            <w:tcW w:w="229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19"/>
              </w:rPr>
            </w:pPr>
          </w:p>
          <w:p>
            <w:pPr>
              <w:pStyle w:val="TableParagraph"/>
              <w:ind w:left="100" w:right="96"/>
              <w:rPr>
                <w:sz w:val="20"/>
              </w:rPr>
            </w:pPr>
            <w:r>
              <w:rPr>
                <w:sz w:val="20"/>
              </w:rPr>
              <w:t>Cualquier edad</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2"/>
              <w:rPr>
                <w:sz w:val="20"/>
              </w:rPr>
            </w:pPr>
          </w:p>
          <w:p>
            <w:pPr>
              <w:pStyle w:val="TableParagraph"/>
              <w:tabs>
                <w:tab w:pos="1170" w:val="left" w:leader="none"/>
                <w:tab w:pos="1822" w:val="left" w:leader="none"/>
              </w:tabs>
              <w:spacing w:line="480" w:lineRule="auto" w:before="1"/>
              <w:ind w:left="100" w:right="96"/>
              <w:rPr>
                <w:sz w:val="20"/>
              </w:rPr>
            </w:pPr>
            <w:r>
              <w:rPr>
                <w:sz w:val="20"/>
              </w:rPr>
              <w:t>Cualquier</w:t>
              <w:tab/>
              <w:t>edad</w:t>
              <w:tab/>
              <w:t>pero usualmente 1</w:t>
            </w:r>
            <w:r>
              <w:rPr>
                <w:spacing w:val="3"/>
                <w:sz w:val="20"/>
              </w:rPr>
              <w:t> </w:t>
            </w:r>
            <w:r>
              <w:rPr>
                <w:sz w:val="20"/>
              </w:rPr>
              <w:t>año</w:t>
            </w:r>
          </w:p>
          <w:p>
            <w:pPr>
              <w:pStyle w:val="TableParagraph"/>
              <w:rPr>
                <w:sz w:val="20"/>
              </w:rPr>
            </w:pPr>
          </w:p>
          <w:p>
            <w:pPr>
              <w:pStyle w:val="TableParagraph"/>
              <w:spacing w:before="5"/>
              <w:rPr>
                <w:sz w:val="20"/>
              </w:rPr>
            </w:pPr>
          </w:p>
          <w:p>
            <w:pPr>
              <w:pStyle w:val="TableParagraph"/>
              <w:spacing w:line="480" w:lineRule="auto" w:before="1"/>
              <w:ind w:left="100" w:right="944"/>
              <w:rPr>
                <w:sz w:val="20"/>
              </w:rPr>
            </w:pPr>
            <w:r>
              <w:rPr>
                <w:sz w:val="20"/>
              </w:rPr>
              <w:t>&gt;1 año Cualquier edad</w:t>
            </w:r>
          </w:p>
          <w:p>
            <w:pPr>
              <w:pStyle w:val="TableParagraph"/>
              <w:rPr>
                <w:sz w:val="20"/>
              </w:rPr>
            </w:pPr>
          </w:p>
          <w:p>
            <w:pPr>
              <w:pStyle w:val="TableParagraph"/>
              <w:rPr>
                <w:sz w:val="20"/>
              </w:rPr>
            </w:pPr>
          </w:p>
          <w:p>
            <w:pPr>
              <w:pStyle w:val="TableParagraph"/>
              <w:rPr>
                <w:sz w:val="20"/>
              </w:rPr>
            </w:pPr>
          </w:p>
          <w:p>
            <w:pPr>
              <w:pStyle w:val="TableParagraph"/>
              <w:spacing w:before="11"/>
              <w:rPr>
                <w:sz w:val="20"/>
              </w:rPr>
            </w:pPr>
          </w:p>
          <w:p>
            <w:pPr>
              <w:pStyle w:val="TableParagraph"/>
              <w:ind w:left="100" w:right="96"/>
              <w:rPr>
                <w:sz w:val="20"/>
              </w:rPr>
            </w:pPr>
            <w:r>
              <w:rPr>
                <w:sz w:val="20"/>
              </w:rPr>
              <w:t>1-8 años</w:t>
            </w:r>
          </w:p>
          <w:p>
            <w:pPr>
              <w:pStyle w:val="TableParagraph"/>
              <w:rPr>
                <w:sz w:val="20"/>
              </w:rPr>
            </w:pPr>
          </w:p>
          <w:p>
            <w:pPr>
              <w:pStyle w:val="TableParagraph"/>
              <w:spacing w:line="475" w:lineRule="auto" w:before="1"/>
              <w:ind w:left="100" w:right="944"/>
              <w:rPr>
                <w:sz w:val="20"/>
              </w:rPr>
            </w:pPr>
            <w:r>
              <w:rPr>
                <w:sz w:val="20"/>
              </w:rPr>
              <w:t>1-7 años Cualquier edad</w:t>
            </w:r>
          </w:p>
          <w:p>
            <w:pPr>
              <w:pStyle w:val="TableParagraph"/>
              <w:spacing w:line="480" w:lineRule="auto" w:before="14"/>
              <w:ind w:left="100" w:right="265"/>
              <w:rPr>
                <w:sz w:val="20"/>
              </w:rPr>
            </w:pPr>
            <w:r>
              <w:rPr>
                <w:sz w:val="20"/>
              </w:rPr>
              <w:t>Cualquier edad &gt;5 años Jóvenes</w:t>
            </w:r>
          </w:p>
          <w:p>
            <w:pPr>
              <w:pStyle w:val="TableParagraph"/>
              <w:spacing w:before="9"/>
              <w:ind w:left="100" w:right="96"/>
              <w:rPr>
                <w:sz w:val="20"/>
              </w:rPr>
            </w:pPr>
            <w:r>
              <w:rPr>
                <w:sz w:val="20"/>
              </w:rPr>
              <w:t>Cualquier edad</w:t>
            </w:r>
          </w:p>
        </w:tc>
      </w:tr>
      <w:tr>
        <w:trPr>
          <w:trHeight w:val="1392" w:hRule="exact"/>
        </w:trPr>
        <w:tc>
          <w:tcPr>
            <w:tcW w:w="2996" w:type="dxa"/>
          </w:tcPr>
          <w:p>
            <w:pPr>
              <w:pStyle w:val="TableParagraph"/>
              <w:spacing w:line="221" w:lineRule="exact"/>
              <w:ind w:left="105"/>
              <w:rPr>
                <w:sz w:val="20"/>
              </w:rPr>
            </w:pPr>
            <w:r>
              <w:rPr>
                <w:sz w:val="20"/>
              </w:rPr>
              <w:t>Epilepsia criptogénica</w:t>
            </w:r>
          </w:p>
        </w:tc>
        <w:tc>
          <w:tcPr>
            <w:tcW w:w="4466" w:type="dxa"/>
          </w:tcPr>
          <w:p>
            <w:pPr/>
          </w:p>
        </w:tc>
        <w:tc>
          <w:tcPr>
            <w:tcW w:w="2291" w:type="dxa"/>
          </w:tcPr>
          <w:p>
            <w:pPr>
              <w:pStyle w:val="TableParagraph"/>
              <w:spacing w:line="482" w:lineRule="auto"/>
              <w:ind w:left="100" w:right="96"/>
              <w:rPr>
                <w:sz w:val="20"/>
              </w:rPr>
            </w:pPr>
            <w:r>
              <w:rPr>
                <w:sz w:val="20"/>
              </w:rPr>
              <w:t>Cualquier edad Principalmente  &lt;1  año y</w:t>
            </w:r>
          </w:p>
          <w:p>
            <w:pPr>
              <w:pStyle w:val="TableParagraph"/>
              <w:spacing w:before="7"/>
              <w:ind w:left="100" w:right="96"/>
              <w:rPr>
                <w:sz w:val="20"/>
              </w:rPr>
            </w:pPr>
            <w:r>
              <w:rPr>
                <w:sz w:val="20"/>
              </w:rPr>
              <w:t>&gt;5 años</w:t>
            </w:r>
          </w:p>
        </w:tc>
      </w:tr>
    </w:tbl>
    <w:p>
      <w:pPr>
        <w:spacing w:after="0"/>
        <w:rPr>
          <w:sz w:val="20"/>
        </w:rPr>
        <w:sectPr>
          <w:pgSz w:w="12240" w:h="15840"/>
          <w:pgMar w:header="0" w:footer="2071" w:top="1500" w:bottom="2260" w:left="1640" w:right="6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6"/>
        <w:gridCol w:w="4466"/>
        <w:gridCol w:w="2291"/>
      </w:tblGrid>
      <w:tr>
        <w:trPr>
          <w:trHeight w:val="470" w:hRule="exact"/>
        </w:trPr>
        <w:tc>
          <w:tcPr>
            <w:tcW w:w="2996" w:type="dxa"/>
          </w:tcPr>
          <w:p>
            <w:pPr>
              <w:pStyle w:val="TableParagraph"/>
              <w:spacing w:line="221" w:lineRule="exact"/>
              <w:ind w:left="105"/>
              <w:rPr>
                <w:sz w:val="20"/>
              </w:rPr>
            </w:pPr>
            <w:r>
              <w:rPr>
                <w:sz w:val="20"/>
              </w:rPr>
              <w:t>CAUSAS EXTRACRANEALES</w:t>
            </w:r>
          </w:p>
        </w:tc>
        <w:tc>
          <w:tcPr>
            <w:tcW w:w="4466" w:type="dxa"/>
          </w:tcPr>
          <w:p>
            <w:pPr/>
          </w:p>
        </w:tc>
        <w:tc>
          <w:tcPr>
            <w:tcW w:w="2291" w:type="dxa"/>
          </w:tcPr>
          <w:p>
            <w:pPr/>
          </w:p>
        </w:tc>
      </w:tr>
      <w:tr>
        <w:trPr>
          <w:trHeight w:val="6910" w:hRule="exact"/>
        </w:trPr>
        <w:tc>
          <w:tcPr>
            <w:tcW w:w="2996" w:type="dxa"/>
          </w:tcPr>
          <w:p>
            <w:pPr>
              <w:pStyle w:val="TableParagraph"/>
              <w:spacing w:line="221" w:lineRule="exact"/>
              <w:ind w:left="105"/>
              <w:rPr>
                <w:sz w:val="20"/>
              </w:rPr>
            </w:pPr>
            <w:r>
              <w:rPr>
                <w:sz w:val="20"/>
              </w:rPr>
              <w:t>Síndromes Especiales</w:t>
            </w:r>
          </w:p>
        </w:tc>
        <w:tc>
          <w:tcPr>
            <w:tcW w:w="4466" w:type="dxa"/>
          </w:tcPr>
          <w:p>
            <w:pPr>
              <w:pStyle w:val="TableParagraph"/>
              <w:spacing w:line="221" w:lineRule="exact"/>
              <w:ind w:left="100" w:right="107"/>
              <w:rPr>
                <w:sz w:val="20"/>
              </w:rPr>
            </w:pPr>
            <w:r>
              <w:rPr>
                <w:sz w:val="20"/>
              </w:rPr>
              <w:t>Metabólico</w:t>
            </w:r>
          </w:p>
          <w:p>
            <w:pPr>
              <w:pStyle w:val="TableParagraph"/>
              <w:rPr>
                <w:sz w:val="20"/>
              </w:rPr>
            </w:pPr>
          </w:p>
          <w:p>
            <w:pPr>
              <w:pStyle w:val="TableParagraph"/>
              <w:spacing w:line="477" w:lineRule="auto" w:before="1"/>
              <w:ind w:left="100" w:right="1298"/>
              <w:rPr>
                <w:sz w:val="20"/>
              </w:rPr>
            </w:pPr>
            <w:r>
              <w:rPr>
                <w:sz w:val="20"/>
              </w:rPr>
              <w:t>Hipoglicemia (dieta); Razas pequeñas Hipoglicemia (insulinoma) Hipocalcemia</w:t>
            </w:r>
          </w:p>
          <w:p>
            <w:pPr>
              <w:pStyle w:val="TableParagraph"/>
              <w:rPr>
                <w:sz w:val="20"/>
              </w:rPr>
            </w:pPr>
          </w:p>
          <w:p>
            <w:pPr>
              <w:pStyle w:val="TableParagraph"/>
              <w:rPr>
                <w:sz w:val="20"/>
              </w:rPr>
            </w:pPr>
          </w:p>
          <w:p>
            <w:pPr>
              <w:pStyle w:val="TableParagraph"/>
              <w:rPr>
                <w:sz w:val="20"/>
              </w:rPr>
            </w:pPr>
          </w:p>
          <w:p>
            <w:pPr>
              <w:pStyle w:val="TableParagraph"/>
              <w:spacing w:before="2"/>
              <w:rPr>
                <w:sz w:val="21"/>
              </w:rPr>
            </w:pPr>
          </w:p>
          <w:p>
            <w:pPr>
              <w:pStyle w:val="TableParagraph"/>
              <w:ind w:left="100" w:right="107"/>
              <w:rPr>
                <w:sz w:val="20"/>
              </w:rPr>
            </w:pPr>
            <w:r>
              <w:rPr>
                <w:sz w:val="20"/>
              </w:rPr>
              <w:t>Encefalopatia hepática</w:t>
            </w:r>
          </w:p>
          <w:p>
            <w:pPr>
              <w:pStyle w:val="TableParagraph"/>
              <w:rPr>
                <w:sz w:val="20"/>
              </w:rPr>
            </w:pPr>
          </w:p>
          <w:p>
            <w:pPr>
              <w:pStyle w:val="TableParagraph"/>
              <w:tabs>
                <w:tab w:pos="1386" w:val="left" w:leader="none"/>
                <w:tab w:pos="2431" w:val="left" w:leader="none"/>
                <w:tab w:pos="3476" w:val="left" w:leader="none"/>
              </w:tabs>
              <w:spacing w:line="480" w:lineRule="auto" w:before="1"/>
              <w:ind w:left="100" w:right="105"/>
              <w:rPr>
                <w:sz w:val="20"/>
              </w:rPr>
            </w:pPr>
            <w:r>
              <w:rPr>
                <w:sz w:val="20"/>
              </w:rPr>
              <w:t>Anastomosis</w:t>
              <w:tab/>
              <w:t>portocava</w:t>
              <w:tab/>
              <w:t>congénito</w:t>
              <w:tab/>
            </w:r>
            <w:r>
              <w:rPr>
                <w:spacing w:val="-1"/>
                <w:sz w:val="20"/>
              </w:rPr>
              <w:t>(Yorkshire </w:t>
            </w:r>
            <w:r>
              <w:rPr>
                <w:sz w:val="20"/>
              </w:rPr>
              <w:t>Terrier, Schnauzer miniatura, Lhasa Apso, Shih Tzu, Labrador Retriever, Setter Irlandés) Hiperlipoproteinemia</w:t>
            </w:r>
          </w:p>
          <w:p>
            <w:pPr>
              <w:pStyle w:val="TableParagraph"/>
              <w:spacing w:line="480" w:lineRule="auto" w:before="9"/>
              <w:ind w:left="100" w:right="3175"/>
              <w:rPr>
                <w:sz w:val="20"/>
              </w:rPr>
            </w:pPr>
            <w:r>
              <w:rPr>
                <w:sz w:val="20"/>
              </w:rPr>
              <w:t>Crisis urémica Hipoxia Eritrocitosis</w:t>
            </w:r>
          </w:p>
          <w:p>
            <w:pPr>
              <w:pStyle w:val="TableParagraph"/>
              <w:spacing w:before="4"/>
              <w:ind w:left="100" w:right="107"/>
              <w:rPr>
                <w:sz w:val="20"/>
              </w:rPr>
            </w:pPr>
            <w:r>
              <w:rPr>
                <w:sz w:val="20"/>
              </w:rPr>
              <w:t>Hiperlipidemia: Schanauzer miniatura</w:t>
            </w:r>
          </w:p>
        </w:tc>
        <w:tc>
          <w:tcPr>
            <w:tcW w:w="2291" w:type="dxa"/>
          </w:tcPr>
          <w:p>
            <w:pPr>
              <w:pStyle w:val="TableParagraph"/>
              <w:spacing w:line="221" w:lineRule="exact"/>
              <w:ind w:left="100" w:right="96"/>
              <w:rPr>
                <w:sz w:val="20"/>
              </w:rPr>
            </w:pPr>
            <w:r>
              <w:rPr>
                <w:sz w:val="20"/>
              </w:rPr>
              <w:t>&lt; 1 año</w:t>
            </w:r>
          </w:p>
          <w:p>
            <w:pPr>
              <w:pStyle w:val="TableParagraph"/>
              <w:rPr>
                <w:sz w:val="20"/>
              </w:rPr>
            </w:pPr>
          </w:p>
          <w:p>
            <w:pPr>
              <w:pStyle w:val="TableParagraph"/>
              <w:rPr>
                <w:sz w:val="20"/>
              </w:rPr>
            </w:pPr>
          </w:p>
          <w:p>
            <w:pPr>
              <w:pStyle w:val="TableParagraph"/>
              <w:spacing w:before="1"/>
              <w:rPr>
                <w:sz w:val="20"/>
              </w:rPr>
            </w:pPr>
          </w:p>
          <w:p>
            <w:pPr>
              <w:pStyle w:val="TableParagraph"/>
              <w:ind w:left="100" w:right="96"/>
              <w:rPr>
                <w:sz w:val="20"/>
              </w:rPr>
            </w:pPr>
            <w:r>
              <w:rPr>
                <w:sz w:val="20"/>
              </w:rPr>
              <w:t>&gt;5 años</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9"/>
              </w:rPr>
            </w:pPr>
          </w:p>
          <w:p>
            <w:pPr>
              <w:pStyle w:val="TableParagraph"/>
              <w:ind w:left="100" w:right="96"/>
              <w:rPr>
                <w:sz w:val="20"/>
              </w:rPr>
            </w:pPr>
            <w:r>
              <w:rPr>
                <w:sz w:val="20"/>
              </w:rPr>
              <w:t>Cualquier edad &gt; 1 año</w:t>
            </w:r>
          </w:p>
          <w:p>
            <w:pPr>
              <w:pStyle w:val="TableParagraph"/>
              <w:rPr>
                <w:sz w:val="20"/>
              </w:rPr>
            </w:pPr>
          </w:p>
          <w:p>
            <w:pPr>
              <w:pStyle w:val="TableParagraph"/>
              <w:spacing w:before="1"/>
              <w:ind w:left="100" w:right="96"/>
              <w:rPr>
                <w:sz w:val="20"/>
              </w:rPr>
            </w:pPr>
            <w:r>
              <w:rPr>
                <w:sz w:val="20"/>
              </w:rPr>
              <w:t>&gt;5 años</w:t>
            </w:r>
          </w:p>
          <w:p>
            <w:pPr>
              <w:pStyle w:val="TableParagraph"/>
              <w:spacing w:before="1"/>
              <w:rPr>
                <w:sz w:val="20"/>
              </w:rPr>
            </w:pPr>
          </w:p>
          <w:p>
            <w:pPr>
              <w:pStyle w:val="TableParagraph"/>
              <w:ind w:left="100" w:right="96"/>
              <w:rPr>
                <w:sz w:val="20"/>
              </w:rPr>
            </w:pPr>
            <w:r>
              <w:rPr>
                <w:sz w:val="20"/>
              </w:rPr>
              <w:t>&lt;1 año</w:t>
            </w:r>
          </w:p>
          <w:p>
            <w:pPr>
              <w:pStyle w:val="TableParagraph"/>
              <w:rPr>
                <w:sz w:val="20"/>
              </w:rPr>
            </w:pPr>
          </w:p>
          <w:p>
            <w:pPr>
              <w:pStyle w:val="TableParagraph"/>
              <w:rPr>
                <w:sz w:val="20"/>
              </w:rPr>
            </w:pPr>
          </w:p>
          <w:p>
            <w:pPr>
              <w:pStyle w:val="TableParagraph"/>
              <w:spacing w:before="8"/>
              <w:rPr>
                <w:sz w:val="19"/>
              </w:rPr>
            </w:pPr>
          </w:p>
          <w:p>
            <w:pPr>
              <w:pStyle w:val="TableParagraph"/>
              <w:ind w:left="100" w:right="96"/>
              <w:rPr>
                <w:sz w:val="20"/>
              </w:rPr>
            </w:pPr>
            <w:r>
              <w:rPr>
                <w:sz w:val="20"/>
              </w:rPr>
              <w:t>&gt;1 año, cualquier edad</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9"/>
              </w:rPr>
            </w:pPr>
          </w:p>
          <w:p>
            <w:pPr>
              <w:pStyle w:val="TableParagraph"/>
              <w:ind w:left="100" w:right="96"/>
              <w:rPr>
                <w:sz w:val="20"/>
              </w:rPr>
            </w:pPr>
            <w:r>
              <w:rPr>
                <w:sz w:val="20"/>
              </w:rPr>
              <w:t>2-7 años</w:t>
            </w:r>
          </w:p>
        </w:tc>
      </w:tr>
      <w:tr>
        <w:trPr>
          <w:trHeight w:val="1853" w:hRule="exact"/>
        </w:trPr>
        <w:tc>
          <w:tcPr>
            <w:tcW w:w="2996" w:type="dxa"/>
          </w:tcPr>
          <w:p>
            <w:pPr/>
          </w:p>
        </w:tc>
        <w:tc>
          <w:tcPr>
            <w:tcW w:w="4466" w:type="dxa"/>
          </w:tcPr>
          <w:p>
            <w:pPr>
              <w:pStyle w:val="TableParagraph"/>
              <w:spacing w:line="221" w:lineRule="exact"/>
              <w:ind w:left="100"/>
              <w:jc w:val="both"/>
              <w:rPr>
                <w:sz w:val="20"/>
              </w:rPr>
            </w:pPr>
            <w:r>
              <w:rPr>
                <w:sz w:val="20"/>
              </w:rPr>
              <w:t>Tóxico</w:t>
            </w:r>
          </w:p>
          <w:p>
            <w:pPr>
              <w:pStyle w:val="TableParagraph"/>
              <w:rPr>
                <w:sz w:val="20"/>
              </w:rPr>
            </w:pPr>
          </w:p>
          <w:p>
            <w:pPr>
              <w:pStyle w:val="TableParagraph"/>
              <w:tabs>
                <w:tab w:pos="1310" w:val="left" w:leader="none"/>
                <w:tab w:pos="1971" w:val="left" w:leader="none"/>
                <w:tab w:pos="3397" w:val="left" w:leader="none"/>
                <w:tab w:pos="3516" w:val="left" w:leader="none"/>
              </w:tabs>
              <w:spacing w:line="480" w:lineRule="auto" w:before="1"/>
              <w:ind w:left="100" w:right="105"/>
              <w:jc w:val="both"/>
              <w:rPr>
                <w:sz w:val="20"/>
              </w:rPr>
            </w:pPr>
            <w:r>
              <w:rPr>
                <w:sz w:val="20"/>
              </w:rPr>
              <w:t>Plomo,</w:t>
              <w:tab/>
              <w:t>organofosforados,</w:t>
              <w:tab/>
            </w:r>
            <w:r>
              <w:rPr>
                <w:spacing w:val="-1"/>
                <w:sz w:val="20"/>
              </w:rPr>
              <w:t>etilenglicol, </w:t>
            </w:r>
            <w:r>
              <w:rPr>
                <w:sz w:val="20"/>
              </w:rPr>
              <w:t>organoclorados,</w:t>
              <w:tab/>
              <w:t>carbamatos,</w:t>
              <w:tab/>
              <w:tab/>
            </w:r>
            <w:r>
              <w:rPr>
                <w:spacing w:val="-1"/>
                <w:sz w:val="20"/>
              </w:rPr>
              <w:t>estricnina, </w:t>
            </w:r>
            <w:r>
              <w:rPr>
                <w:sz w:val="20"/>
              </w:rPr>
              <w:t>metaldehído, etc.</w:t>
            </w:r>
          </w:p>
        </w:tc>
        <w:tc>
          <w:tcPr>
            <w:tcW w:w="2291" w:type="dxa"/>
          </w:tcPr>
          <w:p>
            <w:pPr>
              <w:pStyle w:val="TableParagraph"/>
              <w:spacing w:line="221" w:lineRule="exact"/>
              <w:ind w:left="100" w:right="96"/>
              <w:rPr>
                <w:sz w:val="20"/>
              </w:rPr>
            </w:pPr>
            <w:r>
              <w:rPr>
                <w:sz w:val="20"/>
              </w:rPr>
              <w:t>Cualquier edad</w:t>
            </w:r>
          </w:p>
        </w:tc>
      </w:tr>
    </w:tbl>
    <w:p>
      <w:pPr>
        <w:spacing w:after="0" w:line="221" w:lineRule="exact"/>
        <w:rPr>
          <w:sz w:val="20"/>
        </w:rPr>
        <w:sectPr>
          <w:pgSz w:w="12240" w:h="15840"/>
          <w:pgMar w:header="0" w:footer="2071" w:top="1500" w:bottom="2260" w:left="1640" w:right="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2"/>
        <w:numPr>
          <w:ilvl w:val="0"/>
          <w:numId w:val="3"/>
        </w:numPr>
        <w:tabs>
          <w:tab w:pos="2275" w:val="left" w:leader="none"/>
        </w:tabs>
        <w:spacing w:line="240" w:lineRule="auto" w:before="0" w:after="0"/>
        <w:ind w:left="2275" w:right="0" w:hanging="346"/>
        <w:jc w:val="left"/>
        <w:rPr>
          <w:rFonts w:ascii="Cambria" w:hAnsi="Cambria"/>
        </w:rPr>
      </w:pPr>
      <w:bookmarkStart w:name="_bookmark13" w:id="21"/>
      <w:bookmarkEnd w:id="21"/>
      <w:r>
        <w:rPr>
          <w:b w:val="0"/>
        </w:rPr>
      </w:r>
      <w:bookmarkStart w:name="_bookmark13" w:id="22"/>
      <w:bookmarkEnd w:id="22"/>
      <w:r>
        <w:rPr>
          <w:rFonts w:ascii="Cambria" w:hAnsi="Cambria"/>
        </w:rPr>
        <w:t>C</w:t>
      </w:r>
      <w:r>
        <w:rPr>
          <w:rFonts w:ascii="Cambria" w:hAnsi="Cambria"/>
        </w:rPr>
        <w:t>lasificación De La</w:t>
      </w:r>
      <w:r>
        <w:rPr>
          <w:rFonts w:ascii="Cambria" w:hAnsi="Cambria"/>
          <w:spacing w:val="-14"/>
        </w:rPr>
        <w:t> </w:t>
      </w:r>
      <w:r>
        <w:rPr>
          <w:rFonts w:ascii="Cambria" w:hAnsi="Cambria"/>
        </w:rPr>
        <w:t>Epilepsia</w:t>
      </w:r>
    </w:p>
    <w:p>
      <w:pPr>
        <w:pStyle w:val="BodyText"/>
        <w:spacing w:line="480" w:lineRule="auto" w:before="102"/>
        <w:ind w:left="152" w:right="111"/>
        <w:jc w:val="both"/>
      </w:pPr>
      <w:r>
        <w:rPr/>
        <w:t>La clasificación de </w:t>
      </w:r>
      <w:r>
        <w:rPr>
          <w:spacing w:val="-3"/>
        </w:rPr>
        <w:t>la </w:t>
      </w:r>
      <w:r>
        <w:rPr/>
        <w:t>epilepsia está basada en su etiología. Incluye tres categorías: epilepsia sintomática, epilepsia reactiva y probable epilepsia idiopática (anteriormente conocida como criptogénica </w:t>
      </w:r>
      <w:r>
        <w:rPr>
          <w:spacing w:val="-5"/>
        </w:rPr>
        <w:t>lo </w:t>
      </w:r>
      <w:r>
        <w:rPr/>
        <w:t>que significa oculto) (March et </w:t>
      </w:r>
      <w:r>
        <w:rPr>
          <w:spacing w:val="-4"/>
        </w:rPr>
        <w:t>al, </w:t>
      </w:r>
      <w:r>
        <w:rPr/>
        <w:t>1998; Pellegrino,</w:t>
      </w:r>
      <w:r>
        <w:rPr>
          <w:spacing w:val="11"/>
        </w:rPr>
        <w:t> </w:t>
      </w:r>
      <w:r>
        <w:rPr/>
        <w:t>2003a).</w:t>
      </w:r>
    </w:p>
    <w:p>
      <w:pPr>
        <w:pStyle w:val="BodyText"/>
        <w:spacing w:line="480" w:lineRule="auto" w:before="212"/>
        <w:ind w:left="152" w:right="100"/>
        <w:jc w:val="both"/>
      </w:pPr>
      <w:r>
        <w:rPr/>
        <w:t>La epilepsia sintomática ocurre como consecuencia de un daño estructural identificado </w:t>
      </w:r>
      <w:r>
        <w:rPr>
          <w:spacing w:val="2"/>
        </w:rPr>
        <w:t>del </w:t>
      </w:r>
      <w:r>
        <w:rPr/>
        <w:t>sistema nervioso central (trauma cerebral, hidrocefalia, encefalitis, neoplasias). En las personas una causa común es cambios en </w:t>
      </w:r>
      <w:r>
        <w:rPr>
          <w:spacing w:val="-3"/>
        </w:rPr>
        <w:t>la </w:t>
      </w:r>
      <w:r>
        <w:rPr/>
        <w:t>micro estructura de </w:t>
      </w:r>
      <w:r>
        <w:rPr>
          <w:spacing w:val="-3"/>
        </w:rPr>
        <w:t>la </w:t>
      </w:r>
      <w:r>
        <w:rPr/>
        <w:t>corteza cerebral por </w:t>
      </w:r>
      <w:r>
        <w:rPr>
          <w:spacing w:val="-3"/>
        </w:rPr>
        <w:t>ejemplo </w:t>
      </w:r>
      <w:r>
        <w:rPr/>
        <w:t>trastornos de </w:t>
      </w:r>
      <w:r>
        <w:rPr>
          <w:spacing w:val="-5"/>
        </w:rPr>
        <w:t>la </w:t>
      </w:r>
      <w:r>
        <w:rPr/>
        <w:t>migración. La reactiva es consecuencia de un daño metabólico o tóxico. Cuando se sospecha de epilepsia sintomática o reactiva pero </w:t>
      </w:r>
      <w:r>
        <w:rPr>
          <w:spacing w:val="-3"/>
        </w:rPr>
        <w:t>no </w:t>
      </w:r>
      <w:r>
        <w:rPr/>
        <w:t>se identifica </w:t>
      </w:r>
      <w:r>
        <w:rPr>
          <w:spacing w:val="-3"/>
        </w:rPr>
        <w:t>la  </w:t>
      </w:r>
      <w:r>
        <w:rPr/>
        <w:t>causa se denomina criptogénica (March et </w:t>
      </w:r>
      <w:r>
        <w:rPr>
          <w:spacing w:val="-4"/>
        </w:rPr>
        <w:t>al, </w:t>
      </w:r>
      <w:r>
        <w:rPr/>
        <w:t>1998).</w:t>
      </w:r>
    </w:p>
    <w:p>
      <w:pPr>
        <w:pStyle w:val="BodyText"/>
        <w:spacing w:line="480" w:lineRule="auto" w:before="212"/>
        <w:ind w:left="152" w:right="102"/>
        <w:jc w:val="both"/>
      </w:pPr>
      <w:r>
        <w:rPr/>
        <w:t>El término epilepsia idiopática se refiere a la epilepsia de causa desconocida y en donde se ha descartado un problema metabólico, tóxico y sin daño estructural o patología cerebral identificable. En seres humanos se asocia a un componente genético. Los animales que sufren de epilepsia idiopática aparecen clínica y neurológicamente normales durante el período interictal (Raymond et al, 1995).</w:t>
      </w:r>
    </w:p>
    <w:p>
      <w:pPr>
        <w:spacing w:after="0" w:line="480" w:lineRule="auto"/>
        <w:jc w:val="both"/>
        <w:sectPr>
          <w:pgSz w:w="12240" w:h="15840"/>
          <w:pgMar w:header="0" w:footer="2071" w:top="1500" w:bottom="2260" w:left="1720" w:right="1420"/>
        </w:sectPr>
      </w:pPr>
    </w:p>
    <w:p>
      <w:pPr>
        <w:pStyle w:val="BodyText"/>
        <w:spacing w:before="4"/>
        <w:rPr>
          <w:sz w:val="21"/>
        </w:rPr>
      </w:pPr>
    </w:p>
    <w:p>
      <w:pPr>
        <w:pStyle w:val="Heading2"/>
        <w:numPr>
          <w:ilvl w:val="0"/>
          <w:numId w:val="3"/>
        </w:numPr>
        <w:tabs>
          <w:tab w:pos="2275" w:val="left" w:leader="none"/>
        </w:tabs>
        <w:spacing w:line="240" w:lineRule="auto" w:before="67" w:after="0"/>
        <w:ind w:left="2275" w:right="0" w:hanging="346"/>
        <w:jc w:val="left"/>
        <w:rPr>
          <w:rFonts w:ascii="Cambria" w:hAnsi="Cambria"/>
        </w:rPr>
      </w:pPr>
      <w:bookmarkStart w:name="_bookmark14" w:id="23"/>
      <w:bookmarkEnd w:id="23"/>
      <w:r>
        <w:rPr>
          <w:b w:val="0"/>
        </w:rPr>
      </w:r>
      <w:bookmarkStart w:name="_bookmark14" w:id="24"/>
      <w:bookmarkEnd w:id="24"/>
      <w:r>
        <w:rPr>
          <w:rFonts w:ascii="Cambria" w:hAnsi="Cambria"/>
        </w:rPr>
        <w:t>C</w:t>
      </w:r>
      <w:r>
        <w:rPr>
          <w:rFonts w:ascii="Cambria" w:hAnsi="Cambria"/>
        </w:rPr>
        <w:t>lasificación de las</w:t>
      </w:r>
      <w:r>
        <w:rPr>
          <w:rFonts w:ascii="Cambria" w:hAnsi="Cambria"/>
          <w:spacing w:val="-21"/>
        </w:rPr>
        <w:t> </w:t>
      </w:r>
      <w:r>
        <w:rPr>
          <w:rFonts w:ascii="Cambria" w:hAnsi="Cambria"/>
        </w:rPr>
        <w:t>convulsiones</w:t>
      </w:r>
    </w:p>
    <w:p>
      <w:pPr>
        <w:pStyle w:val="BodyText"/>
        <w:spacing w:line="480" w:lineRule="auto" w:before="97"/>
        <w:ind w:left="152" w:right="108"/>
        <w:jc w:val="both"/>
      </w:pPr>
      <w:r>
        <w:rPr/>
        <w:t>Las manifestaciones clínicas de crisis epilépticas se relacionan directamente con la cantidad y distribución anormal de la actividad eléctrica en el cerebro. Las crisis epilépticas pueden ser clasificadas como convulsiones focales (anteriormente conocido como convulsiones parciales), convulsiones focales con generalización secundaria y crisis generalizadas primarias ó tónico-clónicas.</w:t>
      </w:r>
    </w:p>
    <w:p>
      <w:pPr>
        <w:pStyle w:val="BodyText"/>
        <w:spacing w:line="480" w:lineRule="auto" w:before="207"/>
        <w:ind w:left="152" w:right="106"/>
        <w:jc w:val="both"/>
      </w:pPr>
      <w:r>
        <w:rPr/>
        <w:t>En las convulsiones focales, se plantea una actividad eléctrica anormal en un grupo de neuronas localizadas en un área específica del cerebro (un foco epiléptico), y los signos clínicos reflejan las funciones del área involucrada (Berendt et al, 2004). Cuando la conciencia no se halla alterada se conoce como focal simple y cuando está alterada como focal compleja. Este tipo de convulsiones debe alertar al clínico a buscar la etiología (tumores, malformaciones congénitas o encefalitis focal), ya que es muy probable que se encuentren asociadas con un daño cerebral estructural (Bagley, 2005). Una característica importante es que rara vez muestran un aura o pródromos antes de presentarse (Shell, 1993a).También pueden presentarse como una forma abortiva de una convulsión tónico- clónica generalizada después el tratamiento con fármacos antiepilépticos en el caso de epilepsia idiopática (Knowles, 1998).</w:t>
      </w:r>
    </w:p>
    <w:p>
      <w:pPr>
        <w:pStyle w:val="BodyText"/>
        <w:spacing w:line="480" w:lineRule="auto" w:before="212"/>
        <w:ind w:left="152" w:right="100"/>
        <w:jc w:val="both"/>
      </w:pPr>
      <w:r>
        <w:rPr/>
        <w:t>En </w:t>
      </w:r>
      <w:r>
        <w:rPr>
          <w:spacing w:val="-3"/>
        </w:rPr>
        <w:t>las </w:t>
      </w:r>
      <w:r>
        <w:rPr/>
        <w:t>convulsiones tónico-clónicas o generalizadas primarias, hay un estallido repentino de actividad eléctrica anormal en los dos hemisferios cerebrales. En donde el paciente pierde  </w:t>
      </w:r>
      <w:r>
        <w:rPr>
          <w:spacing w:val="-3"/>
        </w:rPr>
        <w:t>la  </w:t>
      </w:r>
      <w:r>
        <w:rPr/>
        <w:t>conciencia  de  manera  repentina,  con  presencia  de  opistotónos  y  manifestaciones</w:t>
      </w:r>
      <w:r>
        <w:rPr>
          <w:spacing w:val="-3"/>
        </w:rPr>
        <w:t> </w:t>
      </w:r>
      <w:r>
        <w:rPr/>
        <w:t>de</w:t>
      </w:r>
    </w:p>
    <w:p>
      <w:pPr>
        <w:pStyle w:val="BodyText"/>
        <w:spacing w:before="10"/>
        <w:ind w:left="152"/>
        <w:jc w:val="both"/>
      </w:pPr>
      <w:r>
        <w:rPr/>
        <w:t>convulsiones generalizadas.</w:t>
      </w:r>
    </w:p>
    <w:p>
      <w:pPr>
        <w:spacing w:after="0"/>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02"/>
        <w:jc w:val="both"/>
      </w:pPr>
      <w:r>
        <w:rPr/>
        <w:t>Una crisis epiléptica se puede dividir en dos fases: el ictus (actividad convulsiva) y </w:t>
      </w:r>
      <w:r>
        <w:rPr>
          <w:spacing w:val="-3"/>
        </w:rPr>
        <w:t>la </w:t>
      </w:r>
      <w:r>
        <w:rPr/>
        <w:t>fase postictal (restablecimiento de </w:t>
      </w:r>
      <w:r>
        <w:rPr>
          <w:spacing w:val="-5"/>
        </w:rPr>
        <w:t>la </w:t>
      </w:r>
      <w:r>
        <w:rPr/>
        <w:t>función normal cerebral). La fase ictal puede consistir en convulsión generalizada, convulsión focal, o una convulsión focal con generalización secundaria (Berendt, 2007). Esta fase es el acontecimiento real de </w:t>
      </w:r>
      <w:r>
        <w:rPr>
          <w:spacing w:val="-3"/>
        </w:rPr>
        <w:t>la </w:t>
      </w:r>
      <w:r>
        <w:rPr/>
        <w:t>convulsión que, si es generalizada, existe pérdida de </w:t>
      </w:r>
      <w:r>
        <w:rPr>
          <w:spacing w:val="-3"/>
        </w:rPr>
        <w:t>la </w:t>
      </w:r>
      <w:r>
        <w:rPr/>
        <w:t>conciencia, actividad tónico-clónica (contracción muscular persistente con períodos de contracción muscular/relajación alterna), y otros eventos motores involuntarios (Podell, 1996; De Lahunta et </w:t>
      </w:r>
      <w:r>
        <w:rPr>
          <w:spacing w:val="-3"/>
        </w:rPr>
        <w:t>al, </w:t>
      </w:r>
      <w:r>
        <w:rPr/>
        <w:t>2009; MacNamara, 1994) como movimientos de </w:t>
      </w:r>
      <w:r>
        <w:rPr>
          <w:spacing w:val="-3"/>
        </w:rPr>
        <w:t>remo </w:t>
      </w:r>
      <w:r>
        <w:rPr/>
        <w:t>y nado (automatismos) también se pueden ver, pero por </w:t>
      </w:r>
      <w:r>
        <w:rPr>
          <w:spacing w:val="-5"/>
        </w:rPr>
        <w:t>lo </w:t>
      </w:r>
      <w:r>
        <w:rPr/>
        <w:t>general sigue </w:t>
      </w:r>
      <w:r>
        <w:rPr>
          <w:spacing w:val="-3"/>
        </w:rPr>
        <w:t>la </w:t>
      </w:r>
      <w:r>
        <w:rPr/>
        <w:t>fase clónica. La fase ictal tiene una duración aproximada de 30 a 90 segundos en </w:t>
      </w:r>
      <w:r>
        <w:rPr>
          <w:spacing w:val="-3"/>
        </w:rPr>
        <w:t>la </w:t>
      </w:r>
      <w:r>
        <w:rPr/>
        <w:t>mayoría de los casos. La fase postictal es el período que ocurre inmediatamente después de una convulsión. La duración de </w:t>
      </w:r>
      <w:r>
        <w:rPr>
          <w:spacing w:val="-3"/>
        </w:rPr>
        <w:t>la </w:t>
      </w:r>
      <w:r>
        <w:rPr/>
        <w:t>fase postictal varía de minutos a días y puede </w:t>
      </w:r>
      <w:r>
        <w:rPr>
          <w:spacing w:val="-3"/>
        </w:rPr>
        <w:t>no </w:t>
      </w:r>
      <w:r>
        <w:rPr/>
        <w:t>tener ninguna relación con </w:t>
      </w:r>
      <w:r>
        <w:rPr>
          <w:spacing w:val="-5"/>
        </w:rPr>
        <w:t>la </w:t>
      </w:r>
      <w:r>
        <w:rPr/>
        <w:t>gravedad y duración del episodio. Los animales comúnmente manifiestan agotamiento físico, inactividad, inquietud, desorientación, apetito o sed excesiva. También puede ocurrir ataxia, déficit propioceptivo, demencia, pérdida transitoria de </w:t>
      </w:r>
      <w:r>
        <w:rPr>
          <w:spacing w:val="-3"/>
        </w:rPr>
        <w:t>la </w:t>
      </w:r>
      <w:r>
        <w:rPr/>
        <w:t>respuesta al reflejo de amenaza e incluso ceguera transitoria que puede durar horas a días para volver a </w:t>
      </w:r>
      <w:r>
        <w:rPr>
          <w:spacing w:val="-5"/>
        </w:rPr>
        <w:t>la </w:t>
      </w:r>
      <w:r>
        <w:rPr/>
        <w:t>normalidad (Podell, 1996; MacNamara, 1994). Si se presentan señales asimétricas persistentes como: marcha circular, hemiparesia, ceguera unilateral, alteraciones sensitivas faciales unilaterales, disminución de </w:t>
      </w:r>
      <w:r>
        <w:rPr>
          <w:spacing w:val="-3"/>
        </w:rPr>
        <w:t>la </w:t>
      </w:r>
      <w:r>
        <w:rPr/>
        <w:t>propiocepción consciente en un lado del cuerpo a menudo indican una lesión estructural (De Lahunta et </w:t>
      </w:r>
      <w:r>
        <w:rPr>
          <w:spacing w:val="-4"/>
        </w:rPr>
        <w:t>al,</w:t>
      </w:r>
      <w:r>
        <w:rPr>
          <w:spacing w:val="6"/>
        </w:rPr>
        <w:t> </w:t>
      </w:r>
      <w:r>
        <w:rPr/>
        <w:t>2009).</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232" w:right="224"/>
        <w:jc w:val="both"/>
        <w:rPr>
          <w:i/>
        </w:rPr>
      </w:pPr>
      <w:r>
        <w:rPr/>
        <w:t>En algunos casos, el ictus puede ser precedido por una fase pródromica que se conoce como aura ó período preictal; este puede tener una duración variable de horas a días. En seres humanos se han observado cambios de comportamiento como ansiedad, e irritabilidad. En los perros el signo prodrómico que comúnmente se observa es inquietud la cual puede durar de horas a días (Berendt, 2007). También podemos observar que el animal muestra hiperexcitabilidad, lamido excesivo, salivación, recurre a ocultarse o por el contrario presentan búsqueda de atención. Las fases prodrómicas son consideradas tradicionalmente como un fenómeno pre-ictal ó aura ya que por medio de electroencefalografía (EEG) la actividad cerebral no se puede registrar y esta es anormal. Tabla 2</w:t>
      </w:r>
      <w:r>
        <w:rPr>
          <w:i/>
        </w:rPr>
        <w:t>.</w:t>
      </w:r>
    </w:p>
    <w:p>
      <w:pPr>
        <w:pStyle w:val="BodyText"/>
        <w:spacing w:before="8"/>
        <w:rPr>
          <w:i/>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1"/>
      </w:tblGrid>
      <w:tr>
        <w:trPr>
          <w:trHeight w:val="1316" w:hRule="exact"/>
        </w:trPr>
        <w:tc>
          <w:tcPr>
            <w:tcW w:w="9061" w:type="dxa"/>
          </w:tcPr>
          <w:p>
            <w:pPr>
              <w:pStyle w:val="TableParagraph"/>
              <w:spacing w:line="480" w:lineRule="auto"/>
              <w:ind w:left="215" w:right="137" w:firstLine="307"/>
              <w:rPr>
                <w:sz w:val="24"/>
              </w:rPr>
            </w:pPr>
            <w:r>
              <w:rPr>
                <w:sz w:val="24"/>
              </w:rPr>
              <w:t>TABLA 2. Clasificación de las convulsiones, según su apariencia clínica, en perros (modificado de bollinger-schmitz y kline, march y pellegrino) tomado de goiz et al, 2008.</w:t>
            </w:r>
          </w:p>
        </w:tc>
      </w:tr>
      <w:tr>
        <w:trPr>
          <w:trHeight w:val="763" w:hRule="exact"/>
        </w:trPr>
        <w:tc>
          <w:tcPr>
            <w:tcW w:w="9061" w:type="dxa"/>
          </w:tcPr>
          <w:p>
            <w:pPr>
              <w:pStyle w:val="TableParagraph"/>
              <w:tabs>
                <w:tab w:pos="811" w:val="left" w:leader="none"/>
              </w:tabs>
              <w:spacing w:line="268" w:lineRule="exact"/>
              <w:ind w:left="465" w:right="137"/>
              <w:rPr>
                <w:sz w:val="24"/>
              </w:rPr>
            </w:pPr>
            <w:r>
              <w:rPr>
                <w:sz w:val="24"/>
              </w:rPr>
              <w:t>I.</w:t>
              <w:tab/>
              <w:t>CONVULSIONES</w:t>
            </w:r>
            <w:r>
              <w:rPr>
                <w:spacing w:val="-20"/>
                <w:sz w:val="24"/>
              </w:rPr>
              <w:t> </w:t>
            </w:r>
            <w:r>
              <w:rPr>
                <w:sz w:val="24"/>
              </w:rPr>
              <w:t>GENERALIZADAS</w:t>
            </w:r>
          </w:p>
        </w:tc>
      </w:tr>
      <w:tr>
        <w:trPr>
          <w:trHeight w:val="4321" w:hRule="exact"/>
        </w:trPr>
        <w:tc>
          <w:tcPr>
            <w:tcW w:w="9061" w:type="dxa"/>
          </w:tcPr>
          <w:p>
            <w:pPr>
              <w:pStyle w:val="TableParagraph"/>
              <w:numPr>
                <w:ilvl w:val="0"/>
                <w:numId w:val="4"/>
              </w:numPr>
              <w:tabs>
                <w:tab w:pos="812" w:val="left" w:leader="none"/>
              </w:tabs>
              <w:spacing w:line="480" w:lineRule="auto" w:before="0" w:after="0"/>
              <w:ind w:left="825" w:right="108" w:hanging="360"/>
              <w:jc w:val="left"/>
              <w:rPr>
                <w:i/>
                <w:sz w:val="24"/>
              </w:rPr>
            </w:pPr>
            <w:r>
              <w:rPr>
                <w:sz w:val="24"/>
              </w:rPr>
              <w:t>Convulsión (bilateral con signos motores con o </w:t>
            </w:r>
            <w:r>
              <w:rPr>
                <w:spacing w:val="-3"/>
                <w:sz w:val="24"/>
              </w:rPr>
              <w:t>sin </w:t>
            </w:r>
            <w:r>
              <w:rPr>
                <w:sz w:val="24"/>
              </w:rPr>
              <w:t>pérdida de </w:t>
            </w:r>
            <w:r>
              <w:rPr>
                <w:spacing w:val="-3"/>
                <w:sz w:val="24"/>
              </w:rPr>
              <w:t>la </w:t>
            </w:r>
            <w:r>
              <w:rPr>
                <w:sz w:val="24"/>
              </w:rPr>
              <w:t>conciencia; </w:t>
            </w:r>
            <w:r>
              <w:rPr>
                <w:i/>
                <w:sz w:val="24"/>
              </w:rPr>
              <w:t>gran </w:t>
            </w:r>
            <w:r>
              <w:rPr>
                <w:i/>
                <w:sz w:val="24"/>
              </w:rPr>
              <w:t>mal</w:t>
            </w:r>
          </w:p>
          <w:p>
            <w:pPr>
              <w:pStyle w:val="TableParagraph"/>
              <w:numPr>
                <w:ilvl w:val="1"/>
                <w:numId w:val="4"/>
              </w:numPr>
              <w:tabs>
                <w:tab w:pos="1187" w:val="left" w:leader="none"/>
              </w:tabs>
              <w:spacing w:line="240" w:lineRule="auto" w:before="212" w:after="0"/>
              <w:ind w:left="1186" w:right="0" w:hanging="361"/>
              <w:jc w:val="left"/>
              <w:rPr>
                <w:i/>
                <w:sz w:val="24"/>
              </w:rPr>
            </w:pPr>
            <w:r>
              <w:rPr>
                <w:i/>
                <w:sz w:val="24"/>
              </w:rPr>
              <w:t>Tónico-clónicas- más</w:t>
            </w:r>
            <w:r>
              <w:rPr>
                <w:i/>
                <w:spacing w:val="-3"/>
                <w:sz w:val="24"/>
              </w:rPr>
              <w:t> </w:t>
            </w:r>
            <w:r>
              <w:rPr>
                <w:i/>
                <w:sz w:val="24"/>
              </w:rPr>
              <w:t>común</w:t>
            </w:r>
          </w:p>
          <w:p>
            <w:pPr>
              <w:pStyle w:val="TableParagraph"/>
              <w:rPr>
                <w:i/>
                <w:sz w:val="24"/>
              </w:rPr>
            </w:pPr>
          </w:p>
          <w:p>
            <w:pPr>
              <w:pStyle w:val="TableParagraph"/>
              <w:numPr>
                <w:ilvl w:val="1"/>
                <w:numId w:val="4"/>
              </w:numPr>
              <w:tabs>
                <w:tab w:pos="1187" w:val="left" w:leader="none"/>
              </w:tabs>
              <w:spacing w:line="240" w:lineRule="auto" w:before="197" w:after="0"/>
              <w:ind w:left="1186" w:right="0" w:hanging="361"/>
              <w:jc w:val="left"/>
              <w:rPr>
                <w:i/>
                <w:sz w:val="24"/>
              </w:rPr>
            </w:pPr>
            <w:r>
              <w:rPr>
                <w:i/>
                <w:sz w:val="24"/>
              </w:rPr>
              <w:t>Tónica</w:t>
            </w:r>
          </w:p>
          <w:p>
            <w:pPr>
              <w:pStyle w:val="TableParagraph"/>
              <w:rPr>
                <w:i/>
                <w:sz w:val="24"/>
              </w:rPr>
            </w:pPr>
          </w:p>
          <w:p>
            <w:pPr>
              <w:pStyle w:val="TableParagraph"/>
              <w:numPr>
                <w:ilvl w:val="1"/>
                <w:numId w:val="4"/>
              </w:numPr>
              <w:tabs>
                <w:tab w:pos="1187" w:val="left" w:leader="none"/>
              </w:tabs>
              <w:spacing w:line="240" w:lineRule="auto" w:before="201" w:after="0"/>
              <w:ind w:left="1186" w:right="0" w:hanging="361"/>
              <w:jc w:val="left"/>
              <w:rPr>
                <w:i/>
                <w:sz w:val="24"/>
              </w:rPr>
            </w:pPr>
            <w:r>
              <w:rPr>
                <w:i/>
                <w:sz w:val="24"/>
              </w:rPr>
              <w:t>Clónica</w:t>
            </w:r>
          </w:p>
          <w:p>
            <w:pPr>
              <w:pStyle w:val="TableParagraph"/>
              <w:rPr>
                <w:i/>
                <w:sz w:val="24"/>
              </w:rPr>
            </w:pPr>
          </w:p>
          <w:p>
            <w:pPr>
              <w:pStyle w:val="TableParagraph"/>
              <w:numPr>
                <w:ilvl w:val="1"/>
                <w:numId w:val="4"/>
              </w:numPr>
              <w:tabs>
                <w:tab w:pos="1187" w:val="left" w:leader="none"/>
              </w:tabs>
              <w:spacing w:line="240" w:lineRule="auto" w:before="202" w:after="0"/>
              <w:ind w:left="1186" w:right="0" w:hanging="361"/>
              <w:jc w:val="left"/>
              <w:rPr>
                <w:i/>
                <w:sz w:val="24"/>
              </w:rPr>
            </w:pPr>
            <w:r>
              <w:rPr>
                <w:i/>
                <w:sz w:val="24"/>
              </w:rPr>
              <w:t>Mioclónica- raro, tremores musculares</w:t>
            </w:r>
            <w:r>
              <w:rPr>
                <w:i/>
                <w:spacing w:val="-11"/>
                <w:sz w:val="24"/>
              </w:rPr>
              <w:t> </w:t>
            </w:r>
            <w:r>
              <w:rPr>
                <w:i/>
                <w:sz w:val="24"/>
              </w:rPr>
              <w:t>involuntarios</w:t>
            </w:r>
          </w:p>
        </w:tc>
      </w:tr>
    </w:tbl>
    <w:p>
      <w:pPr>
        <w:spacing w:after="0" w:line="240" w:lineRule="auto"/>
        <w:jc w:val="left"/>
        <w:rPr>
          <w:sz w:val="24"/>
        </w:rPr>
        <w:sectPr>
          <w:pgSz w:w="12240" w:h="15840"/>
          <w:pgMar w:header="0" w:footer="2071" w:top="1500" w:bottom="2320" w:left="1640" w:right="13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1"/>
      </w:tblGrid>
      <w:tr>
        <w:trPr>
          <w:trHeight w:val="3371" w:hRule="exact"/>
        </w:trPr>
        <w:tc>
          <w:tcPr>
            <w:tcW w:w="9061" w:type="dxa"/>
          </w:tcPr>
          <w:p>
            <w:pPr>
              <w:pStyle w:val="TableParagraph"/>
              <w:numPr>
                <w:ilvl w:val="0"/>
                <w:numId w:val="5"/>
              </w:numPr>
              <w:tabs>
                <w:tab w:pos="812" w:val="left" w:leader="none"/>
              </w:tabs>
              <w:spacing w:line="480" w:lineRule="auto" w:before="0" w:after="0"/>
              <w:ind w:left="825" w:right="117" w:hanging="360"/>
              <w:jc w:val="left"/>
              <w:rPr>
                <w:sz w:val="24"/>
              </w:rPr>
            </w:pPr>
            <w:r>
              <w:rPr>
                <w:sz w:val="24"/>
              </w:rPr>
              <w:t>No-convulsivo (usualmente sin ningún componente de movimiento, afecta </w:t>
            </w:r>
            <w:r>
              <w:rPr>
                <w:spacing w:val="-5"/>
                <w:sz w:val="24"/>
              </w:rPr>
              <w:t>la </w:t>
            </w:r>
            <w:r>
              <w:rPr>
                <w:sz w:val="24"/>
              </w:rPr>
              <w:t>conciencia; </w:t>
            </w:r>
            <w:r>
              <w:rPr>
                <w:i/>
                <w:sz w:val="24"/>
              </w:rPr>
              <w:t>petit mal </w:t>
            </w:r>
            <w:r>
              <w:rPr>
                <w:sz w:val="24"/>
              </w:rPr>
              <w:t>o crisis de ausencia (típicamente en</w:t>
            </w:r>
            <w:r>
              <w:rPr>
                <w:spacing w:val="-34"/>
                <w:sz w:val="24"/>
              </w:rPr>
              <w:t> </w:t>
            </w:r>
            <w:r>
              <w:rPr>
                <w:sz w:val="24"/>
              </w:rPr>
              <w:t>humanos).</w:t>
            </w:r>
          </w:p>
          <w:p>
            <w:pPr>
              <w:pStyle w:val="TableParagraph"/>
              <w:numPr>
                <w:ilvl w:val="1"/>
                <w:numId w:val="5"/>
              </w:numPr>
              <w:tabs>
                <w:tab w:pos="1187" w:val="left" w:leader="none"/>
              </w:tabs>
              <w:spacing w:line="240" w:lineRule="auto" w:before="212" w:after="0"/>
              <w:ind w:left="1186" w:right="0" w:hanging="361"/>
              <w:jc w:val="left"/>
              <w:rPr>
                <w:i/>
                <w:sz w:val="24"/>
              </w:rPr>
            </w:pPr>
            <w:r>
              <w:rPr>
                <w:i/>
                <w:sz w:val="24"/>
              </w:rPr>
              <w:t>Raro o raramente  reconocidas, breves períodos de pérdida de  la   </w:t>
            </w:r>
            <w:r>
              <w:rPr>
                <w:i/>
                <w:spacing w:val="42"/>
                <w:sz w:val="24"/>
              </w:rPr>
              <w:t> </w:t>
            </w:r>
            <w:r>
              <w:rPr>
                <w:i/>
                <w:sz w:val="24"/>
              </w:rPr>
              <w:t>conciencia.</w:t>
            </w:r>
          </w:p>
          <w:p>
            <w:pPr>
              <w:pStyle w:val="TableParagraph"/>
              <w:rPr>
                <w:sz w:val="24"/>
              </w:rPr>
            </w:pPr>
          </w:p>
          <w:p>
            <w:pPr>
              <w:pStyle w:val="TableParagraph"/>
              <w:ind w:left="1186" w:right="137"/>
              <w:rPr>
                <w:i/>
                <w:sz w:val="24"/>
              </w:rPr>
            </w:pPr>
            <w:r>
              <w:rPr>
                <w:i/>
                <w:sz w:val="24"/>
              </w:rPr>
              <w:t>Los animales parecen tener la mirada fija</w:t>
            </w:r>
          </w:p>
          <w:p>
            <w:pPr>
              <w:pStyle w:val="TableParagraph"/>
              <w:rPr>
                <w:sz w:val="24"/>
              </w:rPr>
            </w:pPr>
          </w:p>
          <w:p>
            <w:pPr>
              <w:pStyle w:val="TableParagraph"/>
              <w:numPr>
                <w:ilvl w:val="1"/>
                <w:numId w:val="5"/>
              </w:numPr>
              <w:tabs>
                <w:tab w:pos="1187" w:val="left" w:leader="none"/>
              </w:tabs>
              <w:spacing w:line="240" w:lineRule="auto" w:before="197" w:after="0"/>
              <w:ind w:left="1186" w:right="0" w:hanging="361"/>
              <w:jc w:val="left"/>
              <w:rPr>
                <w:i/>
                <w:sz w:val="24"/>
              </w:rPr>
            </w:pPr>
            <w:r>
              <w:rPr>
                <w:i/>
                <w:sz w:val="24"/>
              </w:rPr>
              <w:t>Atónica</w:t>
            </w:r>
            <w:r>
              <w:rPr>
                <w:i/>
                <w:spacing w:val="-4"/>
                <w:sz w:val="24"/>
              </w:rPr>
              <w:t> </w:t>
            </w:r>
            <w:r>
              <w:rPr>
                <w:i/>
                <w:sz w:val="24"/>
              </w:rPr>
              <w:t>(caídas)</w:t>
            </w:r>
          </w:p>
        </w:tc>
      </w:tr>
      <w:tr>
        <w:trPr>
          <w:trHeight w:val="764" w:hRule="exact"/>
        </w:trPr>
        <w:tc>
          <w:tcPr>
            <w:tcW w:w="9061" w:type="dxa"/>
          </w:tcPr>
          <w:p>
            <w:pPr>
              <w:pStyle w:val="TableParagraph"/>
              <w:spacing w:line="268" w:lineRule="exact"/>
              <w:ind w:left="465" w:right="137"/>
              <w:rPr>
                <w:sz w:val="24"/>
              </w:rPr>
            </w:pPr>
            <w:r>
              <w:rPr>
                <w:sz w:val="24"/>
              </w:rPr>
              <w:t>II.  CONVULSIONES PARCIALES</w:t>
            </w:r>
          </w:p>
        </w:tc>
      </w:tr>
      <w:tr>
        <w:trPr>
          <w:trHeight w:val="7480" w:hRule="exact"/>
        </w:trPr>
        <w:tc>
          <w:tcPr>
            <w:tcW w:w="9061" w:type="dxa"/>
          </w:tcPr>
          <w:p>
            <w:pPr>
              <w:pStyle w:val="TableParagraph"/>
              <w:numPr>
                <w:ilvl w:val="0"/>
                <w:numId w:val="6"/>
              </w:numPr>
              <w:tabs>
                <w:tab w:pos="769" w:val="left" w:leader="none"/>
              </w:tabs>
              <w:spacing w:line="268" w:lineRule="exact" w:before="0" w:after="0"/>
              <w:ind w:left="768" w:right="0" w:hanging="360"/>
              <w:jc w:val="left"/>
              <w:rPr>
                <w:sz w:val="24"/>
              </w:rPr>
            </w:pPr>
            <w:r>
              <w:rPr>
                <w:sz w:val="24"/>
              </w:rPr>
              <w:t>Focal -</w:t>
            </w:r>
            <w:r>
              <w:rPr>
                <w:spacing w:val="-12"/>
                <w:sz w:val="24"/>
              </w:rPr>
              <w:t> </w:t>
            </w:r>
            <w:r>
              <w:rPr>
                <w:sz w:val="24"/>
              </w:rPr>
              <w:t>Simple</w:t>
            </w:r>
          </w:p>
          <w:p>
            <w:pPr>
              <w:pStyle w:val="TableParagraph"/>
              <w:rPr>
                <w:sz w:val="24"/>
              </w:rPr>
            </w:pPr>
          </w:p>
          <w:p>
            <w:pPr>
              <w:pStyle w:val="TableParagraph"/>
              <w:numPr>
                <w:ilvl w:val="1"/>
                <w:numId w:val="6"/>
              </w:numPr>
              <w:tabs>
                <w:tab w:pos="1129" w:val="left" w:leader="none"/>
              </w:tabs>
              <w:spacing w:line="480" w:lineRule="auto" w:before="197" w:after="0"/>
              <w:ind w:left="1128" w:right="107" w:hanging="360"/>
              <w:jc w:val="left"/>
              <w:rPr>
                <w:i/>
                <w:sz w:val="24"/>
              </w:rPr>
            </w:pPr>
            <w:r>
              <w:rPr>
                <w:i/>
                <w:sz w:val="24"/>
              </w:rPr>
              <w:t>Frecuentemente presenta signos focales unilaterales sin pérdida de la </w:t>
            </w:r>
            <w:r>
              <w:rPr>
                <w:i/>
                <w:sz w:val="24"/>
              </w:rPr>
              <w:t>conciencia</w:t>
            </w:r>
          </w:p>
          <w:p>
            <w:pPr>
              <w:pStyle w:val="TableParagraph"/>
              <w:numPr>
                <w:ilvl w:val="1"/>
                <w:numId w:val="6"/>
              </w:numPr>
              <w:tabs>
                <w:tab w:pos="1129" w:val="left" w:leader="none"/>
              </w:tabs>
              <w:spacing w:line="480" w:lineRule="auto" w:before="212" w:after="0"/>
              <w:ind w:left="1128" w:right="112" w:hanging="360"/>
              <w:jc w:val="left"/>
              <w:rPr>
                <w:i/>
                <w:sz w:val="24"/>
              </w:rPr>
            </w:pPr>
            <w:r>
              <w:rPr>
                <w:i/>
                <w:sz w:val="24"/>
              </w:rPr>
              <w:t>Común, signos de movimiento, los movimientos involuntarios usualmente se ven </w:t>
            </w:r>
            <w:r>
              <w:rPr>
                <w:i/>
                <w:sz w:val="24"/>
              </w:rPr>
              <w:t>en una parte del cuerpo (bigotes, orejas y tics en</w:t>
            </w:r>
            <w:r>
              <w:rPr>
                <w:i/>
                <w:spacing w:val="-15"/>
                <w:sz w:val="24"/>
              </w:rPr>
              <w:t> </w:t>
            </w:r>
            <w:r>
              <w:rPr>
                <w:i/>
                <w:sz w:val="24"/>
              </w:rPr>
              <w:t>ojos).</w:t>
            </w:r>
          </w:p>
          <w:p>
            <w:pPr>
              <w:pStyle w:val="TableParagraph"/>
              <w:numPr>
                <w:ilvl w:val="1"/>
                <w:numId w:val="6"/>
              </w:numPr>
              <w:tabs>
                <w:tab w:pos="1129" w:val="left" w:leader="none"/>
              </w:tabs>
              <w:spacing w:line="480" w:lineRule="auto" w:before="212" w:after="0"/>
              <w:ind w:left="1128" w:right="102" w:hanging="360"/>
              <w:jc w:val="left"/>
              <w:rPr>
                <w:i/>
                <w:sz w:val="24"/>
              </w:rPr>
            </w:pPr>
            <w:r>
              <w:rPr>
                <w:i/>
                <w:sz w:val="24"/>
              </w:rPr>
              <w:t>Signos Autonómicos (vómito, piloerección, dilatación pupilar, taquipnea, </w:t>
            </w:r>
            <w:r>
              <w:rPr>
                <w:i/>
                <w:sz w:val="24"/>
              </w:rPr>
              <w:t>incontinencia urinaria, etc.)</w:t>
            </w:r>
          </w:p>
          <w:p>
            <w:pPr>
              <w:pStyle w:val="TableParagraph"/>
              <w:numPr>
                <w:ilvl w:val="1"/>
                <w:numId w:val="6"/>
              </w:numPr>
              <w:tabs>
                <w:tab w:pos="1129" w:val="left" w:leader="none"/>
              </w:tabs>
              <w:spacing w:line="240" w:lineRule="auto" w:before="207" w:after="0"/>
              <w:ind w:left="1128" w:right="0" w:hanging="360"/>
              <w:jc w:val="left"/>
              <w:rPr>
                <w:i/>
                <w:sz w:val="24"/>
              </w:rPr>
            </w:pPr>
            <w:r>
              <w:rPr>
                <w:i/>
                <w:sz w:val="24"/>
              </w:rPr>
              <w:t>Signos psicológicos, desarrollan cambios de comportamiento</w:t>
            </w:r>
            <w:r>
              <w:rPr>
                <w:i/>
                <w:spacing w:val="-12"/>
                <w:sz w:val="24"/>
              </w:rPr>
              <w:t> </w:t>
            </w:r>
            <w:r>
              <w:rPr>
                <w:i/>
                <w:sz w:val="24"/>
              </w:rPr>
              <w:t>(agresividad)</w:t>
            </w:r>
          </w:p>
          <w:p>
            <w:pPr>
              <w:pStyle w:val="TableParagraph"/>
              <w:rPr>
                <w:sz w:val="24"/>
              </w:rPr>
            </w:pPr>
          </w:p>
          <w:p>
            <w:pPr>
              <w:pStyle w:val="TableParagraph"/>
              <w:numPr>
                <w:ilvl w:val="1"/>
                <w:numId w:val="6"/>
              </w:numPr>
              <w:tabs>
                <w:tab w:pos="1129" w:val="left" w:leader="none"/>
              </w:tabs>
              <w:spacing w:line="240" w:lineRule="auto" w:before="202" w:after="0"/>
              <w:ind w:left="1128" w:right="0" w:hanging="360"/>
              <w:jc w:val="left"/>
              <w:rPr>
                <w:i/>
                <w:sz w:val="24"/>
              </w:rPr>
            </w:pPr>
            <w:r>
              <w:rPr>
                <w:i/>
                <w:sz w:val="24"/>
              </w:rPr>
              <w:t>Pueden presentar</w:t>
            </w:r>
            <w:r>
              <w:rPr>
                <w:i/>
                <w:spacing w:val="-10"/>
                <w:sz w:val="24"/>
              </w:rPr>
              <w:t> </w:t>
            </w:r>
            <w:r>
              <w:rPr>
                <w:i/>
                <w:sz w:val="24"/>
              </w:rPr>
              <w:t>aura</w:t>
            </w:r>
          </w:p>
          <w:p>
            <w:pPr>
              <w:pStyle w:val="TableParagraph"/>
              <w:rPr>
                <w:sz w:val="24"/>
              </w:rPr>
            </w:pPr>
          </w:p>
          <w:p>
            <w:pPr>
              <w:pStyle w:val="TableParagraph"/>
              <w:numPr>
                <w:ilvl w:val="0"/>
                <w:numId w:val="6"/>
              </w:numPr>
              <w:tabs>
                <w:tab w:pos="769" w:val="left" w:leader="none"/>
              </w:tabs>
              <w:spacing w:line="240" w:lineRule="auto" w:before="201" w:after="0"/>
              <w:ind w:left="768" w:right="0" w:hanging="360"/>
              <w:jc w:val="left"/>
              <w:rPr>
                <w:sz w:val="24"/>
              </w:rPr>
            </w:pPr>
            <w:r>
              <w:rPr>
                <w:sz w:val="24"/>
              </w:rPr>
              <w:t>Convulsión focal compleja ó</w:t>
            </w:r>
            <w:r>
              <w:rPr>
                <w:spacing w:val="-14"/>
                <w:sz w:val="24"/>
              </w:rPr>
              <w:t> </w:t>
            </w:r>
            <w:r>
              <w:rPr>
                <w:sz w:val="24"/>
              </w:rPr>
              <w:t>psicomotor</w:t>
            </w:r>
          </w:p>
          <w:p>
            <w:pPr>
              <w:pStyle w:val="TableParagraph"/>
              <w:rPr>
                <w:sz w:val="24"/>
              </w:rPr>
            </w:pPr>
          </w:p>
          <w:p>
            <w:pPr>
              <w:pStyle w:val="TableParagraph"/>
              <w:numPr>
                <w:ilvl w:val="1"/>
                <w:numId w:val="6"/>
              </w:numPr>
              <w:tabs>
                <w:tab w:pos="1129" w:val="left" w:leader="none"/>
              </w:tabs>
              <w:spacing w:line="240" w:lineRule="auto" w:before="197" w:after="0"/>
              <w:ind w:left="1128" w:right="0" w:hanging="360"/>
              <w:jc w:val="left"/>
              <w:rPr>
                <w:i/>
                <w:sz w:val="24"/>
              </w:rPr>
            </w:pPr>
            <w:r>
              <w:rPr>
                <w:i/>
                <w:sz w:val="24"/>
              </w:rPr>
              <w:t>Usualmente  presentan  signos  psicológicos  con  cambios  de  </w:t>
            </w:r>
            <w:r>
              <w:rPr>
                <w:i/>
                <w:spacing w:val="50"/>
                <w:sz w:val="24"/>
              </w:rPr>
              <w:t> </w:t>
            </w:r>
            <w:r>
              <w:rPr>
                <w:i/>
                <w:sz w:val="24"/>
              </w:rPr>
              <w:t>comportamiento</w:t>
            </w:r>
          </w:p>
        </w:tc>
      </w:tr>
    </w:tbl>
    <w:p>
      <w:pPr>
        <w:spacing w:after="0" w:line="240" w:lineRule="auto"/>
        <w:jc w:val="left"/>
        <w:rPr>
          <w:sz w:val="24"/>
        </w:rPr>
        <w:sectPr>
          <w:pgSz w:w="12240" w:h="15840"/>
          <w:pgMar w:header="0" w:footer="2071" w:top="1500" w:bottom="2260" w:left="1640" w:right="13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1"/>
      </w:tblGrid>
      <w:tr>
        <w:trPr>
          <w:trHeight w:val="4677" w:hRule="exact"/>
        </w:trPr>
        <w:tc>
          <w:tcPr>
            <w:tcW w:w="9061" w:type="dxa"/>
          </w:tcPr>
          <w:p>
            <w:pPr>
              <w:pStyle w:val="TableParagraph"/>
              <w:spacing w:line="480" w:lineRule="auto"/>
              <w:ind w:left="1128" w:right="103"/>
              <w:jc w:val="both"/>
              <w:rPr>
                <w:i/>
                <w:sz w:val="24"/>
              </w:rPr>
            </w:pPr>
            <w:r>
              <w:rPr>
                <w:i/>
                <w:sz w:val="24"/>
              </w:rPr>
              <w:t>(ceguera aparente, parecen mantener la mirada fija, pérdida de apetito, </w:t>
            </w:r>
            <w:r>
              <w:rPr>
                <w:i/>
                <w:sz w:val="24"/>
              </w:rPr>
              <w:t>agresividad, actitudes obsesivas, taquipnea, miedo, anorexia o hiperexia, tremores, caminar en círculos, incoordinación, vocalización, chasquido de mandíbula, aullidos, lamido incontrolable y estereotipias.</w:t>
            </w:r>
          </w:p>
          <w:p>
            <w:pPr>
              <w:pStyle w:val="TableParagraph"/>
              <w:numPr>
                <w:ilvl w:val="0"/>
                <w:numId w:val="7"/>
              </w:numPr>
              <w:tabs>
                <w:tab w:pos="1129" w:val="left" w:leader="none"/>
              </w:tabs>
              <w:spacing w:line="240" w:lineRule="auto" w:before="212" w:after="0"/>
              <w:ind w:left="1128" w:right="0" w:hanging="360"/>
              <w:jc w:val="left"/>
              <w:rPr>
                <w:i/>
                <w:sz w:val="24"/>
              </w:rPr>
            </w:pPr>
            <w:r>
              <w:rPr>
                <w:i/>
                <w:sz w:val="24"/>
              </w:rPr>
              <w:t>Estados alterados de la</w:t>
            </w:r>
            <w:r>
              <w:rPr>
                <w:i/>
                <w:spacing w:val="-8"/>
                <w:sz w:val="24"/>
              </w:rPr>
              <w:t> </w:t>
            </w:r>
            <w:r>
              <w:rPr>
                <w:i/>
                <w:sz w:val="24"/>
              </w:rPr>
              <w:t>conciencia</w:t>
            </w:r>
          </w:p>
          <w:p>
            <w:pPr>
              <w:pStyle w:val="TableParagraph"/>
              <w:rPr>
                <w:sz w:val="24"/>
              </w:rPr>
            </w:pPr>
          </w:p>
          <w:p>
            <w:pPr>
              <w:pStyle w:val="TableParagraph"/>
              <w:numPr>
                <w:ilvl w:val="0"/>
                <w:numId w:val="7"/>
              </w:numPr>
              <w:tabs>
                <w:tab w:pos="1129" w:val="left" w:leader="none"/>
              </w:tabs>
              <w:spacing w:line="240" w:lineRule="auto" w:before="197" w:after="0"/>
              <w:ind w:left="1128" w:right="0" w:hanging="360"/>
              <w:jc w:val="left"/>
              <w:rPr>
                <w:i/>
                <w:sz w:val="24"/>
              </w:rPr>
            </w:pPr>
            <w:r>
              <w:rPr>
                <w:i/>
                <w:sz w:val="24"/>
              </w:rPr>
              <w:t>Automatismo (vómito, diarrea) ictal o</w:t>
            </w:r>
            <w:r>
              <w:rPr>
                <w:i/>
                <w:spacing w:val="-9"/>
                <w:sz w:val="24"/>
              </w:rPr>
              <w:t> </w:t>
            </w:r>
            <w:r>
              <w:rPr>
                <w:i/>
                <w:sz w:val="24"/>
              </w:rPr>
              <w:t>postictal</w:t>
            </w:r>
          </w:p>
          <w:p>
            <w:pPr>
              <w:pStyle w:val="TableParagraph"/>
              <w:rPr>
                <w:sz w:val="24"/>
              </w:rPr>
            </w:pPr>
          </w:p>
          <w:p>
            <w:pPr>
              <w:pStyle w:val="TableParagraph"/>
              <w:numPr>
                <w:ilvl w:val="0"/>
                <w:numId w:val="7"/>
              </w:numPr>
              <w:tabs>
                <w:tab w:pos="1129" w:val="left" w:leader="none"/>
              </w:tabs>
              <w:spacing w:line="240" w:lineRule="auto" w:before="202" w:after="0"/>
              <w:ind w:left="1128" w:right="0" w:hanging="360"/>
              <w:jc w:val="left"/>
              <w:rPr>
                <w:i/>
                <w:sz w:val="24"/>
              </w:rPr>
            </w:pPr>
            <w:r>
              <w:rPr>
                <w:i/>
                <w:sz w:val="24"/>
              </w:rPr>
              <w:t>Origen temporal o frontotemporal y las descargas con frecuencia son</w:t>
            </w:r>
            <w:r>
              <w:rPr>
                <w:i/>
                <w:spacing w:val="-8"/>
                <w:sz w:val="24"/>
              </w:rPr>
              <w:t> </w:t>
            </w:r>
            <w:r>
              <w:rPr>
                <w:i/>
                <w:sz w:val="24"/>
              </w:rPr>
              <w:t>bilaterales</w:t>
            </w:r>
          </w:p>
        </w:tc>
      </w:tr>
      <w:tr>
        <w:trPr>
          <w:trHeight w:val="2074" w:hRule="exact"/>
        </w:trPr>
        <w:tc>
          <w:tcPr>
            <w:tcW w:w="9061" w:type="dxa"/>
          </w:tcPr>
          <w:p>
            <w:pPr>
              <w:pStyle w:val="TableParagraph"/>
              <w:numPr>
                <w:ilvl w:val="0"/>
                <w:numId w:val="8"/>
              </w:numPr>
              <w:tabs>
                <w:tab w:pos="812" w:val="left" w:leader="none"/>
              </w:tabs>
              <w:spacing w:line="480" w:lineRule="auto" w:before="0" w:after="0"/>
              <w:ind w:left="1186" w:right="105" w:hanging="721"/>
              <w:jc w:val="left"/>
              <w:rPr>
                <w:sz w:val="24"/>
              </w:rPr>
            </w:pPr>
            <w:r>
              <w:rPr>
                <w:sz w:val="24"/>
              </w:rPr>
              <w:t>Convulsiones focales con generalización secundaria (pueden ocurrir con convulsión focal simple o</w:t>
            </w:r>
            <w:r>
              <w:rPr>
                <w:spacing w:val="-18"/>
                <w:sz w:val="24"/>
              </w:rPr>
              <w:t> </w:t>
            </w:r>
            <w:r>
              <w:rPr>
                <w:sz w:val="24"/>
              </w:rPr>
              <w:t>compleja)</w:t>
            </w:r>
          </w:p>
          <w:p>
            <w:pPr>
              <w:pStyle w:val="TableParagraph"/>
              <w:numPr>
                <w:ilvl w:val="1"/>
                <w:numId w:val="8"/>
              </w:numPr>
              <w:tabs>
                <w:tab w:pos="1009" w:val="left" w:leader="none"/>
              </w:tabs>
              <w:spacing w:line="240" w:lineRule="auto" w:before="207" w:after="0"/>
              <w:ind w:left="1008" w:right="0" w:hanging="360"/>
              <w:jc w:val="left"/>
              <w:rPr>
                <w:i/>
                <w:sz w:val="24"/>
              </w:rPr>
            </w:pPr>
            <w:r>
              <w:rPr>
                <w:i/>
                <w:sz w:val="24"/>
              </w:rPr>
              <w:t>Común</w:t>
            </w:r>
          </w:p>
        </w:tc>
      </w:tr>
    </w:tbl>
    <w:p>
      <w:pPr>
        <w:pStyle w:val="BodyText"/>
        <w:rPr>
          <w:sz w:val="20"/>
        </w:rPr>
      </w:pPr>
    </w:p>
    <w:p>
      <w:pPr>
        <w:pStyle w:val="BodyText"/>
        <w:rPr>
          <w:sz w:val="20"/>
        </w:rPr>
      </w:pPr>
    </w:p>
    <w:p>
      <w:pPr>
        <w:pStyle w:val="BodyText"/>
        <w:spacing w:before="5"/>
        <w:rPr>
          <w:sz w:val="22"/>
        </w:rPr>
      </w:pPr>
    </w:p>
    <w:p>
      <w:pPr>
        <w:pStyle w:val="Heading2"/>
        <w:numPr>
          <w:ilvl w:val="0"/>
          <w:numId w:val="3"/>
        </w:numPr>
        <w:tabs>
          <w:tab w:pos="2355" w:val="left" w:leader="none"/>
        </w:tabs>
        <w:spacing w:line="240" w:lineRule="auto" w:before="67" w:after="0"/>
        <w:ind w:left="2355" w:right="0" w:hanging="346"/>
        <w:jc w:val="left"/>
        <w:rPr>
          <w:rFonts w:ascii="Cambria" w:hAnsi="Cambria"/>
        </w:rPr>
      </w:pPr>
      <w:bookmarkStart w:name="_bookmark15" w:id="25"/>
      <w:bookmarkEnd w:id="25"/>
      <w:r>
        <w:rPr>
          <w:b w:val="0"/>
        </w:rPr>
      </w:r>
      <w:bookmarkStart w:name="_bookmark15" w:id="26"/>
      <w:bookmarkEnd w:id="26"/>
      <w:r>
        <w:rPr>
          <w:rFonts w:ascii="Cambria" w:hAnsi="Cambria"/>
        </w:rPr>
        <w:t>C</w:t>
      </w:r>
      <w:r>
        <w:rPr>
          <w:rFonts w:ascii="Cambria" w:hAnsi="Cambria"/>
        </w:rPr>
        <w:t>aracterísticas clínicas de la epilepsia</w:t>
      </w:r>
      <w:r>
        <w:rPr>
          <w:rFonts w:ascii="Cambria" w:hAnsi="Cambria"/>
          <w:spacing w:val="-33"/>
        </w:rPr>
        <w:t> </w:t>
      </w:r>
      <w:r>
        <w:rPr>
          <w:rFonts w:ascii="Cambria" w:hAnsi="Cambria"/>
        </w:rPr>
        <w:t>idiopática</w:t>
      </w:r>
    </w:p>
    <w:p>
      <w:pPr>
        <w:pStyle w:val="BodyText"/>
        <w:spacing w:line="480" w:lineRule="auto" w:before="97"/>
        <w:ind w:left="232" w:right="225"/>
        <w:jc w:val="both"/>
      </w:pPr>
      <w:r>
        <w:rPr/>
        <w:t>La mayoría de los perros con epilepsia idiopática sufren su primer convulsión entre 1 y 5 años de edad, aunque en ocasiones las convulsiones pueden ocurrir antes de los 6 meses o a los 10 años de edad, y comúnmente se observan convulsiones tónico-clónicas (Podell et al, 1995; Heynold et al, 1997; Jaggy y Bernardini, 1998)</w:t>
      </w:r>
    </w:p>
    <w:p>
      <w:pPr>
        <w:pStyle w:val="BodyText"/>
        <w:spacing w:line="480" w:lineRule="auto" w:before="212"/>
        <w:ind w:left="232" w:right="225"/>
        <w:jc w:val="both"/>
      </w:pPr>
      <w:r>
        <w:rPr/>
        <w:t>Cualquier raza, incluyendo perros mestizos puede verse afectados. Basado en estudios genéticos la epilepsia idiopática afecta a un gran número    de razas como: Beagle, Belga de</w:t>
      </w:r>
    </w:p>
    <w:p>
      <w:pPr>
        <w:spacing w:after="0" w:line="480" w:lineRule="auto"/>
        <w:jc w:val="both"/>
        <w:sectPr>
          <w:pgSz w:w="12240" w:h="15840"/>
          <w:pgMar w:header="0" w:footer="2071" w:top="1500" w:bottom="2260" w:left="1640" w:right="1300"/>
        </w:sectPr>
      </w:pPr>
    </w:p>
    <w:p>
      <w:pPr>
        <w:pStyle w:val="BodyText"/>
        <w:spacing w:before="7"/>
        <w:rPr>
          <w:sz w:val="20"/>
        </w:rPr>
      </w:pPr>
    </w:p>
    <w:p>
      <w:pPr>
        <w:pStyle w:val="BodyText"/>
        <w:spacing w:line="480" w:lineRule="auto" w:before="69"/>
        <w:ind w:left="152" w:right="107"/>
        <w:jc w:val="both"/>
      </w:pPr>
      <w:r>
        <w:rPr/>
        <w:t>Tervuren, Keeshond, Dachshund, British alsaciano, Labrador retriever, Golden Retriever, Pastor de Shetland, Setter irlandés, Vizsla, Bernés de </w:t>
      </w:r>
      <w:r>
        <w:rPr>
          <w:spacing w:val="-5"/>
        </w:rPr>
        <w:t>la </w:t>
      </w:r>
      <w:r>
        <w:rPr/>
        <w:t>montaña y Cocker Springer  Spaniel. Existen factores genéticos en otras razas predispuestas a </w:t>
      </w:r>
      <w:r>
        <w:rPr>
          <w:spacing w:val="-3"/>
        </w:rPr>
        <w:t>la </w:t>
      </w:r>
      <w:r>
        <w:rPr/>
        <w:t>epilepsia sin embargo </w:t>
      </w:r>
      <w:r>
        <w:rPr>
          <w:spacing w:val="-3"/>
        </w:rPr>
        <w:t>no </w:t>
      </w:r>
      <w:r>
        <w:rPr/>
        <w:t>existen estudios genéticos publicados (Patterson et </w:t>
      </w:r>
      <w:r>
        <w:rPr>
          <w:spacing w:val="-4"/>
        </w:rPr>
        <w:t>al, </w:t>
      </w:r>
      <w:r>
        <w:rPr/>
        <w:t>2005; Cunningham y Farnbach, 1988; Kathmann et </w:t>
      </w:r>
      <w:r>
        <w:rPr>
          <w:spacing w:val="-4"/>
        </w:rPr>
        <w:t>al,</w:t>
      </w:r>
      <w:r>
        <w:rPr>
          <w:spacing w:val="9"/>
        </w:rPr>
        <w:t> </w:t>
      </w:r>
      <w:r>
        <w:rPr/>
        <w:t>1999).</w:t>
      </w:r>
    </w:p>
    <w:p>
      <w:pPr>
        <w:pStyle w:val="BodyText"/>
        <w:spacing w:line="480" w:lineRule="auto" w:before="212"/>
        <w:ind w:left="152" w:right="101"/>
        <w:jc w:val="both"/>
      </w:pPr>
      <w:r>
        <w:rPr/>
        <w:t>En el pasado, las crisis tónico-clónicas generalizadas fueron consideradas el tipo de convulsión más común en perros con epilepsia idiopática, algunos autores incluso informaron convulsiones focales de </w:t>
      </w:r>
      <w:r>
        <w:rPr>
          <w:spacing w:val="-3"/>
        </w:rPr>
        <w:t>inicio </w:t>
      </w:r>
      <w:r>
        <w:rPr/>
        <w:t>de aparición inconstante con un diagnóstico de </w:t>
      </w:r>
      <w:r>
        <w:rPr>
          <w:spacing w:val="-3"/>
        </w:rPr>
        <w:t>la </w:t>
      </w:r>
      <w:r>
        <w:rPr/>
        <w:t>epilepsia idiopática. Sin embargo, observaciones recientes revelan claramente que los perros con epilepsia idiopática pueden tener una variedad de crisis focales de inicio, incluyendo convulsiones con generalización secundaria, y algunos individuos pueden tener más de un tipo de convulsión (Jaggy y Bernardini, 1998; Paterson et </w:t>
      </w:r>
      <w:r>
        <w:rPr>
          <w:spacing w:val="-3"/>
        </w:rPr>
        <w:t>al, </w:t>
      </w:r>
      <w:r>
        <w:rPr/>
        <w:t>2003) </w:t>
      </w:r>
      <w:r>
        <w:rPr>
          <w:spacing w:val="-3"/>
        </w:rPr>
        <w:t>La  </w:t>
      </w:r>
      <w:r>
        <w:rPr/>
        <w:t>frecuencia de las crisis varían enormemente, desde varios al día a uno por año (Podell et </w:t>
      </w:r>
      <w:r>
        <w:rPr>
          <w:spacing w:val="-4"/>
        </w:rPr>
        <w:t>al, </w:t>
      </w:r>
      <w:r>
        <w:rPr/>
        <w:t>1995; Heynold et </w:t>
      </w:r>
      <w:r>
        <w:rPr>
          <w:spacing w:val="-3"/>
        </w:rPr>
        <w:t>al, </w:t>
      </w:r>
      <w:r>
        <w:rPr/>
        <w:t>1997). Las convulsiones </w:t>
      </w:r>
      <w:r>
        <w:rPr>
          <w:spacing w:val="2"/>
        </w:rPr>
        <w:t>son </w:t>
      </w:r>
      <w:r>
        <w:rPr>
          <w:spacing w:val="-3"/>
        </w:rPr>
        <w:t>más </w:t>
      </w:r>
      <w:r>
        <w:rPr/>
        <w:t>comunes durante el reposo y </w:t>
      </w:r>
      <w:r>
        <w:rPr>
          <w:spacing w:val="4"/>
        </w:rPr>
        <w:t>el  </w:t>
      </w:r>
      <w:r>
        <w:rPr/>
        <w:t>sueño (Pakozdy et </w:t>
      </w:r>
      <w:r>
        <w:rPr>
          <w:spacing w:val="-3"/>
        </w:rPr>
        <w:t>al, </w:t>
      </w:r>
      <w:r>
        <w:rPr/>
        <w:t>2008) y rara vez cuando el paciente está activo (Jaggy y Bernardini, 1998; Center, 1986).</w:t>
      </w:r>
    </w:p>
    <w:p>
      <w:pPr>
        <w:pStyle w:val="BodyText"/>
        <w:spacing w:line="480" w:lineRule="auto" w:before="212"/>
        <w:ind w:left="152" w:right="105"/>
        <w:jc w:val="both"/>
      </w:pPr>
      <w:r>
        <w:rPr/>
        <w:t>El aura o </w:t>
      </w:r>
      <w:r>
        <w:rPr>
          <w:spacing w:val="-5"/>
        </w:rPr>
        <w:t>la </w:t>
      </w:r>
      <w:r>
        <w:rPr/>
        <w:t>fase preictal es difícil de caracterizar en los perros (Thomas, 2000). Muchos propietarios se percatan de un comportamiento extraño antes de una convulsión y pueden esconderse, presentar agitación y vómitos, puede durar algunos segundos hasta un  promedio  de 3 a 12 horas (Heynold et  </w:t>
      </w:r>
      <w:r>
        <w:rPr>
          <w:spacing w:val="-4"/>
        </w:rPr>
        <w:t>al,  </w:t>
      </w:r>
      <w:r>
        <w:rPr/>
        <w:t>1997). Los signos clínicos ordinarios   </w:t>
      </w:r>
      <w:r>
        <w:rPr>
          <w:spacing w:val="38"/>
        </w:rPr>
        <w:t> </w:t>
      </w:r>
      <w:r>
        <w:rPr/>
        <w:t>incluyen</w:t>
      </w:r>
    </w:p>
    <w:p>
      <w:pPr>
        <w:spacing w:after="0" w:line="480" w:lineRule="auto"/>
        <w:jc w:val="both"/>
        <w:sectPr>
          <w:footerReference w:type="default" r:id="rId21"/>
          <w:pgSz w:w="12240" w:h="15840"/>
          <w:pgMar w:footer="2131" w:header="0" w:top="1500" w:bottom="2320" w:left="1720" w:right="1420"/>
        </w:sectPr>
      </w:pPr>
    </w:p>
    <w:p>
      <w:pPr>
        <w:pStyle w:val="BodyText"/>
        <w:spacing w:before="7"/>
        <w:rPr>
          <w:sz w:val="20"/>
        </w:rPr>
      </w:pPr>
    </w:p>
    <w:p>
      <w:pPr>
        <w:pStyle w:val="BodyText"/>
        <w:spacing w:line="480" w:lineRule="auto" w:before="69"/>
        <w:ind w:left="152" w:right="102"/>
        <w:jc w:val="both"/>
      </w:pPr>
      <w:r>
        <w:rPr/>
        <w:t>ansiedad seguida de miedo, micción, búsqueda del dueño, ladridos sin control (Holliday et </w:t>
      </w:r>
      <w:r>
        <w:rPr>
          <w:spacing w:val="-3"/>
        </w:rPr>
        <w:t>al, </w:t>
      </w:r>
      <w:r>
        <w:rPr/>
        <w:t>1970; Jaggy y Bernardini, 1998), salivación, mirada fija, temblores y vómitos (Heynold et </w:t>
      </w:r>
      <w:r>
        <w:rPr>
          <w:spacing w:val="-3"/>
        </w:rPr>
        <w:t>al, </w:t>
      </w:r>
      <w:r>
        <w:rPr/>
        <w:t>1997). Algunas razas en especial el Pastor Alemán, Setter Irlandés, y San Bernardo, tienen frecuentemente convulsiones continuas y luego un período posictal con depresión; se </w:t>
      </w:r>
      <w:r>
        <w:rPr>
          <w:spacing w:val="-3"/>
        </w:rPr>
        <w:t>ha </w:t>
      </w:r>
      <w:r>
        <w:rPr/>
        <w:t>mencionado que en estas razas puede ser difícil controlar el padecimiento con medicación (Heynold et </w:t>
      </w:r>
      <w:r>
        <w:rPr>
          <w:spacing w:val="-3"/>
        </w:rPr>
        <w:t>al, </w:t>
      </w:r>
      <w:r>
        <w:rPr/>
        <w:t>1997; Jaggy y Bernardini, 1998). De </w:t>
      </w:r>
      <w:r>
        <w:rPr>
          <w:spacing w:val="-5"/>
        </w:rPr>
        <w:t>la </w:t>
      </w:r>
      <w:r>
        <w:rPr/>
        <w:t>misma manera las razas grandes frecuentemente presentan convulsiones en racimo o status epiléptico,  una condición que puede ser difícil de controlar (Knowles, 1998). Cabe mencionar que </w:t>
      </w:r>
      <w:r>
        <w:rPr>
          <w:spacing w:val="-3"/>
        </w:rPr>
        <w:t>ya </w:t>
      </w:r>
      <w:r>
        <w:rPr/>
        <w:t>se conoce el genoma de </w:t>
      </w:r>
      <w:r>
        <w:rPr>
          <w:spacing w:val="-3"/>
        </w:rPr>
        <w:t>la </w:t>
      </w:r>
      <w:r>
        <w:rPr/>
        <w:t>raza bóxer y hay informes de una mutación en epilepsia canina en el gen Epm2b que causa epilepsia fatal (Lohi et </w:t>
      </w:r>
      <w:r>
        <w:rPr>
          <w:spacing w:val="-4"/>
        </w:rPr>
        <w:t>al, </w:t>
      </w:r>
      <w:r>
        <w:rPr/>
        <w:t>2005). Las convulsiones ocurren generalmente en ambos sexos con </w:t>
      </w:r>
      <w:r>
        <w:rPr>
          <w:spacing w:val="-3"/>
        </w:rPr>
        <w:t>la </w:t>
      </w:r>
      <w:r>
        <w:rPr/>
        <w:t>misma frecuencia; sin embargo, los machos parecen  ser afectados con </w:t>
      </w:r>
      <w:r>
        <w:rPr>
          <w:spacing w:val="-3"/>
        </w:rPr>
        <w:t>mayor </w:t>
      </w:r>
      <w:r>
        <w:rPr/>
        <w:t>frecuencia en EI (Heynold et al 1997) y especialmente en el Labrador Retriever. Algunos estudios indican que </w:t>
      </w:r>
      <w:r>
        <w:rPr>
          <w:spacing w:val="-3"/>
        </w:rPr>
        <w:t>la </w:t>
      </w:r>
      <w:r>
        <w:rPr/>
        <w:t>relación entre machos y hembras es de 3.5:1 y hasta 5:1.8 (Knowles, 1998; Bollinger-Schmitz y Kline,</w:t>
      </w:r>
      <w:r>
        <w:rPr>
          <w:spacing w:val="-13"/>
        </w:rPr>
        <w:t> </w:t>
      </w:r>
      <w:r>
        <w:rPr/>
        <w:t>2000).</w:t>
      </w:r>
    </w:p>
    <w:p>
      <w:pPr>
        <w:pStyle w:val="BodyText"/>
        <w:spacing w:line="480" w:lineRule="auto" w:before="207"/>
        <w:ind w:left="152" w:right="104" w:firstLine="62"/>
        <w:jc w:val="both"/>
      </w:pPr>
      <w:r>
        <w:rPr/>
        <w:t>Aunque </w:t>
      </w:r>
      <w:r>
        <w:rPr>
          <w:spacing w:val="-3"/>
        </w:rPr>
        <w:t>la </w:t>
      </w:r>
      <w:r>
        <w:rPr/>
        <w:t>mayoría convulsiones parecen ocurrir de forma espontánea, se pueden precipitar por una variedad de factores. En pacientes humanos, </w:t>
      </w:r>
      <w:r>
        <w:rPr>
          <w:spacing w:val="-5"/>
        </w:rPr>
        <w:t>la </w:t>
      </w:r>
      <w:r>
        <w:rPr/>
        <w:t>privación del sueño, el estrés emocional, </w:t>
      </w:r>
      <w:r>
        <w:rPr>
          <w:spacing w:val="-3"/>
        </w:rPr>
        <w:t>la </w:t>
      </w:r>
      <w:r>
        <w:rPr/>
        <w:t>menstruación, medicamentos y enfermedades concurrentes son desencadenantes (Haut </w:t>
      </w:r>
      <w:r>
        <w:rPr>
          <w:spacing w:val="-3"/>
        </w:rPr>
        <w:t>et </w:t>
      </w:r>
      <w:r>
        <w:rPr>
          <w:spacing w:val="-4"/>
        </w:rPr>
        <w:t>al, </w:t>
      </w:r>
      <w:r>
        <w:rPr/>
        <w:t>2007). Factores similares precipitan </w:t>
      </w:r>
      <w:r>
        <w:rPr>
          <w:spacing w:val="-3"/>
        </w:rPr>
        <w:t>las </w:t>
      </w:r>
      <w:r>
        <w:rPr/>
        <w:t>convulsiones en algunos animales. Las convulsiones reflejas </w:t>
      </w:r>
      <w:r>
        <w:rPr>
          <w:spacing w:val="2"/>
        </w:rPr>
        <w:t>son </w:t>
      </w:r>
      <w:r>
        <w:rPr>
          <w:spacing w:val="-3"/>
        </w:rPr>
        <w:t>las </w:t>
      </w:r>
      <w:r>
        <w:rPr/>
        <w:t>convulsiones que pueden ser  provocadas por estímulos o eventos específicos. El desencadenante común en las  </w:t>
      </w:r>
      <w:r>
        <w:rPr>
          <w:spacing w:val="9"/>
        </w:rPr>
        <w:t> </w:t>
      </w:r>
      <w:r>
        <w:rPr/>
        <w:t>personas</w:t>
      </w:r>
    </w:p>
    <w:p>
      <w:pPr>
        <w:pStyle w:val="BodyText"/>
        <w:spacing w:before="10"/>
        <w:ind w:left="152"/>
        <w:jc w:val="both"/>
      </w:pPr>
      <w:r>
        <w:rPr/>
        <w:t>es el reflejo  de  luz, producido  por  un televisor. Otros pueden ser  </w:t>
      </w:r>
      <w:r>
        <w:rPr>
          <w:spacing w:val="-3"/>
        </w:rPr>
        <w:t>la  </w:t>
      </w:r>
      <w:r>
        <w:rPr/>
        <w:t>inmersión en   </w:t>
      </w:r>
      <w:r>
        <w:rPr>
          <w:spacing w:val="57"/>
        </w:rPr>
        <w:t> </w:t>
      </w:r>
      <w:r>
        <w:rPr/>
        <w:t>agua</w:t>
      </w:r>
    </w:p>
    <w:p>
      <w:pPr>
        <w:spacing w:after="0"/>
        <w:jc w:val="both"/>
        <w:sectPr>
          <w:footerReference w:type="default" r:id="rId22"/>
          <w:pgSz w:w="12240" w:h="15840"/>
          <w:pgMar w:footer="2071" w:header="0" w:top="1500" w:bottom="2260" w:left="1720" w:right="1420"/>
          <w:pgNumType w:start="31"/>
        </w:sectPr>
      </w:pPr>
    </w:p>
    <w:p>
      <w:pPr>
        <w:pStyle w:val="BodyText"/>
        <w:spacing w:before="7"/>
        <w:rPr>
          <w:sz w:val="20"/>
        </w:rPr>
      </w:pPr>
    </w:p>
    <w:p>
      <w:pPr>
        <w:pStyle w:val="BodyText"/>
        <w:spacing w:line="480" w:lineRule="auto" w:before="69"/>
        <w:ind w:left="152" w:right="104"/>
        <w:jc w:val="both"/>
      </w:pPr>
      <w:r>
        <w:rPr/>
        <w:t>caliente, la lectura y ciertos sonidos. El disparador es específico y la latencia entre el factor desencadenante y la convulsión es corto (segundos o minutos) (Zifkin y Andermann, 1987). Thomas, 2010 ha evaluado varios perros que sufrieron convulsiones asociado con sonidos como el motor de la cortadora de césped, paseos en automóvil o visitas al médico veterinario.</w:t>
      </w:r>
    </w:p>
    <w:p>
      <w:pPr>
        <w:pStyle w:val="BodyText"/>
        <w:spacing w:line="480" w:lineRule="auto" w:before="212"/>
        <w:ind w:left="152" w:right="104"/>
        <w:jc w:val="both"/>
      </w:pPr>
      <w:r>
        <w:rPr/>
        <w:t>La epilepsia idiopática es poco común en gatos, en comparación con los perros, por lo que tenemos menos datos para la epilepsia felina. En los gatos no se ha documentado una base genética ó etiológica y por lo general se cree que sea sintomática, en comparación con los perros. Sin embargo, la epilepsia idiopática también se presenta en los gatos. En un estudio, la mayoría de los gatos con epilepsia idiopática tuvieron su primer ataque entre 1 y 5 años de edad (Schriefl et al, 2008).</w:t>
      </w:r>
    </w:p>
    <w:p>
      <w:pPr>
        <w:pStyle w:val="BodyText"/>
      </w:pPr>
    </w:p>
    <w:p>
      <w:pPr>
        <w:pStyle w:val="BodyText"/>
      </w:pPr>
    </w:p>
    <w:p>
      <w:pPr>
        <w:pStyle w:val="BodyText"/>
      </w:pPr>
    </w:p>
    <w:p>
      <w:pPr>
        <w:pStyle w:val="Heading2"/>
        <w:numPr>
          <w:ilvl w:val="0"/>
          <w:numId w:val="3"/>
        </w:numPr>
        <w:tabs>
          <w:tab w:pos="2275" w:val="left" w:leader="none"/>
        </w:tabs>
        <w:spacing w:line="240" w:lineRule="auto" w:before="182" w:after="0"/>
        <w:ind w:left="2275" w:right="0" w:hanging="346"/>
        <w:jc w:val="left"/>
        <w:rPr>
          <w:rFonts w:ascii="Cambria" w:hAnsi="Cambria"/>
        </w:rPr>
      </w:pPr>
      <w:bookmarkStart w:name="_bookmark16" w:id="27"/>
      <w:bookmarkEnd w:id="27"/>
      <w:r>
        <w:rPr>
          <w:b w:val="0"/>
        </w:rPr>
      </w:r>
      <w:bookmarkStart w:name="_bookmark16" w:id="28"/>
      <w:bookmarkEnd w:id="28"/>
      <w:r>
        <w:rPr>
          <w:rFonts w:ascii="Cambria" w:hAnsi="Cambria"/>
        </w:rPr>
        <w:t>E</w:t>
      </w:r>
      <w:r>
        <w:rPr>
          <w:rFonts w:ascii="Cambria" w:hAnsi="Cambria"/>
        </w:rPr>
        <w:t>valuación</w:t>
      </w:r>
      <w:r>
        <w:rPr>
          <w:rFonts w:ascii="Cambria" w:hAnsi="Cambria"/>
          <w:spacing w:val="-13"/>
        </w:rPr>
        <w:t> </w:t>
      </w:r>
      <w:r>
        <w:rPr>
          <w:rFonts w:ascii="Cambria" w:hAnsi="Cambria"/>
        </w:rPr>
        <w:t>diagnóstica</w:t>
      </w:r>
    </w:p>
    <w:p>
      <w:pPr>
        <w:pStyle w:val="BodyText"/>
        <w:spacing w:before="10"/>
        <w:rPr>
          <w:rFonts w:ascii="Cambria"/>
          <w:b/>
          <w:sz w:val="23"/>
        </w:rPr>
      </w:pPr>
    </w:p>
    <w:p>
      <w:pPr>
        <w:pStyle w:val="ListParagraph"/>
        <w:numPr>
          <w:ilvl w:val="1"/>
          <w:numId w:val="3"/>
        </w:numPr>
        <w:tabs>
          <w:tab w:pos="3692" w:val="left" w:leader="none"/>
        </w:tabs>
        <w:spacing w:line="240" w:lineRule="auto" w:before="0" w:after="0"/>
        <w:ind w:left="3692" w:right="0" w:hanging="682"/>
        <w:jc w:val="left"/>
        <w:rPr>
          <w:rFonts w:ascii="Cambria" w:hAnsi="Cambria"/>
          <w:b/>
          <w:sz w:val="24"/>
        </w:rPr>
      </w:pPr>
      <w:bookmarkStart w:name="_bookmark17" w:id="29"/>
      <w:bookmarkEnd w:id="29"/>
      <w:r>
        <w:rPr/>
      </w:r>
      <w:bookmarkStart w:name="_bookmark17" w:id="30"/>
      <w:bookmarkEnd w:id="30"/>
      <w:r>
        <w:rPr>
          <w:rFonts w:ascii="Cambria" w:hAnsi="Cambria"/>
          <w:b/>
          <w:sz w:val="24"/>
        </w:rPr>
        <w:t>His</w:t>
      </w:r>
      <w:r>
        <w:rPr>
          <w:rFonts w:ascii="Cambria" w:hAnsi="Cambria"/>
          <w:b/>
          <w:sz w:val="24"/>
        </w:rPr>
        <w:t>toria</w:t>
      </w:r>
      <w:r>
        <w:rPr>
          <w:rFonts w:ascii="Cambria" w:hAnsi="Cambria"/>
          <w:b/>
          <w:spacing w:val="-11"/>
          <w:sz w:val="24"/>
        </w:rPr>
        <w:t> </w:t>
      </w:r>
      <w:r>
        <w:rPr>
          <w:rFonts w:ascii="Cambria" w:hAnsi="Cambria"/>
          <w:b/>
          <w:sz w:val="24"/>
        </w:rPr>
        <w:t>clínica</w:t>
      </w:r>
    </w:p>
    <w:p>
      <w:pPr>
        <w:pStyle w:val="BodyText"/>
        <w:spacing w:line="480" w:lineRule="auto" w:before="97"/>
        <w:ind w:left="152" w:right="106"/>
        <w:jc w:val="both"/>
      </w:pPr>
      <w:r>
        <w:rPr/>
        <w:t>Una historia clínica detallada y precisa constituye la base del diagnóstico. La descripción por el propietario con respecto a las características de las crisis convulsivas, frecuencia, duración, conducta del paciente entre convulsiones así como el registro de las mismas es indispensable. Es importante preguntar acerca de los signos focales al inicio de la convulsión, como movimiento o giro de la cabeza hacia un lado o sacudidas de una extremidad. Cualquier anomalía antes y después la convulsión debe investigarse.   También</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10"/>
        <w:jc w:val="both"/>
      </w:pPr>
      <w:r>
        <w:rPr/>
        <w:t>es importante determinar si los eventos ocurren en un momento determinado del día o en asociación con situaciones tales como la alimentación, sueño, reposo o ejercicio (Thomas, 2000; Pellegrino, 2003a).</w:t>
      </w:r>
    </w:p>
    <w:p>
      <w:pPr>
        <w:pStyle w:val="BodyText"/>
        <w:spacing w:line="480" w:lineRule="auto" w:before="212"/>
        <w:ind w:left="152" w:right="100"/>
        <w:jc w:val="both"/>
      </w:pPr>
      <w:r>
        <w:rPr/>
        <w:t>Debido a que el médico nunca podrá ver el episodio en </w:t>
      </w:r>
      <w:r>
        <w:rPr>
          <w:spacing w:val="-3"/>
        </w:rPr>
        <w:t>la </w:t>
      </w:r>
      <w:r>
        <w:rPr/>
        <w:t>mayoría de los casos, </w:t>
      </w:r>
      <w:r>
        <w:rPr>
          <w:spacing w:val="-3"/>
        </w:rPr>
        <w:t>la </w:t>
      </w:r>
      <w:r>
        <w:rPr/>
        <w:t>observación del propietario es importante. Puede ser de ayuda pedir al propietario una filmación del episodio convulsivo. Preguntar acerca de </w:t>
      </w:r>
      <w:r>
        <w:rPr>
          <w:spacing w:val="-3"/>
        </w:rPr>
        <w:t>la </w:t>
      </w:r>
      <w:r>
        <w:rPr/>
        <w:t>aparición de convulsiones en </w:t>
      </w:r>
      <w:r>
        <w:rPr>
          <w:spacing w:val="-3"/>
        </w:rPr>
        <w:t>la </w:t>
      </w:r>
      <w:r>
        <w:rPr/>
        <w:t>historia familiar del paciente, lesiones o enfermedades importantes, estado de vacunación, dieta y </w:t>
      </w:r>
      <w:r>
        <w:rPr>
          <w:spacing w:val="-5"/>
        </w:rPr>
        <w:t>la </w:t>
      </w:r>
      <w:r>
        <w:rPr/>
        <w:t>exposición potencial a toxinas (Pellegrino, 2003a). Preguntar acerca de cualquier medicamento recetado o adquirido por venta libre. Cualquier anomalía interictal tales como cambios en hábitos de comportamiento, de </w:t>
      </w:r>
      <w:r>
        <w:rPr>
          <w:spacing w:val="-5"/>
        </w:rPr>
        <w:t>la </w:t>
      </w:r>
      <w:r>
        <w:rPr/>
        <w:t>marcha, del apetito, de peso, o para dormir. </w:t>
      </w:r>
      <w:r>
        <w:rPr>
          <w:spacing w:val="3"/>
        </w:rPr>
        <w:t>El </w:t>
      </w:r>
      <w:r>
        <w:rPr/>
        <w:t>cliente es a menudo </w:t>
      </w:r>
      <w:r>
        <w:rPr>
          <w:spacing w:val="-5"/>
        </w:rPr>
        <w:t>la </w:t>
      </w:r>
      <w:r>
        <w:rPr/>
        <w:t>mejor persona para identificar los cambios sutiles en </w:t>
      </w:r>
      <w:r>
        <w:rPr>
          <w:spacing w:val="-3"/>
        </w:rPr>
        <w:t>la </w:t>
      </w:r>
      <w:r>
        <w:rPr/>
        <w:t>personalidad o comportamientos que </w:t>
      </w:r>
      <w:r>
        <w:rPr>
          <w:spacing w:val="-3"/>
        </w:rPr>
        <w:t>no </w:t>
      </w:r>
      <w:r>
        <w:rPr/>
        <w:t>son evidentes para el médico en </w:t>
      </w:r>
      <w:r>
        <w:rPr>
          <w:spacing w:val="-3"/>
        </w:rPr>
        <w:t>la </w:t>
      </w:r>
      <w:r>
        <w:rPr/>
        <w:t>sala de examen. (Thomas, 2000; Pellegrino, 2003a). Poner énfasis especial en los signos, edad de  inicio, características y clasificación de las convulsiones, un cuestionario otorgado a los propietarios donde describa </w:t>
      </w:r>
      <w:r>
        <w:rPr>
          <w:spacing w:val="-3"/>
        </w:rPr>
        <w:t>las </w:t>
      </w:r>
      <w:r>
        <w:rPr/>
        <w:t>convulsiones, incluyendo sus fases descritas (Jaggy y Bernardini, 1998). Por último, es esencial que el médico entienda el estilo de vida y </w:t>
      </w:r>
      <w:r>
        <w:rPr>
          <w:spacing w:val="-3"/>
        </w:rPr>
        <w:t>la </w:t>
      </w:r>
      <w:r>
        <w:rPr/>
        <w:t>relación de </w:t>
      </w:r>
      <w:r>
        <w:rPr>
          <w:spacing w:val="-3"/>
        </w:rPr>
        <w:t>la </w:t>
      </w:r>
      <w:r>
        <w:rPr/>
        <w:t>mascota con el cliente. El pronóstico para </w:t>
      </w:r>
      <w:r>
        <w:rPr>
          <w:spacing w:val="-5"/>
        </w:rPr>
        <w:t>la </w:t>
      </w:r>
      <w:r>
        <w:rPr/>
        <w:t>epilepsia depende en gran medida del nivel de atención que el cliente está dispuesto y es capaz de proporcionar así como el impacto de </w:t>
      </w:r>
      <w:r>
        <w:rPr>
          <w:spacing w:val="-5"/>
        </w:rPr>
        <w:t>la </w:t>
      </w:r>
      <w:r>
        <w:rPr/>
        <w:t>enfermedad de su mascota </w:t>
      </w:r>
      <w:r>
        <w:rPr>
          <w:spacing w:val="-3"/>
        </w:rPr>
        <w:t>en la familia </w:t>
      </w:r>
      <w:r>
        <w:rPr/>
        <w:t>(Knowles,</w:t>
      </w:r>
      <w:r>
        <w:rPr>
          <w:spacing w:val="34"/>
        </w:rPr>
        <w:t> </w:t>
      </w:r>
      <w:r>
        <w:rPr/>
        <w:t>1998).</w:t>
      </w:r>
    </w:p>
    <w:p>
      <w:pPr>
        <w:spacing w:after="0" w:line="480" w:lineRule="auto"/>
        <w:jc w:val="both"/>
        <w:sectPr>
          <w:pgSz w:w="12240" w:h="15840"/>
          <w:pgMar w:header="0" w:footer="2071" w:top="1500" w:bottom="2320" w:left="17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numPr>
          <w:ilvl w:val="1"/>
          <w:numId w:val="3"/>
        </w:numPr>
        <w:tabs>
          <w:tab w:pos="3692" w:val="left" w:leader="none"/>
        </w:tabs>
        <w:spacing w:line="240" w:lineRule="auto" w:before="185" w:after="0"/>
        <w:ind w:left="3692" w:right="0" w:hanging="682"/>
        <w:jc w:val="left"/>
        <w:rPr>
          <w:rFonts w:ascii="Cambria" w:hAnsi="Cambria"/>
        </w:rPr>
      </w:pPr>
      <w:bookmarkStart w:name="_bookmark18" w:id="31"/>
      <w:bookmarkEnd w:id="31"/>
      <w:r>
        <w:rPr>
          <w:b w:val="0"/>
        </w:rPr>
      </w:r>
      <w:bookmarkStart w:name="_bookmark18" w:id="32"/>
      <w:bookmarkEnd w:id="32"/>
      <w:r>
        <w:rPr>
          <w:rFonts w:ascii="Cambria" w:hAnsi="Cambria"/>
        </w:rPr>
        <w:t>E</w:t>
      </w:r>
      <w:r>
        <w:rPr>
          <w:rFonts w:ascii="Cambria" w:hAnsi="Cambria"/>
        </w:rPr>
        <w:t>xamen físico y</w:t>
      </w:r>
      <w:r>
        <w:rPr>
          <w:rFonts w:ascii="Cambria" w:hAnsi="Cambria"/>
          <w:spacing w:val="-15"/>
        </w:rPr>
        <w:t> </w:t>
      </w:r>
      <w:r>
        <w:rPr>
          <w:rFonts w:ascii="Cambria" w:hAnsi="Cambria"/>
        </w:rPr>
        <w:t>neurológico</w:t>
      </w:r>
    </w:p>
    <w:p>
      <w:pPr>
        <w:pStyle w:val="BodyText"/>
        <w:spacing w:line="480" w:lineRule="auto" w:before="97"/>
        <w:ind w:left="152" w:right="103"/>
        <w:jc w:val="both"/>
      </w:pPr>
      <w:r>
        <w:rPr/>
        <w:t>Un examen </w:t>
      </w:r>
      <w:r>
        <w:rPr>
          <w:spacing w:val="-3"/>
        </w:rPr>
        <w:t>físico </w:t>
      </w:r>
      <w:r>
        <w:rPr/>
        <w:t>completo es importante para detectar signos de enfermedad sistémica que podría sugerir una causa subyacente de convulsiones. Realizar un examen neurológico completo para detectar cualquier déficit neurológico persistente. Las lesiones cerebrales a menudo causar alteraciones focales, relativamente sutiles como el retraso de posicionamiento propioceptivo sobre un lado o ceguera en un campo visual. Es importante tener cuidado al interpretar el examen poco tiempo después de una convulsión, debido a  que cualquier déficit generalizado, tales como ataxia, depresión o ceguera puede ser el resultado de trastornos postictales </w:t>
      </w:r>
      <w:r>
        <w:rPr>
          <w:spacing w:val="-5"/>
        </w:rPr>
        <w:t>lo </w:t>
      </w:r>
      <w:r>
        <w:rPr/>
        <w:t>cual </w:t>
      </w:r>
      <w:r>
        <w:rPr>
          <w:spacing w:val="-3"/>
        </w:rPr>
        <w:t>no </w:t>
      </w:r>
      <w:r>
        <w:rPr/>
        <w:t>es necesariamente una causa de enfermedad cerebral subyacente. Repetir el examen en 24 a 48 horas puede ser necesario para determinar si los déficits neurológicos persisten (Knowles,</w:t>
      </w:r>
      <w:r>
        <w:rPr>
          <w:spacing w:val="-21"/>
        </w:rPr>
        <w:t> </w:t>
      </w:r>
      <w:r>
        <w:rPr/>
        <w:t>1998).</w:t>
      </w:r>
    </w:p>
    <w:p>
      <w:pPr>
        <w:pStyle w:val="BodyText"/>
        <w:spacing w:line="480" w:lineRule="auto" w:before="207"/>
        <w:ind w:left="152" w:right="103"/>
        <w:jc w:val="both"/>
      </w:pPr>
      <w:r>
        <w:rPr/>
        <w:t>La evaluación del diagnóstico está diseñado para responder a dos preguntas: (1) El paciente tiene convulsiones, y (2) en caso afirmativo, ¿cuál es la causa de las convulsiones?, las convulsiones son reconocidas por su aparición espontánea, signos estereotipados, curso temporal autolimitado y signos postictales (Podell et al, 1995). Los trastornos que pueden confundirse con convulsiones aparecen en la Tabla 3.</w:t>
      </w:r>
    </w:p>
    <w:p>
      <w:pPr>
        <w:spacing w:after="0" w:line="480" w:lineRule="auto"/>
        <w:jc w:val="both"/>
        <w:sectPr>
          <w:pgSz w:w="12240" w:h="15840"/>
          <w:pgMar w:header="0" w:footer="2071" w:top="1500" w:bottom="2320" w:left="1720" w:right="142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33"/>
        <w:gridCol w:w="4528"/>
      </w:tblGrid>
      <w:tr>
        <w:trPr>
          <w:trHeight w:val="1316" w:hRule="exact"/>
        </w:trPr>
        <w:tc>
          <w:tcPr>
            <w:tcW w:w="9061" w:type="dxa"/>
            <w:gridSpan w:val="2"/>
          </w:tcPr>
          <w:p>
            <w:pPr>
              <w:pStyle w:val="TableParagraph"/>
              <w:spacing w:line="480" w:lineRule="auto"/>
              <w:ind w:left="105" w:right="137"/>
              <w:rPr>
                <w:b/>
                <w:sz w:val="24"/>
              </w:rPr>
            </w:pPr>
            <w:r>
              <w:rPr>
                <w:b/>
                <w:sz w:val="24"/>
              </w:rPr>
              <w:t>Tabla 3. Eventos paroxismales no epilépticos que podrían simular un ataque epiléptico. Tomado y modificado (Thomas, 2010; Knowles, 1998; Bagley, 2005)</w:t>
            </w:r>
          </w:p>
        </w:tc>
      </w:tr>
      <w:tr>
        <w:trPr>
          <w:trHeight w:val="758" w:hRule="exact"/>
        </w:trPr>
        <w:tc>
          <w:tcPr>
            <w:tcW w:w="9061" w:type="dxa"/>
            <w:gridSpan w:val="2"/>
          </w:tcPr>
          <w:p>
            <w:pPr>
              <w:pStyle w:val="TableParagraph"/>
              <w:spacing w:line="273" w:lineRule="exact"/>
              <w:ind w:left="105" w:right="137"/>
              <w:rPr>
                <w:b/>
                <w:sz w:val="24"/>
              </w:rPr>
            </w:pPr>
            <w:r>
              <w:rPr>
                <w:b/>
                <w:sz w:val="24"/>
              </w:rPr>
              <w:t>Criterio de diferenciación</w:t>
            </w:r>
          </w:p>
        </w:tc>
      </w:tr>
      <w:tr>
        <w:trPr>
          <w:trHeight w:val="3371" w:hRule="exact"/>
        </w:trPr>
        <w:tc>
          <w:tcPr>
            <w:tcW w:w="4533" w:type="dxa"/>
          </w:tcPr>
          <w:p>
            <w:pPr>
              <w:pStyle w:val="TableParagraph"/>
              <w:spacing w:line="268" w:lineRule="exact"/>
              <w:ind w:left="105"/>
              <w:rPr>
                <w:sz w:val="24"/>
              </w:rPr>
            </w:pPr>
            <w:r>
              <w:rPr>
                <w:sz w:val="24"/>
              </w:rPr>
              <w:t>Narcolepsia / Cataplexia</w:t>
            </w:r>
          </w:p>
        </w:tc>
        <w:tc>
          <w:tcPr>
            <w:tcW w:w="4528" w:type="dxa"/>
          </w:tcPr>
          <w:p>
            <w:pPr>
              <w:pStyle w:val="TableParagraph"/>
              <w:spacing w:line="480" w:lineRule="auto"/>
              <w:ind w:left="100" w:right="114"/>
              <w:rPr>
                <w:sz w:val="24"/>
              </w:rPr>
            </w:pPr>
            <w:r>
              <w:rPr>
                <w:sz w:val="24"/>
              </w:rPr>
              <w:t>Pérdida de la conciencia y parálisis flácida pasajera</w:t>
            </w:r>
          </w:p>
          <w:p>
            <w:pPr>
              <w:pStyle w:val="TableParagraph"/>
              <w:tabs>
                <w:tab w:pos="1060" w:val="left" w:leader="none"/>
                <w:tab w:pos="2388" w:val="left" w:leader="none"/>
                <w:tab w:pos="3088" w:val="left" w:leader="none"/>
                <w:tab w:pos="4282" w:val="left" w:leader="none"/>
              </w:tabs>
              <w:spacing w:line="480" w:lineRule="auto" w:before="212"/>
              <w:ind w:left="100" w:right="113"/>
              <w:rPr>
                <w:sz w:val="24"/>
              </w:rPr>
            </w:pPr>
            <w:r>
              <w:rPr>
                <w:sz w:val="24"/>
              </w:rPr>
              <w:t>Puede</w:t>
              <w:tab/>
              <w:t>acelerarse</w:t>
              <w:tab/>
              <w:t>por</w:t>
              <w:tab/>
              <w:t>emoción</w:t>
              <w:tab/>
              <w:t>o alimentación</w:t>
            </w:r>
          </w:p>
          <w:p>
            <w:pPr>
              <w:pStyle w:val="TableParagraph"/>
              <w:spacing w:before="212"/>
              <w:ind w:left="100" w:right="114"/>
              <w:rPr>
                <w:sz w:val="24"/>
              </w:rPr>
            </w:pPr>
            <w:r>
              <w:rPr>
                <w:sz w:val="24"/>
              </w:rPr>
              <w:t>Sin fase postictal</w:t>
            </w:r>
          </w:p>
        </w:tc>
      </w:tr>
      <w:tr>
        <w:trPr>
          <w:trHeight w:val="3322" w:hRule="exact"/>
        </w:trPr>
        <w:tc>
          <w:tcPr>
            <w:tcW w:w="4533" w:type="dxa"/>
          </w:tcPr>
          <w:p>
            <w:pPr>
              <w:pStyle w:val="TableParagraph"/>
              <w:spacing w:line="273" w:lineRule="exact"/>
              <w:ind w:left="105"/>
              <w:rPr>
                <w:sz w:val="24"/>
              </w:rPr>
            </w:pPr>
            <w:r>
              <w:rPr>
                <w:sz w:val="24"/>
              </w:rPr>
              <w:t>Síncope</w:t>
            </w:r>
          </w:p>
        </w:tc>
        <w:tc>
          <w:tcPr>
            <w:tcW w:w="4528" w:type="dxa"/>
          </w:tcPr>
          <w:p>
            <w:pPr>
              <w:pStyle w:val="TableParagraph"/>
              <w:tabs>
                <w:tab w:pos="1649" w:val="left" w:leader="none"/>
                <w:tab w:pos="2700" w:val="left" w:leader="none"/>
                <w:tab w:pos="3251" w:val="left" w:leader="none"/>
                <w:tab w:pos="4282" w:val="left" w:leader="none"/>
              </w:tabs>
              <w:spacing w:line="274" w:lineRule="exact" w:before="1"/>
              <w:ind w:left="100" w:right="114"/>
              <w:rPr>
                <w:sz w:val="24"/>
              </w:rPr>
            </w:pPr>
            <w:r>
              <w:rPr>
                <w:sz w:val="24"/>
              </w:rPr>
              <w:t>Generalmente</w:t>
              <w:tab/>
              <w:t>asociado</w:t>
              <w:tab/>
              <w:t>con</w:t>
              <w:tab/>
              <w:t>ejercicio</w:t>
              <w:tab/>
              <w:t>o emoción</w:t>
            </w:r>
          </w:p>
          <w:p>
            <w:pPr>
              <w:pStyle w:val="TableParagraph"/>
              <w:spacing w:before="8"/>
              <w:rPr>
                <w:sz w:val="23"/>
              </w:rPr>
            </w:pPr>
          </w:p>
          <w:p>
            <w:pPr>
              <w:pStyle w:val="TableParagraph"/>
              <w:spacing w:line="480" w:lineRule="auto"/>
              <w:ind w:left="100" w:right="114"/>
              <w:rPr>
                <w:sz w:val="24"/>
              </w:rPr>
            </w:pPr>
            <w:r>
              <w:rPr>
                <w:sz w:val="24"/>
              </w:rPr>
              <w:t>Pérdida parcial o completa de la conciencia Sin actividad motora</w:t>
            </w:r>
          </w:p>
          <w:p>
            <w:pPr>
              <w:pStyle w:val="TableParagraph"/>
              <w:spacing w:before="10"/>
              <w:ind w:left="100" w:right="114"/>
              <w:rPr>
                <w:sz w:val="24"/>
              </w:rPr>
            </w:pPr>
            <w:r>
              <w:rPr>
                <w:sz w:val="24"/>
              </w:rPr>
              <w:t>Sin fase postictal</w:t>
            </w:r>
          </w:p>
          <w:p>
            <w:pPr>
              <w:pStyle w:val="TableParagraph"/>
              <w:spacing w:before="4"/>
              <w:rPr>
                <w:sz w:val="24"/>
              </w:rPr>
            </w:pPr>
          </w:p>
          <w:p>
            <w:pPr>
              <w:pStyle w:val="TableParagraph"/>
              <w:tabs>
                <w:tab w:pos="1265" w:val="left" w:leader="none"/>
                <w:tab w:pos="2622" w:val="left" w:leader="none"/>
                <w:tab w:pos="3010" w:val="left" w:leader="none"/>
              </w:tabs>
              <w:spacing w:line="274" w:lineRule="exact" w:before="1"/>
              <w:ind w:left="100" w:right="116"/>
              <w:rPr>
                <w:sz w:val="24"/>
              </w:rPr>
            </w:pPr>
            <w:r>
              <w:rPr>
                <w:sz w:val="24"/>
              </w:rPr>
              <w:t>Patología</w:t>
              <w:tab/>
              <w:t>respiratoria</w:t>
              <w:tab/>
              <w:t>o</w:t>
              <w:tab/>
            </w:r>
            <w:r>
              <w:rPr>
                <w:spacing w:val="-1"/>
                <w:sz w:val="24"/>
              </w:rPr>
              <w:t>cardiovascular </w:t>
            </w:r>
            <w:r>
              <w:rPr>
                <w:sz w:val="24"/>
              </w:rPr>
              <w:t>asociada </w:t>
            </w:r>
            <w:r>
              <w:rPr>
                <w:spacing w:val="3"/>
                <w:sz w:val="24"/>
              </w:rPr>
              <w:t>(y </w:t>
            </w:r>
            <w:r>
              <w:rPr>
                <w:sz w:val="24"/>
              </w:rPr>
              <w:t>signos clínicos</w:t>
            </w:r>
            <w:r>
              <w:rPr>
                <w:spacing w:val="-32"/>
                <w:sz w:val="24"/>
              </w:rPr>
              <w:t> </w:t>
            </w:r>
            <w:r>
              <w:rPr>
                <w:sz w:val="24"/>
              </w:rPr>
              <w:t>eventualmente)</w:t>
            </w:r>
          </w:p>
        </w:tc>
      </w:tr>
      <w:tr>
        <w:trPr>
          <w:trHeight w:val="1868" w:hRule="exact"/>
        </w:trPr>
        <w:tc>
          <w:tcPr>
            <w:tcW w:w="4533" w:type="dxa"/>
          </w:tcPr>
          <w:p>
            <w:pPr>
              <w:pStyle w:val="TableParagraph"/>
              <w:spacing w:line="273" w:lineRule="exact"/>
              <w:ind w:left="105"/>
              <w:rPr>
                <w:sz w:val="24"/>
              </w:rPr>
            </w:pPr>
            <w:r>
              <w:rPr>
                <w:sz w:val="24"/>
              </w:rPr>
              <w:t>Ataque vestibular</w:t>
            </w:r>
          </w:p>
        </w:tc>
        <w:tc>
          <w:tcPr>
            <w:tcW w:w="4528" w:type="dxa"/>
          </w:tcPr>
          <w:p>
            <w:pPr>
              <w:pStyle w:val="TableParagraph"/>
              <w:ind w:left="100" w:right="108"/>
              <w:jc w:val="both"/>
              <w:rPr>
                <w:sz w:val="24"/>
              </w:rPr>
            </w:pPr>
            <w:r>
              <w:rPr>
                <w:sz w:val="24"/>
              </w:rPr>
              <w:t>Signos asociados de involucramiento vestibular (cabeza inclinada, nistagmos, giros y/o ataxia asimétrica)</w:t>
            </w:r>
          </w:p>
          <w:p>
            <w:pPr>
              <w:pStyle w:val="TableParagraph"/>
              <w:rPr>
                <w:sz w:val="24"/>
              </w:rPr>
            </w:pPr>
          </w:p>
          <w:p>
            <w:pPr>
              <w:pStyle w:val="TableParagraph"/>
              <w:ind w:left="100"/>
              <w:jc w:val="both"/>
              <w:rPr>
                <w:sz w:val="24"/>
              </w:rPr>
            </w:pPr>
            <w:r>
              <w:rPr>
                <w:sz w:val="24"/>
              </w:rPr>
              <w:t>Sin pérdida de la conciencia</w:t>
            </w:r>
          </w:p>
        </w:tc>
      </w:tr>
      <w:tr>
        <w:trPr>
          <w:trHeight w:val="840" w:hRule="exact"/>
        </w:trPr>
        <w:tc>
          <w:tcPr>
            <w:tcW w:w="4533" w:type="dxa"/>
          </w:tcPr>
          <w:p>
            <w:pPr>
              <w:pStyle w:val="TableParagraph"/>
              <w:spacing w:line="268" w:lineRule="exact"/>
              <w:ind w:left="105"/>
              <w:rPr>
                <w:sz w:val="24"/>
              </w:rPr>
            </w:pPr>
            <w:r>
              <w:rPr>
                <w:sz w:val="24"/>
              </w:rPr>
              <w:t>Miastenia gravis</w:t>
            </w:r>
          </w:p>
        </w:tc>
        <w:tc>
          <w:tcPr>
            <w:tcW w:w="4528" w:type="dxa"/>
          </w:tcPr>
          <w:p>
            <w:pPr>
              <w:pStyle w:val="TableParagraph"/>
              <w:spacing w:line="268" w:lineRule="exact"/>
              <w:ind w:left="100" w:right="114"/>
              <w:rPr>
                <w:sz w:val="24"/>
              </w:rPr>
            </w:pPr>
            <w:r>
              <w:rPr>
                <w:sz w:val="24"/>
              </w:rPr>
              <w:t>Debilidad/ rigidez inducida por ejercicio</w:t>
            </w:r>
          </w:p>
          <w:p>
            <w:pPr>
              <w:pStyle w:val="TableParagraph"/>
              <w:rPr>
                <w:sz w:val="24"/>
              </w:rPr>
            </w:pPr>
          </w:p>
          <w:p>
            <w:pPr>
              <w:pStyle w:val="TableParagraph"/>
              <w:ind w:left="100" w:right="114"/>
              <w:rPr>
                <w:sz w:val="24"/>
              </w:rPr>
            </w:pPr>
            <w:r>
              <w:rPr>
                <w:sz w:val="24"/>
              </w:rPr>
              <w:t>Condición mental normal</w:t>
            </w:r>
          </w:p>
        </w:tc>
      </w:tr>
    </w:tbl>
    <w:p>
      <w:pPr>
        <w:spacing w:after="0"/>
        <w:rPr>
          <w:sz w:val="24"/>
        </w:rPr>
        <w:sectPr>
          <w:pgSz w:w="12240" w:h="15840"/>
          <w:pgMar w:header="0" w:footer="2071" w:top="1500" w:bottom="2260" w:left="1640" w:right="13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33"/>
        <w:gridCol w:w="4528"/>
      </w:tblGrid>
      <w:tr>
        <w:trPr>
          <w:trHeight w:val="562" w:hRule="exact"/>
        </w:trPr>
        <w:tc>
          <w:tcPr>
            <w:tcW w:w="4533" w:type="dxa"/>
          </w:tcPr>
          <w:p>
            <w:pPr/>
          </w:p>
        </w:tc>
        <w:tc>
          <w:tcPr>
            <w:tcW w:w="4528" w:type="dxa"/>
          </w:tcPr>
          <w:p>
            <w:pPr>
              <w:pStyle w:val="TableParagraph"/>
              <w:spacing w:before="1"/>
              <w:rPr>
                <w:sz w:val="23"/>
              </w:rPr>
            </w:pPr>
          </w:p>
          <w:p>
            <w:pPr>
              <w:pStyle w:val="TableParagraph"/>
              <w:ind w:left="100" w:right="114"/>
              <w:rPr>
                <w:sz w:val="24"/>
              </w:rPr>
            </w:pPr>
            <w:r>
              <w:rPr>
                <w:sz w:val="24"/>
              </w:rPr>
              <w:t>Sin fase postictal</w:t>
            </w:r>
          </w:p>
        </w:tc>
      </w:tr>
      <w:tr>
        <w:trPr>
          <w:trHeight w:val="1714" w:hRule="exact"/>
        </w:trPr>
        <w:tc>
          <w:tcPr>
            <w:tcW w:w="4533" w:type="dxa"/>
          </w:tcPr>
          <w:p>
            <w:pPr>
              <w:pStyle w:val="TableParagraph"/>
              <w:spacing w:line="655" w:lineRule="auto"/>
              <w:ind w:left="105" w:right="2498"/>
              <w:rPr>
                <w:sz w:val="24"/>
              </w:rPr>
            </w:pPr>
            <w:r>
              <w:rPr>
                <w:sz w:val="24"/>
              </w:rPr>
              <w:t>Foco doloroso Dolor de cuello</w:t>
            </w:r>
          </w:p>
        </w:tc>
        <w:tc>
          <w:tcPr>
            <w:tcW w:w="4528" w:type="dxa"/>
          </w:tcPr>
          <w:p>
            <w:pPr>
              <w:pStyle w:val="TableParagraph"/>
              <w:spacing w:line="269" w:lineRule="exact"/>
              <w:ind w:left="100" w:right="114"/>
              <w:rPr>
                <w:sz w:val="24"/>
              </w:rPr>
            </w:pPr>
            <w:r>
              <w:rPr>
                <w:sz w:val="24"/>
              </w:rPr>
              <w:t>Examen físico</w:t>
            </w:r>
          </w:p>
          <w:p>
            <w:pPr>
              <w:pStyle w:val="TableParagraph"/>
              <w:rPr>
                <w:sz w:val="24"/>
              </w:rPr>
            </w:pPr>
          </w:p>
          <w:p>
            <w:pPr>
              <w:pStyle w:val="TableParagraph"/>
              <w:spacing w:before="7"/>
              <w:rPr>
                <w:sz w:val="34"/>
              </w:rPr>
            </w:pPr>
          </w:p>
          <w:p>
            <w:pPr>
              <w:pStyle w:val="TableParagraph"/>
              <w:spacing w:line="242" w:lineRule="auto"/>
              <w:ind w:left="100" w:right="114"/>
              <w:rPr>
                <w:sz w:val="24"/>
              </w:rPr>
            </w:pPr>
            <w:r>
              <w:rPr>
                <w:sz w:val="24"/>
              </w:rPr>
              <w:t>Vocalización, rigidez cervical y tremor, no hay pérdida de la conciencia</w:t>
            </w:r>
          </w:p>
        </w:tc>
      </w:tr>
      <w:tr>
        <w:trPr>
          <w:trHeight w:val="1993" w:hRule="exact"/>
        </w:trPr>
        <w:tc>
          <w:tcPr>
            <w:tcW w:w="4533" w:type="dxa"/>
          </w:tcPr>
          <w:p>
            <w:pPr>
              <w:pStyle w:val="TableParagraph"/>
              <w:spacing w:line="268" w:lineRule="exact"/>
              <w:ind w:left="105"/>
              <w:rPr>
                <w:sz w:val="24"/>
              </w:rPr>
            </w:pPr>
            <w:r>
              <w:rPr>
                <w:sz w:val="24"/>
              </w:rPr>
              <w:t>Encefalopatía hepática</w:t>
            </w:r>
          </w:p>
        </w:tc>
        <w:tc>
          <w:tcPr>
            <w:tcW w:w="4528" w:type="dxa"/>
          </w:tcPr>
          <w:p>
            <w:pPr>
              <w:pStyle w:val="TableParagraph"/>
              <w:spacing w:line="242" w:lineRule="auto"/>
              <w:ind w:left="100" w:right="114"/>
              <w:rPr>
                <w:sz w:val="24"/>
              </w:rPr>
            </w:pPr>
            <w:r>
              <w:rPr>
                <w:sz w:val="24"/>
              </w:rPr>
              <w:t>Comportamiento anormal, depresión, ataxia suele durar una hora o más</w:t>
            </w:r>
          </w:p>
          <w:p>
            <w:pPr>
              <w:pStyle w:val="TableParagraph"/>
              <w:tabs>
                <w:tab w:pos="1155" w:val="left" w:leader="none"/>
                <w:tab w:pos="2230" w:val="left" w:leader="none"/>
                <w:tab w:pos="3448" w:val="left" w:leader="none"/>
                <w:tab w:pos="3938" w:val="left" w:leader="none"/>
              </w:tabs>
              <w:spacing w:line="274" w:lineRule="exact" w:before="201"/>
              <w:ind w:left="100" w:right="106"/>
              <w:rPr>
                <w:sz w:val="24"/>
              </w:rPr>
            </w:pPr>
            <w:r>
              <w:rPr>
                <w:sz w:val="24"/>
              </w:rPr>
              <w:t>Ácidos</w:t>
              <w:tab/>
              <w:t>biliares</w:t>
              <w:tab/>
              <w:t>elevados</w:t>
              <w:tab/>
              <w:t>y</w:t>
              <w:tab/>
              <w:t>otras anormalidades de</w:t>
            </w:r>
            <w:r>
              <w:rPr>
                <w:spacing w:val="-15"/>
                <w:sz w:val="24"/>
              </w:rPr>
              <w:t> </w:t>
            </w:r>
            <w:r>
              <w:rPr>
                <w:sz w:val="24"/>
              </w:rPr>
              <w:t>laboratorio</w:t>
            </w:r>
          </w:p>
          <w:p>
            <w:pPr>
              <w:pStyle w:val="TableParagraph"/>
              <w:spacing w:before="196"/>
              <w:ind w:left="100" w:right="114"/>
              <w:rPr>
                <w:sz w:val="24"/>
              </w:rPr>
            </w:pPr>
            <w:r>
              <w:rPr>
                <w:sz w:val="24"/>
              </w:rPr>
              <w:t>Se presenta comúnmente post prandial</w:t>
            </w:r>
          </w:p>
        </w:tc>
      </w:tr>
      <w:tr>
        <w:trPr>
          <w:trHeight w:val="2266" w:hRule="exact"/>
        </w:trPr>
        <w:tc>
          <w:tcPr>
            <w:tcW w:w="4533" w:type="dxa"/>
          </w:tcPr>
          <w:p>
            <w:pPr>
              <w:pStyle w:val="TableParagraph"/>
              <w:spacing w:line="268" w:lineRule="exact"/>
              <w:ind w:left="105"/>
              <w:rPr>
                <w:sz w:val="24"/>
              </w:rPr>
            </w:pPr>
            <w:r>
              <w:rPr>
                <w:sz w:val="24"/>
              </w:rPr>
              <w:t>Temblor de cabeza idiopática</w:t>
            </w:r>
          </w:p>
        </w:tc>
        <w:tc>
          <w:tcPr>
            <w:tcW w:w="4528" w:type="dxa"/>
          </w:tcPr>
          <w:p>
            <w:pPr>
              <w:pStyle w:val="TableParagraph"/>
              <w:tabs>
                <w:tab w:pos="1131" w:val="left" w:leader="none"/>
                <w:tab w:pos="1568" w:val="left" w:leader="none"/>
                <w:tab w:pos="1937" w:val="left" w:leader="none"/>
                <w:tab w:pos="2795" w:val="left" w:leader="none"/>
                <w:tab w:pos="4124" w:val="left" w:leader="none"/>
              </w:tabs>
              <w:spacing w:line="237" w:lineRule="auto"/>
              <w:ind w:left="100" w:right="109"/>
              <w:rPr>
                <w:sz w:val="24"/>
              </w:rPr>
            </w:pPr>
            <w:r>
              <w:rPr>
                <w:sz w:val="24"/>
              </w:rPr>
              <w:t>Temblor</w:t>
              <w:tab/>
              <w:t>de</w:t>
              <w:tab/>
            </w:r>
            <w:r>
              <w:rPr>
                <w:spacing w:val="-5"/>
                <w:sz w:val="24"/>
              </w:rPr>
              <w:t>la</w:t>
              <w:tab/>
            </w:r>
            <w:r>
              <w:rPr>
                <w:sz w:val="24"/>
              </w:rPr>
              <w:t>cabeza</w:t>
              <w:tab/>
              <w:t>espontánea,</w:t>
              <w:tab/>
              <w:t>sin pérdida de </w:t>
            </w:r>
            <w:r>
              <w:rPr>
                <w:spacing w:val="-5"/>
                <w:sz w:val="24"/>
              </w:rPr>
              <w:t>la</w:t>
            </w:r>
            <w:r>
              <w:rPr>
                <w:spacing w:val="-8"/>
                <w:sz w:val="24"/>
              </w:rPr>
              <w:t> </w:t>
            </w:r>
            <w:r>
              <w:rPr>
                <w:sz w:val="24"/>
              </w:rPr>
              <w:t>conciencia,</w:t>
            </w:r>
          </w:p>
          <w:p>
            <w:pPr>
              <w:pStyle w:val="TableParagraph"/>
              <w:spacing w:line="242" w:lineRule="auto" w:before="199"/>
              <w:ind w:left="100" w:right="114"/>
              <w:rPr>
                <w:sz w:val="24"/>
              </w:rPr>
            </w:pPr>
            <w:r>
              <w:rPr>
                <w:sz w:val="24"/>
              </w:rPr>
              <w:t>La marcha y el comportamiento normales, con una duración de varios minutos</w:t>
            </w:r>
          </w:p>
          <w:p>
            <w:pPr>
              <w:pStyle w:val="TableParagraph"/>
              <w:spacing w:line="242" w:lineRule="auto" w:before="197"/>
              <w:ind w:left="100" w:right="114"/>
              <w:rPr>
                <w:sz w:val="24"/>
              </w:rPr>
            </w:pPr>
            <w:r>
              <w:rPr>
                <w:sz w:val="24"/>
              </w:rPr>
              <w:t>Es más común en bulldog inglés, doberman pinscher, boxer, y labrador</w:t>
            </w:r>
          </w:p>
        </w:tc>
      </w:tr>
      <w:tr>
        <w:trPr>
          <w:trHeight w:val="2540" w:hRule="exact"/>
        </w:trPr>
        <w:tc>
          <w:tcPr>
            <w:tcW w:w="4533" w:type="dxa"/>
          </w:tcPr>
          <w:p>
            <w:pPr>
              <w:pStyle w:val="TableParagraph"/>
              <w:spacing w:line="268" w:lineRule="exact"/>
              <w:ind w:left="105"/>
              <w:rPr>
                <w:sz w:val="24"/>
              </w:rPr>
            </w:pPr>
            <w:r>
              <w:rPr>
                <w:sz w:val="24"/>
              </w:rPr>
              <w:t>Síndrome de temblor generalizado</w:t>
            </w:r>
          </w:p>
        </w:tc>
        <w:tc>
          <w:tcPr>
            <w:tcW w:w="4528" w:type="dxa"/>
          </w:tcPr>
          <w:p>
            <w:pPr>
              <w:pStyle w:val="TableParagraph"/>
              <w:spacing w:line="237" w:lineRule="auto"/>
              <w:ind w:left="100" w:right="104"/>
              <w:jc w:val="both"/>
              <w:rPr>
                <w:sz w:val="24"/>
              </w:rPr>
            </w:pPr>
            <w:r>
              <w:rPr>
                <w:sz w:val="24"/>
              </w:rPr>
              <w:t>Temblor generalizado espontáneo  sin pérdida de conciencia o signos autonómicos</w:t>
            </w:r>
          </w:p>
          <w:p>
            <w:pPr>
              <w:pStyle w:val="TableParagraph"/>
              <w:spacing w:line="242" w:lineRule="auto" w:before="200"/>
              <w:ind w:left="100" w:right="108"/>
              <w:jc w:val="both"/>
              <w:rPr>
                <w:sz w:val="24"/>
              </w:rPr>
            </w:pPr>
            <w:r>
              <w:rPr>
                <w:sz w:val="24"/>
              </w:rPr>
              <w:t>Síndrome de temblor sensible a esteroides es más común en jóvenes y de razas pequeña</w:t>
            </w:r>
          </w:p>
          <w:p>
            <w:pPr>
              <w:pStyle w:val="TableParagraph"/>
              <w:spacing w:before="196"/>
              <w:ind w:left="100" w:right="106"/>
              <w:jc w:val="both"/>
              <w:rPr>
                <w:sz w:val="24"/>
              </w:rPr>
            </w:pPr>
            <w:r>
              <w:rPr>
                <w:sz w:val="24"/>
              </w:rPr>
              <w:t>Antecedentes de exposición a micotoxinas (moho, productos lácteos, metaldehído, o insecticida)</w:t>
            </w:r>
          </w:p>
        </w:tc>
      </w:tr>
      <w:tr>
        <w:trPr>
          <w:trHeight w:val="1238" w:hRule="exact"/>
        </w:trPr>
        <w:tc>
          <w:tcPr>
            <w:tcW w:w="4533" w:type="dxa"/>
          </w:tcPr>
          <w:p>
            <w:pPr>
              <w:pStyle w:val="TableParagraph"/>
              <w:spacing w:line="268" w:lineRule="exact"/>
              <w:ind w:left="105"/>
              <w:rPr>
                <w:sz w:val="24"/>
              </w:rPr>
            </w:pPr>
            <w:r>
              <w:rPr>
                <w:sz w:val="24"/>
              </w:rPr>
              <w:t>Debilidad por ejercicio</w:t>
            </w:r>
          </w:p>
        </w:tc>
        <w:tc>
          <w:tcPr>
            <w:tcW w:w="4528" w:type="dxa"/>
          </w:tcPr>
          <w:p>
            <w:pPr>
              <w:pStyle w:val="TableParagraph"/>
              <w:spacing w:line="268" w:lineRule="exact"/>
              <w:ind w:left="100" w:right="114"/>
              <w:rPr>
                <w:sz w:val="24"/>
              </w:rPr>
            </w:pPr>
            <w:r>
              <w:rPr>
                <w:sz w:val="24"/>
              </w:rPr>
              <w:t>Ataque inducido por ejercicio</w:t>
            </w:r>
          </w:p>
          <w:p>
            <w:pPr>
              <w:pStyle w:val="TableParagraph"/>
              <w:spacing w:line="242" w:lineRule="auto" w:before="199"/>
              <w:ind w:left="100" w:right="114"/>
              <w:rPr>
                <w:sz w:val="24"/>
              </w:rPr>
            </w:pPr>
            <w:r>
              <w:rPr>
                <w:sz w:val="24"/>
              </w:rPr>
              <w:t>Cifosis, temblor, colapso sin pérdida de la conciencia</w:t>
            </w:r>
          </w:p>
        </w:tc>
      </w:tr>
      <w:tr>
        <w:trPr>
          <w:trHeight w:val="1037" w:hRule="exact"/>
        </w:trPr>
        <w:tc>
          <w:tcPr>
            <w:tcW w:w="4533" w:type="dxa"/>
          </w:tcPr>
          <w:p>
            <w:pPr>
              <w:pStyle w:val="TableParagraph"/>
              <w:spacing w:line="268" w:lineRule="exact"/>
              <w:ind w:left="105"/>
              <w:rPr>
                <w:sz w:val="24"/>
              </w:rPr>
            </w:pPr>
            <w:r>
              <w:rPr>
                <w:sz w:val="24"/>
              </w:rPr>
              <w:t>Mioclonos</w:t>
            </w:r>
          </w:p>
        </w:tc>
        <w:tc>
          <w:tcPr>
            <w:tcW w:w="4528" w:type="dxa"/>
          </w:tcPr>
          <w:p>
            <w:pPr>
              <w:pStyle w:val="TableParagraph"/>
              <w:ind w:left="100" w:right="109"/>
              <w:jc w:val="both"/>
              <w:rPr>
                <w:sz w:val="24"/>
              </w:rPr>
            </w:pPr>
            <w:r>
              <w:rPr>
                <w:sz w:val="24"/>
              </w:rPr>
              <w:t>El mioclono episódico o continua contracción súbita de un solo músculo o grupo muscular, puede ser rítmica</w:t>
            </w:r>
          </w:p>
        </w:tc>
      </w:tr>
    </w:tbl>
    <w:p>
      <w:pPr>
        <w:spacing w:after="0"/>
        <w:jc w:val="both"/>
        <w:rPr>
          <w:sz w:val="24"/>
        </w:rPr>
        <w:sectPr>
          <w:pgSz w:w="12240" w:h="15840"/>
          <w:pgMar w:header="0" w:footer="2071" w:top="1500" w:bottom="2260" w:left="1640" w:right="13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33"/>
        <w:gridCol w:w="4528"/>
      </w:tblGrid>
      <w:tr>
        <w:trPr>
          <w:trHeight w:val="485" w:hRule="exact"/>
        </w:trPr>
        <w:tc>
          <w:tcPr>
            <w:tcW w:w="4533" w:type="dxa"/>
          </w:tcPr>
          <w:p>
            <w:pPr/>
          </w:p>
        </w:tc>
        <w:tc>
          <w:tcPr>
            <w:tcW w:w="4528" w:type="dxa"/>
          </w:tcPr>
          <w:p>
            <w:pPr>
              <w:pStyle w:val="TableParagraph"/>
              <w:spacing w:line="268" w:lineRule="exact"/>
              <w:ind w:left="100" w:right="114"/>
              <w:rPr>
                <w:sz w:val="24"/>
              </w:rPr>
            </w:pPr>
            <w:r>
              <w:rPr>
                <w:sz w:val="24"/>
              </w:rPr>
              <w:t>Puede persistir con el sueño o la anestesia</w:t>
            </w:r>
          </w:p>
        </w:tc>
      </w:tr>
      <w:tr>
        <w:trPr>
          <w:trHeight w:val="2895" w:hRule="exact"/>
        </w:trPr>
        <w:tc>
          <w:tcPr>
            <w:tcW w:w="4533" w:type="dxa"/>
          </w:tcPr>
          <w:p>
            <w:pPr>
              <w:pStyle w:val="TableParagraph"/>
              <w:spacing w:line="269" w:lineRule="exact"/>
              <w:ind w:left="105"/>
              <w:rPr>
                <w:sz w:val="24"/>
              </w:rPr>
            </w:pPr>
            <w:r>
              <w:rPr>
                <w:sz w:val="24"/>
              </w:rPr>
              <w:t>Desordenes compulsivos</w:t>
            </w:r>
          </w:p>
        </w:tc>
        <w:tc>
          <w:tcPr>
            <w:tcW w:w="4528" w:type="dxa"/>
          </w:tcPr>
          <w:p>
            <w:pPr>
              <w:pStyle w:val="TableParagraph"/>
              <w:ind w:left="100" w:right="101"/>
              <w:jc w:val="both"/>
              <w:rPr>
                <w:sz w:val="24"/>
              </w:rPr>
            </w:pPr>
            <w:r>
              <w:rPr>
                <w:sz w:val="24"/>
              </w:rPr>
              <w:t>Desencadenados por situaciones  de ansiedad, conflicto o frustración Estimulación, vueltas en círculo, ladrido rítmico, persiguen objetos reales o imaginarios, lamido, masticación, tirar del pelo, sin pérdida de conocimiento</w:t>
            </w:r>
          </w:p>
          <w:p>
            <w:pPr>
              <w:pStyle w:val="TableParagraph"/>
              <w:tabs>
                <w:tab w:pos="1521" w:val="left" w:leader="none"/>
                <w:tab w:pos="3346" w:val="left" w:leader="none"/>
              </w:tabs>
              <w:spacing w:before="199"/>
              <w:ind w:left="100" w:right="106"/>
              <w:jc w:val="both"/>
              <w:rPr>
                <w:sz w:val="24"/>
              </w:rPr>
            </w:pPr>
            <w:r>
              <w:rPr>
                <w:sz w:val="24"/>
              </w:rPr>
              <w:t>Historia detallada </w:t>
            </w:r>
            <w:r>
              <w:rPr>
                <w:spacing w:val="2"/>
                <w:sz w:val="24"/>
              </w:rPr>
              <w:t>del </w:t>
            </w:r>
            <w:r>
              <w:rPr>
                <w:sz w:val="24"/>
              </w:rPr>
              <w:t>comportamiento puede</w:t>
              <w:tab/>
              <w:t>identificar</w:t>
              <w:tab/>
            </w:r>
            <w:r>
              <w:rPr>
                <w:spacing w:val="-1"/>
                <w:sz w:val="24"/>
              </w:rPr>
              <w:t>situaciones </w:t>
            </w:r>
            <w:r>
              <w:rPr>
                <w:sz w:val="24"/>
              </w:rPr>
              <w:t>desencadenantes</w:t>
            </w:r>
          </w:p>
        </w:tc>
      </w:tr>
    </w:tbl>
    <w:p>
      <w:pPr>
        <w:pStyle w:val="BodyText"/>
        <w:rPr>
          <w:sz w:val="20"/>
        </w:rPr>
      </w:pPr>
    </w:p>
    <w:p>
      <w:pPr>
        <w:pStyle w:val="BodyText"/>
        <w:rPr>
          <w:sz w:val="20"/>
        </w:rPr>
      </w:pPr>
    </w:p>
    <w:p>
      <w:pPr>
        <w:pStyle w:val="BodyText"/>
        <w:spacing w:before="10"/>
        <w:rPr>
          <w:sz w:val="18"/>
        </w:rPr>
      </w:pPr>
    </w:p>
    <w:p>
      <w:pPr>
        <w:pStyle w:val="BodyText"/>
        <w:spacing w:line="480" w:lineRule="auto" w:before="69"/>
        <w:ind w:left="232" w:right="226"/>
        <w:jc w:val="both"/>
      </w:pPr>
      <w:r>
        <w:rPr/>
        <w:t>El diagnóstico para epilepsia idiopática se lleva a cabo basado en la edad típica de inicio, la falta de anomalías en el período interictal, y la exclusión de otras causas. Epilepsia sintomática debe sospecharse cuando (1) las convulsiones comienzan antes del primero o después de los cinco años de edad, (2) el paciente sufre convulsiones focales, (3) hay una aparición súbita de múltiples ataques, o (4) no se detectaron anomalías en el período interictal, en la historia clínica, y exámenes de laboratorio (Podell et al, 1995).</w:t>
      </w:r>
    </w:p>
    <w:p>
      <w:pPr>
        <w:pStyle w:val="BodyText"/>
        <w:spacing w:before="9"/>
        <w:rPr>
          <w:sz w:val="21"/>
        </w:rPr>
      </w:pPr>
    </w:p>
    <w:p>
      <w:pPr>
        <w:pStyle w:val="Heading2"/>
        <w:numPr>
          <w:ilvl w:val="1"/>
          <w:numId w:val="3"/>
        </w:numPr>
        <w:tabs>
          <w:tab w:pos="3772" w:val="left" w:leader="none"/>
        </w:tabs>
        <w:spacing w:line="240" w:lineRule="auto" w:before="1" w:after="0"/>
        <w:ind w:left="3772" w:right="0" w:hanging="682"/>
        <w:jc w:val="left"/>
        <w:rPr>
          <w:rFonts w:ascii="Cambria" w:hAnsi="Cambria"/>
        </w:rPr>
      </w:pPr>
      <w:bookmarkStart w:name="_bookmark19" w:id="33"/>
      <w:bookmarkEnd w:id="33"/>
      <w:r>
        <w:rPr>
          <w:b w:val="0"/>
        </w:rPr>
      </w:r>
      <w:bookmarkStart w:name="_bookmark19" w:id="34"/>
      <w:bookmarkEnd w:id="34"/>
      <w:r>
        <w:rPr>
          <w:rFonts w:ascii="Cambria" w:hAnsi="Cambria"/>
        </w:rPr>
        <w:t>E</w:t>
      </w:r>
      <w:r>
        <w:rPr>
          <w:rFonts w:ascii="Cambria" w:hAnsi="Cambria"/>
        </w:rPr>
        <w:t>xámenes</w:t>
      </w:r>
      <w:r>
        <w:rPr>
          <w:rFonts w:ascii="Cambria" w:hAnsi="Cambria"/>
          <w:spacing w:val="-9"/>
        </w:rPr>
        <w:t> </w:t>
      </w:r>
      <w:r>
        <w:rPr>
          <w:rFonts w:ascii="Cambria" w:hAnsi="Cambria"/>
        </w:rPr>
        <w:t>diagnósticos</w:t>
      </w:r>
    </w:p>
    <w:p>
      <w:pPr>
        <w:pStyle w:val="BodyText"/>
        <w:spacing w:line="480" w:lineRule="auto" w:before="102"/>
        <w:ind w:left="232" w:right="229"/>
        <w:jc w:val="both"/>
      </w:pPr>
      <w:r>
        <w:rPr/>
        <w:t>Los exámenes de laboratorio clínico deben incluir: hemograma completo, bioquímica sanguínea completa, urianálisis, electrólitos. Realizar estos exámenes en todos los pacientes incluyendo aquellos que presentan déficits neurológicos interictales.</w:t>
      </w:r>
    </w:p>
    <w:p>
      <w:pPr>
        <w:pStyle w:val="BodyText"/>
        <w:spacing w:line="480" w:lineRule="auto" w:before="207"/>
        <w:ind w:left="232" w:right="221"/>
        <w:jc w:val="both"/>
      </w:pPr>
      <w:r>
        <w:rPr/>
        <w:t>Los exámenes de laboratorio adicionales es la determinación de ácidos biliares para excluir condiciones metabólicas y en animales jóvenes para identificar o descartar puentes porto- sistémicos. Determinación de amoníaco en sangre para descartar encefalopatía hepática,</w:t>
      </w:r>
    </w:p>
    <w:p>
      <w:pPr>
        <w:spacing w:after="0" w:line="480" w:lineRule="auto"/>
        <w:jc w:val="both"/>
        <w:sectPr>
          <w:pgSz w:w="12240" w:h="15840"/>
          <w:pgMar w:header="0" w:footer="2071" w:top="1500" w:bottom="2260" w:left="1640" w:right="1300"/>
        </w:sectPr>
      </w:pPr>
    </w:p>
    <w:p>
      <w:pPr>
        <w:pStyle w:val="BodyText"/>
        <w:spacing w:before="7"/>
        <w:rPr>
          <w:sz w:val="20"/>
        </w:rPr>
      </w:pPr>
    </w:p>
    <w:p>
      <w:pPr>
        <w:pStyle w:val="BodyText"/>
        <w:spacing w:line="480" w:lineRule="auto" w:before="69"/>
        <w:ind w:left="152" w:right="120"/>
        <w:jc w:val="both"/>
      </w:pPr>
      <w:r>
        <w:rPr/>
        <w:t>determinación de insulina para el caso de insulinoma y niveles de hormona tiroidea para excluir hipotiroidismo (Goiz et al, 2008; Knowles, 1998; Thomas, 2010).</w:t>
      </w:r>
    </w:p>
    <w:p>
      <w:pPr>
        <w:pStyle w:val="BodyText"/>
        <w:spacing w:line="480" w:lineRule="auto" w:before="212"/>
        <w:ind w:left="152" w:right="107"/>
        <w:jc w:val="both"/>
      </w:pPr>
      <w:r>
        <w:rPr/>
        <w:t>La determinación de plomo en sangre se realiza en pacientes con posible exposición al plomo, en pacientes de zonas con alta incidencia a presentar intoxicación, y en animales menores de 1 año de edad.</w:t>
      </w:r>
    </w:p>
    <w:p>
      <w:pPr>
        <w:pStyle w:val="BodyText"/>
        <w:spacing w:line="480" w:lineRule="auto" w:before="207"/>
        <w:ind w:left="152" w:right="100"/>
        <w:jc w:val="both"/>
      </w:pPr>
      <w:r>
        <w:rPr/>
        <w:t>Los estudios de imagenología cerebral (tomografía computarizada o resonancia magnética) así como el análisis de líquido cefalorraquídeo se indican en pacientes con déficits neurológicos interictal, convulsiones focales, convulsiones refractarias al tratamiento farmacológico, aparición de convulsiones en menores de 1 un año y mayores de 5 años de edad, y en gatos con convulsiones recurrentes (Chag et </w:t>
      </w:r>
      <w:r>
        <w:rPr>
          <w:spacing w:val="-3"/>
        </w:rPr>
        <w:t>al, </w:t>
      </w:r>
      <w:r>
        <w:rPr/>
        <w:t>2006). Estos estudios también son recomendados cuando el propietario quiere saber con precisión si existe lesión cerebral progresiva en su mascota. Muchos propietarios en ocasiones consideran que el costo de estos estudios vale </w:t>
      </w:r>
      <w:r>
        <w:rPr>
          <w:spacing w:val="-3"/>
        </w:rPr>
        <w:t>la </w:t>
      </w:r>
      <w:r>
        <w:rPr/>
        <w:t>pena, incluso cuando los resultados son normales </w:t>
      </w:r>
      <w:r>
        <w:rPr>
          <w:spacing w:val="-3"/>
        </w:rPr>
        <w:t>ya </w:t>
      </w:r>
      <w:r>
        <w:rPr/>
        <w:t>que esto puede ayudar a entender </w:t>
      </w:r>
      <w:r>
        <w:rPr>
          <w:spacing w:val="-5"/>
        </w:rPr>
        <w:t>la </w:t>
      </w:r>
      <w:r>
        <w:rPr/>
        <w:t>causa de las convulsiones de su mascota (Chag et </w:t>
      </w:r>
      <w:r>
        <w:rPr>
          <w:spacing w:val="-4"/>
        </w:rPr>
        <w:t>al,</w:t>
      </w:r>
      <w:r>
        <w:rPr>
          <w:spacing w:val="8"/>
        </w:rPr>
        <w:t> </w:t>
      </w:r>
      <w:r>
        <w:rPr/>
        <w:t>2006).</w:t>
      </w:r>
    </w:p>
    <w:p>
      <w:pPr>
        <w:pStyle w:val="BodyText"/>
        <w:spacing w:line="480" w:lineRule="auto" w:before="212"/>
        <w:ind w:left="152" w:right="101"/>
        <w:jc w:val="both"/>
      </w:pPr>
      <w:r>
        <w:rPr/>
        <w:t>El electroencefalograma constituye una prueba confirmatoria de la epilepsia en perros. Con él se pretende definir y clasificar el tipo de crisis, cuantificar las descargas epileptiformes y localizar el foco epileptógenico. Actualmente existe un sistema de registro electroencefalográfico con 12 electrodos que incorporan electrodos especiales para obtener trazos de la actividad eléctrica de la región temporal, no solo de la neocorteza sino  también</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14"/>
        <w:jc w:val="both"/>
      </w:pPr>
      <w:r>
        <w:rPr/>
        <w:t>de la paleocorteza (lóbulo piriforme y cuerpo amigdalino) y de la arquicorteza (hipocampo) (Pellegrino, 2003b).</w:t>
      </w:r>
    </w:p>
    <w:p>
      <w:pPr>
        <w:pStyle w:val="BodyText"/>
      </w:pPr>
    </w:p>
    <w:p>
      <w:pPr>
        <w:pStyle w:val="BodyText"/>
      </w:pPr>
    </w:p>
    <w:p>
      <w:pPr>
        <w:pStyle w:val="BodyText"/>
      </w:pPr>
    </w:p>
    <w:p>
      <w:pPr>
        <w:pStyle w:val="Heading2"/>
        <w:numPr>
          <w:ilvl w:val="0"/>
          <w:numId w:val="3"/>
        </w:numPr>
        <w:tabs>
          <w:tab w:pos="2275" w:val="left" w:leader="none"/>
        </w:tabs>
        <w:spacing w:line="240" w:lineRule="auto" w:before="176" w:after="0"/>
        <w:ind w:left="2275" w:right="0" w:hanging="346"/>
        <w:jc w:val="left"/>
        <w:rPr>
          <w:rFonts w:ascii="Cambria" w:hAnsi="Cambria"/>
        </w:rPr>
      </w:pPr>
      <w:bookmarkStart w:name="_bookmark20" w:id="35"/>
      <w:bookmarkEnd w:id="35"/>
      <w:r>
        <w:rPr>
          <w:b w:val="0"/>
        </w:rPr>
      </w:r>
      <w:bookmarkStart w:name="_bookmark20" w:id="36"/>
      <w:bookmarkEnd w:id="36"/>
      <w:r>
        <w:rPr>
          <w:rFonts w:ascii="Cambria" w:hAnsi="Cambria"/>
        </w:rPr>
        <w:t>P</w:t>
      </w:r>
      <w:r>
        <w:rPr>
          <w:rFonts w:ascii="Cambria" w:hAnsi="Cambria"/>
        </w:rPr>
        <w:t>rincipios de la terapia</w:t>
      </w:r>
      <w:r>
        <w:rPr>
          <w:rFonts w:ascii="Cambria" w:hAnsi="Cambria"/>
          <w:spacing w:val="-22"/>
        </w:rPr>
        <w:t> </w:t>
      </w:r>
      <w:r>
        <w:rPr>
          <w:rFonts w:ascii="Cambria" w:hAnsi="Cambria"/>
        </w:rPr>
        <w:t>antiepiléptica</w:t>
      </w:r>
    </w:p>
    <w:p>
      <w:pPr>
        <w:pStyle w:val="BodyText"/>
        <w:spacing w:line="480" w:lineRule="auto" w:before="97"/>
        <w:ind w:left="152" w:right="102"/>
        <w:jc w:val="both"/>
      </w:pPr>
      <w:r>
        <w:rPr/>
        <w:t>Los anticonvulsivos son agentes farmacológicos utilizados para reducir </w:t>
      </w:r>
      <w:r>
        <w:rPr>
          <w:spacing w:val="-3"/>
        </w:rPr>
        <w:t>la </w:t>
      </w:r>
      <w:r>
        <w:rPr/>
        <w:t>frecuencia de las crisis epilépticas. "Antiepiléptico" es un nombre inapropiado, </w:t>
      </w:r>
      <w:r>
        <w:rPr>
          <w:spacing w:val="-5"/>
        </w:rPr>
        <w:t>ya </w:t>
      </w:r>
      <w:r>
        <w:rPr/>
        <w:t>que estos fármacos son eficaces como tratamiento sintomático de </w:t>
      </w:r>
      <w:r>
        <w:rPr>
          <w:spacing w:val="-4"/>
        </w:rPr>
        <w:t>las </w:t>
      </w:r>
      <w:r>
        <w:rPr/>
        <w:t>convulsiones, es decir, los síntomas de </w:t>
      </w:r>
      <w:r>
        <w:rPr>
          <w:spacing w:val="-5"/>
        </w:rPr>
        <w:t>la </w:t>
      </w:r>
      <w:r>
        <w:rPr/>
        <w:t>epilepsia, </w:t>
      </w:r>
      <w:r>
        <w:rPr>
          <w:spacing w:val="-3"/>
        </w:rPr>
        <w:t>no </w:t>
      </w:r>
      <w:r>
        <w:rPr/>
        <w:t>como tratamiento de </w:t>
      </w:r>
      <w:r>
        <w:rPr>
          <w:spacing w:val="-5"/>
        </w:rPr>
        <w:t>la </w:t>
      </w:r>
      <w:r>
        <w:rPr/>
        <w:t>epilepsia en sí. Se </w:t>
      </w:r>
      <w:r>
        <w:rPr>
          <w:spacing w:val="-3"/>
        </w:rPr>
        <w:t>les llama </w:t>
      </w:r>
      <w:r>
        <w:rPr/>
        <w:t>más exactamente anticonvulsivos, pero este término </w:t>
      </w:r>
      <w:r>
        <w:rPr>
          <w:spacing w:val="-3"/>
        </w:rPr>
        <w:t>no ha </w:t>
      </w:r>
      <w:r>
        <w:rPr/>
        <w:t>ganado </w:t>
      </w:r>
      <w:r>
        <w:rPr>
          <w:spacing w:val="-5"/>
        </w:rPr>
        <w:t>la </w:t>
      </w:r>
      <w:r>
        <w:rPr/>
        <w:t>aceptación y </w:t>
      </w:r>
      <w:r>
        <w:rPr>
          <w:spacing w:val="-3"/>
        </w:rPr>
        <w:t>la </w:t>
      </w:r>
      <w:r>
        <w:rPr/>
        <w:t>nomenclatura tradicional sigue utilizando antiepiléptico en todo el mundo. La selección de un </w:t>
      </w:r>
      <w:r>
        <w:rPr>
          <w:spacing w:val="-3"/>
        </w:rPr>
        <w:t>AC </w:t>
      </w:r>
      <w:r>
        <w:rPr/>
        <w:t>se hace en base a  </w:t>
      </w:r>
      <w:r>
        <w:rPr>
          <w:spacing w:val="-3"/>
        </w:rPr>
        <w:t>la </w:t>
      </w:r>
      <w:r>
        <w:rPr/>
        <w:t>eficacia para el tipo específico de síndrome convulsivo o epilepsia, farmacocinética, efectos secundarios, intervalo de dosificación, y costo (</w:t>
      </w:r>
      <w:r>
        <w:rPr>
          <w:color w:val="2D2D2D"/>
        </w:rPr>
        <w:t>Brodie y Dichter, 1996; Dichter y Brodie, 1996</w:t>
      </w:r>
      <w:r>
        <w:rPr/>
        <w:t>). Desafortunadamente muchos anticonvulsivos utilizados en medicina  humana </w:t>
      </w:r>
      <w:r>
        <w:rPr>
          <w:spacing w:val="-3"/>
        </w:rPr>
        <w:t>no </w:t>
      </w:r>
      <w:r>
        <w:rPr/>
        <w:t>pueden ser prescritos en medicina veterinaria por su  inapropiada farmacocinética y efectos hepatotóxicos (Podell,</w:t>
      </w:r>
      <w:r>
        <w:rPr>
          <w:spacing w:val="-17"/>
        </w:rPr>
        <w:t> </w:t>
      </w:r>
      <w:r>
        <w:rPr/>
        <w:t>1998).</w:t>
      </w:r>
    </w:p>
    <w:p>
      <w:pPr>
        <w:pStyle w:val="BodyText"/>
        <w:spacing w:line="480" w:lineRule="auto" w:before="212"/>
        <w:ind w:left="152" w:right="108"/>
        <w:jc w:val="both"/>
      </w:pPr>
      <w:r>
        <w:rPr/>
        <w:t>Según Podell, (1998) y (2009) y Dowling (1999) estos son 10 los principios estratégicos a seguir para una terapia anticonvulsiva:</w:t>
      </w:r>
    </w:p>
    <w:p>
      <w:pPr>
        <w:pStyle w:val="ListParagraph"/>
        <w:numPr>
          <w:ilvl w:val="0"/>
          <w:numId w:val="9"/>
        </w:numPr>
        <w:tabs>
          <w:tab w:pos="403" w:val="left" w:leader="none"/>
        </w:tabs>
        <w:spacing w:line="480" w:lineRule="auto" w:before="212" w:after="0"/>
        <w:ind w:left="152" w:right="109" w:firstLine="0"/>
        <w:jc w:val="both"/>
        <w:rPr>
          <w:sz w:val="24"/>
        </w:rPr>
      </w:pPr>
      <w:r>
        <w:rPr>
          <w:b/>
          <w:sz w:val="24"/>
        </w:rPr>
        <w:t>EL CEREBRO ES SIMILAR A OTROS ÓRGANOS EN EL CUERPO. </w:t>
      </w:r>
      <w:r>
        <w:rPr>
          <w:sz w:val="24"/>
        </w:rPr>
        <w:t>Se enferma y se recupera, similar a otros sistemas. Las crisis epilépticas son un signo de enfermedad. Por </w:t>
      </w:r>
      <w:r>
        <w:rPr>
          <w:spacing w:val="-5"/>
          <w:sz w:val="24"/>
        </w:rPr>
        <w:t>lo </w:t>
      </w:r>
      <w:r>
        <w:rPr>
          <w:sz w:val="24"/>
        </w:rPr>
        <w:t>tanto, todas </w:t>
      </w:r>
      <w:r>
        <w:rPr>
          <w:spacing w:val="-3"/>
          <w:sz w:val="24"/>
        </w:rPr>
        <w:t>las </w:t>
      </w:r>
      <w:r>
        <w:rPr>
          <w:sz w:val="24"/>
        </w:rPr>
        <w:t>crisis epilépticas deben tomarse en</w:t>
      </w:r>
      <w:r>
        <w:rPr>
          <w:spacing w:val="2"/>
          <w:sz w:val="24"/>
        </w:rPr>
        <w:t> </w:t>
      </w:r>
      <w:r>
        <w:rPr>
          <w:sz w:val="24"/>
        </w:rPr>
        <w:t>serio.</w:t>
      </w:r>
    </w:p>
    <w:p>
      <w:pPr>
        <w:spacing w:after="0" w:line="480" w:lineRule="auto"/>
        <w:jc w:val="both"/>
        <w:rPr>
          <w:sz w:val="24"/>
        </w:rPr>
        <w:sectPr>
          <w:pgSz w:w="12240" w:h="15840"/>
          <w:pgMar w:header="0" w:footer="2071" w:top="1500" w:bottom="2320" w:left="1720" w:right="1420"/>
        </w:sectPr>
      </w:pPr>
    </w:p>
    <w:p>
      <w:pPr>
        <w:pStyle w:val="BodyText"/>
        <w:spacing w:before="7"/>
        <w:rPr>
          <w:sz w:val="20"/>
        </w:rPr>
      </w:pPr>
    </w:p>
    <w:p>
      <w:pPr>
        <w:pStyle w:val="ListParagraph"/>
        <w:numPr>
          <w:ilvl w:val="0"/>
          <w:numId w:val="9"/>
        </w:numPr>
        <w:tabs>
          <w:tab w:pos="451" w:val="left" w:leader="none"/>
        </w:tabs>
        <w:spacing w:line="480" w:lineRule="auto" w:before="69" w:after="0"/>
        <w:ind w:left="152" w:right="99" w:firstLine="0"/>
        <w:jc w:val="both"/>
        <w:rPr>
          <w:sz w:val="24"/>
        </w:rPr>
      </w:pPr>
      <w:r>
        <w:rPr>
          <w:b/>
          <w:sz w:val="24"/>
        </w:rPr>
        <w:t>ESTAR SEGURO DE QUE HAN OCURRIDO ATAQUES EPILÉPTICOS</w:t>
      </w:r>
      <w:r>
        <w:rPr>
          <w:sz w:val="24"/>
        </w:rPr>
        <w:t>. Es esencial para determinar un diagnóstico positivo de que se </w:t>
      </w:r>
      <w:r>
        <w:rPr>
          <w:spacing w:val="-3"/>
          <w:sz w:val="24"/>
        </w:rPr>
        <w:t>ha </w:t>
      </w:r>
      <w:r>
        <w:rPr>
          <w:sz w:val="24"/>
        </w:rPr>
        <w:t>producido un ataque epiléptico. Muchos eventos pueden simular ataques epilépticos. La mayoría de </w:t>
      </w:r>
      <w:r>
        <w:rPr>
          <w:spacing w:val="-3"/>
          <w:sz w:val="24"/>
        </w:rPr>
        <w:t>las </w:t>
      </w:r>
      <w:r>
        <w:rPr>
          <w:sz w:val="24"/>
        </w:rPr>
        <w:t>convulsiones son paroxísticas en su aparición, generalizadas, de corta duración generalmente de 30 a 90 segundos y son seguidos por un </w:t>
      </w:r>
      <w:r>
        <w:rPr>
          <w:spacing w:val="-3"/>
          <w:sz w:val="24"/>
        </w:rPr>
        <w:t>cambio </w:t>
      </w:r>
      <w:r>
        <w:rPr>
          <w:sz w:val="24"/>
        </w:rPr>
        <w:t>de comportamiento que puede durar segundos a</w:t>
      </w:r>
      <w:r>
        <w:rPr>
          <w:spacing w:val="-4"/>
          <w:sz w:val="24"/>
        </w:rPr>
        <w:t> </w:t>
      </w:r>
      <w:r>
        <w:rPr>
          <w:sz w:val="24"/>
        </w:rPr>
        <w:t>horas.</w:t>
      </w:r>
    </w:p>
    <w:p>
      <w:pPr>
        <w:pStyle w:val="ListParagraph"/>
        <w:numPr>
          <w:ilvl w:val="0"/>
          <w:numId w:val="9"/>
        </w:numPr>
        <w:tabs>
          <w:tab w:pos="407" w:val="left" w:leader="none"/>
        </w:tabs>
        <w:spacing w:line="480" w:lineRule="auto" w:before="212" w:after="0"/>
        <w:ind w:left="152" w:right="108" w:firstLine="0"/>
        <w:jc w:val="both"/>
        <w:rPr>
          <w:sz w:val="24"/>
        </w:rPr>
      </w:pPr>
      <w:r>
        <w:rPr>
          <w:b/>
          <w:sz w:val="24"/>
        </w:rPr>
        <w:t>IDENTIFICAR LA ETIOLOGÍA. </w:t>
      </w:r>
      <w:r>
        <w:rPr>
          <w:spacing w:val="3"/>
          <w:sz w:val="24"/>
        </w:rPr>
        <w:t>El </w:t>
      </w:r>
      <w:r>
        <w:rPr>
          <w:sz w:val="24"/>
        </w:rPr>
        <w:t>aspecto </w:t>
      </w:r>
      <w:r>
        <w:rPr>
          <w:spacing w:val="-3"/>
          <w:sz w:val="24"/>
        </w:rPr>
        <w:t>más </w:t>
      </w:r>
      <w:r>
        <w:rPr>
          <w:sz w:val="24"/>
        </w:rPr>
        <w:t>importante del tratamiento consiste en establecer </w:t>
      </w:r>
      <w:r>
        <w:rPr>
          <w:spacing w:val="-3"/>
          <w:sz w:val="24"/>
        </w:rPr>
        <w:t>la </w:t>
      </w:r>
      <w:r>
        <w:rPr>
          <w:sz w:val="24"/>
        </w:rPr>
        <w:t>causa subyacente. Así como realizar diagnósticos diferenciales en términos de prevalencia según </w:t>
      </w:r>
      <w:r>
        <w:rPr>
          <w:spacing w:val="-3"/>
          <w:sz w:val="24"/>
        </w:rPr>
        <w:t>la </w:t>
      </w:r>
      <w:r>
        <w:rPr>
          <w:sz w:val="24"/>
        </w:rPr>
        <w:t>edad de </w:t>
      </w:r>
      <w:r>
        <w:rPr>
          <w:spacing w:val="-3"/>
          <w:sz w:val="24"/>
        </w:rPr>
        <w:t>inicio </w:t>
      </w:r>
      <w:r>
        <w:rPr>
          <w:sz w:val="24"/>
        </w:rPr>
        <w:t>de </w:t>
      </w:r>
      <w:r>
        <w:rPr>
          <w:spacing w:val="-5"/>
          <w:sz w:val="24"/>
        </w:rPr>
        <w:t>la</w:t>
      </w:r>
      <w:r>
        <w:rPr>
          <w:spacing w:val="14"/>
          <w:sz w:val="24"/>
        </w:rPr>
        <w:t> </w:t>
      </w:r>
      <w:r>
        <w:rPr>
          <w:sz w:val="24"/>
        </w:rPr>
        <w:t>convulsión.</w:t>
      </w:r>
    </w:p>
    <w:p>
      <w:pPr>
        <w:pStyle w:val="ListParagraph"/>
        <w:numPr>
          <w:ilvl w:val="0"/>
          <w:numId w:val="9"/>
        </w:numPr>
        <w:tabs>
          <w:tab w:pos="431" w:val="left" w:leader="none"/>
        </w:tabs>
        <w:spacing w:line="480" w:lineRule="auto" w:before="207" w:after="0"/>
        <w:ind w:left="152" w:right="108" w:firstLine="0"/>
        <w:jc w:val="both"/>
        <w:rPr>
          <w:sz w:val="24"/>
        </w:rPr>
      </w:pPr>
      <w:r>
        <w:rPr>
          <w:b/>
          <w:sz w:val="24"/>
        </w:rPr>
        <w:t>SIEMPRE TRATAR LA ENFERMEDAD DE BASE</w:t>
      </w:r>
      <w:r>
        <w:rPr>
          <w:sz w:val="24"/>
        </w:rPr>
        <w:t>. Convulsiones sintomáticas o reactivas se pueden ver como un signo de </w:t>
      </w:r>
      <w:r>
        <w:rPr>
          <w:spacing w:val="-3"/>
          <w:sz w:val="24"/>
        </w:rPr>
        <w:t>la </w:t>
      </w:r>
      <w:r>
        <w:rPr>
          <w:sz w:val="24"/>
        </w:rPr>
        <w:t>enfermedad en general. Este </w:t>
      </w:r>
      <w:r>
        <w:rPr>
          <w:spacing w:val="-3"/>
          <w:sz w:val="24"/>
        </w:rPr>
        <w:t>signo </w:t>
      </w:r>
      <w:r>
        <w:rPr>
          <w:sz w:val="24"/>
        </w:rPr>
        <w:t>potencialmente puede ser eliminado o reducido en gran medida dirigiendo </w:t>
      </w:r>
      <w:r>
        <w:rPr>
          <w:spacing w:val="-5"/>
          <w:sz w:val="24"/>
        </w:rPr>
        <w:t>la </w:t>
      </w:r>
      <w:r>
        <w:rPr>
          <w:sz w:val="24"/>
        </w:rPr>
        <w:t>terapia específica para el diagnóstico</w:t>
      </w:r>
      <w:r>
        <w:rPr>
          <w:spacing w:val="-23"/>
          <w:sz w:val="24"/>
        </w:rPr>
        <w:t> </w:t>
      </w:r>
      <w:r>
        <w:rPr>
          <w:sz w:val="24"/>
        </w:rPr>
        <w:t>primario.</w:t>
      </w:r>
    </w:p>
    <w:p>
      <w:pPr>
        <w:pStyle w:val="BodyText"/>
        <w:spacing w:before="10"/>
        <w:rPr>
          <w:sz w:val="18"/>
        </w:rPr>
      </w:pPr>
    </w:p>
    <w:p>
      <w:pPr>
        <w:pStyle w:val="ListParagraph"/>
        <w:numPr>
          <w:ilvl w:val="0"/>
          <w:numId w:val="9"/>
        </w:numPr>
        <w:tabs>
          <w:tab w:pos="566" w:val="left" w:leader="none"/>
        </w:tabs>
        <w:spacing w:line="477" w:lineRule="auto" w:before="0" w:after="0"/>
        <w:ind w:left="152" w:right="112" w:firstLine="0"/>
        <w:jc w:val="both"/>
        <w:rPr>
          <w:sz w:val="24"/>
        </w:rPr>
      </w:pPr>
      <w:r>
        <w:rPr>
          <w:b/>
          <w:sz w:val="24"/>
        </w:rPr>
        <w:t>INSTAURAR TRATAMIENTO TEMPRANO EN EL CURSO DE LA ENFERMEDAD</w:t>
      </w:r>
      <w:r>
        <w:rPr>
          <w:sz w:val="24"/>
        </w:rPr>
        <w:t>. Iniciar </w:t>
      </w:r>
      <w:r>
        <w:rPr>
          <w:spacing w:val="-3"/>
          <w:sz w:val="24"/>
        </w:rPr>
        <w:t>la </w:t>
      </w:r>
      <w:r>
        <w:rPr>
          <w:sz w:val="24"/>
        </w:rPr>
        <w:t>terapia anticonvulsiva de forma temprana puede ser fundamental para controlar </w:t>
      </w:r>
      <w:r>
        <w:rPr>
          <w:spacing w:val="-3"/>
          <w:sz w:val="24"/>
        </w:rPr>
        <w:t>mejor </w:t>
      </w:r>
      <w:r>
        <w:rPr>
          <w:spacing w:val="-4"/>
          <w:sz w:val="24"/>
        </w:rPr>
        <w:t>las</w:t>
      </w:r>
      <w:r>
        <w:rPr>
          <w:spacing w:val="9"/>
          <w:sz w:val="24"/>
        </w:rPr>
        <w:t> </w:t>
      </w:r>
      <w:r>
        <w:rPr>
          <w:sz w:val="24"/>
        </w:rPr>
        <w:t>convulsiones.</w:t>
      </w:r>
    </w:p>
    <w:p>
      <w:pPr>
        <w:pStyle w:val="ListParagraph"/>
        <w:numPr>
          <w:ilvl w:val="0"/>
          <w:numId w:val="9"/>
        </w:numPr>
        <w:tabs>
          <w:tab w:pos="499" w:val="left" w:leader="none"/>
        </w:tabs>
        <w:spacing w:line="480" w:lineRule="auto" w:before="209" w:after="0"/>
        <w:ind w:left="152" w:right="109" w:firstLine="58"/>
        <w:jc w:val="both"/>
        <w:rPr>
          <w:sz w:val="24"/>
        </w:rPr>
      </w:pPr>
      <w:r>
        <w:rPr>
          <w:b/>
          <w:sz w:val="24"/>
        </w:rPr>
        <w:t>COMENZAR CON EL AC APROPIADO</w:t>
      </w:r>
      <w:r>
        <w:rPr>
          <w:sz w:val="24"/>
        </w:rPr>
        <w:t>. Limitar </w:t>
      </w:r>
      <w:r>
        <w:rPr>
          <w:spacing w:val="-5"/>
          <w:sz w:val="24"/>
        </w:rPr>
        <w:t>la </w:t>
      </w:r>
      <w:r>
        <w:rPr>
          <w:sz w:val="24"/>
        </w:rPr>
        <w:t>ingesta total de </w:t>
      </w:r>
      <w:r>
        <w:rPr>
          <w:spacing w:val="-3"/>
          <w:sz w:val="24"/>
        </w:rPr>
        <w:t>AC </w:t>
      </w:r>
      <w:r>
        <w:rPr>
          <w:sz w:val="24"/>
        </w:rPr>
        <w:t>es una ventaja y un objetivo en el tratamiento de perros epilépticos. Con cualquier fármaco </w:t>
      </w:r>
      <w:r>
        <w:rPr>
          <w:spacing w:val="-3"/>
          <w:sz w:val="24"/>
        </w:rPr>
        <w:t>AC, </w:t>
      </w:r>
      <w:r>
        <w:rPr>
          <w:sz w:val="24"/>
        </w:rPr>
        <w:t>equilibrar el control de </w:t>
      </w:r>
      <w:r>
        <w:rPr>
          <w:spacing w:val="-3"/>
          <w:sz w:val="24"/>
        </w:rPr>
        <w:t>las </w:t>
      </w:r>
      <w:r>
        <w:rPr>
          <w:sz w:val="24"/>
        </w:rPr>
        <w:t>crisis y </w:t>
      </w:r>
      <w:r>
        <w:rPr>
          <w:spacing w:val="-3"/>
          <w:sz w:val="24"/>
        </w:rPr>
        <w:t>la </w:t>
      </w:r>
      <w:r>
        <w:rPr>
          <w:sz w:val="24"/>
        </w:rPr>
        <w:t>calidad de vida del animal iniciando con</w:t>
      </w:r>
      <w:r>
        <w:rPr>
          <w:spacing w:val="-15"/>
          <w:sz w:val="24"/>
        </w:rPr>
        <w:t> </w:t>
      </w:r>
      <w:r>
        <w:rPr>
          <w:sz w:val="24"/>
        </w:rPr>
        <w:t>monoterapia.</w:t>
      </w:r>
    </w:p>
    <w:p>
      <w:pPr>
        <w:spacing w:after="0" w:line="480" w:lineRule="auto"/>
        <w:jc w:val="both"/>
        <w:rPr>
          <w:sz w:val="24"/>
        </w:rPr>
        <w:sectPr>
          <w:footerReference w:type="default" r:id="rId23"/>
          <w:pgSz w:w="12240" w:h="15840"/>
          <w:pgMar w:footer="2131" w:header="0" w:top="1500" w:bottom="2320" w:left="1720" w:right="1420"/>
        </w:sectPr>
      </w:pPr>
    </w:p>
    <w:p>
      <w:pPr>
        <w:pStyle w:val="BodyText"/>
        <w:spacing w:before="7"/>
        <w:rPr>
          <w:sz w:val="20"/>
        </w:rPr>
      </w:pPr>
    </w:p>
    <w:p>
      <w:pPr>
        <w:pStyle w:val="ListParagraph"/>
        <w:numPr>
          <w:ilvl w:val="0"/>
          <w:numId w:val="9"/>
        </w:numPr>
        <w:tabs>
          <w:tab w:pos="470" w:val="left" w:leader="none"/>
        </w:tabs>
        <w:spacing w:line="480" w:lineRule="auto" w:before="69" w:after="0"/>
        <w:ind w:left="152" w:right="107" w:firstLine="58"/>
        <w:jc w:val="both"/>
        <w:rPr>
          <w:sz w:val="24"/>
        </w:rPr>
      </w:pPr>
      <w:r>
        <w:rPr>
          <w:b/>
          <w:sz w:val="24"/>
        </w:rPr>
        <w:t>CONTROLAR LAS CONCENTRACIONES DE SUERO. </w:t>
      </w:r>
      <w:r>
        <w:rPr>
          <w:sz w:val="24"/>
        </w:rPr>
        <w:t>El objetivo de vigilar los medicamentos es el de establecer un plan individual para mantener un equilibrio entre </w:t>
      </w:r>
      <w:r>
        <w:rPr>
          <w:spacing w:val="-3"/>
          <w:sz w:val="24"/>
        </w:rPr>
        <w:t>la </w:t>
      </w:r>
      <w:r>
        <w:rPr>
          <w:sz w:val="24"/>
        </w:rPr>
        <w:t>eficacia del tratamiento a largo plazo y </w:t>
      </w:r>
      <w:r>
        <w:rPr>
          <w:spacing w:val="-3"/>
          <w:sz w:val="24"/>
        </w:rPr>
        <w:t>la </w:t>
      </w:r>
      <w:r>
        <w:rPr>
          <w:sz w:val="24"/>
        </w:rPr>
        <w:t>calidad de </w:t>
      </w:r>
      <w:r>
        <w:rPr>
          <w:spacing w:val="-3"/>
          <w:sz w:val="24"/>
        </w:rPr>
        <w:t>la </w:t>
      </w:r>
      <w:r>
        <w:rPr>
          <w:sz w:val="24"/>
        </w:rPr>
        <w:t>vida </w:t>
      </w:r>
      <w:r>
        <w:rPr>
          <w:spacing w:val="2"/>
          <w:sz w:val="24"/>
        </w:rPr>
        <w:t>del </w:t>
      </w:r>
      <w:r>
        <w:rPr>
          <w:sz w:val="24"/>
        </w:rPr>
        <w:t>paciente siguiendo estrategias.</w:t>
      </w:r>
    </w:p>
    <w:p>
      <w:pPr>
        <w:pStyle w:val="ListParagraph"/>
        <w:numPr>
          <w:ilvl w:val="0"/>
          <w:numId w:val="9"/>
        </w:numPr>
        <w:tabs>
          <w:tab w:pos="456" w:val="left" w:leader="none"/>
        </w:tabs>
        <w:spacing w:line="480" w:lineRule="auto" w:before="212" w:after="0"/>
        <w:ind w:left="152" w:right="111" w:firstLine="0"/>
        <w:jc w:val="both"/>
        <w:rPr>
          <w:sz w:val="24"/>
        </w:rPr>
      </w:pPr>
      <w:r>
        <w:rPr>
          <w:b/>
          <w:sz w:val="24"/>
        </w:rPr>
        <w:t>SABER CÓMO Y CUÁNDO AJUSTAR LA DOSIS. </w:t>
      </w:r>
      <w:r>
        <w:rPr>
          <w:sz w:val="24"/>
        </w:rPr>
        <w:t>Basado en </w:t>
      </w:r>
      <w:r>
        <w:rPr>
          <w:spacing w:val="-5"/>
          <w:sz w:val="24"/>
        </w:rPr>
        <w:t>la </w:t>
      </w:r>
      <w:r>
        <w:rPr>
          <w:sz w:val="24"/>
        </w:rPr>
        <w:t>medición de concentraciones séricas, signos de toxicidad y control de </w:t>
      </w:r>
      <w:r>
        <w:rPr>
          <w:spacing w:val="-4"/>
          <w:sz w:val="24"/>
        </w:rPr>
        <w:t>las</w:t>
      </w:r>
      <w:r>
        <w:rPr>
          <w:spacing w:val="-15"/>
          <w:sz w:val="24"/>
        </w:rPr>
        <w:t> </w:t>
      </w:r>
      <w:r>
        <w:rPr>
          <w:sz w:val="24"/>
        </w:rPr>
        <w:t>convulsiones.</w:t>
      </w:r>
    </w:p>
    <w:p>
      <w:pPr>
        <w:pStyle w:val="ListParagraph"/>
        <w:numPr>
          <w:ilvl w:val="0"/>
          <w:numId w:val="9"/>
        </w:numPr>
        <w:tabs>
          <w:tab w:pos="451" w:val="left" w:leader="none"/>
        </w:tabs>
        <w:spacing w:line="480" w:lineRule="auto" w:before="207" w:after="0"/>
        <w:ind w:left="152" w:right="98" w:firstLine="0"/>
        <w:jc w:val="both"/>
        <w:rPr>
          <w:sz w:val="24"/>
        </w:rPr>
      </w:pPr>
      <w:r>
        <w:rPr>
          <w:b/>
          <w:sz w:val="24"/>
        </w:rPr>
        <w:t>VERIFICAR CUMPLIMIENTO ADECUADO POR PARTE DEL DUEÑO. </w:t>
      </w:r>
      <w:r>
        <w:rPr>
          <w:spacing w:val="3"/>
          <w:sz w:val="24"/>
        </w:rPr>
        <w:t>En </w:t>
      </w:r>
      <w:r>
        <w:rPr>
          <w:sz w:val="24"/>
        </w:rPr>
        <w:t>posología y monitorización. Todos los propietarios deben ser enviados a casa con un calendario especializado para registrar los acontecimientos convulsivos, los efectos adversos y los cambios en </w:t>
      </w:r>
      <w:r>
        <w:rPr>
          <w:spacing w:val="-3"/>
          <w:sz w:val="24"/>
        </w:rPr>
        <w:t>la </w:t>
      </w:r>
      <w:r>
        <w:rPr>
          <w:sz w:val="24"/>
        </w:rPr>
        <w:t>dosificación del</w:t>
      </w:r>
      <w:r>
        <w:rPr>
          <w:spacing w:val="-11"/>
          <w:sz w:val="24"/>
        </w:rPr>
        <w:t> </w:t>
      </w:r>
      <w:r>
        <w:rPr>
          <w:sz w:val="24"/>
        </w:rPr>
        <w:t>fármaco.</w:t>
      </w:r>
    </w:p>
    <w:p>
      <w:pPr>
        <w:pStyle w:val="ListParagraph"/>
        <w:numPr>
          <w:ilvl w:val="0"/>
          <w:numId w:val="9"/>
        </w:numPr>
        <w:tabs>
          <w:tab w:pos="532" w:val="left" w:leader="none"/>
        </w:tabs>
        <w:spacing w:line="480" w:lineRule="auto" w:before="212" w:after="0"/>
        <w:ind w:left="152" w:right="102" w:firstLine="0"/>
        <w:jc w:val="both"/>
        <w:rPr>
          <w:sz w:val="24"/>
        </w:rPr>
      </w:pPr>
      <w:r>
        <w:rPr>
          <w:b/>
          <w:sz w:val="24"/>
        </w:rPr>
        <w:t>SABER CUÁNDO Y CÓMO AGREGAR O CAMBIAR MEDICAMENTOS. </w:t>
      </w:r>
      <w:r>
        <w:rPr>
          <w:sz w:val="24"/>
        </w:rPr>
        <w:t>Los medicamentos anticonvulsivos deben ser cambiados cuando </w:t>
      </w:r>
      <w:r>
        <w:rPr>
          <w:spacing w:val="-3"/>
          <w:sz w:val="24"/>
        </w:rPr>
        <w:t>no </w:t>
      </w:r>
      <w:r>
        <w:rPr>
          <w:sz w:val="24"/>
        </w:rPr>
        <w:t>se observa ninguna mejora en el control de las convulsiones a pesar de haber alcanzado máximas concentraciones en suero </w:t>
      </w:r>
      <w:r>
        <w:rPr>
          <w:spacing w:val="-4"/>
          <w:sz w:val="24"/>
        </w:rPr>
        <w:t>y/o </w:t>
      </w:r>
      <w:r>
        <w:rPr>
          <w:sz w:val="24"/>
        </w:rPr>
        <w:t>cuando los efectos tóxicos se están</w:t>
      </w:r>
      <w:r>
        <w:rPr>
          <w:spacing w:val="2"/>
          <w:sz w:val="24"/>
        </w:rPr>
        <w:t> </w:t>
      </w:r>
      <w:r>
        <w:rPr>
          <w:sz w:val="24"/>
        </w:rPr>
        <w:t>desarrollando.</w:t>
      </w:r>
    </w:p>
    <w:p>
      <w:pPr>
        <w:pStyle w:val="BodyText"/>
        <w:spacing w:before="9"/>
        <w:rPr>
          <w:sz w:val="21"/>
        </w:rPr>
      </w:pPr>
    </w:p>
    <w:p>
      <w:pPr>
        <w:pStyle w:val="Heading2"/>
        <w:numPr>
          <w:ilvl w:val="1"/>
          <w:numId w:val="10"/>
        </w:numPr>
        <w:tabs>
          <w:tab w:pos="2828" w:val="left" w:leader="none"/>
        </w:tabs>
        <w:spacing w:line="240" w:lineRule="auto" w:before="0" w:after="0"/>
        <w:ind w:left="2827" w:right="0" w:hanging="538"/>
        <w:jc w:val="left"/>
        <w:rPr>
          <w:rFonts w:ascii="Cambria"/>
        </w:rPr>
      </w:pPr>
      <w:bookmarkStart w:name="_bookmark21" w:id="37"/>
      <w:bookmarkEnd w:id="37"/>
      <w:r>
        <w:rPr>
          <w:b w:val="0"/>
        </w:rPr>
      </w:r>
      <w:bookmarkStart w:name="_bookmark21" w:id="38"/>
      <w:bookmarkEnd w:id="38"/>
      <w:r>
        <w:rPr>
          <w:rFonts w:ascii="Cambria"/>
        </w:rPr>
        <w:t>I</w:t>
      </w:r>
      <w:r>
        <w:rPr>
          <w:rFonts w:ascii="Cambria"/>
        </w:rPr>
        <w:t>nicio del</w:t>
      </w:r>
      <w:r>
        <w:rPr>
          <w:rFonts w:ascii="Cambria"/>
          <w:spacing w:val="-13"/>
        </w:rPr>
        <w:t> </w:t>
      </w:r>
      <w:r>
        <w:rPr>
          <w:rFonts w:ascii="Cambria"/>
        </w:rPr>
        <w:t>tratamiento</w:t>
      </w:r>
    </w:p>
    <w:p>
      <w:pPr>
        <w:pStyle w:val="BodyText"/>
        <w:spacing w:line="480" w:lineRule="auto" w:before="102"/>
        <w:ind w:left="152" w:right="107"/>
        <w:jc w:val="both"/>
      </w:pPr>
      <w:r>
        <w:rPr/>
        <w:t>La decisión de iniciar la terapia AC se basa en la etiología subyacente, el tipo de crisis, frecuencia y evaluación del diagnóstico (Podell, 2009). Pacientes con un solo ataque, o ataques aislados separados por largos periodos de tiempo generalmente no requieren tratamiento diario de mantenimiento. El tratamiento está indicado para pacientes con crisis frecuentes, una tendencia hacia el aumento de la frecuencia o gravedad de las convulsiones,</w:t>
      </w:r>
    </w:p>
    <w:p>
      <w:pPr>
        <w:spacing w:after="0" w:line="480" w:lineRule="auto"/>
        <w:jc w:val="both"/>
        <w:sectPr>
          <w:footerReference w:type="default" r:id="rId24"/>
          <w:pgSz w:w="12240" w:h="15840"/>
          <w:pgMar w:footer="2131" w:header="0" w:top="1500" w:bottom="2320" w:left="1720" w:right="1420"/>
          <w:pgNumType w:start="41"/>
        </w:sectPr>
      </w:pPr>
    </w:p>
    <w:p>
      <w:pPr>
        <w:pStyle w:val="BodyText"/>
        <w:spacing w:before="7"/>
        <w:rPr>
          <w:sz w:val="20"/>
        </w:rPr>
      </w:pPr>
    </w:p>
    <w:p>
      <w:pPr>
        <w:pStyle w:val="BodyText"/>
        <w:spacing w:line="480" w:lineRule="auto" w:before="69"/>
        <w:ind w:left="152" w:right="106"/>
        <w:jc w:val="both"/>
      </w:pPr>
      <w:r>
        <w:rPr/>
        <w:t>cualquier episodio o antecedente de estatus epiléptico no provocado, tiene o ha presentado convulsiones en racimo (cluster) independientemente de la frecuencia o un trastorno subyacente progresivo responsable de las convulsiones. Así mismo los que han experimentado más de una convulsión por mes (Muñana, 2009; Thomas, 2000; Heynold et al, 1997).</w:t>
      </w:r>
    </w:p>
    <w:p>
      <w:pPr>
        <w:pStyle w:val="BodyText"/>
        <w:spacing w:line="480" w:lineRule="auto" w:before="212"/>
        <w:ind w:left="152" w:right="105"/>
        <w:jc w:val="both"/>
      </w:pPr>
      <w:r>
        <w:rPr/>
        <w:t>Según Pellegrino (2003a) y Thomas (2000), </w:t>
      </w:r>
      <w:r>
        <w:rPr>
          <w:spacing w:val="-3"/>
        </w:rPr>
        <w:t>la </w:t>
      </w:r>
      <w:r>
        <w:rPr/>
        <w:t>terapia debe iniciar basado en </w:t>
      </w:r>
      <w:r>
        <w:rPr>
          <w:spacing w:val="-3"/>
        </w:rPr>
        <w:t>la </w:t>
      </w:r>
      <w:r>
        <w:rPr/>
        <w:t>frecuencia  y gravedad de las convulsiones, en las características del electroencefalograma interictal y </w:t>
      </w:r>
      <w:r>
        <w:rPr>
          <w:spacing w:val="-3"/>
        </w:rPr>
        <w:t>la </w:t>
      </w:r>
      <w:r>
        <w:rPr/>
        <w:t>preocupación </w:t>
      </w:r>
      <w:r>
        <w:rPr>
          <w:spacing w:val="2"/>
        </w:rPr>
        <w:t>del </w:t>
      </w:r>
      <w:r>
        <w:rPr/>
        <w:t>propietario. Según Knowles (1998), para evaluar </w:t>
      </w:r>
      <w:r>
        <w:rPr>
          <w:spacing w:val="-3"/>
        </w:rPr>
        <w:t>la </w:t>
      </w:r>
      <w:r>
        <w:rPr/>
        <w:t>eficacia del tratamiento de forma práctica recomienda que se inicie después de </w:t>
      </w:r>
      <w:r>
        <w:rPr>
          <w:spacing w:val="-3"/>
        </w:rPr>
        <w:t>la </w:t>
      </w:r>
      <w:r>
        <w:rPr/>
        <w:t>segunda convulsión aislada, si el intervalo entre convulsiones es menor de 6 a 8 semanas. Sin embargo si se toma en cuenta el fenómeno de </w:t>
      </w:r>
      <w:r>
        <w:rPr>
          <w:i/>
        </w:rPr>
        <w:t>Kindling </w:t>
      </w:r>
      <w:r>
        <w:rPr/>
        <w:t>ó actividad inducida (término que se refiere a un </w:t>
      </w:r>
      <w:r>
        <w:rPr>
          <w:spacing w:val="-3"/>
        </w:rPr>
        <w:t>modelo </w:t>
      </w:r>
      <w:r>
        <w:rPr/>
        <w:t>en el cual </w:t>
      </w:r>
      <w:r>
        <w:rPr>
          <w:spacing w:val="-3"/>
        </w:rPr>
        <w:t>la </w:t>
      </w:r>
      <w:r>
        <w:rPr/>
        <w:t>aplicación repetida de estimulaciones eléctricas, al principio subconvulsivas, de manera local en una región del cerebro (por ejemplo, </w:t>
      </w:r>
      <w:r>
        <w:rPr>
          <w:spacing w:val="-3"/>
        </w:rPr>
        <w:t>la </w:t>
      </w:r>
      <w:r>
        <w:rPr/>
        <w:t>amígdala), acaban por desencadenar (después de 10 a 15 estimulaciones) intensas convulsiones tónico- clónicas generalizadas de manera secundaria). Una vez establecida, esta sensibilidad incrementada (ignición o activación inducida) </w:t>
      </w:r>
      <w:r>
        <w:rPr>
          <w:spacing w:val="-3"/>
        </w:rPr>
        <w:t>la </w:t>
      </w:r>
      <w:r>
        <w:rPr/>
        <w:t>estimulación eléctrica persiste durante  toda </w:t>
      </w:r>
      <w:r>
        <w:rPr>
          <w:spacing w:val="-5"/>
        </w:rPr>
        <w:t>la </w:t>
      </w:r>
      <w:r>
        <w:rPr/>
        <w:t>vida del animal (Laurence et </w:t>
      </w:r>
      <w:r>
        <w:rPr>
          <w:spacing w:val="-3"/>
        </w:rPr>
        <w:t>al, </w:t>
      </w:r>
      <w:r>
        <w:rPr/>
        <w:t>2006) así como </w:t>
      </w:r>
      <w:r>
        <w:rPr>
          <w:spacing w:val="-5"/>
        </w:rPr>
        <w:t>la </w:t>
      </w:r>
      <w:r>
        <w:rPr/>
        <w:t>formación de focos de espejo </w:t>
      </w:r>
      <w:r>
        <w:rPr>
          <w:spacing w:val="-3"/>
        </w:rPr>
        <w:t>la </w:t>
      </w:r>
      <w:r>
        <w:rPr/>
        <w:t>terapia se debe considerar después de </w:t>
      </w:r>
      <w:r>
        <w:rPr>
          <w:spacing w:val="-3"/>
        </w:rPr>
        <w:t>la </w:t>
      </w:r>
      <w:r>
        <w:rPr/>
        <w:t>primera o segunda convulsión (Bollinger-Schmitz  y Kline,</w:t>
      </w:r>
      <w:r>
        <w:rPr>
          <w:spacing w:val="-4"/>
        </w:rPr>
        <w:t> </w:t>
      </w:r>
      <w:r>
        <w:rPr/>
        <w:t>2000).</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4"/>
        <w:jc w:val="both"/>
      </w:pPr>
      <w:r>
        <w:rPr/>
        <w:t>Razones para iniciar monoterapia según Podell (2009) son: 1) lesión estructural identificable, presente; 2) Ha presentado estatus epiléptico; 3) Más de 3 ataques generalizados que hayan ocurrido dentro de un período de 24 horas; 4) Dos o </w:t>
      </w:r>
      <w:r>
        <w:rPr>
          <w:spacing w:val="-4"/>
        </w:rPr>
        <w:t>más</w:t>
      </w:r>
      <w:r>
        <w:rPr>
          <w:spacing w:val="52"/>
        </w:rPr>
        <w:t> </w:t>
      </w:r>
      <w:r>
        <w:rPr/>
        <w:t>convulsiones en racimo dentro de un período </w:t>
      </w:r>
      <w:r>
        <w:rPr>
          <w:spacing w:val="-3"/>
        </w:rPr>
        <w:t>de </w:t>
      </w:r>
      <w:r>
        <w:rPr/>
        <w:t>un año; 5) Dos o  </w:t>
      </w:r>
      <w:r>
        <w:rPr>
          <w:spacing w:val="-3"/>
        </w:rPr>
        <w:t>más  </w:t>
      </w:r>
      <w:r>
        <w:rPr/>
        <w:t>convulsiones aisladas en un período de 6 meses; 6) </w:t>
      </w:r>
      <w:r>
        <w:rPr>
          <w:spacing w:val="3"/>
        </w:rPr>
        <w:t>El </w:t>
      </w:r>
      <w:r>
        <w:rPr/>
        <w:t>primer ataque </w:t>
      </w:r>
      <w:r>
        <w:rPr>
          <w:spacing w:val="-3"/>
        </w:rPr>
        <w:t>fue </w:t>
      </w:r>
      <w:r>
        <w:rPr/>
        <w:t>una semana después de un traumatismo craneal; 7) Eventos ictales prolongados (&gt; 5 minutos), independientemente de </w:t>
      </w:r>
      <w:r>
        <w:rPr>
          <w:spacing w:val="-3"/>
        </w:rPr>
        <w:t>la </w:t>
      </w:r>
      <w:r>
        <w:rPr/>
        <w:t>frecuencia; y 8) período post-ictal prolongado y severo.</w:t>
      </w:r>
    </w:p>
    <w:p>
      <w:pPr>
        <w:pStyle w:val="BodyText"/>
        <w:spacing w:line="480" w:lineRule="auto" w:before="212"/>
        <w:ind w:left="152" w:right="107"/>
        <w:jc w:val="both"/>
      </w:pPr>
      <w:r>
        <w:rPr/>
        <w:t>Aunque el tratamiento sea temprano, el pronóstico es desconocido; sin embargo, un estudio sugiere que los perros tratados precozmente en el curso de </w:t>
      </w:r>
      <w:r>
        <w:rPr>
          <w:spacing w:val="-3"/>
        </w:rPr>
        <w:t>la </w:t>
      </w:r>
      <w:r>
        <w:rPr/>
        <w:t>epilepsia tienen mejores resultados a largo plazo en el control de sus convulsiones en comparación con los perros que se les permite tener una gran cantidad de convulsiones antes de que el tratamiento sea instaurado (Heynold et </w:t>
      </w:r>
      <w:r>
        <w:rPr>
          <w:spacing w:val="-3"/>
        </w:rPr>
        <w:t>al, </w:t>
      </w:r>
      <w:r>
        <w:rPr/>
        <w:t>1997). Como regla general, se prefiere </w:t>
      </w:r>
      <w:r>
        <w:rPr>
          <w:spacing w:val="-3"/>
        </w:rPr>
        <w:t>la </w:t>
      </w:r>
      <w:r>
        <w:rPr/>
        <w:t>monoterapia, </w:t>
      </w:r>
      <w:r>
        <w:rPr>
          <w:spacing w:val="-3"/>
        </w:rPr>
        <w:t>ya </w:t>
      </w:r>
      <w:r>
        <w:rPr/>
        <w:t>que tiende a evitar las complicaciones que pueden surgir de las interacciones entre medicamentos y facilita el tratamiento por parte de los propietarios (Muñana,</w:t>
      </w:r>
      <w:r>
        <w:rPr>
          <w:spacing w:val="-25"/>
        </w:rPr>
        <w:t> </w:t>
      </w:r>
      <w:r>
        <w:rPr/>
        <w:t>2009).</w:t>
      </w:r>
    </w:p>
    <w:p>
      <w:pPr>
        <w:pStyle w:val="BodyText"/>
        <w:spacing w:before="9"/>
        <w:rPr>
          <w:sz w:val="18"/>
        </w:rPr>
      </w:pPr>
    </w:p>
    <w:p>
      <w:pPr>
        <w:pStyle w:val="Heading2"/>
        <w:ind w:left="1698" w:right="98"/>
      </w:pPr>
      <w:r>
        <w:rPr/>
        <w:t>12.2. Educación de los propietarios</w:t>
      </w:r>
    </w:p>
    <w:p>
      <w:pPr>
        <w:pStyle w:val="BodyText"/>
        <w:rPr>
          <w:b/>
        </w:rPr>
      </w:pPr>
    </w:p>
    <w:p>
      <w:pPr>
        <w:pStyle w:val="BodyText"/>
        <w:spacing w:line="480" w:lineRule="auto" w:before="197"/>
        <w:ind w:left="152" w:right="106"/>
        <w:jc w:val="both"/>
      </w:pPr>
      <w:r>
        <w:rPr/>
        <w:t>Es importante para el médico que atiende explicar que la reducción de la frecuencia de las convulsiones y la duración es probable, pero que el cese de la actividad convulsiva es poco probable. Se ha probado que lograr un estado libre de ataques sin efectos secundarios inaceptables por los fármacos se obtiene en menos de la mitad de los pacientes. A pesar de ello, la finalidad de un estado libre de ataques por un paciente en particular es siempre un</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99"/>
        <w:jc w:val="both"/>
      </w:pPr>
      <w:r>
        <w:rPr/>
        <w:t>objetivo clínico. (Podell, 1998). La clave para el éxito del tratamiento de </w:t>
      </w:r>
      <w:r>
        <w:rPr>
          <w:spacing w:val="-5"/>
        </w:rPr>
        <w:t>la </w:t>
      </w:r>
      <w:r>
        <w:rPr/>
        <w:t>epilepsia es </w:t>
      </w:r>
      <w:r>
        <w:rPr>
          <w:spacing w:val="4"/>
        </w:rPr>
        <w:t>el </w:t>
      </w:r>
      <w:r>
        <w:rPr/>
        <w:t>cumplimiento del tratamiento por parte del propietario (Knowles, 1998). Y </w:t>
      </w:r>
      <w:r>
        <w:rPr>
          <w:spacing w:val="-5"/>
        </w:rPr>
        <w:t>la </w:t>
      </w:r>
      <w:r>
        <w:rPr/>
        <w:t>mejor manera de promover el cumplimiento es </w:t>
      </w:r>
      <w:r>
        <w:rPr>
          <w:spacing w:val="-5"/>
        </w:rPr>
        <w:t>la </w:t>
      </w:r>
      <w:r>
        <w:rPr/>
        <w:t>educación. Ellos deben entender los objetivos de </w:t>
      </w:r>
      <w:r>
        <w:rPr>
          <w:spacing w:val="-5"/>
        </w:rPr>
        <w:t>la </w:t>
      </w:r>
      <w:r>
        <w:rPr/>
        <w:t>terapia y los efectos secundarios del tratamiento. Los efectos secundarios leves son  comunes cuando se empieza el tratamiento con medicamentos anticonvulsivos. Estos a menudo se resuelven después de un par de semanas de tratamiento. Si los propietarios entienden esto, son menos propensos a alarmarse e interrumpir el tratamiento antes de tiempo. Los propietarios tienen que ser consientes de </w:t>
      </w:r>
      <w:r>
        <w:rPr>
          <w:spacing w:val="-3"/>
        </w:rPr>
        <w:t>la </w:t>
      </w:r>
      <w:r>
        <w:rPr/>
        <w:t>necesidad de una administración regular de </w:t>
      </w:r>
      <w:r>
        <w:rPr>
          <w:spacing w:val="-3"/>
        </w:rPr>
        <w:t>la </w:t>
      </w:r>
      <w:r>
        <w:rPr/>
        <w:t>medicación. Ellos necesitan saber qué hacer si se olvida una dosis en general, se da </w:t>
      </w:r>
      <w:r>
        <w:rPr>
          <w:spacing w:val="-3"/>
        </w:rPr>
        <w:t>la </w:t>
      </w:r>
      <w:r>
        <w:rPr/>
        <w:t>dosis olvidada tan pronto </w:t>
      </w:r>
      <w:r>
        <w:rPr>
          <w:spacing w:val="-3"/>
        </w:rPr>
        <w:t>como </w:t>
      </w:r>
      <w:r>
        <w:rPr/>
        <w:t>se dio cuenta del error, por </w:t>
      </w:r>
      <w:r>
        <w:rPr>
          <w:spacing w:val="-5"/>
        </w:rPr>
        <w:t>lo </w:t>
      </w:r>
      <w:r>
        <w:rPr/>
        <w:t>tanto </w:t>
      </w:r>
      <w:r>
        <w:rPr>
          <w:spacing w:val="-5"/>
        </w:rPr>
        <w:t>la </w:t>
      </w:r>
      <w:r>
        <w:rPr/>
        <w:t>siguiente  dosis debe administrarse normalmente. Mantener el tratamiento de manera constante, así como el propietario debe saber cómo obtener medicamento si este se pierde o se termina.  La interrupción repentina del medicamento puede precipitar convulsiones y debe evitarse a toda costa (Thomas, 2010; Pellegrino, 2003a). Los propietarios </w:t>
      </w:r>
      <w:r>
        <w:rPr>
          <w:spacing w:val="-3"/>
        </w:rPr>
        <w:t>no </w:t>
      </w:r>
      <w:r>
        <w:rPr/>
        <w:t>deben alterar </w:t>
      </w:r>
      <w:r>
        <w:rPr>
          <w:spacing w:val="4"/>
        </w:rPr>
        <w:t>el </w:t>
      </w:r>
      <w:r>
        <w:rPr/>
        <w:t>tratamiento </w:t>
      </w:r>
      <w:r>
        <w:rPr>
          <w:spacing w:val="-3"/>
        </w:rPr>
        <w:t>sin la </w:t>
      </w:r>
      <w:r>
        <w:rPr/>
        <w:t>autorización </w:t>
      </w:r>
      <w:r>
        <w:rPr>
          <w:spacing w:val="2"/>
        </w:rPr>
        <w:t>del </w:t>
      </w:r>
      <w:r>
        <w:rPr/>
        <w:t>médico. Algunos propietarios pueden alterar </w:t>
      </w:r>
      <w:r>
        <w:rPr>
          <w:spacing w:val="-3"/>
        </w:rPr>
        <w:t>la </w:t>
      </w:r>
      <w:r>
        <w:rPr/>
        <w:t>dosis con base en una evaluación a corto </w:t>
      </w:r>
      <w:r>
        <w:rPr>
          <w:spacing w:val="-3"/>
        </w:rPr>
        <w:t>plazo </w:t>
      </w:r>
      <w:r>
        <w:rPr/>
        <w:t>debido a una buena respuesta o por </w:t>
      </w:r>
      <w:r>
        <w:rPr>
          <w:spacing w:val="-5"/>
        </w:rPr>
        <w:t>la </w:t>
      </w:r>
      <w:r>
        <w:rPr/>
        <w:t>presencia de efectos secundarios. </w:t>
      </w:r>
      <w:r>
        <w:rPr>
          <w:spacing w:val="2"/>
        </w:rPr>
        <w:t>Si </w:t>
      </w:r>
      <w:r>
        <w:rPr/>
        <w:t>el propietario </w:t>
      </w:r>
      <w:r>
        <w:rPr>
          <w:spacing w:val="-3"/>
        </w:rPr>
        <w:t>no </w:t>
      </w:r>
      <w:r>
        <w:rPr/>
        <w:t>está totalmente comprometido con el tratamiento prescrito, es poco probable observar un buen resultado. El propietario y el médico deben discutir a fondo estos factores y decidir juntos cuándo y si debe iniciarse un tratamiento, considerando los riesgos y beneficios de dar o </w:t>
      </w:r>
      <w:r>
        <w:rPr>
          <w:spacing w:val="-3"/>
        </w:rPr>
        <w:t>no </w:t>
      </w:r>
      <w:r>
        <w:rPr/>
        <w:t>un tratamiento (Thomas, 2010). Por  último el clínico debe informar que existe un 20-30% de casos en los que   </w:t>
      </w:r>
      <w:r>
        <w:rPr>
          <w:spacing w:val="17"/>
        </w:rPr>
        <w:t> </w:t>
      </w:r>
      <w:r>
        <w:rPr/>
        <w:t>las crisis </w:t>
      </w:r>
      <w:r>
        <w:rPr>
          <w:spacing w:val="-3"/>
        </w:rPr>
        <w:t>no </w:t>
      </w:r>
      <w:r>
        <w:rPr/>
        <w:t>son</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0"/>
        <w:jc w:val="both"/>
      </w:pPr>
      <w:r>
        <w:rPr/>
        <w:t>controladas adecuadamente aún con tratamiento de uno o varios fármacos (Pellegrino, 2003a; Bollinger-Schtmitz y Kline, 2000) y saber que los perros pueden morir como consecuencia de convulsiones recurrentes (Shell, 1993b).</w:t>
      </w:r>
    </w:p>
    <w:p>
      <w:pPr>
        <w:pStyle w:val="BodyText"/>
        <w:spacing w:before="2"/>
        <w:rPr>
          <w:sz w:val="22"/>
        </w:rPr>
      </w:pPr>
    </w:p>
    <w:p>
      <w:pPr>
        <w:pStyle w:val="Heading2"/>
        <w:numPr>
          <w:ilvl w:val="1"/>
          <w:numId w:val="10"/>
        </w:numPr>
        <w:tabs>
          <w:tab w:pos="2985" w:val="left" w:leader="none"/>
          <w:tab w:pos="2986" w:val="left" w:leader="none"/>
        </w:tabs>
        <w:spacing w:line="240" w:lineRule="auto" w:before="1" w:after="0"/>
        <w:ind w:left="2986" w:right="0" w:hanging="1057"/>
        <w:jc w:val="left"/>
        <w:rPr>
          <w:rFonts w:ascii="Cambria" w:hAnsi="Cambria"/>
        </w:rPr>
      </w:pPr>
      <w:bookmarkStart w:name="_bookmark22" w:id="39"/>
      <w:bookmarkEnd w:id="39"/>
      <w:r>
        <w:rPr>
          <w:b w:val="0"/>
        </w:rPr>
      </w:r>
      <w:bookmarkStart w:name="_bookmark22" w:id="40"/>
      <w:bookmarkEnd w:id="40"/>
      <w:r>
        <w:rPr>
          <w:rFonts w:ascii="Cambria" w:hAnsi="Cambria"/>
        </w:rPr>
        <w:t>E</w:t>
      </w:r>
      <w:r>
        <w:rPr>
          <w:rFonts w:ascii="Cambria" w:hAnsi="Cambria"/>
        </w:rPr>
        <w:t>lección del fármaco</w:t>
      </w:r>
      <w:r>
        <w:rPr>
          <w:rFonts w:ascii="Cambria" w:hAnsi="Cambria"/>
          <w:spacing w:val="-21"/>
        </w:rPr>
        <w:t> </w:t>
      </w:r>
      <w:r>
        <w:rPr>
          <w:rFonts w:ascii="Cambria" w:hAnsi="Cambria"/>
        </w:rPr>
        <w:t>anticonvulsivo</w:t>
      </w:r>
    </w:p>
    <w:p>
      <w:pPr>
        <w:pStyle w:val="BodyText"/>
        <w:spacing w:line="480" w:lineRule="auto" w:before="97"/>
        <w:ind w:left="152" w:right="103"/>
        <w:jc w:val="both"/>
      </w:pPr>
      <w:r>
        <w:rPr/>
        <w:t>La elección del tratamiento depende de </w:t>
      </w:r>
      <w:r>
        <w:rPr>
          <w:spacing w:val="-5"/>
        </w:rPr>
        <w:t>la </w:t>
      </w:r>
      <w:r>
        <w:rPr/>
        <w:t>eficacia, seguridad y precio. Basado en clínica </w:t>
      </w:r>
      <w:r>
        <w:rPr>
          <w:spacing w:val="-3"/>
        </w:rPr>
        <w:t>la </w:t>
      </w:r>
      <w:r>
        <w:rPr/>
        <w:t>experiencia y </w:t>
      </w:r>
      <w:r>
        <w:rPr>
          <w:spacing w:val="-3"/>
        </w:rPr>
        <w:t>la </w:t>
      </w:r>
      <w:r>
        <w:rPr/>
        <w:t>información farmacocinética, fenobarbital o bromuro de potasio son los fármacos de elección inicial para perros con epilepsia idiopática (Dewey, 2006; Boothe; 2001; Podell, 1998). Ambos son relativamente seguros, eficaces, y de </w:t>
      </w:r>
      <w:r>
        <w:rPr>
          <w:spacing w:val="-3"/>
        </w:rPr>
        <w:t>bajo </w:t>
      </w:r>
      <w:r>
        <w:rPr/>
        <w:t>costo y </w:t>
      </w:r>
      <w:r>
        <w:rPr>
          <w:spacing w:val="-3"/>
        </w:rPr>
        <w:t>la </w:t>
      </w:r>
      <w:r>
        <w:rPr/>
        <w:t>mayoría de los veterinarios están familiarizados con su uso. Es mejor utilizar un único fármaco en lugar de una combinación de fármacos para </w:t>
      </w:r>
      <w:r>
        <w:rPr>
          <w:spacing w:val="-3"/>
        </w:rPr>
        <w:t>la </w:t>
      </w:r>
      <w:r>
        <w:rPr/>
        <w:t>terapia inicial. Las desventajas  de utilizar múltiples agentes incluyen aumento del costo, </w:t>
      </w:r>
      <w:r>
        <w:rPr>
          <w:spacing w:val="-5"/>
        </w:rPr>
        <w:t>la </w:t>
      </w:r>
      <w:r>
        <w:rPr/>
        <w:t>necesidad de vigilar e interpretar las concentraciones séricas de múltiples fármacos, interacciones potenciales </w:t>
      </w:r>
      <w:r>
        <w:rPr>
          <w:spacing w:val="2"/>
        </w:rPr>
        <w:t>con </w:t>
      </w:r>
      <w:r>
        <w:rPr/>
        <w:t>medicamentos, y esquemas complicados de dosificación. Sin embargo, algunos pacientes obtienen mejores resultados con </w:t>
      </w:r>
      <w:r>
        <w:rPr>
          <w:spacing w:val="-3"/>
        </w:rPr>
        <w:t>la </w:t>
      </w:r>
      <w:r>
        <w:rPr/>
        <w:t>combinación de fármacos que </w:t>
      </w:r>
      <w:r>
        <w:rPr>
          <w:spacing w:val="-3"/>
        </w:rPr>
        <w:t>la </w:t>
      </w:r>
      <w:r>
        <w:rPr/>
        <w:t>utilización de uno solo. </w:t>
      </w:r>
      <w:r>
        <w:rPr>
          <w:spacing w:val="2"/>
        </w:rPr>
        <w:t>Si </w:t>
      </w:r>
      <w:r>
        <w:rPr/>
        <w:t>el primer fármaco es ineficaz porque se observa pobre control de las crisis o presencia de efectos secundarios, puede justificarse añadir un segundo fármaco. Si esto </w:t>
      </w:r>
      <w:r>
        <w:rPr>
          <w:spacing w:val="-3"/>
        </w:rPr>
        <w:t>no </w:t>
      </w:r>
      <w:r>
        <w:rPr/>
        <w:t>tiene éxito, una combinación de fármacos puede proporcionar un control óptimo (Thomas, 2010; Knowles, 1998). Una vez que se tomó </w:t>
      </w:r>
      <w:r>
        <w:rPr>
          <w:spacing w:val="-5"/>
        </w:rPr>
        <w:t>la </w:t>
      </w:r>
      <w:r>
        <w:rPr/>
        <w:t>decisión de iniciar una terapia a largo plazo es fundamental saber el promedio del período interictal y tener conocimiento básico de </w:t>
      </w:r>
      <w:r>
        <w:rPr>
          <w:spacing w:val="-5"/>
        </w:rPr>
        <w:t>la </w:t>
      </w:r>
      <w:r>
        <w:rPr/>
        <w:t>farmacocinética y toxicología de los anticonvulsivos que comúnmente son utilizados en medicina veterinaria (Knowles,</w:t>
      </w:r>
      <w:r>
        <w:rPr>
          <w:spacing w:val="-15"/>
        </w:rPr>
        <w:t> </w:t>
      </w:r>
      <w:r>
        <w:rPr/>
        <w:t>1998).</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Heading2"/>
        <w:numPr>
          <w:ilvl w:val="1"/>
          <w:numId w:val="10"/>
        </w:numPr>
        <w:tabs>
          <w:tab w:pos="2458" w:val="left" w:leader="none"/>
        </w:tabs>
        <w:spacing w:line="240" w:lineRule="auto" w:before="69" w:after="0"/>
        <w:ind w:left="2458" w:right="0" w:hanging="529"/>
        <w:jc w:val="left"/>
      </w:pPr>
      <w:bookmarkStart w:name="_bookmark23" w:id="41"/>
      <w:bookmarkEnd w:id="41"/>
      <w:r>
        <w:rPr/>
        <w:t>Do</w:t>
      </w:r>
      <w:r>
        <w:rPr/>
        <w:t>sis</w:t>
      </w:r>
    </w:p>
    <w:p>
      <w:pPr>
        <w:pStyle w:val="BodyText"/>
        <w:spacing w:line="480" w:lineRule="auto" w:before="103"/>
        <w:ind w:left="152" w:right="109"/>
        <w:jc w:val="both"/>
      </w:pPr>
      <w:r>
        <w:rPr/>
        <w:t>Debido a las variaciones que pueden existir en </w:t>
      </w:r>
      <w:r>
        <w:rPr>
          <w:spacing w:val="-3"/>
        </w:rPr>
        <w:t>la </w:t>
      </w:r>
      <w:r>
        <w:rPr/>
        <w:t>absorción, </w:t>
      </w:r>
      <w:r>
        <w:rPr>
          <w:spacing w:val="-3"/>
        </w:rPr>
        <w:t>la </w:t>
      </w:r>
      <w:r>
        <w:rPr/>
        <w:t>distribución, y </w:t>
      </w:r>
      <w:r>
        <w:rPr>
          <w:spacing w:val="-3"/>
        </w:rPr>
        <w:t>la </w:t>
      </w:r>
      <w:r>
        <w:rPr/>
        <w:t>velocidad del metabolismo entre los pacientes, </w:t>
      </w:r>
      <w:r>
        <w:rPr>
          <w:spacing w:val="-4"/>
        </w:rPr>
        <w:t>las </w:t>
      </w:r>
      <w:r>
        <w:rPr/>
        <w:t>recomendaciones de dosis publicadas solo sirven como una guía general. Debido a </w:t>
      </w:r>
      <w:r>
        <w:rPr>
          <w:spacing w:val="-5"/>
        </w:rPr>
        <w:t>la </w:t>
      </w:r>
      <w:r>
        <w:rPr/>
        <w:t>sensibilidad a los efectos secundarios y </w:t>
      </w:r>
      <w:r>
        <w:rPr>
          <w:spacing w:val="-3"/>
        </w:rPr>
        <w:t>la </w:t>
      </w:r>
      <w:r>
        <w:rPr/>
        <w:t>falta de inducción metabólica antes del tratamiento, </w:t>
      </w:r>
      <w:r>
        <w:rPr>
          <w:spacing w:val="-5"/>
        </w:rPr>
        <w:t>la </w:t>
      </w:r>
      <w:r>
        <w:rPr/>
        <w:t>mayoría de los pacientes que inician por primera vez con el tratamiento deben iniciar con </w:t>
      </w:r>
      <w:r>
        <w:rPr>
          <w:spacing w:val="-3"/>
        </w:rPr>
        <w:t>la </w:t>
      </w:r>
      <w:r>
        <w:rPr/>
        <w:t>dosis mínima. </w:t>
      </w:r>
      <w:r>
        <w:rPr>
          <w:spacing w:val="2"/>
        </w:rPr>
        <w:t>Si </w:t>
      </w:r>
      <w:r>
        <w:rPr/>
        <w:t>es necesario, </w:t>
      </w:r>
      <w:r>
        <w:rPr>
          <w:spacing w:val="-5"/>
        </w:rPr>
        <w:t>la </w:t>
      </w:r>
      <w:r>
        <w:rPr/>
        <w:t>dosis  se valora incrementándola lentamente hasta que las convulsiones se controlan o se alcanza </w:t>
      </w:r>
      <w:r>
        <w:rPr>
          <w:spacing w:val="-3"/>
        </w:rPr>
        <w:t>la </w:t>
      </w:r>
      <w:r>
        <w:rPr/>
        <w:t>dosis máxima tolerada. La dosis terapéutica para cualquier paciente debe ser determinada, hasta cierto punto, por </w:t>
      </w:r>
      <w:r>
        <w:rPr>
          <w:spacing w:val="-3"/>
        </w:rPr>
        <w:t>ensayo </w:t>
      </w:r>
      <w:r>
        <w:rPr/>
        <w:t>y error (Knowles, 1998; Podell,</w:t>
      </w:r>
      <w:r>
        <w:rPr>
          <w:spacing w:val="-8"/>
        </w:rPr>
        <w:t> </w:t>
      </w:r>
      <w:r>
        <w:rPr/>
        <w:t>1998).</w:t>
      </w:r>
    </w:p>
    <w:p>
      <w:pPr>
        <w:pStyle w:val="BodyText"/>
        <w:spacing w:line="480" w:lineRule="auto" w:before="212"/>
        <w:ind w:left="152" w:right="115" w:firstLine="57"/>
        <w:jc w:val="both"/>
      </w:pPr>
      <w:r>
        <w:rPr/>
        <w:t>Por otro lado, los pacientes con crisis frecuentes o graves a menudo se manejan mejor comenzando con </w:t>
      </w:r>
      <w:r>
        <w:rPr>
          <w:spacing w:val="-3"/>
        </w:rPr>
        <w:t>la </w:t>
      </w:r>
      <w:r>
        <w:rPr/>
        <w:t>dosis superior o con </w:t>
      </w:r>
      <w:r>
        <w:rPr>
          <w:spacing w:val="-5"/>
        </w:rPr>
        <w:t>la </w:t>
      </w:r>
      <w:r>
        <w:rPr/>
        <w:t>utilización de una dosis carga. Una vez que las convulsiones son controladas, puede ser necesario ajustar </w:t>
      </w:r>
      <w:r>
        <w:rPr>
          <w:spacing w:val="-5"/>
        </w:rPr>
        <w:t>la </w:t>
      </w:r>
      <w:r>
        <w:rPr/>
        <w:t>dosis para reducir al mínimo los efectos secundarios (Thomas, 2010; Knowles,</w:t>
      </w:r>
      <w:r>
        <w:rPr>
          <w:spacing w:val="-21"/>
        </w:rPr>
        <w:t> </w:t>
      </w:r>
      <w:r>
        <w:rPr/>
        <w:t>1998).</w:t>
      </w:r>
    </w:p>
    <w:p>
      <w:pPr>
        <w:pStyle w:val="BodyText"/>
        <w:spacing w:before="9"/>
        <w:rPr>
          <w:sz w:val="21"/>
        </w:rPr>
      </w:pPr>
    </w:p>
    <w:p>
      <w:pPr>
        <w:pStyle w:val="Heading2"/>
        <w:numPr>
          <w:ilvl w:val="1"/>
          <w:numId w:val="10"/>
        </w:numPr>
        <w:tabs>
          <w:tab w:pos="2458" w:val="left" w:leader="none"/>
        </w:tabs>
        <w:spacing w:line="240" w:lineRule="auto" w:before="0" w:after="0"/>
        <w:ind w:left="2458" w:right="0" w:hanging="529"/>
        <w:jc w:val="left"/>
      </w:pPr>
      <w:bookmarkStart w:name="_bookmark24" w:id="42"/>
      <w:bookmarkEnd w:id="42"/>
      <w:r>
        <w:rPr/>
        <w:t>M</w:t>
      </w:r>
      <w:r>
        <w:rPr/>
        <w:t>onitorización de </w:t>
      </w:r>
      <w:r>
        <w:rPr>
          <w:spacing w:val="-3"/>
        </w:rPr>
        <w:t>la </w:t>
      </w:r>
      <w:r>
        <w:rPr/>
        <w:t>terapia</w:t>
      </w:r>
      <w:r>
        <w:rPr>
          <w:spacing w:val="-10"/>
        </w:rPr>
        <w:t> </w:t>
      </w:r>
      <w:r>
        <w:rPr/>
        <w:t>anticonvulsiva</w:t>
      </w:r>
    </w:p>
    <w:p>
      <w:pPr>
        <w:pStyle w:val="BodyText"/>
        <w:spacing w:line="480" w:lineRule="auto" w:before="103"/>
        <w:ind w:left="152" w:right="112"/>
        <w:jc w:val="both"/>
      </w:pPr>
      <w:r>
        <w:rPr/>
        <w:t>Con cualquier medicamento que se utilice se debe dar oportunidad para que este actúe y no debe ser descartado prematuramente. Los fármacos anticonvulsivos comúnmente utilizados deben administrarse durante varias semanas o más antes de observar el efecto máximo terapéutico. Además, puede tomar varios meses para evaluar adecuadamente el control de las crisis en un paciente que tiene convulsiones separadas por largos períodos de tiempo. Una causa común de pobre control de las crisis es no maximizar la dosis antes de descartar el fármaco. (Boothe, 1998; Thomas, 2010).</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7"/>
        <w:jc w:val="both"/>
      </w:pPr>
      <w:r>
        <w:rPr/>
        <w:t>La monitorización de las concentraciones séricas es útil para determinar </w:t>
      </w:r>
      <w:r>
        <w:rPr>
          <w:spacing w:val="-5"/>
        </w:rPr>
        <w:t>la </w:t>
      </w:r>
      <w:r>
        <w:rPr/>
        <w:t>dosis óptima (Schwartz-Porsche, 1985; Boothe, 1998; Morton y Honhold, 1988) y está indicada en  varias</w:t>
      </w:r>
      <w:r>
        <w:rPr>
          <w:spacing w:val="-13"/>
        </w:rPr>
        <w:t> </w:t>
      </w:r>
      <w:r>
        <w:rPr/>
        <w:t>situaciones:</w:t>
      </w:r>
    </w:p>
    <w:p>
      <w:pPr>
        <w:pStyle w:val="ListParagraph"/>
        <w:numPr>
          <w:ilvl w:val="0"/>
          <w:numId w:val="11"/>
        </w:numPr>
        <w:tabs>
          <w:tab w:pos="513" w:val="left" w:leader="none"/>
        </w:tabs>
        <w:spacing w:line="480" w:lineRule="auto" w:before="212" w:after="0"/>
        <w:ind w:left="152" w:right="112" w:firstLine="0"/>
        <w:jc w:val="both"/>
        <w:rPr>
          <w:sz w:val="24"/>
        </w:rPr>
      </w:pPr>
      <w:r>
        <w:rPr>
          <w:sz w:val="24"/>
        </w:rPr>
        <w:t>Cuando el estado de equilibrio se alcanza después de iniciar el tratamiento, </w:t>
      </w:r>
      <w:r>
        <w:rPr>
          <w:spacing w:val="-3"/>
          <w:sz w:val="24"/>
        </w:rPr>
        <w:t>cambio </w:t>
      </w:r>
      <w:r>
        <w:rPr>
          <w:sz w:val="24"/>
        </w:rPr>
        <w:t>de dosis, o inmediatamente después de una dosis de carga. Esto proporciona una línea base para orientar los futuros cambios en </w:t>
      </w:r>
      <w:r>
        <w:rPr>
          <w:spacing w:val="-5"/>
          <w:sz w:val="24"/>
        </w:rPr>
        <w:t>la </w:t>
      </w:r>
      <w:r>
        <w:rPr>
          <w:sz w:val="24"/>
        </w:rPr>
        <w:t>dosis de acuerdo a </w:t>
      </w:r>
      <w:r>
        <w:rPr>
          <w:spacing w:val="-3"/>
          <w:sz w:val="24"/>
        </w:rPr>
        <w:t>las </w:t>
      </w:r>
      <w:r>
        <w:rPr>
          <w:sz w:val="24"/>
        </w:rPr>
        <w:t>circunstancias</w:t>
      </w:r>
      <w:r>
        <w:rPr>
          <w:spacing w:val="-16"/>
          <w:sz w:val="24"/>
        </w:rPr>
        <w:t> </w:t>
      </w:r>
      <w:r>
        <w:rPr>
          <w:sz w:val="24"/>
        </w:rPr>
        <w:t>clínicas.</w:t>
      </w:r>
    </w:p>
    <w:p>
      <w:pPr>
        <w:pStyle w:val="ListParagraph"/>
        <w:numPr>
          <w:ilvl w:val="0"/>
          <w:numId w:val="11"/>
        </w:numPr>
        <w:tabs>
          <w:tab w:pos="508" w:val="left" w:leader="none"/>
        </w:tabs>
        <w:spacing w:line="240" w:lineRule="auto" w:before="207" w:after="0"/>
        <w:ind w:left="507" w:right="0" w:hanging="355"/>
        <w:jc w:val="both"/>
        <w:rPr>
          <w:sz w:val="24"/>
        </w:rPr>
      </w:pPr>
      <w:r>
        <w:rPr>
          <w:sz w:val="24"/>
        </w:rPr>
        <w:t>Cuando </w:t>
      </w:r>
      <w:r>
        <w:rPr>
          <w:spacing w:val="-3"/>
          <w:sz w:val="24"/>
        </w:rPr>
        <w:t>las </w:t>
      </w:r>
      <w:r>
        <w:rPr>
          <w:sz w:val="24"/>
        </w:rPr>
        <w:t>convulsiones </w:t>
      </w:r>
      <w:r>
        <w:rPr>
          <w:spacing w:val="-3"/>
          <w:sz w:val="24"/>
        </w:rPr>
        <w:t>no </w:t>
      </w:r>
      <w:r>
        <w:rPr>
          <w:sz w:val="24"/>
        </w:rPr>
        <w:t>se controlan a pesar de una dosis aparentemente </w:t>
      </w:r>
      <w:r>
        <w:rPr>
          <w:spacing w:val="42"/>
          <w:sz w:val="24"/>
        </w:rPr>
        <w:t> </w:t>
      </w:r>
      <w:r>
        <w:rPr>
          <w:sz w:val="24"/>
        </w:rPr>
        <w:t>adecuada.</w:t>
      </w:r>
    </w:p>
    <w:p>
      <w:pPr>
        <w:pStyle w:val="BodyText"/>
      </w:pPr>
    </w:p>
    <w:p>
      <w:pPr>
        <w:pStyle w:val="BodyText"/>
        <w:ind w:left="152"/>
        <w:jc w:val="both"/>
      </w:pPr>
      <w:r>
        <w:rPr/>
        <w:t>Esto ayuda determinar la necesidad de ajustar la dosis antes de añadir un segundo fármaco.</w:t>
      </w:r>
    </w:p>
    <w:p>
      <w:pPr>
        <w:pStyle w:val="BodyText"/>
      </w:pPr>
    </w:p>
    <w:p>
      <w:pPr>
        <w:pStyle w:val="ListParagraph"/>
        <w:numPr>
          <w:ilvl w:val="0"/>
          <w:numId w:val="11"/>
        </w:numPr>
        <w:tabs>
          <w:tab w:pos="522" w:val="left" w:leader="none"/>
        </w:tabs>
        <w:spacing w:line="480" w:lineRule="auto" w:before="201" w:after="0"/>
        <w:ind w:left="152" w:right="119" w:firstLine="0"/>
        <w:jc w:val="both"/>
        <w:rPr>
          <w:sz w:val="24"/>
        </w:rPr>
      </w:pPr>
      <w:r>
        <w:rPr>
          <w:sz w:val="24"/>
        </w:rPr>
        <w:t>Cuando se producen signos de toxicidad relacionados con </w:t>
      </w:r>
      <w:r>
        <w:rPr>
          <w:spacing w:val="-5"/>
          <w:sz w:val="24"/>
        </w:rPr>
        <w:t>la </w:t>
      </w:r>
      <w:r>
        <w:rPr>
          <w:sz w:val="24"/>
        </w:rPr>
        <w:t>dosis correlacionándolos con </w:t>
      </w:r>
      <w:r>
        <w:rPr>
          <w:spacing w:val="-5"/>
          <w:sz w:val="24"/>
        </w:rPr>
        <w:t>la </w:t>
      </w:r>
      <w:r>
        <w:rPr>
          <w:sz w:val="24"/>
        </w:rPr>
        <w:t>concentración en</w:t>
      </w:r>
      <w:r>
        <w:rPr>
          <w:spacing w:val="-5"/>
          <w:sz w:val="24"/>
        </w:rPr>
        <w:t> </w:t>
      </w:r>
      <w:r>
        <w:rPr>
          <w:sz w:val="24"/>
        </w:rPr>
        <w:t>sangre.</w:t>
      </w:r>
    </w:p>
    <w:p>
      <w:pPr>
        <w:pStyle w:val="ListParagraph"/>
        <w:numPr>
          <w:ilvl w:val="0"/>
          <w:numId w:val="11"/>
        </w:numPr>
        <w:tabs>
          <w:tab w:pos="503" w:val="left" w:leader="none"/>
        </w:tabs>
        <w:spacing w:line="480" w:lineRule="auto" w:before="207" w:after="0"/>
        <w:ind w:left="152" w:right="109" w:firstLine="0"/>
        <w:jc w:val="both"/>
        <w:rPr>
          <w:sz w:val="24"/>
        </w:rPr>
      </w:pPr>
      <w:r>
        <w:rPr>
          <w:sz w:val="24"/>
        </w:rPr>
        <w:t>Cada 6 a 12 </w:t>
      </w:r>
      <w:r>
        <w:rPr>
          <w:spacing w:val="-3"/>
          <w:sz w:val="24"/>
        </w:rPr>
        <w:t>meses </w:t>
      </w:r>
      <w:r>
        <w:rPr>
          <w:sz w:val="24"/>
        </w:rPr>
        <w:t>para verificar que los cambios en </w:t>
      </w:r>
      <w:r>
        <w:rPr>
          <w:spacing w:val="-3"/>
          <w:sz w:val="24"/>
        </w:rPr>
        <w:t>la </w:t>
      </w:r>
      <w:r>
        <w:rPr>
          <w:sz w:val="24"/>
        </w:rPr>
        <w:t>farmacocinética </w:t>
      </w:r>
      <w:r>
        <w:rPr>
          <w:spacing w:val="-3"/>
          <w:sz w:val="24"/>
        </w:rPr>
        <w:t>no </w:t>
      </w:r>
      <w:r>
        <w:rPr>
          <w:sz w:val="24"/>
        </w:rPr>
        <w:t>han causado concentraciones en sangre fuera del rango previsto. En </w:t>
      </w:r>
      <w:r>
        <w:rPr>
          <w:spacing w:val="-5"/>
          <w:sz w:val="24"/>
        </w:rPr>
        <w:t>la </w:t>
      </w:r>
      <w:r>
        <w:rPr>
          <w:sz w:val="24"/>
        </w:rPr>
        <w:t>mayoría de los casos, un único nivel medido justo antes de una dosis es suficiente (Thomas, 2010). Aunque, Knowles (1998) sugiere que las concentraciones deben medirse cuando clínicamente se requieran y </w:t>
      </w:r>
      <w:r>
        <w:rPr>
          <w:spacing w:val="-3"/>
          <w:sz w:val="24"/>
        </w:rPr>
        <w:t>no </w:t>
      </w:r>
      <w:r>
        <w:rPr>
          <w:sz w:val="24"/>
        </w:rPr>
        <w:t>de forma rutinaria cada 6 a 12</w:t>
      </w:r>
      <w:r>
        <w:rPr>
          <w:spacing w:val="-10"/>
          <w:sz w:val="24"/>
        </w:rPr>
        <w:t> </w:t>
      </w:r>
      <w:r>
        <w:rPr>
          <w:sz w:val="24"/>
        </w:rPr>
        <w:t>meses.</w:t>
      </w:r>
    </w:p>
    <w:p>
      <w:pPr>
        <w:pStyle w:val="ListParagraph"/>
        <w:numPr>
          <w:ilvl w:val="0"/>
          <w:numId w:val="11"/>
        </w:numPr>
        <w:tabs>
          <w:tab w:pos="503" w:val="left" w:leader="none"/>
        </w:tabs>
        <w:spacing w:line="480" w:lineRule="auto" w:before="212" w:after="0"/>
        <w:ind w:left="152" w:right="121" w:firstLine="0"/>
        <w:jc w:val="both"/>
        <w:rPr>
          <w:sz w:val="24"/>
        </w:rPr>
      </w:pPr>
      <w:r>
        <w:rPr>
          <w:sz w:val="24"/>
        </w:rPr>
        <w:t>Medir los niveles de AC es también fundamental en casos de insuficiencia hepática o </w:t>
      </w:r>
      <w:r>
        <w:rPr>
          <w:spacing w:val="-5"/>
          <w:sz w:val="24"/>
        </w:rPr>
        <w:t>la </w:t>
      </w:r>
      <w:r>
        <w:rPr>
          <w:sz w:val="24"/>
        </w:rPr>
        <w:t>enfermedad renal (Knowles,</w:t>
      </w:r>
      <w:r>
        <w:rPr>
          <w:spacing w:val="-12"/>
          <w:sz w:val="24"/>
        </w:rPr>
        <w:t> </w:t>
      </w:r>
      <w:r>
        <w:rPr>
          <w:sz w:val="24"/>
        </w:rPr>
        <w:t>1998).</w:t>
      </w:r>
    </w:p>
    <w:p>
      <w:pPr>
        <w:pStyle w:val="BodyText"/>
        <w:spacing w:line="480" w:lineRule="auto" w:before="212"/>
        <w:ind w:left="152" w:right="118"/>
        <w:jc w:val="both"/>
      </w:pPr>
      <w:r>
        <w:rPr/>
        <w:t>Si el intervalo de dosificación es mayor al 33% de la vida media plasmática, el muestreo puede realizarse (4-5 horas después de haber administrado el medicamento), junto con  una</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212" w:right="165"/>
        <w:jc w:val="both"/>
      </w:pPr>
      <w:r>
        <w:rPr/>
        <w:t>muestra basal se puede determinar </w:t>
      </w:r>
      <w:r>
        <w:rPr>
          <w:spacing w:val="-3"/>
        </w:rPr>
        <w:t>la </w:t>
      </w:r>
      <w:r>
        <w:rPr/>
        <w:t>concentración terapéutica, niveles tóxicos ó sub terapéuticos así como concentraciones mínimas que permitan </w:t>
      </w:r>
      <w:r>
        <w:rPr>
          <w:spacing w:val="-3"/>
        </w:rPr>
        <w:t>la </w:t>
      </w:r>
      <w:r>
        <w:rPr/>
        <w:t>estimación de </w:t>
      </w:r>
      <w:r>
        <w:rPr>
          <w:spacing w:val="-3"/>
        </w:rPr>
        <w:t>la </w:t>
      </w:r>
      <w:r>
        <w:rPr/>
        <w:t>vida  media de modo que el intervalo de dosificación sea modificado si es necesario (Boothe, 1998). Se prefieren las muestras en ayunas </w:t>
      </w:r>
      <w:r>
        <w:rPr>
          <w:spacing w:val="-3"/>
        </w:rPr>
        <w:t>ya </w:t>
      </w:r>
      <w:r>
        <w:rPr/>
        <w:t>que </w:t>
      </w:r>
      <w:r>
        <w:rPr>
          <w:spacing w:val="-5"/>
        </w:rPr>
        <w:t>la </w:t>
      </w:r>
      <w:r>
        <w:rPr/>
        <w:t>lipemia puede interferir con las mediciones. No deben utilizarse tubos separadores de suero porque </w:t>
      </w:r>
      <w:r>
        <w:rPr>
          <w:spacing w:val="-5"/>
        </w:rPr>
        <w:t>la </w:t>
      </w:r>
      <w:r>
        <w:rPr/>
        <w:t>silicona </w:t>
      </w:r>
      <w:r>
        <w:rPr>
          <w:spacing w:val="2"/>
        </w:rPr>
        <w:t>produce </w:t>
      </w:r>
      <w:r>
        <w:rPr/>
        <w:t>que el fármaco presente falsos niveles bajos (Podell, 2009; Boothe </w:t>
      </w:r>
      <w:r>
        <w:rPr>
          <w:spacing w:val="-3"/>
        </w:rPr>
        <w:t>et </w:t>
      </w:r>
      <w:r>
        <w:rPr>
          <w:spacing w:val="-4"/>
        </w:rPr>
        <w:t>al,</w:t>
      </w:r>
      <w:r>
        <w:rPr>
          <w:spacing w:val="-1"/>
        </w:rPr>
        <w:t> </w:t>
      </w:r>
      <w:r>
        <w:rPr/>
        <w:t>1996).</w:t>
      </w:r>
    </w:p>
    <w:p>
      <w:pPr>
        <w:pStyle w:val="BodyText"/>
        <w:spacing w:line="480" w:lineRule="auto" w:before="212"/>
        <w:ind w:left="212" w:right="179"/>
        <w:jc w:val="both"/>
      </w:pPr>
      <w:r>
        <w:rPr/>
        <w:pict>
          <v:group style="position:absolute;margin-left:88.574997pt;margin-top:71.858109pt;width:449.8pt;height:89.75pt;mso-position-horizontal-relative:page;mso-position-vertical-relative:paragraph;z-index:1432;mso-wrap-distance-left:0;mso-wrap-distance-right:0" coordorigin="1771,1437" coordsize="8996,1795">
            <v:rect style="position:absolute;left:1779;top:1445;width:8981;height:1780" filled="false" stroked="true" strokeweight=".75pt" strokecolor="#000000"/>
            <v:shape style="position:absolute;left:1931;top:1549;width:8239;height:716" type="#_x0000_t202" filled="false" stroked="false">
              <v:textbox inset="0,0,0,0">
                <w:txbxContent>
                  <w:p>
                    <w:pPr>
                      <w:spacing w:line="245" w:lineRule="exact" w:before="0"/>
                      <w:ind w:left="0" w:right="0" w:firstLine="0"/>
                      <w:jc w:val="left"/>
                      <w:rPr>
                        <w:sz w:val="24"/>
                      </w:rPr>
                    </w:pPr>
                    <w:r>
                      <w:rPr>
                        <w:sz w:val="24"/>
                      </w:rPr>
                      <w:t>Concentración deseada</w:t>
                    </w:r>
                  </w:p>
                  <w:p>
                    <w:pPr>
                      <w:tabs>
                        <w:tab w:pos="2214" w:val="left" w:leader="none"/>
                      </w:tabs>
                      <w:spacing w:line="271" w:lineRule="exact" w:before="199"/>
                      <w:ind w:left="0" w:right="0" w:firstLine="0"/>
                      <w:jc w:val="left"/>
                      <w:rPr>
                        <w:sz w:val="24"/>
                      </w:rPr>
                    </w:pPr>
                    <w:r>
                      <w:rPr>
                        <w:sz w:val="24"/>
                        <w:u w:val="single"/>
                      </w:rPr>
                      <w:t> </w:t>
                      <w:tab/>
                    </w:r>
                    <w:r>
                      <w:rPr>
                        <w:spacing w:val="10"/>
                        <w:sz w:val="24"/>
                      </w:rPr>
                      <w:t> </w:t>
                    </w:r>
                    <w:r>
                      <w:rPr>
                        <w:sz w:val="24"/>
                      </w:rPr>
                      <w:t>X  Dosis actual en </w:t>
                    </w:r>
                    <w:r>
                      <w:rPr>
                        <w:spacing w:val="-3"/>
                        <w:sz w:val="24"/>
                      </w:rPr>
                      <w:t>mg </w:t>
                    </w:r>
                    <w:r>
                      <w:rPr>
                        <w:sz w:val="24"/>
                      </w:rPr>
                      <w:t>del   =  Nueva dosis en </w:t>
                    </w:r>
                    <w:r>
                      <w:rPr>
                        <w:spacing w:val="-3"/>
                        <w:sz w:val="24"/>
                      </w:rPr>
                      <w:t>mg </w:t>
                    </w:r>
                    <w:r>
                      <w:rPr>
                        <w:sz w:val="24"/>
                      </w:rPr>
                      <w:t>total por</w:t>
                    </w:r>
                    <w:r>
                      <w:rPr>
                        <w:spacing w:val="-12"/>
                        <w:sz w:val="24"/>
                      </w:rPr>
                      <w:t> </w:t>
                    </w:r>
                    <w:r>
                      <w:rPr>
                        <w:sz w:val="24"/>
                      </w:rPr>
                      <w:t>día</w:t>
                    </w:r>
                  </w:p>
                </w:txbxContent>
              </v:textbox>
              <w10:wrap type="none"/>
            </v:shape>
            <v:shape style="position:absolute;left:1931;top:2500;width:2034;height:240" type="#_x0000_t202" filled="false" stroked="false">
              <v:textbox inset="0,0,0,0">
                <w:txbxContent>
                  <w:p>
                    <w:pPr>
                      <w:spacing w:line="240" w:lineRule="exact" w:before="0"/>
                      <w:ind w:left="0" w:right="-19" w:firstLine="0"/>
                      <w:jc w:val="left"/>
                      <w:rPr>
                        <w:sz w:val="24"/>
                      </w:rPr>
                    </w:pPr>
                    <w:r>
                      <w:rPr>
                        <w:sz w:val="24"/>
                      </w:rPr>
                      <w:t>Concentración actual</w:t>
                    </w:r>
                  </w:p>
                </w:txbxContent>
              </v:textbox>
              <w10:wrap type="none"/>
            </v:shape>
            <v:shape style="position:absolute;left:4418;top:2500;width:2135;height:240" type="#_x0000_t202" filled="false" stroked="false">
              <v:textbox inset="0,0,0,0">
                <w:txbxContent>
                  <w:p>
                    <w:pPr>
                      <w:spacing w:line="240" w:lineRule="exact" w:before="0"/>
                      <w:ind w:left="0" w:right="-20" w:firstLine="0"/>
                      <w:jc w:val="left"/>
                      <w:rPr>
                        <w:sz w:val="24"/>
                      </w:rPr>
                    </w:pPr>
                    <w:r>
                      <w:rPr>
                        <w:sz w:val="24"/>
                      </w:rPr>
                      <w:t>anticonvulsivo por </w:t>
                    </w:r>
                    <w:r>
                      <w:rPr>
                        <w:spacing w:val="-4"/>
                        <w:sz w:val="24"/>
                      </w:rPr>
                      <w:t>día</w:t>
                    </w:r>
                  </w:p>
                </w:txbxContent>
              </v:textbox>
              <w10:wrap type="none"/>
            </v:shape>
            <w10:wrap type="topAndBottom"/>
          </v:group>
        </w:pict>
      </w:r>
      <w:r>
        <w:rPr/>
        <w:t>Después de determinar las concentraciones séricas el clínico debe corregirla si es necesario, en base a la siguiente fórmula:</w:t>
      </w:r>
    </w:p>
    <w:p>
      <w:pPr>
        <w:pStyle w:val="BodyText"/>
      </w:pPr>
    </w:p>
    <w:p>
      <w:pPr>
        <w:pStyle w:val="BodyText"/>
        <w:spacing w:before="2"/>
        <w:rPr>
          <w:sz w:val="20"/>
        </w:rPr>
      </w:pPr>
    </w:p>
    <w:p>
      <w:pPr>
        <w:pStyle w:val="BodyText"/>
        <w:spacing w:line="480" w:lineRule="auto"/>
        <w:ind w:left="678" w:right="164"/>
        <w:jc w:val="both"/>
      </w:pPr>
      <w:r>
        <w:rPr/>
        <w:t>La dosis total debe ser dividida. Esta fórmula es utilizada para fármacos con un parámetro de farmacocinética lineal, pero </w:t>
      </w:r>
      <w:r>
        <w:rPr>
          <w:spacing w:val="-3"/>
        </w:rPr>
        <w:t>no </w:t>
      </w:r>
      <w:r>
        <w:rPr/>
        <w:t>para bromuro de potasio que </w:t>
      </w:r>
      <w:r>
        <w:rPr>
          <w:spacing w:val="-3"/>
        </w:rPr>
        <w:t>no </w:t>
      </w:r>
      <w:r>
        <w:rPr/>
        <w:t>posee  esta propiedad (Podell,</w:t>
      </w:r>
      <w:r>
        <w:rPr>
          <w:spacing w:val="-10"/>
        </w:rPr>
        <w:t> </w:t>
      </w:r>
      <w:r>
        <w:rPr/>
        <w:t>1998).</w:t>
      </w:r>
    </w:p>
    <w:p>
      <w:pPr>
        <w:pStyle w:val="BodyText"/>
        <w:spacing w:line="480" w:lineRule="auto" w:before="212"/>
        <w:ind w:left="212" w:right="166" w:firstLine="57"/>
        <w:jc w:val="both"/>
      </w:pPr>
      <w:r>
        <w:rPr/>
        <w:t>Los rangos terapéuticos publicados son </w:t>
      </w:r>
      <w:r>
        <w:rPr>
          <w:spacing w:val="-3"/>
        </w:rPr>
        <w:t>sólo </w:t>
      </w:r>
      <w:r>
        <w:rPr/>
        <w:t>una aproximación, </w:t>
      </w:r>
      <w:r>
        <w:rPr>
          <w:spacing w:val="-5"/>
        </w:rPr>
        <w:t>ya </w:t>
      </w:r>
      <w:r>
        <w:rPr/>
        <w:t>que se basan en los  datos retrospectivos de un pequeño número de pacientes. Aunque </w:t>
      </w:r>
      <w:r>
        <w:rPr>
          <w:spacing w:val="-3"/>
        </w:rPr>
        <w:t>la </w:t>
      </w:r>
      <w:r>
        <w:rPr/>
        <w:t>mayoría de los pacientes alcanzan niveles dentro del rango esperado, algunos </w:t>
      </w:r>
      <w:r>
        <w:rPr>
          <w:spacing w:val="-5"/>
        </w:rPr>
        <w:t>lo </w:t>
      </w:r>
      <w:r>
        <w:rPr/>
        <w:t>hacen muy por debajo </w:t>
      </w:r>
      <w:r>
        <w:rPr>
          <w:spacing w:val="2"/>
        </w:rPr>
        <w:t>del </w:t>
      </w:r>
      <w:r>
        <w:rPr/>
        <w:t>límite inferior, mientras que otros pueden obtener beneficios en niveles por encima </w:t>
      </w:r>
      <w:r>
        <w:rPr>
          <w:spacing w:val="2"/>
        </w:rPr>
        <w:t>del </w:t>
      </w:r>
      <w:r>
        <w:rPr/>
        <w:t>límite  superior  y sin  efectos tóxicos.  </w:t>
      </w:r>
      <w:r>
        <w:rPr>
          <w:spacing w:val="2"/>
        </w:rPr>
        <w:t>Los </w:t>
      </w:r>
      <w:r>
        <w:rPr/>
        <w:t>pacientes  se  denominan  ''tratados'' cuando</w:t>
      </w:r>
      <w:r>
        <w:rPr>
          <w:spacing w:val="56"/>
        </w:rPr>
        <w:t> </w:t>
      </w:r>
      <w:r>
        <w:rPr/>
        <w:t>los</w:t>
      </w:r>
    </w:p>
    <w:p>
      <w:pPr>
        <w:spacing w:after="0" w:line="480" w:lineRule="auto"/>
        <w:jc w:val="both"/>
        <w:sectPr>
          <w:pgSz w:w="12240" w:h="15840"/>
          <w:pgMar w:header="0" w:footer="2131" w:top="1500" w:bottom="2320" w:left="1660" w:right="1360"/>
        </w:sectPr>
      </w:pPr>
    </w:p>
    <w:p>
      <w:pPr>
        <w:pStyle w:val="BodyText"/>
        <w:spacing w:before="7"/>
        <w:rPr>
          <w:sz w:val="20"/>
        </w:rPr>
      </w:pPr>
    </w:p>
    <w:p>
      <w:pPr>
        <w:pStyle w:val="BodyText"/>
        <w:spacing w:line="480" w:lineRule="auto" w:before="69"/>
        <w:ind w:left="152" w:right="107"/>
        <w:jc w:val="both"/>
      </w:pPr>
      <w:r>
        <w:rPr/>
        <w:t>ataques son controlados y ''tóxicos'' cuando sufren efectos secundarios relacionados con </w:t>
      </w:r>
      <w:r>
        <w:rPr>
          <w:spacing w:val="-5"/>
        </w:rPr>
        <w:t>la </w:t>
      </w:r>
      <w:r>
        <w:rPr/>
        <w:t>dosis, independientemente de </w:t>
      </w:r>
      <w:r>
        <w:rPr>
          <w:spacing w:val="-5"/>
        </w:rPr>
        <w:t>lo </w:t>
      </w:r>
      <w:r>
        <w:rPr/>
        <w:t>que se imprima en el informe del laboratorio, por </w:t>
      </w:r>
      <w:r>
        <w:rPr>
          <w:spacing w:val="-5"/>
        </w:rPr>
        <w:t>lo </w:t>
      </w:r>
      <w:r>
        <w:rPr/>
        <w:t>que  los resultados son siempre interpretados tomando en cuenta el control de las crisis y los efectos secundarios (Thomas, 2000; Thomas, 2010; Knowles,</w:t>
      </w:r>
      <w:r>
        <w:rPr>
          <w:spacing w:val="-23"/>
        </w:rPr>
        <w:t> </w:t>
      </w:r>
      <w:r>
        <w:rPr/>
        <w:t>1998).</w:t>
      </w:r>
    </w:p>
    <w:p>
      <w:pPr>
        <w:pStyle w:val="BodyText"/>
        <w:spacing w:before="9"/>
        <w:rPr>
          <w:sz w:val="21"/>
        </w:rPr>
      </w:pPr>
    </w:p>
    <w:p>
      <w:pPr>
        <w:pStyle w:val="Heading2"/>
        <w:numPr>
          <w:ilvl w:val="1"/>
          <w:numId w:val="10"/>
        </w:numPr>
        <w:tabs>
          <w:tab w:pos="2458" w:val="left" w:leader="none"/>
        </w:tabs>
        <w:spacing w:line="240" w:lineRule="auto" w:before="0" w:after="0"/>
        <w:ind w:left="2458" w:right="0" w:hanging="529"/>
        <w:jc w:val="left"/>
      </w:pPr>
      <w:bookmarkStart w:name="_bookmark25" w:id="43"/>
      <w:bookmarkEnd w:id="43"/>
      <w:r>
        <w:rPr/>
        <w:t>I</w:t>
      </w:r>
      <w:r>
        <w:rPr/>
        <w:t>nterrupción de </w:t>
      </w:r>
      <w:r>
        <w:rPr>
          <w:spacing w:val="-3"/>
        </w:rPr>
        <w:t>la </w:t>
      </w:r>
      <w:r>
        <w:rPr/>
        <w:t>terapia</w:t>
      </w:r>
      <w:r>
        <w:rPr>
          <w:spacing w:val="-11"/>
        </w:rPr>
        <w:t> </w:t>
      </w:r>
      <w:r>
        <w:rPr/>
        <w:t>anticonvulsiva</w:t>
      </w:r>
    </w:p>
    <w:p>
      <w:pPr>
        <w:pStyle w:val="BodyText"/>
        <w:spacing w:line="480" w:lineRule="auto" w:before="98"/>
        <w:ind w:left="152" w:right="109"/>
        <w:jc w:val="both"/>
      </w:pPr>
      <w:r>
        <w:rPr/>
        <w:t>Este tema es muy relevante en </w:t>
      </w:r>
      <w:r>
        <w:rPr>
          <w:spacing w:val="-3"/>
        </w:rPr>
        <w:t>la </w:t>
      </w:r>
      <w:r>
        <w:rPr/>
        <w:t>epilepsia debido a su naturaleza crónica que requiere muchos años de tratamiento, y </w:t>
      </w:r>
      <w:r>
        <w:rPr>
          <w:spacing w:val="-5"/>
        </w:rPr>
        <w:t>la </w:t>
      </w:r>
      <w:r>
        <w:rPr/>
        <w:t>creciente conciencia </w:t>
      </w:r>
      <w:r>
        <w:rPr>
          <w:spacing w:val="3"/>
        </w:rPr>
        <w:t>de </w:t>
      </w:r>
      <w:r>
        <w:rPr/>
        <w:t>hepatotoxicidad relacionada con </w:t>
      </w:r>
      <w:r>
        <w:rPr>
          <w:spacing w:val="-3"/>
        </w:rPr>
        <w:t>AC </w:t>
      </w:r>
      <w:r>
        <w:rPr/>
        <w:t>a largo plazo. La decisión de suspender </w:t>
      </w:r>
      <w:r>
        <w:rPr>
          <w:spacing w:val="-5"/>
        </w:rPr>
        <w:t>la </w:t>
      </w:r>
      <w:r>
        <w:rPr/>
        <w:t>terapia se debe hacer con tanto cuidado como </w:t>
      </w:r>
      <w:r>
        <w:rPr>
          <w:spacing w:val="-3"/>
        </w:rPr>
        <w:t>la </w:t>
      </w:r>
      <w:r>
        <w:rPr/>
        <w:t>decisión de empezar, en pacientes humanos que están libres de crisis durante 2 o </w:t>
      </w:r>
      <w:r>
        <w:rPr>
          <w:spacing w:val="-3"/>
        </w:rPr>
        <w:t>más  </w:t>
      </w:r>
      <w:r>
        <w:rPr/>
        <w:t>años se considera como un factor para disminuir </w:t>
      </w:r>
      <w:r>
        <w:rPr>
          <w:spacing w:val="-5"/>
        </w:rPr>
        <w:t>la </w:t>
      </w:r>
      <w:r>
        <w:rPr/>
        <w:t>medicación progresivamente. En su  caso los que tienen </w:t>
      </w:r>
      <w:r>
        <w:rPr>
          <w:spacing w:val="-3"/>
        </w:rPr>
        <w:t>la mayor </w:t>
      </w:r>
      <w:r>
        <w:rPr/>
        <w:t>probabilidad de permanecer libres de medicamento son los que tuvieron una corta duración de </w:t>
      </w:r>
      <w:r>
        <w:rPr>
          <w:spacing w:val="-3"/>
        </w:rPr>
        <w:t>la </w:t>
      </w:r>
      <w:r>
        <w:rPr/>
        <w:t>epilepsia y los que </w:t>
      </w:r>
      <w:r>
        <w:rPr>
          <w:spacing w:val="-3"/>
        </w:rPr>
        <w:t>no </w:t>
      </w:r>
      <w:r>
        <w:rPr/>
        <w:t>tienen lesiones cerebrales estructurales (O´Dell y Shinnar, 2001). Desafortunadamente, </w:t>
      </w:r>
      <w:r>
        <w:rPr>
          <w:spacing w:val="-5"/>
        </w:rPr>
        <w:t>la </w:t>
      </w:r>
      <w:r>
        <w:rPr/>
        <w:t>falta de información sobre los riesgos de recurrencia en los animales hace imposible predecir qué pacientes pueden dejar de recibir </w:t>
      </w:r>
      <w:r>
        <w:rPr>
          <w:spacing w:val="-3"/>
        </w:rPr>
        <w:t>la </w:t>
      </w:r>
      <w:r>
        <w:rPr/>
        <w:t>medicación. </w:t>
      </w:r>
      <w:r>
        <w:rPr>
          <w:spacing w:val="3"/>
        </w:rPr>
        <w:t>El </w:t>
      </w:r>
      <w:r>
        <w:rPr/>
        <w:t>mayor riesgo de </w:t>
      </w:r>
      <w:r>
        <w:rPr>
          <w:spacing w:val="-5"/>
        </w:rPr>
        <w:t>la </w:t>
      </w:r>
      <w:r>
        <w:rPr/>
        <w:t>interrupción del tratamiento es </w:t>
      </w:r>
      <w:r>
        <w:rPr>
          <w:spacing w:val="-5"/>
        </w:rPr>
        <w:t>la </w:t>
      </w:r>
      <w:r>
        <w:rPr/>
        <w:t>recurrencia, </w:t>
      </w:r>
      <w:r>
        <w:rPr>
          <w:spacing w:val="-5"/>
        </w:rPr>
        <w:t>lo </w:t>
      </w:r>
      <w:r>
        <w:rPr/>
        <w:t>cual es muy probable durante </w:t>
      </w:r>
      <w:r>
        <w:rPr>
          <w:spacing w:val="-5"/>
        </w:rPr>
        <w:t>la </w:t>
      </w:r>
      <w:r>
        <w:rPr/>
        <w:t>retirada o dentro de varios </w:t>
      </w:r>
      <w:r>
        <w:rPr>
          <w:spacing w:val="-3"/>
        </w:rPr>
        <w:t>meses </w:t>
      </w:r>
      <w:r>
        <w:rPr/>
        <w:t>después de suspender </w:t>
      </w:r>
      <w:r>
        <w:rPr>
          <w:spacing w:val="-3"/>
        </w:rPr>
        <w:t>la </w:t>
      </w:r>
      <w:r>
        <w:rPr/>
        <w:t>terapia. </w:t>
      </w:r>
      <w:r>
        <w:rPr>
          <w:spacing w:val="2"/>
        </w:rPr>
        <w:t>Si </w:t>
      </w:r>
      <w:r>
        <w:rPr/>
        <w:t>las convulsiones se repiten, </w:t>
      </w:r>
      <w:r>
        <w:rPr>
          <w:spacing w:val="-3"/>
        </w:rPr>
        <w:t>la </w:t>
      </w:r>
      <w:r>
        <w:rPr/>
        <w:t>instauración nuevamente </w:t>
      </w:r>
      <w:r>
        <w:rPr>
          <w:spacing w:val="2"/>
        </w:rPr>
        <w:t>del </w:t>
      </w:r>
      <w:r>
        <w:rPr/>
        <w:t>tratamiento generalmente recupera el control de las convulsiones (Thomas, 2010; Knowles, 1998). Según </w:t>
      </w:r>
      <w:r>
        <w:rPr>
          <w:spacing w:val="-3"/>
        </w:rPr>
        <w:t>la </w:t>
      </w:r>
      <w:r>
        <w:rPr/>
        <w:t>experiencia de Thomas (2010) </w:t>
      </w:r>
      <w:r>
        <w:rPr>
          <w:spacing w:val="-5"/>
        </w:rPr>
        <w:t>la </w:t>
      </w:r>
      <w:r>
        <w:rPr/>
        <w:t>mayoría de los perros con EI requieren tratamiento de por </w:t>
      </w:r>
      <w:r>
        <w:rPr>
          <w:spacing w:val="-3"/>
        </w:rPr>
        <w:t>vida. </w:t>
      </w:r>
      <w:r>
        <w:rPr/>
        <w:t>Actualmente, </w:t>
      </w:r>
      <w:r>
        <w:rPr>
          <w:spacing w:val="-3"/>
        </w:rPr>
        <w:t>no ha </w:t>
      </w:r>
      <w:r>
        <w:rPr/>
        <w:t>sido posible identificar a los animales que permanecen libres de crisis después de que los anticonvulsivos se han</w:t>
      </w:r>
      <w:r>
        <w:rPr>
          <w:spacing w:val="-32"/>
        </w:rPr>
        <w:t> </w:t>
      </w:r>
      <w:r>
        <w:rPr/>
        <w:t>descontinuado.</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5"/>
        <w:jc w:val="both"/>
      </w:pPr>
      <w:r>
        <w:rPr/>
        <w:t>No obstante, debido a que </w:t>
      </w:r>
      <w:r>
        <w:rPr>
          <w:spacing w:val="-5"/>
        </w:rPr>
        <w:t>la </w:t>
      </w:r>
      <w:r>
        <w:rPr/>
        <w:t>medicación a largo plazo puede ocasionar una </w:t>
      </w:r>
      <w:r>
        <w:rPr>
          <w:spacing w:val="-3"/>
        </w:rPr>
        <w:t>mayor </w:t>
      </w:r>
      <w:r>
        <w:rPr/>
        <w:t>incidencia de efectos tóxicos, los animales que han estado libres de convulsiones durante 8 meses a 24 meses son candidatos para </w:t>
      </w:r>
      <w:r>
        <w:rPr>
          <w:spacing w:val="-5"/>
        </w:rPr>
        <w:t>la </w:t>
      </w:r>
      <w:r>
        <w:rPr/>
        <w:t>retirada de </w:t>
      </w:r>
      <w:r>
        <w:rPr>
          <w:spacing w:val="-3"/>
        </w:rPr>
        <w:t>la </w:t>
      </w:r>
      <w:r>
        <w:rPr/>
        <w:t>terapia. Cuando se retiran los AC, estos deben ser reducidos lentamente y progresivamente durante un período de 6 meses a 1 año (Thomas, 2010; Knowles, 1998). La interrupción brusca, en el caso de fenobarbital o primidona, puede resultar en convulsiones o estatus epiléptico como fenómeno de "retirada". Según </w:t>
      </w:r>
      <w:r>
        <w:rPr>
          <w:spacing w:val="-3"/>
        </w:rPr>
        <w:t>la </w:t>
      </w:r>
      <w:r>
        <w:rPr/>
        <w:t>experiencia de Knowles (1998) los perros que sufren recaídas durante </w:t>
      </w:r>
      <w:r>
        <w:rPr>
          <w:spacing w:val="-3"/>
        </w:rPr>
        <w:t>la </w:t>
      </w:r>
      <w:r>
        <w:rPr/>
        <w:t>retirada de medicamentos tienen mayor probabilidad que esto ocurra dentro de los primeros dos</w:t>
      </w:r>
      <w:r>
        <w:rPr>
          <w:spacing w:val="2"/>
        </w:rPr>
        <w:t> </w:t>
      </w:r>
      <w:r>
        <w:rPr>
          <w:spacing w:val="-3"/>
        </w:rPr>
        <w:t>meses.</w:t>
      </w:r>
    </w:p>
    <w:p>
      <w:pPr>
        <w:pStyle w:val="BodyText"/>
        <w:spacing w:before="3"/>
        <w:rPr>
          <w:sz w:val="21"/>
        </w:rPr>
      </w:pPr>
    </w:p>
    <w:p>
      <w:pPr>
        <w:pStyle w:val="Heading2"/>
        <w:numPr>
          <w:ilvl w:val="1"/>
          <w:numId w:val="9"/>
        </w:numPr>
        <w:tabs>
          <w:tab w:pos="2275" w:val="left" w:leader="none"/>
        </w:tabs>
        <w:spacing w:line="240" w:lineRule="auto" w:before="1" w:after="0"/>
        <w:ind w:left="2275" w:right="0" w:hanging="346"/>
        <w:jc w:val="left"/>
      </w:pPr>
      <w:bookmarkStart w:name="_bookmark26" w:id="44"/>
      <w:bookmarkEnd w:id="44"/>
      <w:r>
        <w:rPr>
          <w:b w:val="0"/>
        </w:rPr>
      </w:r>
      <w:bookmarkStart w:name="_bookmark26" w:id="45"/>
      <w:bookmarkEnd w:id="45"/>
      <w:r>
        <w:rPr/>
        <w:t>F</w:t>
      </w:r>
      <w:r>
        <w:rPr/>
        <w:t>ármacos</w:t>
      </w:r>
      <w:r>
        <w:rPr>
          <w:spacing w:val="-12"/>
        </w:rPr>
        <w:t> </w:t>
      </w:r>
      <w:r>
        <w:rPr/>
        <w:t>anticonvulsivos</w:t>
      </w:r>
    </w:p>
    <w:p>
      <w:pPr>
        <w:pStyle w:val="BodyText"/>
        <w:spacing w:line="480" w:lineRule="auto" w:before="103"/>
        <w:ind w:left="152" w:right="105"/>
        <w:jc w:val="both"/>
      </w:pPr>
      <w:r>
        <w:rPr/>
        <w:t>El tratamiento reduce los signos clínicos de la enfermedad pero no cura la causa (Bollinger- Schmitz y Kline, 2000). El objetivo de un tratamiento con anticonvulsivos es restaurar la vida normal del paciente por medio del control completo de las convulsiones disminuyendo los efectos adversos de los fármacos (Knowles, 1998; Pellegrino, 2003a; Dowling, 1999). En ocasiones no es posible la eliminación completa de las crisis pero se debe lograr reducir la frecuencia, severidad y duración al punto que sean aceptables para los propietarios (Bollinger-Schmitz y Kline, 2000; Pellegrino, 2003a). La mayoría de los autores considera que una convulsión aislada cada 6 u 8 semanas es aceptable y que el control de las convulsiones es un aumento del 100% de la duración del período interictal (50% de disminución en la frecuencia de las convulsiones sin efectos adversos de los fármacos) (Knowles,   1998).   Los   clientes   deben   mantener   un   registro   donde   incluya  fecha,</w:t>
      </w:r>
    </w:p>
    <w:p>
      <w:pPr>
        <w:spacing w:after="0" w:line="480" w:lineRule="auto"/>
        <w:jc w:val="both"/>
        <w:sectPr>
          <w:footerReference w:type="default" r:id="rId25"/>
          <w:pgSz w:w="12240" w:h="15840"/>
          <w:pgMar w:footer="2131" w:header="0" w:top="1500" w:bottom="2320" w:left="1720" w:right="1420"/>
        </w:sectPr>
      </w:pPr>
    </w:p>
    <w:p>
      <w:pPr>
        <w:pStyle w:val="BodyText"/>
        <w:spacing w:before="7"/>
        <w:rPr>
          <w:sz w:val="20"/>
        </w:rPr>
      </w:pPr>
    </w:p>
    <w:p>
      <w:pPr>
        <w:pStyle w:val="BodyText"/>
        <w:spacing w:line="480" w:lineRule="auto" w:before="69"/>
        <w:ind w:left="152" w:right="110"/>
        <w:jc w:val="both"/>
      </w:pPr>
      <w:r>
        <w:rPr/>
        <w:t>características de cada convulsión y cualquier efecto secundario del fármaco </w:t>
      </w:r>
      <w:r>
        <w:rPr>
          <w:spacing w:val="-5"/>
        </w:rPr>
        <w:t>ya </w:t>
      </w:r>
      <w:r>
        <w:rPr/>
        <w:t>que es indispensable en </w:t>
      </w:r>
      <w:r>
        <w:rPr>
          <w:spacing w:val="-3"/>
        </w:rPr>
        <w:t>la </w:t>
      </w:r>
      <w:r>
        <w:rPr/>
        <w:t>evaluación de </w:t>
      </w:r>
      <w:r>
        <w:rPr>
          <w:spacing w:val="-3"/>
        </w:rPr>
        <w:t>la </w:t>
      </w:r>
      <w:r>
        <w:rPr/>
        <w:t>terapia (Thomas, 2010). El control de las convulsiones con efectos secundarios mínimos se puede lograr en 60% a 80% de los pacientes</w:t>
      </w:r>
      <w:r>
        <w:rPr>
          <w:spacing w:val="-28"/>
        </w:rPr>
        <w:t> </w:t>
      </w:r>
      <w:r>
        <w:rPr/>
        <w:t>epilépticos tratados con fenobarbital. Este resultado es similar a </w:t>
      </w:r>
      <w:r>
        <w:rPr>
          <w:spacing w:val="-5"/>
        </w:rPr>
        <w:t>lo </w:t>
      </w:r>
      <w:r>
        <w:rPr/>
        <w:t>observado en seres humanos, donde un control completo de convulsiones con mínimos efectos secundarios se puede conseguir en aproximadamente 70% a 80% de los pacientes con </w:t>
      </w:r>
      <w:r>
        <w:rPr>
          <w:spacing w:val="-5"/>
        </w:rPr>
        <w:t>la </w:t>
      </w:r>
      <w:r>
        <w:rPr/>
        <w:t>administración de un </w:t>
      </w:r>
      <w:r>
        <w:rPr>
          <w:spacing w:val="-3"/>
        </w:rPr>
        <w:t>solo </w:t>
      </w:r>
      <w:r>
        <w:rPr/>
        <w:t>fármaco; las combinaciones de </w:t>
      </w:r>
      <w:r>
        <w:rPr>
          <w:spacing w:val="-3"/>
        </w:rPr>
        <w:t>AC </w:t>
      </w:r>
      <w:r>
        <w:rPr/>
        <w:t>permiten un 10% a 15% adicional para lograr control de </w:t>
      </w:r>
      <w:r>
        <w:rPr>
          <w:spacing w:val="-4"/>
        </w:rPr>
        <w:t>las </w:t>
      </w:r>
      <w:r>
        <w:rPr/>
        <w:t>convulsiones sin efectos secundarios significativos (Schwartz-Porsche et </w:t>
      </w:r>
      <w:r>
        <w:rPr>
          <w:spacing w:val="-3"/>
        </w:rPr>
        <w:t>al, </w:t>
      </w:r>
      <w:r>
        <w:rPr/>
        <w:t>1985). Actualmente existen mejores fármacos con menos efectos adversos que se pueden  combinar para tratar </w:t>
      </w:r>
      <w:r>
        <w:rPr>
          <w:spacing w:val="-5"/>
        </w:rPr>
        <w:t>la </w:t>
      </w:r>
      <w:r>
        <w:rPr/>
        <w:t>epilepsia</w:t>
      </w:r>
      <w:r>
        <w:rPr>
          <w:spacing w:val="-9"/>
        </w:rPr>
        <w:t> </w:t>
      </w:r>
      <w:r>
        <w:rPr/>
        <w:t>refractaria.</w:t>
      </w:r>
    </w:p>
    <w:p>
      <w:pPr>
        <w:pStyle w:val="BodyText"/>
      </w:pPr>
    </w:p>
    <w:p>
      <w:pPr>
        <w:pStyle w:val="BodyText"/>
      </w:pPr>
    </w:p>
    <w:p>
      <w:pPr>
        <w:pStyle w:val="Heading2"/>
        <w:numPr>
          <w:ilvl w:val="2"/>
          <w:numId w:val="9"/>
        </w:numPr>
        <w:tabs>
          <w:tab w:pos="2756" w:val="left" w:leader="none"/>
        </w:tabs>
        <w:spacing w:line="240" w:lineRule="auto" w:before="212" w:after="0"/>
        <w:ind w:left="2755" w:right="0" w:hanging="466"/>
        <w:jc w:val="left"/>
      </w:pPr>
      <w:bookmarkStart w:name="_bookmark27" w:id="46"/>
      <w:bookmarkEnd w:id="46"/>
      <w:r>
        <w:rPr>
          <w:b w:val="0"/>
        </w:rPr>
      </w:r>
      <w:bookmarkStart w:name="_bookmark27" w:id="47"/>
      <w:bookmarkEnd w:id="47"/>
      <w:r>
        <w:rPr/>
        <w:t>F</w:t>
      </w:r>
      <w:r>
        <w:rPr/>
        <w:t>enobarbital</w:t>
      </w:r>
    </w:p>
    <w:p>
      <w:pPr>
        <w:pStyle w:val="BodyText"/>
        <w:spacing w:line="480" w:lineRule="auto" w:before="103"/>
        <w:ind w:left="152" w:right="105"/>
        <w:jc w:val="both"/>
      </w:pPr>
      <w:r>
        <w:rPr/>
        <w:t>El fenobarbital (FB) es el medicamento que comúnmente es utilizado en la medicina veterinaria, para el control de las convulsiones en perros (Thomas, 2003; Podell, 1998; Boothe, 2001) debido a su bajo costo y alta efectividad de 60-80% en el control de convulsiones en perros con epilepsia. (Schwartz-Porsche et al, 1985; Boothe, 2001). Su mecanismo de acción incluye incremento de la sensibilidad neuronal al GABA, efecto antiglutamato y disminución interneuronal de calcio (Thomas, 2010; Podell, 1998). La mayoría de los perros tratados con FB tienen una buena calidad de vida (Lord y Podell, 1999). La dosis de inducción lenta es de 2-4 mg/kg/día dividida dos veces al día (BID) o tres veces al día (TID). Si está indicado, la dosis puede aumentarse lentamente hasta  18-20</w:t>
      </w:r>
    </w:p>
    <w:p>
      <w:pPr>
        <w:spacing w:after="0" w:line="480" w:lineRule="auto"/>
        <w:jc w:val="both"/>
        <w:sectPr>
          <w:footerReference w:type="default" r:id="rId26"/>
          <w:pgSz w:w="12240" w:h="15840"/>
          <w:pgMar w:footer="2131" w:header="0" w:top="1500" w:bottom="2320" w:left="1720" w:right="1420"/>
          <w:pgNumType w:start="51"/>
        </w:sectPr>
      </w:pPr>
    </w:p>
    <w:p>
      <w:pPr>
        <w:pStyle w:val="BodyText"/>
        <w:spacing w:before="7"/>
        <w:rPr>
          <w:sz w:val="20"/>
        </w:rPr>
      </w:pPr>
    </w:p>
    <w:p>
      <w:pPr>
        <w:pStyle w:val="BodyText"/>
        <w:spacing w:line="480" w:lineRule="auto" w:before="69"/>
        <w:ind w:left="152" w:right="102"/>
        <w:jc w:val="both"/>
      </w:pPr>
      <w:r>
        <w:rPr/>
        <w:t>mg/kg dividida BID o TID. Debemos alcanzar una concentración fenobarbital en el suero  de 15-45 µg/ml inmediatamente antes de cada dosis subsiguiente de medicamento. Se requerirán de 7 a 18 días para lograr una concentración estable en el suero con una dosis de mantenimiento sostenidas (Boothe, 1998). Las concentraciones de fenobarbital en el suero deben ser monitorizadas con el </w:t>
      </w:r>
      <w:r>
        <w:rPr>
          <w:spacing w:val="-3"/>
        </w:rPr>
        <w:t>fin </w:t>
      </w:r>
      <w:r>
        <w:rPr/>
        <w:t>de evaluar el tratamiento. Si se utilizan dosis de 4 mg/kg/día o mayores para iniciar </w:t>
      </w:r>
      <w:r>
        <w:rPr>
          <w:spacing w:val="-3"/>
        </w:rPr>
        <w:t>la </w:t>
      </w:r>
      <w:r>
        <w:rPr/>
        <w:t>terapia con bromuro </w:t>
      </w:r>
      <w:r>
        <w:rPr>
          <w:spacing w:val="4"/>
        </w:rPr>
        <w:t>de </w:t>
      </w:r>
      <w:r>
        <w:rPr/>
        <w:t>potasio, algunos perros desarrollan depresión, letargia ó ataxia aproximadamente durante un </w:t>
      </w:r>
      <w:r>
        <w:rPr>
          <w:spacing w:val="-3"/>
        </w:rPr>
        <w:t>mes. </w:t>
      </w:r>
      <w:r>
        <w:rPr/>
        <w:t>Por </w:t>
      </w:r>
      <w:r>
        <w:rPr>
          <w:spacing w:val="-5"/>
        </w:rPr>
        <w:t>lo </w:t>
      </w:r>
      <w:r>
        <w:rPr/>
        <w:t>general  este efecto se resuelve y podemos administrar una dosis mayor sin que ocurra sedación (Dayrell-Hart at </w:t>
      </w:r>
      <w:r>
        <w:rPr>
          <w:spacing w:val="-4"/>
        </w:rPr>
        <w:t>al, </w:t>
      </w:r>
      <w:r>
        <w:rPr/>
        <w:t>1991). Algunos perros desarrollan poliuria, polidipsia y polifagia, particularmente a dosis altas. La fosfatasa alcalina del suero (FAS) y </w:t>
      </w:r>
      <w:r>
        <w:rPr>
          <w:spacing w:val="-3"/>
        </w:rPr>
        <w:t>la </w:t>
      </w:r>
      <w:r>
        <w:rPr/>
        <w:t>alanino amino transferasa </w:t>
      </w:r>
      <w:r>
        <w:rPr>
          <w:spacing w:val="2"/>
        </w:rPr>
        <w:t>del </w:t>
      </w:r>
      <w:r>
        <w:rPr/>
        <w:t>suero (ALT) aumentarán por </w:t>
      </w:r>
      <w:r>
        <w:rPr>
          <w:spacing w:val="-5"/>
        </w:rPr>
        <w:t>lo </w:t>
      </w:r>
      <w:r>
        <w:rPr/>
        <w:t>general durante el tratamiento. Es recomendable monitorizar por </w:t>
      </w:r>
      <w:r>
        <w:rPr>
          <w:spacing w:val="-5"/>
        </w:rPr>
        <w:t>lo </w:t>
      </w:r>
      <w:r>
        <w:rPr/>
        <w:t>menos una vez al año la concentración sanguínea de fenobarbital, química sanguínea y hemograma. Cambios bruscos en el aumento de </w:t>
      </w:r>
      <w:r>
        <w:rPr>
          <w:spacing w:val="-3"/>
        </w:rPr>
        <w:t>las </w:t>
      </w:r>
      <w:r>
        <w:rPr/>
        <w:t>concentraciones de ALT, AST y FAS por </w:t>
      </w:r>
      <w:r>
        <w:rPr>
          <w:spacing w:val="-5"/>
        </w:rPr>
        <w:t>lo </w:t>
      </w:r>
      <w:r>
        <w:rPr/>
        <w:t>general indican hepatotoxicidad. Se ha documentado ampliamente que este medicamento tiene efectos hepatotóxicos fatales en los perros, así como neutropenia, anemia y trombocitopenia (Dewey, 2006; Jacobs et </w:t>
      </w:r>
      <w:r>
        <w:rPr>
          <w:spacing w:val="-3"/>
        </w:rPr>
        <w:t>al, </w:t>
      </w:r>
      <w:r>
        <w:rPr/>
        <w:t>1998). Algunos perros presentan hiperxcitación paradójica que se resuelve con el aumento de </w:t>
      </w:r>
      <w:r>
        <w:rPr>
          <w:spacing w:val="-5"/>
        </w:rPr>
        <w:t>la </w:t>
      </w:r>
      <w:r>
        <w:rPr/>
        <w:t>dosis (Bollinger-Schmitz y Kline,</w:t>
      </w:r>
      <w:r>
        <w:rPr>
          <w:spacing w:val="-11"/>
        </w:rPr>
        <w:t> </w:t>
      </w:r>
      <w:r>
        <w:rPr/>
        <w:t>2000).</w:t>
      </w:r>
    </w:p>
    <w:p>
      <w:pPr>
        <w:pStyle w:val="BodyText"/>
        <w:spacing w:line="480" w:lineRule="auto" w:before="10"/>
        <w:ind w:left="152" w:right="116" w:firstLine="57"/>
        <w:jc w:val="both"/>
      </w:pPr>
      <w:r>
        <w:rPr/>
        <w:t>El FB es el medicamento de elección en gatos con múltiples episodios de convulsiones. La dosis recomendada es 1.5 a 2.5 mg/kg por vía oral cada 12 horas. No se ha documentado</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8"/>
        <w:jc w:val="both"/>
      </w:pPr>
      <w:r>
        <w:rPr/>
        <w:t>hepatotoxicidad en gatos, pero se ha reportado hipersensibilidad cutánea y supresión de médula ósea (Bailey y Dewey, 2009).</w:t>
      </w:r>
    </w:p>
    <w:p>
      <w:pPr>
        <w:pStyle w:val="BodyText"/>
      </w:pPr>
    </w:p>
    <w:p>
      <w:pPr>
        <w:pStyle w:val="BodyText"/>
        <w:spacing w:before="6"/>
        <w:rPr>
          <w:sz w:val="21"/>
        </w:rPr>
      </w:pPr>
    </w:p>
    <w:p>
      <w:pPr>
        <w:pStyle w:val="Heading2"/>
        <w:numPr>
          <w:ilvl w:val="2"/>
          <w:numId w:val="9"/>
        </w:numPr>
        <w:tabs>
          <w:tab w:pos="2756" w:val="left" w:leader="none"/>
        </w:tabs>
        <w:spacing w:line="240" w:lineRule="auto" w:before="0" w:after="0"/>
        <w:ind w:left="2755" w:right="0" w:hanging="466"/>
        <w:jc w:val="left"/>
      </w:pPr>
      <w:bookmarkStart w:name="_bookmark28" w:id="48"/>
      <w:bookmarkEnd w:id="48"/>
      <w:r>
        <w:rPr>
          <w:b w:val="0"/>
        </w:rPr>
      </w:r>
      <w:bookmarkStart w:name="_bookmark28" w:id="49"/>
      <w:bookmarkEnd w:id="49"/>
      <w:r>
        <w:rPr/>
        <w:t>P</w:t>
      </w:r>
      <w:r>
        <w:rPr/>
        <w:t>rimidona</w:t>
      </w:r>
    </w:p>
    <w:p>
      <w:pPr>
        <w:pStyle w:val="BodyText"/>
        <w:spacing w:line="480" w:lineRule="auto" w:before="103"/>
        <w:ind w:left="152" w:right="108"/>
        <w:jc w:val="both"/>
      </w:pPr>
      <w:r>
        <w:rPr/>
        <w:t>La primidona es metabolizada en el hígado para convertirse en ácido fenoxietilmalonilamida y finalmente fenobarbital. Los niveles de fenobarbital deben ser monitorizados en los perros a los cuales se preescribe primidona </w:t>
      </w:r>
      <w:r>
        <w:rPr>
          <w:spacing w:val="-5"/>
        </w:rPr>
        <w:t>ya </w:t>
      </w:r>
      <w:r>
        <w:rPr/>
        <w:t>que se puede correlacionar </w:t>
      </w:r>
      <w:r>
        <w:rPr>
          <w:spacing w:val="-3"/>
        </w:rPr>
        <w:t>mejor </w:t>
      </w:r>
      <w:r>
        <w:rPr/>
        <w:t>con </w:t>
      </w:r>
      <w:r>
        <w:rPr>
          <w:spacing w:val="-5"/>
        </w:rPr>
        <w:t>la </w:t>
      </w:r>
      <w:r>
        <w:rPr/>
        <w:t>eficacia anticonvulsiva. Los mismos efectos secundarios producidos por fenobarbital se observan con el uso de primidona. No existe una ventaja evidente de </w:t>
      </w:r>
      <w:r>
        <w:rPr>
          <w:spacing w:val="-3"/>
        </w:rPr>
        <w:t>la </w:t>
      </w:r>
      <w:r>
        <w:rPr/>
        <w:t>primidona sobre </w:t>
      </w:r>
      <w:r>
        <w:rPr>
          <w:spacing w:val="3"/>
        </w:rPr>
        <w:t>el </w:t>
      </w:r>
      <w:r>
        <w:rPr/>
        <w:t>uso de fenobarbital como fármaco anticonvulsivo de primera elección (Bollinger-Schmitz y Kline, 2000; Pellegrino, 2003a). La tasa de conversión de primidona a fenobarbital es aproximadamente 4:1. Por </w:t>
      </w:r>
      <w:r>
        <w:rPr>
          <w:spacing w:val="-5"/>
        </w:rPr>
        <w:t>lo </w:t>
      </w:r>
      <w:r>
        <w:rPr/>
        <w:t>tanto, el uso de 250 </w:t>
      </w:r>
      <w:r>
        <w:rPr>
          <w:spacing w:val="-3"/>
        </w:rPr>
        <w:t>mg </w:t>
      </w:r>
      <w:r>
        <w:rPr/>
        <w:t>de primidona equivale al uso de 60 </w:t>
      </w:r>
      <w:r>
        <w:rPr>
          <w:spacing w:val="-5"/>
        </w:rPr>
        <w:t>mg </w:t>
      </w:r>
      <w:r>
        <w:rPr/>
        <w:t>de fenobarbital. La conversión de primidona a fenobarbital debe ocurrir lentamente (1/4 de </w:t>
      </w:r>
      <w:r>
        <w:rPr>
          <w:spacing w:val="-5"/>
        </w:rPr>
        <w:t>la </w:t>
      </w:r>
      <w:r>
        <w:rPr/>
        <w:t>dosis cada mes). En perros, el uso de este medicamento </w:t>
      </w:r>
      <w:r>
        <w:rPr>
          <w:spacing w:val="-3"/>
        </w:rPr>
        <w:t>ha </w:t>
      </w:r>
      <w:r>
        <w:rPr/>
        <w:t>producido lesión hepática progresiva, </w:t>
      </w:r>
      <w:r>
        <w:rPr>
          <w:spacing w:val="-5"/>
        </w:rPr>
        <w:t>lo </w:t>
      </w:r>
      <w:r>
        <w:rPr/>
        <w:t>cual ocurre con </w:t>
      </w:r>
      <w:r>
        <w:rPr>
          <w:spacing w:val="-3"/>
        </w:rPr>
        <w:t>mayor </w:t>
      </w:r>
      <w:r>
        <w:rPr/>
        <w:t>frecuencia en comparación con fenobarbital (Knowles,</w:t>
      </w:r>
      <w:r>
        <w:rPr>
          <w:spacing w:val="-14"/>
        </w:rPr>
        <w:t> </w:t>
      </w:r>
      <w:r>
        <w:rPr/>
        <w:t>1998).</w:t>
      </w:r>
    </w:p>
    <w:p>
      <w:pPr>
        <w:pStyle w:val="BodyText"/>
      </w:pPr>
    </w:p>
    <w:p>
      <w:pPr>
        <w:pStyle w:val="BodyText"/>
        <w:spacing w:before="4"/>
        <w:rPr>
          <w:sz w:val="25"/>
        </w:rPr>
      </w:pPr>
    </w:p>
    <w:p>
      <w:pPr>
        <w:pStyle w:val="Heading2"/>
        <w:numPr>
          <w:ilvl w:val="2"/>
          <w:numId w:val="9"/>
        </w:numPr>
        <w:tabs>
          <w:tab w:pos="2756" w:val="left" w:leader="none"/>
        </w:tabs>
        <w:spacing w:line="240" w:lineRule="auto" w:before="0" w:after="0"/>
        <w:ind w:left="2755" w:right="0" w:hanging="466"/>
        <w:jc w:val="left"/>
      </w:pPr>
      <w:bookmarkStart w:name="_bookmark29" w:id="50"/>
      <w:bookmarkEnd w:id="50"/>
      <w:r>
        <w:rPr>
          <w:b w:val="0"/>
        </w:rPr>
      </w:r>
      <w:bookmarkStart w:name="_bookmark29" w:id="51"/>
      <w:bookmarkEnd w:id="51"/>
      <w:r>
        <w:rPr/>
        <w:t>B</w:t>
      </w:r>
      <w:r>
        <w:rPr/>
        <w:t>romuro de</w:t>
      </w:r>
      <w:r>
        <w:rPr>
          <w:spacing w:val="-12"/>
        </w:rPr>
        <w:t> </w:t>
      </w:r>
      <w:r>
        <w:rPr/>
        <w:t>Potasio</w:t>
      </w:r>
    </w:p>
    <w:p>
      <w:pPr>
        <w:pStyle w:val="BodyText"/>
        <w:spacing w:line="480" w:lineRule="auto" w:before="103"/>
        <w:ind w:left="152" w:right="108"/>
        <w:jc w:val="both"/>
      </w:pPr>
      <w:r>
        <w:rPr/>
        <w:t>El bromuro (Br) es una sal de haluro que se </w:t>
      </w:r>
      <w:r>
        <w:rPr>
          <w:spacing w:val="-3"/>
        </w:rPr>
        <w:t>ha </w:t>
      </w:r>
      <w:r>
        <w:rPr/>
        <w:t>utilizado principalmente como un complemento eficaz del fenobarbital en los perros, pero este está ganando popularidad como un anticonvulsivo de primera elección en esta especie (Thomas, 2003; Podell,  </w:t>
      </w:r>
      <w:r>
        <w:rPr>
          <w:spacing w:val="21"/>
        </w:rPr>
        <w:t> </w:t>
      </w:r>
      <w:r>
        <w:rPr/>
        <w:t>1998;</w:t>
      </w:r>
    </w:p>
    <w:p>
      <w:pPr>
        <w:pStyle w:val="BodyText"/>
        <w:spacing w:before="10"/>
        <w:ind w:left="152"/>
        <w:jc w:val="both"/>
      </w:pPr>
      <w:r>
        <w:rPr/>
        <w:t>Podell  y Fenner,  1993).  La  mayoría de  los perros tratados con FB que  reciben Br  como</w:t>
      </w:r>
    </w:p>
    <w:p>
      <w:pPr>
        <w:spacing w:after="0"/>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5"/>
        <w:jc w:val="both"/>
      </w:pPr>
      <w:r>
        <w:rPr/>
        <w:t>terapia adicional al menos presentan una reducción del 50% en la frecuencia de las crisis convulsivas (Podell y Fenner, 1993). Además, la reducción o la eventual interrupción de FB se pueden conseguir en algunos perros después de la adición de la terapia con Br (Thomas, 2010). El Br ha demostrado ser eficaz como un único agente anticonvulsivo, pero no posee la eficacia del FB. Con la excepción de los efectos sobre el hígado, los efectos secundarios de la terapia con Br son similares a los de fenobarbital (Boothe et al, 2002). El Br se administra generalmente como sal de potasio (BrK). La forma de bromuro de sodio (BrNa) contiene más Br por gramo; por lo tanto, la dosis debe disminuirse en un 15% en comparación con la dosis de BrK (Thomas, 2010).</w:t>
      </w:r>
    </w:p>
    <w:p>
      <w:pPr>
        <w:pStyle w:val="BodyText"/>
        <w:spacing w:line="480" w:lineRule="auto" w:before="207"/>
        <w:ind w:left="152" w:right="110"/>
        <w:jc w:val="both"/>
      </w:pPr>
      <w:r>
        <w:rPr/>
        <w:t>El mecanismo anticonvulsivo de Br se cree que es atribuible a su competencia con iones cloruro; el ion Br hiperpolariza las membranas neuronales después de atravesar los canales neuronales (Podell y Fenner, 1993). Se excreta por </w:t>
      </w:r>
      <w:r>
        <w:rPr>
          <w:spacing w:val="-4"/>
        </w:rPr>
        <w:t>vía </w:t>
      </w:r>
      <w:r>
        <w:rPr/>
        <w:t>renal, y por tanto es una buena opción para los pacientes con enfermedad hepática (por ejemplo, puentes portosistémicos). Los iones Br compiten con los iones de cloruro para </w:t>
      </w:r>
      <w:r>
        <w:rPr>
          <w:spacing w:val="-5"/>
        </w:rPr>
        <w:t>la </w:t>
      </w:r>
      <w:r>
        <w:rPr/>
        <w:t>reabsorción por los túbulos renales </w:t>
      </w:r>
      <w:r>
        <w:rPr>
          <w:position w:val="2"/>
        </w:rPr>
        <w:t>(Boothe, 2001). La t </w:t>
      </w:r>
      <w:r>
        <w:rPr>
          <w:sz w:val="16"/>
        </w:rPr>
        <w:t>1/2 </w:t>
      </w:r>
      <w:r>
        <w:rPr>
          <w:position w:val="2"/>
        </w:rPr>
        <w:t>de eliminación de BrK es de 24 días en perros; por esta razón </w:t>
      </w:r>
      <w:r>
        <w:rPr>
          <w:spacing w:val="-3"/>
          <w:position w:val="2"/>
        </w:rPr>
        <w:t>la</w:t>
      </w:r>
      <w:r>
        <w:rPr>
          <w:spacing w:val="54"/>
          <w:position w:val="2"/>
        </w:rPr>
        <w:t> </w:t>
      </w:r>
      <w:r>
        <w:rPr/>
        <w:t>concentración sérica estable se alcanza hasta 80-120 días con una dosis de mantenimiento (Thomas, 2003; Boothe, 2001; Podell y Fenner, 1993). La dosis de mantenimiento inicial de BrK por </w:t>
      </w:r>
      <w:r>
        <w:rPr>
          <w:spacing w:val="-4"/>
        </w:rPr>
        <w:t>vía </w:t>
      </w:r>
      <w:r>
        <w:rPr/>
        <w:t>oral es de 35 mg/kg dividido en dos dosis al día. Por </w:t>
      </w:r>
      <w:r>
        <w:rPr>
          <w:spacing w:val="-5"/>
        </w:rPr>
        <w:t>lo  </w:t>
      </w:r>
      <w:r>
        <w:rPr/>
        <w:t>general  se administra una dosis de carga durante un período de 5 días para alcanzar rápidamente una concentración  sérica.  La  dosis  de  carga  sugerida  por  Dewey  (2006)  es  de  125</w:t>
      </w:r>
      <w:r>
        <w:rPr>
          <w:spacing w:val="-8"/>
        </w:rPr>
        <w:t> </w:t>
      </w:r>
      <w:r>
        <w:rPr/>
        <w:t>mg/kg</w:t>
      </w:r>
    </w:p>
    <w:p>
      <w:pPr>
        <w:pStyle w:val="BodyText"/>
        <w:spacing w:before="10"/>
        <w:ind w:left="152"/>
        <w:jc w:val="both"/>
      </w:pPr>
      <w:r>
        <w:rPr/>
        <w:t>dividido en dos dosis al día.</w:t>
      </w:r>
    </w:p>
    <w:p>
      <w:pPr>
        <w:spacing w:after="0"/>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6"/>
        <w:jc w:val="both"/>
      </w:pPr>
      <w:r>
        <w:rPr/>
        <w:t>Para </w:t>
      </w:r>
      <w:r>
        <w:rPr>
          <w:spacing w:val="-5"/>
        </w:rPr>
        <w:t>la </w:t>
      </w:r>
      <w:r>
        <w:rPr/>
        <w:t>dosis de carga se utiliza líquido como vehículo porque es fácil disminuir </w:t>
      </w:r>
      <w:r>
        <w:rPr>
          <w:spacing w:val="-3"/>
        </w:rPr>
        <w:t>la </w:t>
      </w:r>
      <w:r>
        <w:rPr/>
        <w:t>dosis si hay efectos indeseables, y las cápsulas se utilizan para mantenimiento. En estatus epiléptico, se puede dar un protocolo de carga en 24 horas de 100 mg/kg administradas  cada 4 horas por vía intrarectal. Una solución de BrNa estéril puede también ser utilizado para cargas por vía intravenosa. Una solución de BrNa al 3% en agua estéril se administra en infusión continua a una dosis de 900 mg/kg durante 24 horas (Dewey et </w:t>
      </w:r>
      <w:r>
        <w:rPr>
          <w:spacing w:val="-3"/>
        </w:rPr>
        <w:t>al, </w:t>
      </w:r>
      <w:r>
        <w:rPr/>
        <w:t>1999). Los niveles séricos de Br deben obtenerse dentro 1 semana si se </w:t>
      </w:r>
      <w:r>
        <w:rPr>
          <w:spacing w:val="-3"/>
        </w:rPr>
        <w:t>ha </w:t>
      </w:r>
      <w:r>
        <w:rPr/>
        <w:t>administrado una dosis de carga, posteriormente al mes de </w:t>
      </w:r>
      <w:r>
        <w:rPr>
          <w:spacing w:val="-3"/>
        </w:rPr>
        <w:t>la </w:t>
      </w:r>
      <w:r>
        <w:rPr/>
        <w:t>dosis carga, y 3 meses después de </w:t>
      </w:r>
      <w:r>
        <w:rPr>
          <w:spacing w:val="-3"/>
        </w:rPr>
        <w:t>la </w:t>
      </w:r>
      <w:r>
        <w:rPr/>
        <w:t>administración de </w:t>
      </w:r>
      <w:r>
        <w:rPr>
          <w:spacing w:val="-5"/>
        </w:rPr>
        <w:t>la </w:t>
      </w:r>
      <w:r>
        <w:rPr/>
        <w:t>dosis de mantenimiento. El rango terapéutico de concentración sérica de Br es de 1 a 3 mg/ml (Thomas, 2003). Para los perros que </w:t>
      </w:r>
      <w:r>
        <w:rPr>
          <w:spacing w:val="-3"/>
        </w:rPr>
        <w:t>ya </w:t>
      </w:r>
      <w:r>
        <w:rPr/>
        <w:t>están recibiendo fenobarbital, el rango terapéutico para Br es menor (0,8-2,4 mg/ml) (Trepanier at </w:t>
      </w:r>
      <w:r>
        <w:rPr>
          <w:spacing w:val="-3"/>
        </w:rPr>
        <w:t>al, </w:t>
      </w:r>
      <w:r>
        <w:rPr/>
        <w:t>1998). Las dietas altas en </w:t>
      </w:r>
      <w:r>
        <w:rPr>
          <w:position w:val="2"/>
        </w:rPr>
        <w:t>cloruro disminuyen </w:t>
      </w:r>
      <w:r>
        <w:rPr>
          <w:spacing w:val="-3"/>
          <w:position w:val="2"/>
        </w:rPr>
        <w:t>la </w:t>
      </w:r>
      <w:r>
        <w:rPr>
          <w:position w:val="2"/>
        </w:rPr>
        <w:t>vida </w:t>
      </w:r>
      <w:r>
        <w:rPr>
          <w:spacing w:val="2"/>
          <w:position w:val="2"/>
        </w:rPr>
        <w:t>t</w:t>
      </w:r>
      <w:r>
        <w:rPr>
          <w:spacing w:val="2"/>
          <w:sz w:val="16"/>
        </w:rPr>
        <w:t>1/2 </w:t>
      </w:r>
      <w:r>
        <w:rPr>
          <w:position w:val="2"/>
        </w:rPr>
        <w:t>de Br en perros por tanto para mantener </w:t>
      </w:r>
      <w:r>
        <w:rPr>
          <w:spacing w:val="-5"/>
          <w:position w:val="2"/>
        </w:rPr>
        <w:t>la </w:t>
      </w:r>
      <w:r>
        <w:rPr>
          <w:position w:val="2"/>
        </w:rPr>
        <w:t>concentración </w:t>
      </w:r>
      <w:r>
        <w:rPr/>
        <w:t>sérica dentro del intervalo terapéutico es necesario incrementar </w:t>
      </w:r>
      <w:r>
        <w:rPr>
          <w:spacing w:val="-5"/>
        </w:rPr>
        <w:t>la </w:t>
      </w:r>
      <w:r>
        <w:rPr/>
        <w:t>dosis; este fenómeno se cree que es atribuible a </w:t>
      </w:r>
      <w:r>
        <w:rPr>
          <w:spacing w:val="-3"/>
        </w:rPr>
        <w:t>la </w:t>
      </w:r>
      <w:r>
        <w:rPr/>
        <w:t>competencia entre el Br y los iones cloruro en </w:t>
      </w:r>
      <w:r>
        <w:rPr>
          <w:spacing w:val="-5"/>
        </w:rPr>
        <w:t>la  </w:t>
      </w:r>
      <w:r>
        <w:rPr/>
        <w:t>reabsorción renal (Trepanier y Babish, 1995). Debido a que </w:t>
      </w:r>
      <w:r>
        <w:rPr>
          <w:spacing w:val="-5"/>
        </w:rPr>
        <w:t>la </w:t>
      </w:r>
      <w:r>
        <w:rPr/>
        <w:t>mayoría de los equipos </w:t>
      </w:r>
      <w:r>
        <w:rPr>
          <w:spacing w:val="-3"/>
        </w:rPr>
        <w:t>no </w:t>
      </w:r>
      <w:r>
        <w:rPr/>
        <w:t>pueden distinguir entre cloruro y los iones bromuros, estos pueden dar lecturas elevadas de manera errónea. (Boothe, 2001). Los efectos secundarios de BrK incluyen rigidez de las extremidades pélvicas, ataxia, sedación, vómito, poliuria, polidipsia, polifagia con aumento de peso, hiperactividad, y erupción cutánea. Con menor frecuencia, comportamiento agresivo y pancreatitis se han reportado (Thomas, 2003; Podell, 1998). La pancreatitis se ha sugerido</w:t>
      </w:r>
      <w:r>
        <w:rPr>
          <w:spacing w:val="48"/>
        </w:rPr>
        <w:t> </w:t>
      </w:r>
      <w:r>
        <w:rPr/>
        <w:t>que</w:t>
      </w:r>
      <w:r>
        <w:rPr>
          <w:spacing w:val="43"/>
        </w:rPr>
        <w:t> </w:t>
      </w:r>
      <w:r>
        <w:rPr/>
        <w:t>es</w:t>
      </w:r>
      <w:r>
        <w:rPr>
          <w:spacing w:val="47"/>
        </w:rPr>
        <w:t> </w:t>
      </w:r>
      <w:r>
        <w:rPr/>
        <w:t>más</w:t>
      </w:r>
      <w:r>
        <w:rPr>
          <w:spacing w:val="42"/>
        </w:rPr>
        <w:t> </w:t>
      </w:r>
      <w:r>
        <w:rPr/>
        <w:t>probable</w:t>
      </w:r>
      <w:r>
        <w:rPr>
          <w:spacing w:val="48"/>
        </w:rPr>
        <w:t> </w:t>
      </w:r>
      <w:r>
        <w:rPr/>
        <w:t>cuando</w:t>
      </w:r>
      <w:r>
        <w:rPr>
          <w:spacing w:val="48"/>
        </w:rPr>
        <w:t> </w:t>
      </w:r>
      <w:r>
        <w:rPr/>
        <w:t>KBr</w:t>
      </w:r>
      <w:r>
        <w:rPr>
          <w:spacing w:val="45"/>
        </w:rPr>
        <w:t> </w:t>
      </w:r>
      <w:r>
        <w:rPr/>
        <w:t>se</w:t>
      </w:r>
      <w:r>
        <w:rPr>
          <w:spacing w:val="48"/>
        </w:rPr>
        <w:t> </w:t>
      </w:r>
      <w:r>
        <w:rPr/>
        <w:t>utiliza</w:t>
      </w:r>
      <w:r>
        <w:rPr>
          <w:spacing w:val="48"/>
        </w:rPr>
        <w:t> </w:t>
      </w:r>
      <w:r>
        <w:rPr/>
        <w:t>en</w:t>
      </w:r>
      <w:r>
        <w:rPr>
          <w:spacing w:val="39"/>
        </w:rPr>
        <w:t> </w:t>
      </w:r>
      <w:r>
        <w:rPr/>
        <w:t>conjunción</w:t>
      </w:r>
      <w:r>
        <w:rPr>
          <w:spacing w:val="44"/>
        </w:rPr>
        <w:t> </w:t>
      </w:r>
      <w:r>
        <w:rPr/>
        <w:t>con</w:t>
      </w:r>
      <w:r>
        <w:rPr>
          <w:spacing w:val="44"/>
        </w:rPr>
        <w:t> </w:t>
      </w:r>
      <w:r>
        <w:rPr/>
        <w:t>FB</w:t>
      </w:r>
      <w:r>
        <w:rPr>
          <w:spacing w:val="47"/>
        </w:rPr>
        <w:t> </w:t>
      </w:r>
      <w:r>
        <w:rPr/>
        <w:t>(Gaskill</w:t>
      </w:r>
      <w:r>
        <w:rPr>
          <w:spacing w:val="44"/>
        </w:rPr>
        <w:t> </w:t>
      </w:r>
      <w:r>
        <w:rPr/>
        <w:t>y</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2"/>
        <w:jc w:val="both"/>
      </w:pPr>
      <w:r>
        <w:rPr/>
        <w:t>Cribb, 2000). Si se presenta sedación profunda o ataxia, la diuresis con cloruro  que contiene 0,9% de NaCl se puede utilizar para acelerar la eliminación renal (Podell, 1998). Dewey (2006) reportó pacientes con tos persistente que parece estar asociado con la terapia ya que se resolvió después de la interrupción del tratamiento. En gatos se ha asociado con una afección parecida al asma bronquial severo en 35% a 42% y es menos eficaz que en perros (Wagner, 2001).</w:t>
      </w:r>
    </w:p>
    <w:p>
      <w:pPr>
        <w:pStyle w:val="BodyText"/>
      </w:pPr>
    </w:p>
    <w:p>
      <w:pPr>
        <w:pStyle w:val="BodyText"/>
      </w:pPr>
    </w:p>
    <w:p>
      <w:pPr>
        <w:pStyle w:val="Heading2"/>
        <w:numPr>
          <w:ilvl w:val="2"/>
          <w:numId w:val="9"/>
        </w:numPr>
        <w:tabs>
          <w:tab w:pos="2756" w:val="left" w:leader="none"/>
        </w:tabs>
        <w:spacing w:line="240" w:lineRule="auto" w:before="212" w:after="0"/>
        <w:ind w:left="2755" w:right="0" w:hanging="466"/>
        <w:jc w:val="left"/>
      </w:pPr>
      <w:bookmarkStart w:name="_bookmark30" w:id="52"/>
      <w:bookmarkEnd w:id="52"/>
      <w:r>
        <w:rPr>
          <w:b w:val="0"/>
        </w:rPr>
      </w:r>
      <w:bookmarkStart w:name="_bookmark30" w:id="53"/>
      <w:bookmarkEnd w:id="53"/>
      <w:r>
        <w:rPr/>
        <w:t>Ga</w:t>
      </w:r>
      <w:r>
        <w:rPr/>
        <w:t>bapentina</w:t>
      </w:r>
    </w:p>
    <w:p>
      <w:pPr>
        <w:pStyle w:val="BodyText"/>
        <w:spacing w:line="480" w:lineRule="auto" w:before="103"/>
        <w:ind w:left="152" w:right="102"/>
        <w:jc w:val="both"/>
      </w:pPr>
      <w:r>
        <w:rPr/>
        <w:t>La gabapentina, [(1-aminometil-ciclohexil)-ácido acético] es un análogo estructural del ácido gama amino butírico (GABA), </w:t>
      </w:r>
      <w:r>
        <w:rPr>
          <w:spacing w:val="-3"/>
        </w:rPr>
        <w:t>fue </w:t>
      </w:r>
      <w:r>
        <w:rPr/>
        <w:t>aprobado por primera vez  en Estados Unidos como agente adjunto para el tratamiento de convulsiones parciales en niños (Morris, 1999), su mecanismo de acción </w:t>
      </w:r>
      <w:r>
        <w:rPr>
          <w:spacing w:val="-3"/>
        </w:rPr>
        <w:t>no </w:t>
      </w:r>
      <w:r>
        <w:rPr/>
        <w:t>está bien establecido pero se cree que sus efectos anticonvulsivos son; consecuencia del mejoramiento de </w:t>
      </w:r>
      <w:r>
        <w:rPr>
          <w:spacing w:val="-5"/>
        </w:rPr>
        <w:t>la </w:t>
      </w:r>
      <w:r>
        <w:rPr/>
        <w:t>liberación y </w:t>
      </w:r>
      <w:r>
        <w:rPr>
          <w:spacing w:val="-3"/>
        </w:rPr>
        <w:t>la </w:t>
      </w:r>
      <w:r>
        <w:rPr/>
        <w:t>acción del GABA en el cerebro; y mediante </w:t>
      </w:r>
      <w:r>
        <w:rPr>
          <w:spacing w:val="-5"/>
        </w:rPr>
        <w:t>la </w:t>
      </w:r>
      <w:r>
        <w:rPr/>
        <w:t>inhibición de los canales de sodio (Podell, 1998; Thomas,  2003; Dewey et </w:t>
      </w:r>
      <w:r>
        <w:rPr>
          <w:spacing w:val="-3"/>
        </w:rPr>
        <w:t>al, </w:t>
      </w:r>
      <w:r>
        <w:rPr/>
        <w:t>2004a; Johannessen et </w:t>
      </w:r>
      <w:r>
        <w:rPr>
          <w:spacing w:val="-3"/>
        </w:rPr>
        <w:t>al, </w:t>
      </w:r>
      <w:r>
        <w:rPr/>
        <w:t>2003). Sin embargo, estudios recientes, sugieren que su actividad anticonvulsiva se debe principalmente a </w:t>
      </w:r>
      <w:r>
        <w:rPr>
          <w:spacing w:val="-3"/>
        </w:rPr>
        <w:t>la </w:t>
      </w:r>
      <w:r>
        <w:rPr/>
        <w:t>inhibición de los </w:t>
      </w:r>
      <w:r>
        <w:rPr>
          <w:position w:val="2"/>
        </w:rPr>
        <w:t>canales de calcio dependientes de voltaje en el cerebro al unirse a las subunidades α</w:t>
      </w:r>
      <w:r>
        <w:rPr>
          <w:sz w:val="16"/>
        </w:rPr>
        <w:t>2</w:t>
      </w:r>
      <w:r>
        <w:rPr>
          <w:position w:val="2"/>
        </w:rPr>
        <w:t>δ-1, </w:t>
      </w:r>
      <w:r>
        <w:rPr/>
        <w:t>siendo capaz de modular </w:t>
      </w:r>
      <w:r>
        <w:rPr>
          <w:spacing w:val="-3"/>
        </w:rPr>
        <w:t>las </w:t>
      </w:r>
      <w:r>
        <w:rPr/>
        <w:t>corrientes de calcio, reduciendo </w:t>
      </w:r>
      <w:r>
        <w:rPr>
          <w:spacing w:val="-3"/>
        </w:rPr>
        <w:t>la </w:t>
      </w:r>
      <w:r>
        <w:rPr/>
        <w:t>liberación de neurotransmisores excitatorios (Sills, 2006; Gee et </w:t>
      </w:r>
      <w:r>
        <w:rPr>
          <w:spacing w:val="-4"/>
        </w:rPr>
        <w:t>al, </w:t>
      </w:r>
      <w:r>
        <w:rPr/>
        <w:t>1996; Maneuf et </w:t>
      </w:r>
      <w:r>
        <w:rPr>
          <w:spacing w:val="-3"/>
        </w:rPr>
        <w:t>al, </w:t>
      </w:r>
      <w:r>
        <w:rPr/>
        <w:t>2006; Kukanich  y Cohen, 2009; Hoof Van et </w:t>
      </w:r>
      <w:r>
        <w:rPr>
          <w:spacing w:val="-3"/>
        </w:rPr>
        <w:t>al, </w:t>
      </w:r>
      <w:r>
        <w:rPr/>
        <w:t>2002). También </w:t>
      </w:r>
      <w:r>
        <w:rPr>
          <w:spacing w:val="-3"/>
        </w:rPr>
        <w:t>ha </w:t>
      </w:r>
      <w:r>
        <w:rPr/>
        <w:t>demostrado </w:t>
      </w:r>
      <w:r>
        <w:rPr>
          <w:spacing w:val="-2"/>
        </w:rPr>
        <w:t>disminuir </w:t>
      </w:r>
      <w:r>
        <w:rPr/>
        <w:t>en menor proporción los niveles de glutamato en el cerebro (Errante y Petroff, 2003). Tiene un </w:t>
      </w:r>
      <w:r>
        <w:rPr>
          <w:spacing w:val="16"/>
        </w:rPr>
        <w:t> </w:t>
      </w:r>
      <w:r>
        <w:rPr/>
        <w:t>perfil</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2"/>
        <w:jc w:val="both"/>
      </w:pPr>
      <w:r>
        <w:rPr/>
        <w:t>farmacocinético favorable, caracterizado por la ausencia de unión a proteínas plasmáticas y no tener interacción con otrps fármacos (Andrews y Fischer, 1994; Muscas, et al., 2000).</w:t>
      </w:r>
    </w:p>
    <w:p>
      <w:pPr>
        <w:pStyle w:val="BodyText"/>
        <w:spacing w:line="480" w:lineRule="auto" w:before="212"/>
        <w:ind w:left="152" w:right="105"/>
        <w:jc w:val="both"/>
      </w:pPr>
      <w:r>
        <w:rPr/>
        <w:t>Por </w:t>
      </w:r>
      <w:r>
        <w:rPr>
          <w:spacing w:val="-5"/>
        </w:rPr>
        <w:t>lo </w:t>
      </w:r>
      <w:r>
        <w:rPr/>
        <w:t>general existe una buena absorción en perros y seres humanos, con concentraciones séricas máximas que se producen entre 1 y 3 horas después de </w:t>
      </w:r>
      <w:r>
        <w:rPr>
          <w:spacing w:val="-3"/>
        </w:rPr>
        <w:t>la </w:t>
      </w:r>
      <w:r>
        <w:rPr/>
        <w:t>ingestión. En seres humanos, </w:t>
      </w:r>
      <w:r>
        <w:rPr>
          <w:spacing w:val="-5"/>
        </w:rPr>
        <w:t>la </w:t>
      </w:r>
      <w:r>
        <w:rPr/>
        <w:t>absorción dependiente de </w:t>
      </w:r>
      <w:r>
        <w:rPr>
          <w:spacing w:val="-3"/>
        </w:rPr>
        <w:t>la </w:t>
      </w:r>
      <w:r>
        <w:rPr/>
        <w:t>dosis, basándose en un mecanismo de transporte de aminoácidos saturables en el tracto gastrointestinal; este proceso de transporte saturable se cree que es </w:t>
      </w:r>
      <w:r>
        <w:rPr>
          <w:spacing w:val="-3"/>
        </w:rPr>
        <w:t>la </w:t>
      </w:r>
      <w:r>
        <w:rPr/>
        <w:t>razón por </w:t>
      </w:r>
      <w:r>
        <w:rPr>
          <w:spacing w:val="-5"/>
        </w:rPr>
        <w:t>lo </w:t>
      </w:r>
      <w:r>
        <w:rPr/>
        <w:t>cual sus efectos anticonvulsivos pueden durar </w:t>
      </w:r>
      <w:r>
        <w:rPr>
          <w:spacing w:val="-3"/>
        </w:rPr>
        <w:t>más </w:t>
      </w:r>
      <w:r>
        <w:rPr/>
        <w:t>de </w:t>
      </w:r>
      <w:r>
        <w:rPr>
          <w:spacing w:val="-5"/>
        </w:rPr>
        <w:t>lo </w:t>
      </w:r>
      <w:r>
        <w:rPr/>
        <w:t>que  se esperaría basado en </w:t>
      </w:r>
      <w:r>
        <w:rPr>
          <w:spacing w:val="-3"/>
        </w:rPr>
        <w:t>la </w:t>
      </w:r>
      <w:r>
        <w:rPr/>
        <w:t>eliminación media del fármaco en el suero (Dewey et </w:t>
      </w:r>
      <w:r>
        <w:rPr>
          <w:spacing w:val="-3"/>
        </w:rPr>
        <w:t>al, </w:t>
      </w:r>
      <w:r>
        <w:rPr/>
        <w:t>2004a; Boothe, 2001; Hidalgo-Cañadillas, 2004). La concentración plasmática en   </w:t>
      </w:r>
      <w:r>
        <w:rPr>
          <w:spacing w:val="32"/>
        </w:rPr>
        <w:t> </w:t>
      </w:r>
      <w:r>
        <w:rPr/>
        <w:t>humanos es de</w:t>
      </w:r>
    </w:p>
    <w:p>
      <w:pPr>
        <w:pStyle w:val="BodyText"/>
        <w:spacing w:line="480" w:lineRule="auto" w:before="5"/>
        <w:ind w:left="152" w:right="111"/>
        <w:jc w:val="both"/>
      </w:pPr>
      <w:r>
        <w:rPr/>
        <w:t>2.7 a 2.9 </w:t>
      </w:r>
      <w:r>
        <w:rPr>
          <w:spacing w:val="-5"/>
        </w:rPr>
        <w:t>mg </w:t>
      </w:r>
      <w:r>
        <w:rPr/>
        <w:t>L. En las personas, prácticamente </w:t>
      </w:r>
      <w:r>
        <w:rPr>
          <w:spacing w:val="-3"/>
        </w:rPr>
        <w:t>la </w:t>
      </w:r>
      <w:r>
        <w:rPr/>
        <w:t>totalidad de </w:t>
      </w:r>
      <w:r>
        <w:rPr>
          <w:spacing w:val="-3"/>
        </w:rPr>
        <w:t>la </w:t>
      </w:r>
      <w:r>
        <w:rPr/>
        <w:t>dosis administrada por </w:t>
      </w:r>
      <w:r>
        <w:rPr>
          <w:spacing w:val="-4"/>
        </w:rPr>
        <w:t>vía</w:t>
      </w:r>
      <w:r>
        <w:rPr>
          <w:spacing w:val="52"/>
        </w:rPr>
        <w:t> </w:t>
      </w:r>
      <w:r>
        <w:rPr/>
        <w:t>oral se excreta sin cambios por </w:t>
      </w:r>
      <w:r>
        <w:rPr>
          <w:spacing w:val="-5"/>
        </w:rPr>
        <w:t>la </w:t>
      </w:r>
      <w:r>
        <w:rPr/>
        <w:t>orina, sin metabolismo hepático. Sin embargo en los perros, 30% a 40% de </w:t>
      </w:r>
      <w:r>
        <w:rPr>
          <w:spacing w:val="-3"/>
        </w:rPr>
        <w:t>la </w:t>
      </w:r>
      <w:r>
        <w:rPr/>
        <w:t>dosis administrada por vía oral sufre metabolismo hepático a </w:t>
      </w:r>
      <w:r>
        <w:rPr>
          <w:spacing w:val="6"/>
        </w:rPr>
        <w:t>N- </w:t>
      </w:r>
      <w:r>
        <w:rPr/>
        <w:t>metil-gabapentina (Podell, 1998; Radulovic et </w:t>
      </w:r>
      <w:r>
        <w:rPr>
          <w:spacing w:val="-3"/>
        </w:rPr>
        <w:t>al, </w:t>
      </w:r>
      <w:r>
        <w:rPr/>
        <w:t>1995; Vollmer et </w:t>
      </w:r>
      <w:r>
        <w:rPr>
          <w:spacing w:val="-3"/>
        </w:rPr>
        <w:t>al, </w:t>
      </w:r>
      <w:r>
        <w:rPr/>
        <w:t>1986). A pesar de someterse a metabolismo hepático, </w:t>
      </w:r>
      <w:r>
        <w:rPr>
          <w:spacing w:val="-3"/>
        </w:rPr>
        <w:t>no </w:t>
      </w:r>
      <w:r>
        <w:rPr/>
        <w:t>existe inducción enzimática en el hígado en esta especie. La t ½ de </w:t>
      </w:r>
      <w:r>
        <w:rPr>
          <w:spacing w:val="-5"/>
        </w:rPr>
        <w:t>la </w:t>
      </w:r>
      <w:r>
        <w:rPr/>
        <w:t>gabapentina en los perros es de 3 y 4 horas. El rango de dosis recomendado de gabapentina para los perros es de 25 a 60 mg/kg de peso corporal dividido en tres o cuatro dosis (Podell, 1998; Radulovic et </w:t>
      </w:r>
      <w:r>
        <w:rPr>
          <w:spacing w:val="-6"/>
        </w:rPr>
        <w:t>al, </w:t>
      </w:r>
      <w:r>
        <w:rPr/>
        <w:t>1995; Vollmer et </w:t>
      </w:r>
      <w:r>
        <w:rPr>
          <w:spacing w:val="-4"/>
        </w:rPr>
        <w:t>al, </w:t>
      </w:r>
      <w:r>
        <w:rPr/>
        <w:t>1986).</w:t>
      </w:r>
    </w:p>
    <w:p>
      <w:pPr>
        <w:pStyle w:val="BodyText"/>
        <w:spacing w:line="480" w:lineRule="auto" w:before="212"/>
        <w:ind w:left="152" w:right="116"/>
        <w:jc w:val="both"/>
      </w:pPr>
      <w:r>
        <w:rPr/>
        <w:t>Dewey (2006) recomienda una dosis inicial de 10 mg/kg de peso  corporal administrada cada 8 horas. El rango terapéutico que se cree para los perros es de 4 a 16 mg/L (Bazil, 2002). Las concentraciones séricas de gabapentina rara vez se monitorizan en sangre en los</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4"/>
        <w:jc w:val="both"/>
      </w:pPr>
      <w:r>
        <w:rPr/>
        <w:t>perros. </w:t>
      </w:r>
      <w:r>
        <w:rPr>
          <w:spacing w:val="-3"/>
        </w:rPr>
        <w:t>No </w:t>
      </w:r>
      <w:r>
        <w:rPr/>
        <w:t>existen reportes de toxicidad a largo plazo para </w:t>
      </w:r>
      <w:r>
        <w:rPr>
          <w:spacing w:val="-5"/>
        </w:rPr>
        <w:t>la </w:t>
      </w:r>
      <w:r>
        <w:rPr/>
        <w:t>gabapentina en los perros. El fármaco parece ser bien tolerado por esta especie, y por </w:t>
      </w:r>
      <w:r>
        <w:rPr>
          <w:spacing w:val="-5"/>
        </w:rPr>
        <w:t>lo </w:t>
      </w:r>
      <w:r>
        <w:rPr/>
        <w:t>general con </w:t>
      </w:r>
      <w:r>
        <w:rPr>
          <w:spacing w:val="3"/>
        </w:rPr>
        <w:t>pocos </w:t>
      </w:r>
      <w:r>
        <w:rPr/>
        <w:t>efectos secundarios como sedación leve. En un estudio prospectivo se evaluó </w:t>
      </w:r>
      <w:r>
        <w:rPr>
          <w:spacing w:val="-5"/>
        </w:rPr>
        <w:t>la </w:t>
      </w:r>
      <w:r>
        <w:rPr/>
        <w:t>gabapentina como terapia complementaria para perros con convulsiones refractarias, </w:t>
      </w:r>
      <w:r>
        <w:rPr>
          <w:spacing w:val="-3"/>
        </w:rPr>
        <w:t>no </w:t>
      </w:r>
      <w:r>
        <w:rPr/>
        <w:t>hubo una disminución significativa en </w:t>
      </w:r>
      <w:r>
        <w:rPr>
          <w:spacing w:val="-3"/>
        </w:rPr>
        <w:t>la </w:t>
      </w:r>
      <w:r>
        <w:rPr/>
        <w:t>frecuencia total de las convulsiones en un período de evaluación de 4 meses; sin embargo, 3 de los 17 perros evaluados </w:t>
      </w:r>
      <w:r>
        <w:rPr>
          <w:spacing w:val="-3"/>
        </w:rPr>
        <w:t>no </w:t>
      </w:r>
      <w:r>
        <w:rPr/>
        <w:t>presentaron crisis durante este período de tiempo, y otros 4 tenían por </w:t>
      </w:r>
      <w:r>
        <w:rPr>
          <w:spacing w:val="-5"/>
        </w:rPr>
        <w:t>lo </w:t>
      </w:r>
      <w:r>
        <w:rPr/>
        <w:t>menos una disminución del 50% en </w:t>
      </w:r>
      <w:r>
        <w:rPr>
          <w:spacing w:val="-3"/>
        </w:rPr>
        <w:t>la </w:t>
      </w:r>
      <w:r>
        <w:rPr/>
        <w:t>frecuencia de las crisis (Govendir et </w:t>
      </w:r>
      <w:r>
        <w:rPr>
          <w:spacing w:val="-3"/>
        </w:rPr>
        <w:t>al, </w:t>
      </w:r>
      <w:r>
        <w:rPr/>
        <w:t>2005). En un estudio similar de 11 perros, 5 perros experimentaron una reducción del 50% o </w:t>
      </w:r>
      <w:r>
        <w:rPr>
          <w:spacing w:val="-3"/>
        </w:rPr>
        <w:t>más </w:t>
      </w:r>
      <w:r>
        <w:rPr/>
        <w:t>en </w:t>
      </w:r>
      <w:r>
        <w:rPr>
          <w:spacing w:val="-3"/>
        </w:rPr>
        <w:t>la </w:t>
      </w:r>
      <w:r>
        <w:rPr/>
        <w:t>frecuencia de convulsiones después de adicionar </w:t>
      </w:r>
      <w:r>
        <w:rPr>
          <w:spacing w:val="-3"/>
        </w:rPr>
        <w:t>la</w:t>
      </w:r>
      <w:r>
        <w:rPr>
          <w:spacing w:val="54"/>
        </w:rPr>
        <w:t> </w:t>
      </w:r>
      <w:r>
        <w:rPr/>
        <w:t>gabapentina, y hubo una disminución significativa en </w:t>
      </w:r>
      <w:r>
        <w:rPr>
          <w:spacing w:val="-3"/>
        </w:rPr>
        <w:t>la </w:t>
      </w:r>
      <w:r>
        <w:rPr/>
        <w:t>frecuencia de crisis en general (Platt et </w:t>
      </w:r>
      <w:r>
        <w:rPr>
          <w:spacing w:val="-4"/>
        </w:rPr>
        <w:t>al, </w:t>
      </w:r>
      <w:r>
        <w:rPr/>
        <w:t>2006). Para ambos estudios, </w:t>
      </w:r>
      <w:r>
        <w:rPr>
          <w:spacing w:val="-3"/>
        </w:rPr>
        <w:t>la </w:t>
      </w:r>
      <w:r>
        <w:rPr/>
        <w:t>sedación y </w:t>
      </w:r>
      <w:r>
        <w:rPr>
          <w:spacing w:val="-3"/>
        </w:rPr>
        <w:t>la </w:t>
      </w:r>
      <w:r>
        <w:rPr/>
        <w:t>ataxia de las extremidades pélvicas fueron los efectos secundarios que se presentaron con mayor frecuencia (Govendir et </w:t>
      </w:r>
      <w:r>
        <w:rPr>
          <w:spacing w:val="-3"/>
        </w:rPr>
        <w:t>al, </w:t>
      </w:r>
      <w:r>
        <w:rPr/>
        <w:t>2005; Platt </w:t>
      </w:r>
      <w:r>
        <w:rPr>
          <w:spacing w:val="-3"/>
        </w:rPr>
        <w:t>et </w:t>
      </w:r>
      <w:r>
        <w:rPr>
          <w:spacing w:val="-4"/>
        </w:rPr>
        <w:t>al, </w:t>
      </w:r>
      <w:r>
        <w:rPr/>
        <w:t>2006). Debido a su corta t ½ en los perros, </w:t>
      </w:r>
      <w:r>
        <w:rPr>
          <w:spacing w:val="-5"/>
        </w:rPr>
        <w:t>la </w:t>
      </w:r>
      <w:r>
        <w:rPr/>
        <w:t>gabapentina, probablemente necesita ser administrada al menos cada 8 horas, y posiblemente cada 6 horas, para mantener las concentraciones en suero dentro del rango terapéutico. No existen ensayos clínicos de </w:t>
      </w:r>
      <w:r>
        <w:rPr>
          <w:spacing w:val="-3"/>
        </w:rPr>
        <w:t>la </w:t>
      </w:r>
      <w:r>
        <w:rPr/>
        <w:t>gabapentina como monoterapia en perros, a diferencia de seres humanos donde Brodie et </w:t>
      </w:r>
      <w:r>
        <w:rPr>
          <w:spacing w:val="-3"/>
        </w:rPr>
        <w:t>al, </w:t>
      </w:r>
      <w:r>
        <w:rPr/>
        <w:t>(2002), en un estudio aleatorizado comparativo entre gabapentina y lamotrigina en 291 pacientes demostró que </w:t>
      </w:r>
      <w:r>
        <w:rPr>
          <w:spacing w:val="-3"/>
        </w:rPr>
        <w:t>ambos </w:t>
      </w:r>
      <w:r>
        <w:rPr/>
        <w:t>medicamentos son eficaces (76% aproximadamente de pacientes libres de crisis para ambos grupos) con efectos secundarios como mareo, decaimiento y cefaleas. Concluyeron que por su eficacia, tolerabilidad y</w:t>
      </w:r>
      <w:r>
        <w:rPr>
          <w:spacing w:val="9"/>
        </w:rPr>
        <w:t> </w:t>
      </w:r>
      <w:r>
        <w:rPr/>
        <w:t>corto</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20"/>
        <w:jc w:val="both"/>
      </w:pPr>
      <w:r>
        <w:rPr/>
        <w:t>ajuste de dosis </w:t>
      </w:r>
      <w:r>
        <w:rPr>
          <w:spacing w:val="-3"/>
        </w:rPr>
        <w:t>la </w:t>
      </w:r>
      <w:r>
        <w:rPr/>
        <w:t>gabapentina es un fármaco anticonvulsivo de primera línea en pacientes de nuevo diagnóstico que cursen con crisis focales o tónico-clónicas</w:t>
      </w:r>
      <w:r>
        <w:rPr>
          <w:spacing w:val="-35"/>
        </w:rPr>
        <w:t> </w:t>
      </w:r>
      <w:r>
        <w:rPr/>
        <w:t>generalizadas.</w:t>
      </w:r>
    </w:p>
    <w:p>
      <w:pPr>
        <w:pStyle w:val="BodyText"/>
        <w:spacing w:line="480" w:lineRule="auto" w:before="212"/>
        <w:ind w:left="152" w:right="103"/>
        <w:jc w:val="both"/>
      </w:pPr>
      <w:r>
        <w:rPr/>
        <w:t>Sólo existe información anecdótica sobre el uso de gabapentina en los gatos. Una dosis oral de 5 a 10 mg/kg administrada cada 8 a 12 horas se ha sugerido, pero no está basado  en  datos publicados (Dewey, 2006; Siao, 2010).</w:t>
      </w:r>
    </w:p>
    <w:p>
      <w:pPr>
        <w:pStyle w:val="BodyText"/>
        <w:spacing w:before="3"/>
        <w:rPr>
          <w:sz w:val="21"/>
        </w:rPr>
      </w:pPr>
    </w:p>
    <w:p>
      <w:pPr>
        <w:pStyle w:val="Heading2"/>
        <w:numPr>
          <w:ilvl w:val="1"/>
          <w:numId w:val="12"/>
        </w:numPr>
        <w:tabs>
          <w:tab w:pos="2818" w:val="left" w:leader="none"/>
        </w:tabs>
        <w:spacing w:line="240" w:lineRule="auto" w:before="1" w:after="0"/>
        <w:ind w:left="2818" w:right="0" w:hanging="529"/>
        <w:jc w:val="left"/>
      </w:pPr>
      <w:bookmarkStart w:name="_bookmark31" w:id="54"/>
      <w:bookmarkEnd w:id="54"/>
      <w:r>
        <w:rPr/>
        <w:t>F</w:t>
      </w:r>
      <w:r>
        <w:rPr/>
        <w:t>elbamato</w:t>
      </w:r>
    </w:p>
    <w:p>
      <w:pPr>
        <w:pStyle w:val="BodyText"/>
        <w:spacing w:line="480" w:lineRule="auto" w:before="103"/>
        <w:ind w:left="152" w:right="104"/>
        <w:jc w:val="both"/>
      </w:pPr>
      <w:r>
        <w:rPr/>
        <w:t>El felbamato es un dicarbamato que </w:t>
      </w:r>
      <w:r>
        <w:rPr>
          <w:spacing w:val="-3"/>
        </w:rPr>
        <w:t>ha </w:t>
      </w:r>
      <w:r>
        <w:rPr/>
        <w:t>demostrado eficacia para las convulsiones (focales) y generalizadas en estudios de animales en experimentación y ensayos clínicos en seres humanos (Dewey at </w:t>
      </w:r>
      <w:r>
        <w:rPr>
          <w:spacing w:val="-3"/>
        </w:rPr>
        <w:t>al, </w:t>
      </w:r>
      <w:r>
        <w:rPr/>
        <w:t>2004a; Theodore, 1997). Los mecanismos de acción propuestos incluyen el bloqueo de </w:t>
      </w:r>
      <w:r>
        <w:rPr>
          <w:spacing w:val="-3"/>
        </w:rPr>
        <w:t>la </w:t>
      </w:r>
      <w:r>
        <w:rPr/>
        <w:t>excitación de N-metil-D-aspartato (NMDA), </w:t>
      </w:r>
      <w:r>
        <w:rPr>
          <w:spacing w:val="-5"/>
        </w:rPr>
        <w:t>la </w:t>
      </w:r>
      <w:r>
        <w:rPr/>
        <w:t>potenciación de </w:t>
      </w:r>
      <w:r>
        <w:rPr>
          <w:spacing w:val="-3"/>
        </w:rPr>
        <w:t>la </w:t>
      </w:r>
      <w:r>
        <w:rPr/>
        <w:t>inhibición neuronal mediada por GABA, y </w:t>
      </w:r>
      <w:r>
        <w:rPr>
          <w:spacing w:val="-3"/>
        </w:rPr>
        <w:t>la </w:t>
      </w:r>
      <w:r>
        <w:rPr/>
        <w:t>inhibición de los canales de sodio y calcio. También pueden ofrecer cierta protección a las neuronas de </w:t>
      </w:r>
      <w:r>
        <w:rPr>
          <w:spacing w:val="-5"/>
        </w:rPr>
        <w:t>la </w:t>
      </w:r>
      <w:r>
        <w:rPr/>
        <w:t>hipoxia o lesión isquémica (Schachter, 2007; </w:t>
      </w:r>
      <w:r>
        <w:rPr>
          <w:spacing w:val="-3"/>
        </w:rPr>
        <w:t>Rho </w:t>
      </w:r>
      <w:r>
        <w:rPr/>
        <w:t>et </w:t>
      </w:r>
      <w:r>
        <w:rPr>
          <w:spacing w:val="-4"/>
        </w:rPr>
        <w:t>al, </w:t>
      </w:r>
      <w:r>
        <w:rPr/>
        <w:t>1994). Aproximadamente el 70% de </w:t>
      </w:r>
      <w:r>
        <w:rPr>
          <w:spacing w:val="-3"/>
        </w:rPr>
        <w:t>la </w:t>
      </w:r>
      <w:r>
        <w:rPr/>
        <w:t>dosis administrada por vía oral en los perros se excreta en </w:t>
      </w:r>
      <w:r>
        <w:rPr>
          <w:spacing w:val="-3"/>
        </w:rPr>
        <w:t>la </w:t>
      </w:r>
      <w:r>
        <w:rPr/>
        <w:t>orina sin cambios; el </w:t>
      </w:r>
      <w:r>
        <w:rPr>
          <w:spacing w:val="3"/>
        </w:rPr>
        <w:t>resto </w:t>
      </w:r>
      <w:r>
        <w:rPr/>
        <w:t>sufre metabolismo hepático. La t ½ de felbamato en perros es de aproximadamente 5 y 6 horas (rango: 4-8 horas) (Dewey et </w:t>
      </w:r>
      <w:r>
        <w:rPr>
          <w:spacing w:val="-4"/>
        </w:rPr>
        <w:t>al, </w:t>
      </w:r>
      <w:r>
        <w:rPr/>
        <w:t>2004a; Rho et </w:t>
      </w:r>
      <w:r>
        <w:rPr>
          <w:spacing w:val="-4"/>
        </w:rPr>
        <w:t>al, </w:t>
      </w:r>
      <w:r>
        <w:rPr/>
        <w:t>1994). La biodisponibilidad en los cachorros puede ser </w:t>
      </w:r>
      <w:r>
        <w:rPr>
          <w:spacing w:val="-3"/>
        </w:rPr>
        <w:t>sólo </w:t>
      </w:r>
      <w:r>
        <w:rPr/>
        <w:t>el 30% de los adultos. La t ½ de eliminación en los cachorros también es mucho más corto que en los perros adultos (aproximadamente 2,5 horas) (Yang et </w:t>
      </w:r>
      <w:r>
        <w:rPr>
          <w:spacing w:val="-3"/>
        </w:rPr>
        <w:t>al, </w:t>
      </w:r>
      <w:r>
        <w:rPr/>
        <w:t>1992). En perros se recomienda iniciar con una dosis de 15 mg/kg cada 8 horas. Se cree que el rango terapéutico  para  </w:t>
      </w:r>
      <w:r>
        <w:rPr>
          <w:spacing w:val="-5"/>
        </w:rPr>
        <w:t>la  </w:t>
      </w:r>
      <w:r>
        <w:rPr/>
        <w:t>concentración de  felbamato  en  plasma  en perros es similar  a  </w:t>
      </w:r>
      <w:r>
        <w:rPr>
          <w:spacing w:val="-3"/>
        </w:rPr>
        <w:t>la  </w:t>
      </w:r>
      <w:r>
        <w:rPr>
          <w:spacing w:val="50"/>
        </w:rPr>
        <w:t> </w:t>
      </w:r>
      <w:r>
        <w:rPr/>
        <w:t>de</w:t>
      </w:r>
    </w:p>
    <w:p>
      <w:pPr>
        <w:pStyle w:val="BodyText"/>
        <w:spacing w:before="10"/>
        <w:ind w:left="152"/>
        <w:jc w:val="both"/>
      </w:pPr>
      <w:r>
        <w:rPr/>
        <w:t>personas (20-100 µg/ml) pero el costo de la  medición es alto  (Podell, 1998; Dewey et    al,</w:t>
      </w:r>
    </w:p>
    <w:p>
      <w:pPr>
        <w:spacing w:after="0"/>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6"/>
        <w:jc w:val="both"/>
      </w:pPr>
      <w:r>
        <w:rPr/>
        <w:t>2004). Una ventaja importante de felbamato sobre fármacos anticonvulsivos estándar es  que </w:t>
      </w:r>
      <w:r>
        <w:rPr>
          <w:spacing w:val="-3"/>
        </w:rPr>
        <w:t>no </w:t>
      </w:r>
      <w:r>
        <w:rPr/>
        <w:t>provoca sedación (Podell, 1998; Dewey, 2006). Debido a que el felbamato tiene metabolismo hepático, </w:t>
      </w:r>
      <w:r>
        <w:rPr>
          <w:spacing w:val="-5"/>
        </w:rPr>
        <w:t>la </w:t>
      </w:r>
      <w:r>
        <w:rPr/>
        <w:t>disfunción hepática es un efecto secundario potencial (Dewey </w:t>
      </w:r>
      <w:r>
        <w:rPr>
          <w:spacing w:val="5"/>
        </w:rPr>
        <w:t>et </w:t>
      </w:r>
      <w:r>
        <w:rPr>
          <w:spacing w:val="-3"/>
        </w:rPr>
        <w:t>al, </w:t>
      </w:r>
      <w:r>
        <w:rPr/>
        <w:t>2004a; Dayrell-Hart </w:t>
      </w:r>
      <w:r>
        <w:rPr>
          <w:spacing w:val="-3"/>
        </w:rPr>
        <w:t>et </w:t>
      </w:r>
      <w:r>
        <w:rPr>
          <w:spacing w:val="-4"/>
        </w:rPr>
        <w:t>al, </w:t>
      </w:r>
      <w:r>
        <w:rPr/>
        <w:t>1996). Se han encontrado varios perros que desarrollaron queratoconjuntivitis seca después de </w:t>
      </w:r>
      <w:r>
        <w:rPr>
          <w:spacing w:val="-3"/>
        </w:rPr>
        <w:t>la </w:t>
      </w:r>
      <w:r>
        <w:rPr/>
        <w:t>administración de felbamato (Dewey, 2006; Ruehlmann et </w:t>
      </w:r>
      <w:r>
        <w:rPr>
          <w:spacing w:val="-3"/>
        </w:rPr>
        <w:t>al,</w:t>
      </w:r>
      <w:r>
        <w:rPr>
          <w:spacing w:val="3"/>
        </w:rPr>
        <w:t> </w:t>
      </w:r>
      <w:r>
        <w:rPr/>
        <w:t>2001).</w:t>
      </w:r>
    </w:p>
    <w:p>
      <w:pPr>
        <w:pStyle w:val="BodyText"/>
        <w:spacing w:line="480" w:lineRule="auto" w:before="212"/>
        <w:ind w:left="152" w:right="102"/>
        <w:jc w:val="both"/>
      </w:pPr>
      <w:r>
        <w:rPr/>
        <w:t>En un estudio, 12 de 16 perros epilépticos refractarios experimentaron una reducción de </w:t>
      </w:r>
      <w:r>
        <w:rPr>
          <w:spacing w:val="-3"/>
        </w:rPr>
        <w:t>la </w:t>
      </w:r>
      <w:r>
        <w:rPr/>
        <w:t>frecuencia de las convulsiones después de iniciar el tratamiento con felbamato (Dayrell- Hart </w:t>
      </w:r>
      <w:r>
        <w:rPr>
          <w:spacing w:val="-3"/>
        </w:rPr>
        <w:t>et </w:t>
      </w:r>
      <w:r>
        <w:rPr>
          <w:spacing w:val="-4"/>
        </w:rPr>
        <w:t>al, </w:t>
      </w:r>
      <w:r>
        <w:rPr/>
        <w:t>1996). En otro estudio 6 perros con actividad convulsiva focal, experimentaron una reducción sustancial en </w:t>
      </w:r>
      <w:r>
        <w:rPr>
          <w:spacing w:val="-3"/>
        </w:rPr>
        <w:t>la </w:t>
      </w:r>
      <w:r>
        <w:rPr/>
        <w:t>frecuencia de las crisis cuando se utilizó como monoterapia; 2 de estos perros quedaron libres de crisis (Ruehlmann et </w:t>
      </w:r>
      <w:r>
        <w:rPr>
          <w:spacing w:val="-4"/>
        </w:rPr>
        <w:t>al, </w:t>
      </w:r>
      <w:r>
        <w:rPr/>
        <w:t>2001). Debido al desarrollo de hepatotoxicidad, se recomienda que el análisis de bioquímica sérica se realice  cada  6 meses, especialmente si se administra simultáneamente con bromuro de potasio (Podell, 1998).</w:t>
      </w:r>
    </w:p>
    <w:p>
      <w:pPr>
        <w:pStyle w:val="BodyText"/>
      </w:pPr>
    </w:p>
    <w:p>
      <w:pPr>
        <w:pStyle w:val="BodyText"/>
      </w:pPr>
    </w:p>
    <w:p>
      <w:pPr>
        <w:pStyle w:val="BodyText"/>
        <w:spacing w:before="9"/>
        <w:rPr>
          <w:sz w:val="18"/>
        </w:rPr>
      </w:pPr>
    </w:p>
    <w:p>
      <w:pPr>
        <w:pStyle w:val="Heading2"/>
        <w:numPr>
          <w:ilvl w:val="1"/>
          <w:numId w:val="12"/>
        </w:numPr>
        <w:tabs>
          <w:tab w:pos="2818" w:val="left" w:leader="none"/>
        </w:tabs>
        <w:spacing w:line="240" w:lineRule="auto" w:before="0" w:after="0"/>
        <w:ind w:left="2818" w:right="0" w:hanging="529"/>
        <w:jc w:val="left"/>
      </w:pPr>
      <w:bookmarkStart w:name="_bookmark32" w:id="55"/>
      <w:bookmarkEnd w:id="55"/>
      <w:r>
        <w:rPr/>
        <w:t>B</w:t>
      </w:r>
      <w:r>
        <w:rPr/>
        <w:t>enzodiazepinas</w:t>
      </w:r>
    </w:p>
    <w:p>
      <w:pPr>
        <w:pStyle w:val="BodyText"/>
        <w:spacing w:line="480" w:lineRule="auto" w:before="104"/>
        <w:ind w:left="152" w:right="110"/>
        <w:jc w:val="both"/>
      </w:pPr>
      <w:r>
        <w:rPr/>
        <w:t>Benzodiacepinas utilizadas en perros y </w:t>
      </w:r>
      <w:r>
        <w:rPr>
          <w:spacing w:val="2"/>
        </w:rPr>
        <w:t>gatos </w:t>
      </w:r>
      <w:r>
        <w:rPr/>
        <w:t>con trastornos convulsivos  incluyen diazepam, clonazepam, clorazepato, midazolam y lorazepam. Las benzodiazepinas ejercen sus efectos anticonvulsivos mediante </w:t>
      </w:r>
      <w:r>
        <w:rPr>
          <w:spacing w:val="-5"/>
        </w:rPr>
        <w:t>la </w:t>
      </w:r>
      <w:r>
        <w:rPr/>
        <w:t>mejora de </w:t>
      </w:r>
      <w:r>
        <w:rPr>
          <w:spacing w:val="-3"/>
        </w:rPr>
        <w:t>la </w:t>
      </w:r>
      <w:r>
        <w:rPr/>
        <w:t>actividad de GABA en el cerebro. El diazepam es ineficaz como un anticonvulsivo de mantenimiento oral en perros debido a </w:t>
      </w:r>
      <w:r>
        <w:rPr>
          <w:spacing w:val="53"/>
        </w:rPr>
        <w:t> </w:t>
      </w:r>
      <w:r>
        <w:rPr/>
        <w:t>su</w:t>
      </w:r>
    </w:p>
    <w:p>
      <w:pPr>
        <w:pStyle w:val="BodyText"/>
        <w:spacing w:before="10"/>
        <w:ind w:left="152"/>
        <w:jc w:val="both"/>
      </w:pPr>
      <w:r>
        <w:rPr/>
        <w:t>corta t ½ de eliminación (2-4 horas) y la tendencia de los perros para desarrollar   tolerancia</w:t>
      </w:r>
    </w:p>
    <w:p>
      <w:pPr>
        <w:spacing w:after="0"/>
        <w:jc w:val="both"/>
        <w:sectPr>
          <w:footerReference w:type="default" r:id="rId27"/>
          <w:pgSz w:w="12240" w:h="15840"/>
          <w:pgMar w:footer="2131" w:header="0" w:top="1500" w:bottom="2320" w:left="1720" w:right="1420"/>
        </w:sectPr>
      </w:pPr>
    </w:p>
    <w:p>
      <w:pPr>
        <w:pStyle w:val="BodyText"/>
        <w:spacing w:before="7"/>
        <w:rPr>
          <w:sz w:val="20"/>
        </w:rPr>
      </w:pPr>
    </w:p>
    <w:p>
      <w:pPr>
        <w:pStyle w:val="BodyText"/>
        <w:spacing w:line="480" w:lineRule="auto" w:before="69"/>
        <w:ind w:left="152" w:right="107"/>
        <w:jc w:val="both"/>
      </w:pPr>
      <w:r>
        <w:rPr/>
        <w:t>a su efecto anticonvulsivo (Frey et </w:t>
      </w:r>
      <w:r>
        <w:rPr>
          <w:spacing w:val="-3"/>
        </w:rPr>
        <w:t>al, </w:t>
      </w:r>
      <w:r>
        <w:rPr/>
        <w:t>1984; Scherkl et </w:t>
      </w:r>
      <w:r>
        <w:rPr>
          <w:spacing w:val="-3"/>
        </w:rPr>
        <w:t>al, </w:t>
      </w:r>
      <w:r>
        <w:rPr/>
        <w:t>1985). En contraste, el diazepam es un anticonvulsivo oral eficaz en los gatos pero desafortunadamente, necrosis hepática aguda mortal se </w:t>
      </w:r>
      <w:r>
        <w:rPr>
          <w:spacing w:val="-3"/>
        </w:rPr>
        <w:t>ha </w:t>
      </w:r>
      <w:r>
        <w:rPr/>
        <w:t>asociado con el uso de diazepam oral en </w:t>
      </w:r>
      <w:r>
        <w:rPr>
          <w:spacing w:val="3"/>
        </w:rPr>
        <w:t>gatos </w:t>
      </w:r>
      <w:r>
        <w:rPr/>
        <w:t>(Boothe, 2001; Podell, 1998). El clonazepam es un fármaco anticonvulsivo oral de uso limitado en los perros debido al rápido desarrollo de tolerancia a los efectos anticonvulsivos del fármaco. Clorazepato tiene una media de eliminación entre 3 y 6 horas en perros después de </w:t>
      </w:r>
      <w:r>
        <w:rPr>
          <w:spacing w:val="-3"/>
        </w:rPr>
        <w:t>la </w:t>
      </w:r>
      <w:r>
        <w:rPr/>
        <w:t>administración oral, y el intervalo de dosis es de 0,5 a 1 mg/kg de peso corporal administradas cada 8 horas (Boothe, 1998). Aunque el desarrollo de tolerancia a los efectos anticonvulsivos de clorazepato es un problema menor en </w:t>
      </w:r>
      <w:r>
        <w:rPr>
          <w:spacing w:val="2"/>
        </w:rPr>
        <w:t>los </w:t>
      </w:r>
      <w:r>
        <w:rPr/>
        <w:t>perros que con diazepam o clonazepam, sigue siendo un inconveniente potencial (Scherkl et </w:t>
      </w:r>
      <w:r>
        <w:rPr>
          <w:spacing w:val="-4"/>
        </w:rPr>
        <w:t>al, </w:t>
      </w:r>
      <w:r>
        <w:rPr/>
        <w:t>1985). La principal indicación para el uso de clorazepato oral es como tratamiento a corto </w:t>
      </w:r>
      <w:r>
        <w:rPr>
          <w:spacing w:val="-3"/>
        </w:rPr>
        <w:t>plazo </w:t>
      </w:r>
      <w:r>
        <w:rPr/>
        <w:t>en el hogar para los perros que presentan convulsiones en racimo adicionado al fenobarbital (Boothe, 1998).</w:t>
      </w:r>
    </w:p>
    <w:p>
      <w:pPr>
        <w:pStyle w:val="BodyText"/>
        <w:spacing w:before="9"/>
        <w:rPr>
          <w:sz w:val="21"/>
        </w:rPr>
      </w:pPr>
    </w:p>
    <w:p>
      <w:pPr>
        <w:pStyle w:val="Heading2"/>
        <w:numPr>
          <w:ilvl w:val="1"/>
          <w:numId w:val="12"/>
        </w:numPr>
        <w:tabs>
          <w:tab w:pos="2985" w:val="left" w:leader="none"/>
          <w:tab w:pos="2986" w:val="left" w:leader="none"/>
        </w:tabs>
        <w:spacing w:line="240" w:lineRule="auto" w:before="1" w:after="0"/>
        <w:ind w:left="2986" w:right="0" w:hanging="697"/>
        <w:jc w:val="left"/>
        <w:rPr>
          <w:rFonts w:ascii="Cambria"/>
        </w:rPr>
      </w:pPr>
      <w:bookmarkStart w:name="_bookmark33" w:id="56"/>
      <w:bookmarkEnd w:id="56"/>
      <w:r>
        <w:rPr>
          <w:b w:val="0"/>
        </w:rPr>
      </w:r>
      <w:bookmarkStart w:name="_bookmark33" w:id="57"/>
      <w:bookmarkEnd w:id="57"/>
      <w:r>
        <w:rPr>
          <w:rFonts w:ascii="Cambria"/>
        </w:rPr>
        <w:t>L</w:t>
      </w:r>
      <w:r>
        <w:rPr>
          <w:rFonts w:ascii="Cambria"/>
        </w:rPr>
        <w:t>evetiracetam</w:t>
      </w:r>
    </w:p>
    <w:p>
      <w:pPr>
        <w:pStyle w:val="BodyText"/>
        <w:spacing w:line="480" w:lineRule="auto" w:before="102"/>
        <w:ind w:left="152" w:right="106"/>
        <w:jc w:val="both"/>
      </w:pPr>
      <w:r>
        <w:rPr/>
        <w:t>Levetiracetam es un medicamento anticonvulsivo que ha demostrado eficacia en el tratamiento de los trastornos convulsivos focales y generalizados en las personas, así como en varios modelos animales experimentales (Dewey et al, 2004a; Navarro et al, 2002). Aunque generalmente se recomienda como un fármaco anticonvulsivo complementario (Mohanraj et al, 2005), ha sido utilizado con éxito como monoterapia en personas (Alsaadi et al, 2005). Su mecanismo de acción es desconocido; levetiracetam no parece afectar a vías de neurotransmisores comunes (por ejemplo, el GABA, NMDA) o los canales iónicos  (por</w:t>
      </w:r>
    </w:p>
    <w:p>
      <w:pPr>
        <w:spacing w:after="0" w:line="480" w:lineRule="auto"/>
        <w:jc w:val="both"/>
        <w:sectPr>
          <w:footerReference w:type="default" r:id="rId28"/>
          <w:pgSz w:w="12240" w:h="15840"/>
          <w:pgMar w:footer="2131" w:header="0" w:top="1500" w:bottom="2320" w:left="1720" w:right="1420"/>
          <w:pgNumType w:start="61"/>
        </w:sectPr>
      </w:pPr>
    </w:p>
    <w:p>
      <w:pPr>
        <w:pStyle w:val="BodyText"/>
        <w:spacing w:before="7"/>
        <w:rPr>
          <w:sz w:val="20"/>
        </w:rPr>
      </w:pPr>
    </w:p>
    <w:p>
      <w:pPr>
        <w:pStyle w:val="BodyText"/>
        <w:spacing w:line="480" w:lineRule="auto" w:before="69"/>
        <w:ind w:left="152" w:right="103"/>
        <w:jc w:val="both"/>
      </w:pPr>
      <w:r>
        <w:rPr/>
        <w:t>ejemplo, sodio, calcio) directamente (Schachter, 2007; Monhanraj et </w:t>
      </w:r>
      <w:r>
        <w:rPr>
          <w:spacing w:val="-3"/>
        </w:rPr>
        <w:t>al, </w:t>
      </w:r>
      <w:r>
        <w:rPr/>
        <w:t>2005; Strolin et </w:t>
      </w:r>
      <w:r>
        <w:rPr>
          <w:spacing w:val="-3"/>
        </w:rPr>
        <w:t>al, </w:t>
      </w:r>
      <w:r>
        <w:rPr/>
        <w:t>2004). Existe evidencia de que puede inhibir los canales de calcio. También puede actuar interfiriendo con moduladores alostéricos negativos de GABA y glicina vías inhibitorias en el cerebro (Hovinga, 2001). Recientemente se </w:t>
      </w:r>
      <w:r>
        <w:rPr>
          <w:spacing w:val="-3"/>
        </w:rPr>
        <w:t>ha </w:t>
      </w:r>
      <w:r>
        <w:rPr/>
        <w:t>descubierto que el sitio de unión para el levetiracetam en el cerebro es una proteína integral de membrana sináptica 2A llamada proteína de vesícula (SV2A); </w:t>
      </w:r>
      <w:r>
        <w:rPr>
          <w:spacing w:val="-3"/>
        </w:rPr>
        <w:t>la </w:t>
      </w:r>
      <w:r>
        <w:rPr/>
        <w:t>interacción del levetiracetam con esta proteína parece estar asociada con su efecto anticonvulsivo (Lynch et </w:t>
      </w:r>
      <w:r>
        <w:rPr>
          <w:spacing w:val="-3"/>
        </w:rPr>
        <w:t>al, </w:t>
      </w:r>
      <w:r>
        <w:rPr/>
        <w:t>2004). </w:t>
      </w:r>
      <w:r>
        <w:rPr>
          <w:spacing w:val="3"/>
        </w:rPr>
        <w:t>El </w:t>
      </w:r>
      <w:r>
        <w:rPr/>
        <w:t>levetiracetam tiene propiedades neuroprotectoras y puede aminorar el daño inducido por </w:t>
      </w:r>
      <w:r>
        <w:rPr>
          <w:spacing w:val="-4"/>
        </w:rPr>
        <w:t>las </w:t>
      </w:r>
      <w:r>
        <w:rPr/>
        <w:t>convulsiones en </w:t>
      </w:r>
      <w:r>
        <w:rPr>
          <w:spacing w:val="4"/>
        </w:rPr>
        <w:t>el </w:t>
      </w:r>
      <w:r>
        <w:rPr/>
        <w:t>cerebro. </w:t>
      </w:r>
      <w:r>
        <w:rPr>
          <w:spacing w:val="-3"/>
        </w:rPr>
        <w:t>Tiene </w:t>
      </w:r>
      <w:r>
        <w:rPr/>
        <w:t>un efecto </w:t>
      </w:r>
      <w:r>
        <w:rPr>
          <w:i/>
        </w:rPr>
        <w:t>"antikindling"</w:t>
      </w:r>
      <w:r>
        <w:rPr/>
        <w:t>, </w:t>
      </w:r>
      <w:r>
        <w:rPr>
          <w:spacing w:val="-5"/>
        </w:rPr>
        <w:t>lo </w:t>
      </w:r>
      <w:r>
        <w:rPr/>
        <w:t>que puede disminuir </w:t>
      </w:r>
      <w:r>
        <w:rPr>
          <w:spacing w:val="-3"/>
        </w:rPr>
        <w:t>la </w:t>
      </w:r>
      <w:r>
        <w:rPr/>
        <w:t>probabilidad de el aumento de </w:t>
      </w:r>
      <w:r>
        <w:rPr>
          <w:spacing w:val="-5"/>
        </w:rPr>
        <w:t>la </w:t>
      </w:r>
      <w:r>
        <w:rPr/>
        <w:t>frecuencia de convulsiones en el tiempo (Hanon y Klitgaard, 2000;  Klitgaard, 2001). Administrado por vía oral es aproximadamente 100% biodisponible en perros, con una vida sérica ½ de 3 a 4 horas (Klitgaard, 2001). En los perros, aproximadamente el 70% y el 90% de </w:t>
      </w:r>
      <w:r>
        <w:rPr>
          <w:spacing w:val="-5"/>
        </w:rPr>
        <w:t>la </w:t>
      </w:r>
      <w:r>
        <w:rPr/>
        <w:t>dosis administrada se excreta sin cambios en la orina; el resto del fármaco se hidroliza en el suero y otros órganos. </w:t>
      </w:r>
      <w:r>
        <w:rPr>
          <w:spacing w:val="-3"/>
        </w:rPr>
        <w:t>No </w:t>
      </w:r>
      <w:r>
        <w:rPr/>
        <w:t>parece tener metabolismo hepático apreciable en los seres humanos ni perros (Hovinga, 2001; Leppik, 2001; Volk et </w:t>
      </w:r>
      <w:r>
        <w:rPr>
          <w:spacing w:val="-4"/>
        </w:rPr>
        <w:t>al, </w:t>
      </w:r>
      <w:r>
        <w:rPr/>
        <w:t>2008). La concentración eficaz sérica de levetiracetam en personas es de 5 a 45 mg/ml. Debido a que </w:t>
      </w:r>
      <w:r>
        <w:rPr>
          <w:spacing w:val="-3"/>
        </w:rPr>
        <w:t>no </w:t>
      </w:r>
      <w:r>
        <w:rPr/>
        <w:t>existe una relación clara entre </w:t>
      </w:r>
      <w:r>
        <w:rPr>
          <w:spacing w:val="-5"/>
        </w:rPr>
        <w:t>la </w:t>
      </w:r>
      <w:r>
        <w:rPr/>
        <w:t>concentración del fármaco  en suero y su eficacia tiene un alto margen de seguridad, el control rutinario de rangos terapéuticos </w:t>
      </w:r>
      <w:r>
        <w:rPr>
          <w:spacing w:val="-3"/>
        </w:rPr>
        <w:t>no </w:t>
      </w:r>
      <w:r>
        <w:rPr/>
        <w:t>se recomienda para este medicamento en </w:t>
      </w:r>
      <w:r>
        <w:rPr>
          <w:spacing w:val="-4"/>
        </w:rPr>
        <w:t>las </w:t>
      </w:r>
      <w:r>
        <w:rPr/>
        <w:t>personas (Johannessen et </w:t>
      </w:r>
      <w:r>
        <w:rPr>
          <w:spacing w:val="-3"/>
        </w:rPr>
        <w:t>al, </w:t>
      </w:r>
      <w:r>
        <w:rPr/>
        <w:t>2003; Hovinga, 2001). Dewey (2006) recomienda una dosis inicial de 20 mg/kg de peso corporal administrada cada 8 horas en base a datos farmacocinéticos y experiencia  </w:t>
      </w:r>
      <w:r>
        <w:rPr>
          <w:spacing w:val="12"/>
        </w:rPr>
        <w:t> </w:t>
      </w:r>
      <w:r>
        <w:rPr/>
        <w:t>clínica.</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4"/>
        <w:jc w:val="both"/>
      </w:pPr>
      <w:r>
        <w:rPr/>
        <w:t>Esta dosis se puede aumentar en incrementos de 20 mg/kg hasta que se consigue la eficacia, los efectos secundarios se hacen evidentes, o el fármaco se hace prohibitivo debido al costo.</w:t>
      </w:r>
    </w:p>
    <w:p>
      <w:pPr>
        <w:pStyle w:val="BodyText"/>
        <w:spacing w:line="480" w:lineRule="auto" w:before="212"/>
        <w:ind w:left="152" w:right="100" w:firstLine="57"/>
        <w:jc w:val="both"/>
      </w:pPr>
      <w:r>
        <w:rPr/>
        <w:t>Los datos de toxicidad a largo plazo para levetiracetam en los perros confirman </w:t>
      </w:r>
      <w:r>
        <w:rPr>
          <w:spacing w:val="3"/>
        </w:rPr>
        <w:t>que </w:t>
      </w:r>
      <w:r>
        <w:rPr/>
        <w:t>el fármaco es seguro. En un informe reciente, el uso de levetiracetam como terapia adicional en perros epilépticos se asoció con una reducción significativa (54%) en </w:t>
      </w:r>
      <w:r>
        <w:rPr>
          <w:spacing w:val="-5"/>
        </w:rPr>
        <w:t>la </w:t>
      </w:r>
      <w:r>
        <w:rPr/>
        <w:t>frecuencia de crisis, sin efectos secundarios aparentes (Steinberg y Faissler, 2004). Debido a </w:t>
      </w:r>
      <w:r>
        <w:rPr>
          <w:spacing w:val="-5"/>
        </w:rPr>
        <w:t>la </w:t>
      </w:r>
      <w:r>
        <w:rPr/>
        <w:t>escasez de efectos secundarios y </w:t>
      </w:r>
      <w:r>
        <w:rPr>
          <w:spacing w:val="-3"/>
        </w:rPr>
        <w:t>la </w:t>
      </w:r>
      <w:r>
        <w:rPr/>
        <w:t>falta de metabolismo hepático, el levetiracetam es un  anticonvulsivo de elección para pacientes con disfunción hepática (Glass et </w:t>
      </w:r>
      <w:r>
        <w:rPr>
          <w:spacing w:val="-4"/>
        </w:rPr>
        <w:t>al, </w:t>
      </w:r>
      <w:r>
        <w:rPr/>
        <w:t>2005). En gatos una dosis de 20 mg/kg administrados por </w:t>
      </w:r>
      <w:r>
        <w:rPr>
          <w:spacing w:val="-4"/>
        </w:rPr>
        <w:t>vía </w:t>
      </w:r>
      <w:r>
        <w:rPr/>
        <w:t>oral cada 8 horas típicamente alcanza un rango terapéutico dentro del intervalo recomendado para </w:t>
      </w:r>
      <w:r>
        <w:rPr>
          <w:spacing w:val="-4"/>
        </w:rPr>
        <w:t>las </w:t>
      </w:r>
      <w:r>
        <w:rPr/>
        <w:t>personas. Sin embargo es México es muy</w:t>
      </w:r>
      <w:r>
        <w:rPr>
          <w:spacing w:val="-8"/>
        </w:rPr>
        <w:t> </w:t>
      </w:r>
      <w:r>
        <w:rPr/>
        <w:t>costoso.</w:t>
      </w:r>
    </w:p>
    <w:p>
      <w:pPr>
        <w:pStyle w:val="BodyText"/>
      </w:pPr>
    </w:p>
    <w:p>
      <w:pPr>
        <w:pStyle w:val="BodyText"/>
      </w:pPr>
    </w:p>
    <w:p>
      <w:pPr>
        <w:pStyle w:val="BodyText"/>
      </w:pPr>
    </w:p>
    <w:p>
      <w:pPr>
        <w:pStyle w:val="Heading2"/>
        <w:numPr>
          <w:ilvl w:val="1"/>
          <w:numId w:val="12"/>
        </w:numPr>
        <w:tabs>
          <w:tab w:pos="2985" w:val="left" w:leader="none"/>
          <w:tab w:pos="2986" w:val="left" w:leader="none"/>
        </w:tabs>
        <w:spacing w:line="240" w:lineRule="auto" w:before="182" w:after="0"/>
        <w:ind w:left="2986" w:right="0" w:hanging="697"/>
        <w:jc w:val="left"/>
        <w:rPr>
          <w:rFonts w:ascii="Cambria"/>
        </w:rPr>
      </w:pPr>
      <w:bookmarkStart w:name="_bookmark34" w:id="58"/>
      <w:bookmarkEnd w:id="58"/>
      <w:r>
        <w:rPr>
          <w:b w:val="0"/>
        </w:rPr>
      </w:r>
      <w:bookmarkStart w:name="_bookmark34" w:id="59"/>
      <w:bookmarkEnd w:id="59"/>
      <w:r>
        <w:rPr>
          <w:rFonts w:ascii="Cambria"/>
        </w:rPr>
        <w:t>Z</w:t>
      </w:r>
      <w:r>
        <w:rPr>
          <w:rFonts w:ascii="Cambria"/>
        </w:rPr>
        <w:t>onisamida</w:t>
      </w:r>
    </w:p>
    <w:p>
      <w:pPr>
        <w:pStyle w:val="BodyText"/>
        <w:spacing w:line="480" w:lineRule="auto" w:before="97"/>
        <w:ind w:left="152" w:right="105"/>
        <w:jc w:val="both"/>
      </w:pPr>
      <w:r>
        <w:rPr/>
        <w:t>La zonisamida es </w:t>
      </w:r>
      <w:r>
        <w:rPr>
          <w:spacing w:val="3"/>
        </w:rPr>
        <w:t>un </w:t>
      </w:r>
      <w:r>
        <w:rPr/>
        <w:t>fármaco anticonvulsivo derivado de una sulfonamida recientemente aprobada para uso humano; que </w:t>
      </w:r>
      <w:r>
        <w:rPr>
          <w:spacing w:val="-3"/>
        </w:rPr>
        <w:t>ha </w:t>
      </w:r>
      <w:r>
        <w:rPr/>
        <w:t>demostrado eficacia en el tratamiento de </w:t>
      </w:r>
      <w:r>
        <w:rPr>
          <w:spacing w:val="-3"/>
        </w:rPr>
        <w:t>las </w:t>
      </w:r>
      <w:r>
        <w:rPr/>
        <w:t>crisis focales y generalizadas en las personas, con efectos secundarios mínimos (Dewey et </w:t>
      </w:r>
      <w:r>
        <w:rPr>
          <w:spacing w:val="-3"/>
        </w:rPr>
        <w:t>al, </w:t>
      </w:r>
      <w:r>
        <w:rPr/>
        <w:t>2004b; Oommen y Mathews, 1999). Se cree que algunos mecanismos de acción anticonvulsivos son </w:t>
      </w:r>
      <w:r>
        <w:rPr>
          <w:spacing w:val="-3"/>
        </w:rPr>
        <w:t>la </w:t>
      </w:r>
      <w:r>
        <w:rPr/>
        <w:t>obstrucción de los canales de sodio y calcio tipo T dependientes de voltaje en el cerebro, </w:t>
      </w:r>
      <w:r>
        <w:rPr>
          <w:spacing w:val="-5"/>
        </w:rPr>
        <w:t>la </w:t>
      </w:r>
      <w:r>
        <w:rPr/>
        <w:t>facilitación de </w:t>
      </w:r>
      <w:r>
        <w:rPr>
          <w:spacing w:val="-3"/>
        </w:rPr>
        <w:t>la </w:t>
      </w:r>
      <w:r>
        <w:rPr/>
        <w:t>neurotransmisión serotonérgica y dopaminérgica en el sistema nervioso central, barrido de radicales libres, mejora de </w:t>
      </w:r>
      <w:r>
        <w:rPr>
          <w:spacing w:val="-3"/>
        </w:rPr>
        <w:t>las </w:t>
      </w:r>
      <w:r>
        <w:rPr/>
        <w:t>acciones de</w:t>
      </w:r>
      <w:r>
        <w:rPr>
          <w:spacing w:val="55"/>
        </w:rPr>
        <w:t> </w:t>
      </w:r>
      <w:r>
        <w:rPr/>
        <w:t>GABA</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99"/>
        <w:jc w:val="both"/>
      </w:pPr>
      <w:r>
        <w:rPr/>
        <w:t>en el cerebro, </w:t>
      </w:r>
      <w:r>
        <w:rPr>
          <w:spacing w:val="-3"/>
        </w:rPr>
        <w:t>la </w:t>
      </w:r>
      <w:r>
        <w:rPr/>
        <w:t>inhibición de glutamato y </w:t>
      </w:r>
      <w:r>
        <w:rPr>
          <w:spacing w:val="-3"/>
        </w:rPr>
        <w:t>la </w:t>
      </w:r>
      <w:r>
        <w:rPr/>
        <w:t>inhibición de </w:t>
      </w:r>
      <w:r>
        <w:rPr>
          <w:spacing w:val="-3"/>
        </w:rPr>
        <w:t>la </w:t>
      </w:r>
      <w:r>
        <w:rPr/>
        <w:t>actividad de </w:t>
      </w:r>
      <w:r>
        <w:rPr>
          <w:spacing w:val="-3"/>
        </w:rPr>
        <w:t>la </w:t>
      </w:r>
      <w:r>
        <w:rPr/>
        <w:t>anhidrasa carbónica (Schachter, 2007; Boothe y Perkins, 2008). La zonisamida se metaboliza principalmente por </w:t>
      </w:r>
      <w:r>
        <w:rPr>
          <w:spacing w:val="-3"/>
        </w:rPr>
        <w:t>las </w:t>
      </w:r>
      <w:r>
        <w:rPr/>
        <w:t>enzimas microsomales hepáticas, y el t ½ en los perros es de aproximadamente 15 horas y los niveles séricos estables en 3 ó 4 días (Boothe y Perkins, 2008; Orito et </w:t>
      </w:r>
      <w:r>
        <w:rPr>
          <w:spacing w:val="-4"/>
        </w:rPr>
        <w:t>al, </w:t>
      </w:r>
      <w:r>
        <w:rPr/>
        <w:t>2008). En las personas, se </w:t>
      </w:r>
      <w:r>
        <w:rPr>
          <w:spacing w:val="-3"/>
        </w:rPr>
        <w:t>ha </w:t>
      </w:r>
      <w:r>
        <w:rPr/>
        <w:t>demostrado que </w:t>
      </w:r>
      <w:r>
        <w:rPr>
          <w:spacing w:val="-5"/>
        </w:rPr>
        <w:t>la </w:t>
      </w:r>
      <w:r>
        <w:rPr/>
        <w:t>eliminación t ½ de </w:t>
      </w:r>
      <w:r>
        <w:rPr>
          <w:spacing w:val="-5"/>
        </w:rPr>
        <w:t>la </w:t>
      </w:r>
      <w:r>
        <w:rPr/>
        <w:t>zonisamida es drásticamente menor en los pacientes que </w:t>
      </w:r>
      <w:r>
        <w:rPr>
          <w:spacing w:val="-3"/>
        </w:rPr>
        <w:t>ya </w:t>
      </w:r>
      <w:r>
        <w:rPr/>
        <w:t>están recibiendo medicamentos que estimulan las enzimas microsomales hepáticas en comparación con los pacientes que  </w:t>
      </w:r>
      <w:r>
        <w:rPr>
          <w:spacing w:val="-3"/>
        </w:rPr>
        <w:t>no </w:t>
      </w:r>
      <w:r>
        <w:rPr/>
        <w:t>están recibiendo este tipo de fármacos (Leppik, 2004). Un fenómeno similar parece ocurrir en perros (Orito </w:t>
      </w:r>
      <w:r>
        <w:rPr>
          <w:spacing w:val="-3"/>
        </w:rPr>
        <w:t>et </w:t>
      </w:r>
      <w:r>
        <w:rPr>
          <w:spacing w:val="-4"/>
        </w:rPr>
        <w:t>al, </w:t>
      </w:r>
      <w:r>
        <w:rPr/>
        <w:t>2008). Cuando se utiliza como un complemento de </w:t>
      </w:r>
      <w:r>
        <w:rPr>
          <w:spacing w:val="-3"/>
        </w:rPr>
        <w:t>la </w:t>
      </w:r>
      <w:r>
        <w:rPr/>
        <w:t>terapia para los perros que </w:t>
      </w:r>
      <w:r>
        <w:rPr>
          <w:spacing w:val="-5"/>
        </w:rPr>
        <w:t>ya </w:t>
      </w:r>
      <w:r>
        <w:rPr/>
        <w:t>están recibiendo medicamentos que requieren metabolismo hepático, se recomienda una dosis inicial de zonisamida oral de 10 mg/kg de peso, administrado cada 12 horas. Este régimen de dosificación mantiene las concentraciones de zonisamida en suero dentro del rango terapéutico reportado para </w:t>
      </w:r>
      <w:r>
        <w:rPr>
          <w:spacing w:val="-3"/>
        </w:rPr>
        <w:t>las </w:t>
      </w:r>
      <w:r>
        <w:rPr/>
        <w:t>personas (10 a 40 mg/ml) cuando se utiliza como complemento de </w:t>
      </w:r>
      <w:r>
        <w:rPr>
          <w:spacing w:val="-5"/>
        </w:rPr>
        <w:t>la </w:t>
      </w:r>
      <w:r>
        <w:rPr/>
        <w:t>terapia. Para los perros que </w:t>
      </w:r>
      <w:r>
        <w:rPr>
          <w:spacing w:val="-3"/>
        </w:rPr>
        <w:t>no </w:t>
      </w:r>
      <w:r>
        <w:rPr/>
        <w:t>reciben simultáneamente fármacos que inducen las enzimas microsomales hepáticas, se recomienda iniciar </w:t>
      </w:r>
      <w:r>
        <w:rPr>
          <w:spacing w:val="-3"/>
        </w:rPr>
        <w:t>la </w:t>
      </w:r>
      <w:r>
        <w:rPr/>
        <w:t>zonisamida a una dosis de 5 mg/kg de peso corporal administrados cada 12 horas (Dewey  et </w:t>
      </w:r>
      <w:r>
        <w:rPr>
          <w:spacing w:val="-3"/>
        </w:rPr>
        <w:t>al, </w:t>
      </w:r>
      <w:r>
        <w:rPr/>
        <w:t>2004b). Las concentraciones de zonisamida séricas se miden después de 1 semana de tratamiento. En un estudio, mínimos efectos secundarios ocurrieron en perros Beagle en dosis diarias de hasta 75 mg/kg de peso corporal al día durante 1 año (Walker et </w:t>
      </w:r>
      <w:r>
        <w:rPr>
          <w:spacing w:val="-4"/>
        </w:rPr>
        <w:t>al, </w:t>
      </w:r>
      <w:r>
        <w:rPr/>
        <w:t>1988). En otro estudio, </w:t>
      </w:r>
      <w:r>
        <w:rPr>
          <w:spacing w:val="-3"/>
        </w:rPr>
        <w:t>la </w:t>
      </w:r>
      <w:r>
        <w:rPr/>
        <w:t>zonisamida disminuyó </w:t>
      </w:r>
      <w:r>
        <w:rPr>
          <w:spacing w:val="-3"/>
        </w:rPr>
        <w:t>la </w:t>
      </w:r>
      <w:r>
        <w:rPr/>
        <w:t>frecuencia de convulsiones por </w:t>
      </w:r>
      <w:r>
        <w:rPr>
          <w:spacing w:val="-5"/>
        </w:rPr>
        <w:t>lo </w:t>
      </w:r>
      <w:r>
        <w:rPr/>
        <w:t>menos 50% en 7 de 12 perros con epilepsia idiopática refractaria. En este grupo, </w:t>
      </w:r>
      <w:r>
        <w:rPr>
          <w:spacing w:val="-3"/>
        </w:rPr>
        <w:t>la </w:t>
      </w:r>
      <w:r>
        <w:rPr/>
        <w:t>reducción media </w:t>
      </w:r>
      <w:r>
        <w:rPr>
          <w:spacing w:val="59"/>
        </w:rPr>
        <w:t> </w:t>
      </w:r>
      <w:r>
        <w:rPr/>
        <w:t>en</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1"/>
        <w:jc w:val="both"/>
      </w:pPr>
      <w:r>
        <w:rPr>
          <w:spacing w:val="-3"/>
        </w:rPr>
        <w:t>la </w:t>
      </w:r>
      <w:r>
        <w:rPr/>
        <w:t>frecuencia de </w:t>
      </w:r>
      <w:r>
        <w:rPr>
          <w:spacing w:val="-3"/>
        </w:rPr>
        <w:t>las </w:t>
      </w:r>
      <w:r>
        <w:rPr/>
        <w:t>crisis </w:t>
      </w:r>
      <w:r>
        <w:rPr>
          <w:spacing w:val="-3"/>
        </w:rPr>
        <w:t>fue </w:t>
      </w:r>
      <w:r>
        <w:rPr/>
        <w:t>de 81.3%. </w:t>
      </w:r>
      <w:r>
        <w:rPr>
          <w:spacing w:val="3"/>
        </w:rPr>
        <w:t>En </w:t>
      </w:r>
      <w:r>
        <w:rPr/>
        <w:t>6 de los 7 perros, </w:t>
      </w:r>
      <w:r>
        <w:rPr>
          <w:spacing w:val="-5"/>
        </w:rPr>
        <w:t>la </w:t>
      </w:r>
      <w:r>
        <w:rPr/>
        <w:t>zonisamida </w:t>
      </w:r>
      <w:r>
        <w:rPr>
          <w:spacing w:val="-3"/>
        </w:rPr>
        <w:t>fue </w:t>
      </w:r>
      <w:r>
        <w:rPr/>
        <w:t>capaz de reducir las crisis 92,2% en promedio. Los efectos secundarios leves (por ejemplo, sedación transitoria, ataxia y vómitos) se produjeron en 6 (50%) de los perros; ninguno de los efectos secundarios se consideraron </w:t>
      </w:r>
      <w:r>
        <w:rPr>
          <w:spacing w:val="-5"/>
        </w:rPr>
        <w:t>lo </w:t>
      </w:r>
      <w:r>
        <w:rPr/>
        <w:t>suficientemente graves como para interrumpir el tratamiento zonisamida (Dewey at </w:t>
      </w:r>
      <w:r>
        <w:rPr>
          <w:spacing w:val="-4"/>
        </w:rPr>
        <w:t>la, </w:t>
      </w:r>
      <w:r>
        <w:rPr/>
        <w:t>2004). Otro estudio en perros epilépticos refractarios, 9 de 11 perros que recibieron zonisamida respondieron, con una mediana de reducción de convulsiones de 92,9%; sedación transitoria y ataxia se observaron en seis perros (Klopmann et </w:t>
      </w:r>
      <w:r>
        <w:rPr>
          <w:spacing w:val="-3"/>
        </w:rPr>
        <w:t>al, </w:t>
      </w:r>
      <w:r>
        <w:rPr/>
        <w:t>2007). En un estudio </w:t>
      </w:r>
      <w:r>
        <w:rPr>
          <w:spacing w:val="-3"/>
        </w:rPr>
        <w:t>más </w:t>
      </w:r>
      <w:r>
        <w:rPr/>
        <w:t>reciente con 10 perros epilépticos de reciente diagnóstico y utilizando zonisamida como monoterapia 6 respondieron favorablemente con una reducción en </w:t>
      </w:r>
      <w:r>
        <w:rPr>
          <w:spacing w:val="-3"/>
        </w:rPr>
        <w:t>la </w:t>
      </w:r>
      <w:r>
        <w:rPr/>
        <w:t>frecuencia de las crisis mayor al 50% (Chung et </w:t>
      </w:r>
      <w:r>
        <w:rPr>
          <w:spacing w:val="-3"/>
        </w:rPr>
        <w:t>al, </w:t>
      </w:r>
      <w:r>
        <w:rPr/>
        <w:t>2012). Según  Dewey (2006) </w:t>
      </w:r>
      <w:r>
        <w:rPr>
          <w:spacing w:val="-3"/>
        </w:rPr>
        <w:t>ha </w:t>
      </w:r>
      <w:r>
        <w:rPr/>
        <w:t>utilizado zonisamida como un único fármaco anticonvulsivo en un gran número de perros. Estos han sido casi exclusivamente a los pacientes de raza pequeña  cuyos propietarios deseaban evitar los efectos secundarios asociados con el bromuro y </w:t>
      </w:r>
      <w:r>
        <w:rPr>
          <w:spacing w:val="4"/>
        </w:rPr>
        <w:t>el </w:t>
      </w:r>
      <w:r>
        <w:rPr/>
        <w:t>fenobarbital. Siendo eficaz, con pocos o ningún efecto secundario</w:t>
      </w:r>
      <w:r>
        <w:rPr>
          <w:spacing w:val="-20"/>
        </w:rPr>
        <w:t> </w:t>
      </w:r>
      <w:r>
        <w:rPr/>
        <w:t>aparente.</w:t>
      </w:r>
    </w:p>
    <w:p>
      <w:pPr>
        <w:pStyle w:val="BodyText"/>
        <w:spacing w:before="9"/>
        <w:rPr>
          <w:sz w:val="21"/>
        </w:rPr>
      </w:pPr>
    </w:p>
    <w:p>
      <w:pPr>
        <w:pStyle w:val="Heading2"/>
        <w:numPr>
          <w:ilvl w:val="1"/>
          <w:numId w:val="12"/>
        </w:numPr>
        <w:tabs>
          <w:tab w:pos="2828" w:val="left" w:leader="none"/>
        </w:tabs>
        <w:spacing w:line="240" w:lineRule="auto" w:before="0" w:after="0"/>
        <w:ind w:left="2827" w:right="0" w:hanging="538"/>
        <w:jc w:val="left"/>
        <w:rPr>
          <w:rFonts w:ascii="Cambria"/>
        </w:rPr>
      </w:pPr>
      <w:bookmarkStart w:name="_bookmark35" w:id="60"/>
      <w:bookmarkEnd w:id="60"/>
      <w:r>
        <w:rPr>
          <w:b w:val="0"/>
        </w:rPr>
      </w:r>
      <w:bookmarkStart w:name="_bookmark35" w:id="61"/>
      <w:bookmarkEnd w:id="61"/>
      <w:r>
        <w:rPr>
          <w:rFonts w:ascii="Cambria"/>
        </w:rPr>
        <w:t>N</w:t>
      </w:r>
      <w:r>
        <w:rPr>
          <w:rFonts w:ascii="Cambria"/>
        </w:rPr>
        <w:t>uevos</w:t>
      </w:r>
      <w:r>
        <w:rPr>
          <w:rFonts w:ascii="Cambria"/>
          <w:spacing w:val="-16"/>
        </w:rPr>
        <w:t> </w:t>
      </w:r>
      <w:r>
        <w:rPr>
          <w:rFonts w:ascii="Cambria"/>
        </w:rPr>
        <w:t>anticonvulsivos</w:t>
      </w:r>
    </w:p>
    <w:p>
      <w:pPr>
        <w:pStyle w:val="ListParagraph"/>
        <w:numPr>
          <w:ilvl w:val="2"/>
          <w:numId w:val="13"/>
        </w:numPr>
        <w:tabs>
          <w:tab w:pos="926" w:val="left" w:leader="none"/>
        </w:tabs>
        <w:spacing w:line="480" w:lineRule="auto" w:before="102" w:after="0"/>
        <w:ind w:left="152" w:right="101" w:firstLine="0"/>
        <w:jc w:val="both"/>
        <w:rPr>
          <w:sz w:val="24"/>
        </w:rPr>
      </w:pPr>
      <w:r>
        <w:rPr>
          <w:sz w:val="24"/>
        </w:rPr>
        <w:t>TOPIRAMATO. El topiramato (TPM) es un antiepiléptico relativamente nuevo utilizado en el tratamiento de </w:t>
      </w:r>
      <w:r>
        <w:rPr>
          <w:spacing w:val="-5"/>
          <w:sz w:val="24"/>
        </w:rPr>
        <w:t>la </w:t>
      </w:r>
      <w:r>
        <w:rPr>
          <w:sz w:val="24"/>
        </w:rPr>
        <w:t>epilepsia humana. Es un monosacárido sulfamato- sustituido que actúa sobre múltiples mecanismos de señalización, mejora </w:t>
      </w:r>
      <w:r>
        <w:rPr>
          <w:spacing w:val="-3"/>
          <w:sz w:val="24"/>
        </w:rPr>
        <w:t>la </w:t>
      </w:r>
      <w:r>
        <w:rPr>
          <w:sz w:val="24"/>
        </w:rPr>
        <w:t>actividad GABAérgica, mejora </w:t>
      </w:r>
      <w:r>
        <w:rPr>
          <w:spacing w:val="-5"/>
          <w:sz w:val="24"/>
        </w:rPr>
        <w:t>la </w:t>
      </w:r>
      <w:r>
        <w:rPr>
          <w:sz w:val="24"/>
        </w:rPr>
        <w:t>inhibición de los canales de sodio y calcio, </w:t>
      </w:r>
      <w:r>
        <w:rPr>
          <w:spacing w:val="-3"/>
          <w:sz w:val="24"/>
        </w:rPr>
        <w:t>las </w:t>
      </w:r>
      <w:r>
        <w:rPr>
          <w:sz w:val="24"/>
        </w:rPr>
        <w:t>corrientes de kainato y las isoenzimas de </w:t>
      </w:r>
      <w:r>
        <w:rPr>
          <w:spacing w:val="-3"/>
          <w:sz w:val="24"/>
        </w:rPr>
        <w:t>la </w:t>
      </w:r>
      <w:r>
        <w:rPr>
          <w:sz w:val="24"/>
        </w:rPr>
        <w:t>anhidrasa carbónica (Taverna et </w:t>
      </w:r>
      <w:r>
        <w:rPr>
          <w:spacing w:val="-4"/>
          <w:sz w:val="24"/>
        </w:rPr>
        <w:t>al. </w:t>
      </w:r>
      <w:r>
        <w:rPr>
          <w:sz w:val="24"/>
        </w:rPr>
        <w:t>1999; White et </w:t>
      </w:r>
      <w:r>
        <w:rPr>
          <w:spacing w:val="-3"/>
          <w:sz w:val="24"/>
        </w:rPr>
        <w:t>al. </w:t>
      </w:r>
      <w:r>
        <w:rPr>
          <w:sz w:val="24"/>
        </w:rPr>
        <w:t>2000; Zhang et </w:t>
      </w:r>
      <w:r>
        <w:rPr>
          <w:spacing w:val="-3"/>
          <w:sz w:val="24"/>
        </w:rPr>
        <w:t>al.</w:t>
      </w:r>
      <w:r>
        <w:rPr>
          <w:spacing w:val="6"/>
          <w:sz w:val="24"/>
        </w:rPr>
        <w:t> </w:t>
      </w:r>
      <w:r>
        <w:rPr>
          <w:sz w:val="24"/>
        </w:rPr>
        <w:t>2000).</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0"/>
        <w:jc w:val="both"/>
      </w:pPr>
      <w:r>
        <w:rPr/>
        <w:t>En los seres humanos, TPM ha servido como monoterapia tanto </w:t>
      </w:r>
      <w:r>
        <w:rPr>
          <w:spacing w:val="-3"/>
        </w:rPr>
        <w:t>como </w:t>
      </w:r>
      <w:r>
        <w:rPr/>
        <w:t>adyuvante. Para el tratamiento de </w:t>
      </w:r>
      <w:r>
        <w:rPr>
          <w:spacing w:val="-4"/>
        </w:rPr>
        <w:t>las </w:t>
      </w:r>
      <w:r>
        <w:rPr/>
        <w:t>crisis epilépticas focales y generalizadas, así como ataques relacionados con el síndrome de Lennox-Gastaut (Elterman et </w:t>
      </w:r>
      <w:r>
        <w:rPr>
          <w:spacing w:val="-4"/>
        </w:rPr>
        <w:t>al. </w:t>
      </w:r>
      <w:r>
        <w:rPr/>
        <w:t>1999; Glauser et </w:t>
      </w:r>
      <w:r>
        <w:rPr>
          <w:spacing w:val="-4"/>
        </w:rPr>
        <w:t>al. </w:t>
      </w:r>
      <w:r>
        <w:rPr/>
        <w:t>2000; Montouris et </w:t>
      </w:r>
      <w:r>
        <w:rPr>
          <w:spacing w:val="-3"/>
        </w:rPr>
        <w:t>al. </w:t>
      </w:r>
      <w:r>
        <w:rPr/>
        <w:t>2000; Ritter </w:t>
      </w:r>
      <w:r>
        <w:rPr>
          <w:spacing w:val="-3"/>
        </w:rPr>
        <w:t>et </w:t>
      </w:r>
      <w:r>
        <w:rPr>
          <w:spacing w:val="-4"/>
        </w:rPr>
        <w:t>al. </w:t>
      </w:r>
      <w:r>
        <w:rPr/>
        <w:t>2000). Los efectos adversos más comunes relacionados con el uso </w:t>
      </w:r>
      <w:r>
        <w:rPr>
          <w:spacing w:val="2"/>
        </w:rPr>
        <w:t>del </w:t>
      </w:r>
      <w:r>
        <w:rPr/>
        <w:t>TPM en los seres humanos son somnolencia, mareos, dolor de cabeza, parestesia, fatiga, pérdida de peso y anorexia (Guerrini et </w:t>
      </w:r>
      <w:r>
        <w:rPr>
          <w:spacing w:val="-4"/>
        </w:rPr>
        <w:t>al. </w:t>
      </w:r>
      <w:r>
        <w:rPr/>
        <w:t>2005; Naritoku </w:t>
      </w:r>
      <w:r>
        <w:rPr>
          <w:spacing w:val="-3"/>
        </w:rPr>
        <w:t>et </w:t>
      </w:r>
      <w:r>
        <w:rPr>
          <w:spacing w:val="-4"/>
        </w:rPr>
        <w:t>al. </w:t>
      </w:r>
      <w:r>
        <w:rPr/>
        <w:t>2005). La medicación con TPM también puede predisponer a nefrolitiasis por fosfato de </w:t>
      </w:r>
      <w:r>
        <w:rPr>
          <w:spacing w:val="-4"/>
        </w:rPr>
        <w:t>calcio </w:t>
      </w:r>
      <w:r>
        <w:rPr/>
        <w:t>(Welch et </w:t>
      </w:r>
      <w:r>
        <w:rPr>
          <w:spacing w:val="-3"/>
        </w:rPr>
        <w:t>al. </w:t>
      </w:r>
      <w:r>
        <w:rPr/>
        <w:t>2006). En un estudio de diez perros con epilepsia refractaria </w:t>
      </w:r>
      <w:r>
        <w:rPr>
          <w:spacing w:val="-3"/>
        </w:rPr>
        <w:t>la </w:t>
      </w:r>
      <w:r>
        <w:rPr/>
        <w:t>eficacia del topiramato se evaluó mediante la comparación de las convulsiones y frecuencia de convulsiones durante un período retrospectivo de 2 </w:t>
      </w:r>
      <w:r>
        <w:rPr>
          <w:spacing w:val="-3"/>
        </w:rPr>
        <w:t>meses </w:t>
      </w:r>
      <w:r>
        <w:rPr/>
        <w:t>a corto </w:t>
      </w:r>
      <w:r>
        <w:rPr>
          <w:spacing w:val="-3"/>
        </w:rPr>
        <w:t>plazo </w:t>
      </w:r>
      <w:r>
        <w:rPr/>
        <w:t>y con un seguimiento de 6 meses. Cinco perros (50%) respondieron a </w:t>
      </w:r>
      <w:r>
        <w:rPr>
          <w:spacing w:val="-5"/>
        </w:rPr>
        <w:t>la </w:t>
      </w:r>
      <w:r>
        <w:rPr/>
        <w:t>terapia con topiramato durante el corto </w:t>
      </w:r>
      <w:r>
        <w:rPr>
          <w:spacing w:val="-3"/>
        </w:rPr>
        <w:t>plazo </w:t>
      </w:r>
      <w:r>
        <w:rPr/>
        <w:t>de seguimiento. Tres de los cinco perros mantuvieron </w:t>
      </w:r>
      <w:r>
        <w:rPr>
          <w:spacing w:val="-5"/>
        </w:rPr>
        <w:t>la </w:t>
      </w:r>
      <w:r>
        <w:rPr/>
        <w:t>respuesta durante el seguimiento a largo plazo. Pérdida de peso, sedación y </w:t>
      </w:r>
      <w:r>
        <w:rPr>
          <w:spacing w:val="-3"/>
        </w:rPr>
        <w:t>la </w:t>
      </w:r>
      <w:r>
        <w:rPr/>
        <w:t>ataxia fueron los efectos adversos </w:t>
      </w:r>
      <w:r>
        <w:rPr>
          <w:spacing w:val="-4"/>
        </w:rPr>
        <w:t>más </w:t>
      </w:r>
      <w:r>
        <w:rPr/>
        <w:t>comunes de </w:t>
      </w:r>
      <w:r>
        <w:rPr>
          <w:spacing w:val="-5"/>
        </w:rPr>
        <w:t>la </w:t>
      </w:r>
      <w:r>
        <w:rPr/>
        <w:t>terapia, los signos disminuyeron en unas semanas a meses a una sedación o ataxia  leve (Kiviranta et </w:t>
      </w:r>
      <w:r>
        <w:rPr>
          <w:spacing w:val="-4"/>
        </w:rPr>
        <w:t>al,</w:t>
      </w:r>
      <w:r>
        <w:rPr>
          <w:spacing w:val="4"/>
        </w:rPr>
        <w:t> </w:t>
      </w:r>
      <w:r>
        <w:rPr/>
        <w:t>2013).</w:t>
      </w:r>
    </w:p>
    <w:p>
      <w:pPr>
        <w:pStyle w:val="ListParagraph"/>
        <w:numPr>
          <w:ilvl w:val="2"/>
          <w:numId w:val="13"/>
        </w:numPr>
        <w:tabs>
          <w:tab w:pos="878" w:val="left" w:leader="none"/>
        </w:tabs>
        <w:spacing w:line="480" w:lineRule="auto" w:before="207" w:after="0"/>
        <w:ind w:left="152" w:right="106" w:firstLine="0"/>
        <w:jc w:val="both"/>
        <w:rPr>
          <w:sz w:val="24"/>
        </w:rPr>
      </w:pPr>
      <w:r>
        <w:rPr>
          <w:sz w:val="24"/>
        </w:rPr>
        <w:t>IMIPETOÍN. Nuevo anticonvulsivo de uso veterinario que actúa por </w:t>
      </w:r>
      <w:r>
        <w:rPr>
          <w:spacing w:val="-5"/>
          <w:sz w:val="24"/>
        </w:rPr>
        <w:t>la </w:t>
      </w:r>
      <w:r>
        <w:rPr>
          <w:sz w:val="24"/>
        </w:rPr>
        <w:t>potenciación de GABA, ha demostrado ser un fármaco eficaz en el tratamiento de epilepsia, pero </w:t>
      </w:r>
      <w:r>
        <w:rPr>
          <w:spacing w:val="-3"/>
          <w:sz w:val="24"/>
        </w:rPr>
        <w:t>no </w:t>
      </w:r>
      <w:r>
        <w:rPr>
          <w:sz w:val="24"/>
        </w:rPr>
        <w:t>muestra mejores resultados de tratamiento que otros antiepilépticos. Se utiliza en dosis de 10 y 30 mg/kg/BID por </w:t>
      </w:r>
      <w:r>
        <w:rPr>
          <w:spacing w:val="-4"/>
          <w:sz w:val="24"/>
        </w:rPr>
        <w:t>vía </w:t>
      </w:r>
      <w:r>
        <w:rPr>
          <w:sz w:val="24"/>
        </w:rPr>
        <w:t>oral. En un estudio de 226 perros 45% del grupo medicado con imepitoín y 20%  del grupo  de  fenobarbital fueron excluidos del estudio  por  </w:t>
      </w:r>
      <w:r>
        <w:rPr>
          <w:spacing w:val="-3"/>
          <w:sz w:val="24"/>
        </w:rPr>
        <w:t>falla  </w:t>
      </w:r>
      <w:r>
        <w:rPr>
          <w:sz w:val="24"/>
        </w:rPr>
        <w:t>en   </w:t>
      </w:r>
      <w:r>
        <w:rPr>
          <w:spacing w:val="44"/>
          <w:sz w:val="24"/>
        </w:rPr>
        <w:t> </w:t>
      </w:r>
      <w:r>
        <w:rPr>
          <w:spacing w:val="-3"/>
          <w:sz w:val="24"/>
        </w:rPr>
        <w:t>la</w:t>
      </w:r>
    </w:p>
    <w:p>
      <w:pPr>
        <w:pStyle w:val="BodyText"/>
        <w:spacing w:before="10"/>
        <w:ind w:left="152"/>
        <w:jc w:val="both"/>
      </w:pPr>
      <w:r>
        <w:rPr/>
        <w:t>respuesta anticonvulsiva, la frecuencia media de convulsiones generalizadas, después de 20</w:t>
      </w:r>
    </w:p>
    <w:p>
      <w:pPr>
        <w:spacing w:after="0"/>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7"/>
        <w:jc w:val="both"/>
      </w:pPr>
      <w:r>
        <w:rPr/>
        <w:t>semanas de tratamiento, se redujo de 2,3 convulsiones mensuales en el grupo de imepitoín  y de 2,4 convulsiones mensuales en el grupo de fenobarbital a 1,1 convulsiones mensuales en ambos grupos. Se registraron poliuria, polidipsia y fatiga como principales efectos clínicos adversos. Administrado por un período de 6 meses, </w:t>
      </w:r>
      <w:r>
        <w:rPr>
          <w:spacing w:val="-3"/>
        </w:rPr>
        <w:t>no </w:t>
      </w:r>
      <w:r>
        <w:rPr/>
        <w:t>mostró inducción de enzimas hepáticas los niveles de fosfatasa alcalina (FAS) y alanino  </w:t>
      </w:r>
      <w:r>
        <w:rPr>
          <w:spacing w:val="-3"/>
        </w:rPr>
        <w:t>amino  </w:t>
      </w:r>
      <w:r>
        <w:rPr/>
        <w:t>transferasa (ALT) se mantuvieron en rango. Actualmente se comercializa </w:t>
      </w:r>
      <w:r>
        <w:rPr>
          <w:spacing w:val="-3"/>
        </w:rPr>
        <w:t>solo </w:t>
      </w:r>
      <w:r>
        <w:rPr/>
        <w:t>en Europa por laboratorios Boeringher Ingelheim (Pexion)®. (EPAR,</w:t>
      </w:r>
      <w:r>
        <w:rPr>
          <w:spacing w:val="-18"/>
        </w:rPr>
        <w:t> </w:t>
      </w:r>
      <w:r>
        <w:rPr/>
        <w:t>2013).</w:t>
      </w:r>
    </w:p>
    <w:p>
      <w:pPr>
        <w:pStyle w:val="BodyText"/>
        <w:spacing w:before="3"/>
        <w:rPr>
          <w:sz w:val="22"/>
        </w:rPr>
      </w:pPr>
    </w:p>
    <w:p>
      <w:pPr>
        <w:pStyle w:val="Heading2"/>
        <w:numPr>
          <w:ilvl w:val="1"/>
          <w:numId w:val="9"/>
        </w:numPr>
        <w:tabs>
          <w:tab w:pos="2328" w:val="left" w:leader="none"/>
        </w:tabs>
        <w:spacing w:line="240" w:lineRule="auto" w:before="0" w:after="0"/>
        <w:ind w:left="2327" w:right="0" w:hanging="398"/>
        <w:jc w:val="left"/>
        <w:rPr>
          <w:rFonts w:ascii="Cambria"/>
        </w:rPr>
      </w:pPr>
      <w:bookmarkStart w:name="_bookmark36" w:id="62"/>
      <w:bookmarkEnd w:id="62"/>
      <w:r>
        <w:rPr>
          <w:rFonts w:ascii="Cambria"/>
        </w:rPr>
        <w:t>D</w:t>
      </w:r>
      <w:r>
        <w:rPr>
          <w:rFonts w:ascii="Cambria"/>
        </w:rPr>
        <w:t>rogas</w:t>
      </w:r>
      <w:r>
        <w:rPr>
          <w:rFonts w:ascii="Cambria"/>
          <w:spacing w:val="-12"/>
        </w:rPr>
        <w:t> </w:t>
      </w:r>
      <w:r>
        <w:rPr>
          <w:rFonts w:ascii="Cambria"/>
        </w:rPr>
        <w:t>contraindicadas</w:t>
      </w:r>
    </w:p>
    <w:p>
      <w:pPr>
        <w:pStyle w:val="BodyText"/>
        <w:spacing w:line="480" w:lineRule="auto" w:before="97"/>
        <w:ind w:left="152" w:right="101"/>
        <w:jc w:val="both"/>
      </w:pPr>
      <w:r>
        <w:rPr/>
        <w:t>Hay un número de fármacos más antiguos que son generalmente ineficaces en perros, </w:t>
      </w:r>
      <w:r>
        <w:rPr>
          <w:position w:val="2"/>
        </w:rPr>
        <w:t>principalmente debido a su corta eliminación t </w:t>
      </w:r>
      <w:r>
        <w:rPr>
          <w:sz w:val="16"/>
        </w:rPr>
        <w:t>1/2 </w:t>
      </w:r>
      <w:r>
        <w:rPr>
          <w:position w:val="2"/>
        </w:rPr>
        <w:t>en esta especie. Estos medicamentos se </w:t>
      </w:r>
      <w:r>
        <w:rPr/>
        <w:t>sospecha que son tóxicos para los gatos también. Ellos incluyen fenitoína, carbamazepina, ácido valproico, etosuximida (Thomas, 2003) y más recientemente medicamentos que se han sugerido para su uso en perros incluyen vigabatrina, lamotrigina, oxcarbazepina, tiagabina y topiramato (Speciale et al, 1991). Aunque hay información limitada sobre el uso </w:t>
      </w:r>
      <w:r>
        <w:rPr>
          <w:position w:val="2"/>
        </w:rPr>
        <w:t>de estos fármacos en los perros, su eliminación corta t </w:t>
      </w:r>
      <w:r>
        <w:rPr>
          <w:sz w:val="16"/>
        </w:rPr>
        <w:t>1/2 </w:t>
      </w:r>
      <w:r>
        <w:rPr>
          <w:position w:val="2"/>
        </w:rPr>
        <w:t>en combinación con sus costos </w:t>
      </w:r>
      <w:r>
        <w:rPr/>
        <w:t>predice que no pueden ser útiles para los perros.</w:t>
      </w:r>
    </w:p>
    <w:p>
      <w:pPr>
        <w:pStyle w:val="BodyText"/>
        <w:spacing w:line="480" w:lineRule="auto" w:before="207"/>
        <w:ind w:left="152" w:right="110"/>
        <w:jc w:val="both"/>
      </w:pPr>
      <w:r>
        <w:rPr/>
        <w:t>Un estudio que evaluó la vigabatrina en perros epilépticos refractarios y la eficacia resultó dudosa; además, 2 de los 14 perros que recibieron el fármaco desarrollaron anemia hemolítica (Speciale, 1991).</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7" w:firstLine="57"/>
        <w:jc w:val="both"/>
      </w:pPr>
      <w:r>
        <w:rPr>
          <w:position w:val="2"/>
        </w:rPr>
        <w:t>La lamotrigina tiene una t </w:t>
      </w:r>
      <w:r>
        <w:rPr>
          <w:sz w:val="16"/>
        </w:rPr>
        <w:t>1/2 </w:t>
      </w:r>
      <w:r>
        <w:rPr>
          <w:position w:val="2"/>
        </w:rPr>
        <w:t>de eliminación de sólo 2 a 3 horas en perros y sufre </w:t>
      </w:r>
      <w:r>
        <w:rPr/>
        <w:t>significativo metabolismo hepático a un compuesto potencialmente cardiotóxico. (Dewey et al, 2004a; Rho et al, 1994)</w:t>
      </w:r>
    </w:p>
    <w:p>
      <w:pPr>
        <w:pStyle w:val="BodyText"/>
        <w:spacing w:line="480" w:lineRule="auto" w:before="212"/>
        <w:ind w:left="152" w:right="108"/>
        <w:jc w:val="both"/>
      </w:pPr>
      <w:r>
        <w:rPr/>
        <w:t>La oxcarbazepina parece inducir su propio metabolismo hepático en los perros, y tiene </w:t>
      </w:r>
      <w:r>
        <w:rPr>
          <w:spacing w:val="4"/>
        </w:rPr>
        <w:t>una  </w:t>
      </w:r>
      <w:r>
        <w:rPr>
          <w:position w:val="2"/>
        </w:rPr>
        <w:t>t </w:t>
      </w:r>
      <w:r>
        <w:rPr>
          <w:sz w:val="16"/>
        </w:rPr>
        <w:t>1/2 </w:t>
      </w:r>
      <w:r>
        <w:rPr>
          <w:position w:val="2"/>
        </w:rPr>
        <w:t>de eliminación de sólo 1 hora después de 8 días de dosificación oral repetida (Schicht et </w:t>
      </w:r>
      <w:r>
        <w:rPr>
          <w:spacing w:val="-3"/>
        </w:rPr>
        <w:t>al,</w:t>
      </w:r>
      <w:r>
        <w:rPr>
          <w:spacing w:val="6"/>
        </w:rPr>
        <w:t> </w:t>
      </w:r>
      <w:r>
        <w:rPr/>
        <w:t>1999).</w:t>
      </w:r>
    </w:p>
    <w:p>
      <w:pPr>
        <w:pStyle w:val="BodyText"/>
        <w:spacing w:line="480" w:lineRule="auto" w:before="206"/>
        <w:ind w:left="152" w:right="117"/>
        <w:jc w:val="both"/>
      </w:pPr>
      <w:r>
        <w:rPr>
          <w:position w:val="2"/>
        </w:rPr>
        <w:t>Tiagabina tiene una t </w:t>
      </w:r>
      <w:r>
        <w:rPr>
          <w:sz w:val="16"/>
        </w:rPr>
        <w:t>1/2 </w:t>
      </w:r>
      <w:r>
        <w:rPr>
          <w:position w:val="2"/>
        </w:rPr>
        <w:t>de eliminación de aproximadamente 2 horas en perros y ha sido </w:t>
      </w:r>
      <w:r>
        <w:rPr/>
        <w:t>causa de sedación marcada y discapacidad visual a dosis relativamente bajas  (Reddy, 1998).</w:t>
      </w:r>
    </w:p>
    <w:p>
      <w:pPr>
        <w:pStyle w:val="BodyText"/>
        <w:spacing w:line="480" w:lineRule="auto" w:before="212"/>
        <w:ind w:left="152" w:right="106"/>
        <w:jc w:val="both"/>
      </w:pPr>
      <w:r>
        <w:rPr/>
        <w:t>Ácido valproico, valproato ó valproato sódico actúa bloqueando los canales de sodio dependientes de voltaje, facilitando la inhibión del GABA, y reduciendo el umbral de los canales de calcio tipo T (Schachter, 2007). Es efectivo en humanos en todo tipo de convulsiones pero en medicina veterinaria su uso está limitado debido a que es rápidamente metabolizado en el perro (Loscher, 1981). Por lo tanto es usado como politerapia en combinación con otros fármacos como fenobarbital cuando en monoterapia no es efectivo. Además produce alopecia, vómitos y potencial hepatotoxicidad (Nafe et al, 1981).</w:t>
      </w:r>
    </w:p>
    <w:p>
      <w:pPr>
        <w:pStyle w:val="BodyText"/>
        <w:spacing w:line="480" w:lineRule="auto" w:before="207"/>
        <w:ind w:left="152" w:right="102"/>
        <w:jc w:val="both"/>
      </w:pPr>
      <w:r>
        <w:rPr/>
        <w:t>Debido a falta de datos sobre toxicidad para los gatos, ningún medicamento antes mencionado puede ser recomendado para el tratamiento de los trastornos convulsivos felinos.</w:t>
      </w:r>
    </w:p>
    <w:p>
      <w:pPr>
        <w:spacing w:after="0" w:line="480" w:lineRule="auto"/>
        <w:jc w:val="both"/>
        <w:sectPr>
          <w:pgSz w:w="12240" w:h="15840"/>
          <w:pgMar w:header="0" w:footer="2131" w:top="1500" w:bottom="2320" w:left="1720" w:right="1420"/>
        </w:sectPr>
      </w:pPr>
    </w:p>
    <w:p>
      <w:pPr>
        <w:pStyle w:val="BodyText"/>
        <w:spacing w:before="4"/>
        <w:rPr>
          <w:sz w:val="21"/>
        </w:rPr>
      </w:pPr>
    </w:p>
    <w:p>
      <w:pPr>
        <w:pStyle w:val="Heading2"/>
        <w:numPr>
          <w:ilvl w:val="1"/>
          <w:numId w:val="9"/>
        </w:numPr>
        <w:tabs>
          <w:tab w:pos="2328" w:val="left" w:leader="none"/>
        </w:tabs>
        <w:spacing w:line="240" w:lineRule="auto" w:before="67" w:after="0"/>
        <w:ind w:left="2327" w:right="0" w:hanging="398"/>
        <w:jc w:val="left"/>
        <w:rPr>
          <w:rFonts w:ascii="Cambria"/>
        </w:rPr>
      </w:pPr>
      <w:bookmarkStart w:name="_bookmark37" w:id="63"/>
      <w:bookmarkEnd w:id="63"/>
      <w:r>
        <w:rPr>
          <w:rFonts w:ascii="Cambria"/>
        </w:rPr>
        <w:t>E</w:t>
      </w:r>
      <w:r>
        <w:rPr>
          <w:rFonts w:ascii="Cambria"/>
        </w:rPr>
        <w:t>pilepsia</w:t>
      </w:r>
      <w:r>
        <w:rPr>
          <w:rFonts w:ascii="Cambria"/>
          <w:spacing w:val="-11"/>
        </w:rPr>
        <w:t> </w:t>
      </w:r>
      <w:r>
        <w:rPr>
          <w:rFonts w:ascii="Cambria"/>
        </w:rPr>
        <w:t>refractaria</w:t>
      </w:r>
    </w:p>
    <w:p>
      <w:pPr>
        <w:pStyle w:val="BodyText"/>
        <w:spacing w:line="480" w:lineRule="auto" w:before="97"/>
        <w:ind w:left="152" w:right="101"/>
        <w:jc w:val="both"/>
      </w:pPr>
      <w:r>
        <w:rPr/>
        <w:t>En general, se considera epilepsia refractaria, a aquellos pacientes que a pesar </w:t>
      </w:r>
      <w:r>
        <w:rPr>
          <w:spacing w:val="2"/>
        </w:rPr>
        <w:t>del </w:t>
      </w:r>
      <w:r>
        <w:rPr/>
        <w:t>tratamiento farmacológico adecuado, </w:t>
      </w:r>
      <w:r>
        <w:rPr>
          <w:spacing w:val="-5"/>
        </w:rPr>
        <w:t>la </w:t>
      </w:r>
      <w:r>
        <w:rPr/>
        <w:t>calidad de vida del paciente se </w:t>
      </w:r>
      <w:r>
        <w:rPr>
          <w:spacing w:val="-3"/>
        </w:rPr>
        <w:t>ve </w:t>
      </w:r>
      <w:r>
        <w:rPr/>
        <w:t>afectada por  crisis frecuentes o severas o efectos adversos de los medicamentos. (Devinsky, 1989) Las definiciones precisas varían en función </w:t>
      </w:r>
      <w:r>
        <w:rPr>
          <w:spacing w:val="2"/>
        </w:rPr>
        <w:t>del </w:t>
      </w:r>
      <w:r>
        <w:rPr/>
        <w:t>contexto, pero hay tres principales  componentes: número de fármacos anticonvulsivos utilizados, frecuencia de </w:t>
      </w:r>
      <w:r>
        <w:rPr>
          <w:spacing w:val="-3"/>
        </w:rPr>
        <w:t>las </w:t>
      </w:r>
      <w:r>
        <w:rPr/>
        <w:t>convulsiones, y </w:t>
      </w:r>
      <w:r>
        <w:rPr>
          <w:spacing w:val="-3"/>
        </w:rPr>
        <w:t>la </w:t>
      </w:r>
      <w:r>
        <w:rPr/>
        <w:t>duración </w:t>
      </w:r>
      <w:r>
        <w:rPr>
          <w:spacing w:val="-3"/>
        </w:rPr>
        <w:t>no </w:t>
      </w:r>
      <w:r>
        <w:rPr/>
        <w:t>controlada del padecimiento. Los criterios clínicamente útiles son </w:t>
      </w:r>
      <w:r>
        <w:rPr>
          <w:spacing w:val="-3"/>
        </w:rPr>
        <w:t>la </w:t>
      </w:r>
      <w:r>
        <w:rPr/>
        <w:t>falta de respuesta a dos medicamentos anticonvulsivos, al menos una convulsión por </w:t>
      </w:r>
      <w:r>
        <w:rPr>
          <w:spacing w:val="-3"/>
        </w:rPr>
        <w:t>mes, </w:t>
      </w:r>
      <w:r>
        <w:rPr/>
        <w:t>y duración de al menos un año (Beleza, 2009). Dewey y otros (2004a), consideran epilepsia refractaria perros con convulsiones </w:t>
      </w:r>
      <w:r>
        <w:rPr>
          <w:spacing w:val="-3"/>
        </w:rPr>
        <w:t>no </w:t>
      </w:r>
      <w:r>
        <w:rPr/>
        <w:t>controladas a pesar de tener niveles adecuados en suero de fenobarbital o bromuro de potasio, o perros en los que los niveles séricos subterapéuticos </w:t>
      </w:r>
      <w:r>
        <w:rPr>
          <w:spacing w:val="-3"/>
        </w:rPr>
        <w:t>no </w:t>
      </w:r>
      <w:r>
        <w:rPr/>
        <w:t>se pueden aumentar sin causar efectos secundarios inaceptables. Podell y Fenner (1993) consideran que </w:t>
      </w:r>
      <w:r>
        <w:rPr>
          <w:spacing w:val="-5"/>
        </w:rPr>
        <w:t>la </w:t>
      </w:r>
      <w:r>
        <w:rPr/>
        <w:t>epilepsia es refractaria cuando el número y severidad de las convulsiones </w:t>
      </w:r>
      <w:r>
        <w:rPr>
          <w:spacing w:val="-3"/>
        </w:rPr>
        <w:t>no ha </w:t>
      </w:r>
      <w:r>
        <w:rPr/>
        <w:t>cambiado durante al menos 4 meses de haber iniciado </w:t>
      </w:r>
      <w:r>
        <w:rPr>
          <w:spacing w:val="-5"/>
        </w:rPr>
        <w:t>la </w:t>
      </w:r>
      <w:r>
        <w:rPr/>
        <w:t>terapia con fenobarbital y las concentraciones séricas más bajas después de haberse mantenido en el rango de referencia 20-40</w:t>
      </w:r>
      <w:r>
        <w:rPr>
          <w:spacing w:val="-4"/>
        </w:rPr>
        <w:t> </w:t>
      </w:r>
      <w:r>
        <w:rPr>
          <w:spacing w:val="-3"/>
        </w:rPr>
        <w:t>µg/ml.</w:t>
      </w:r>
    </w:p>
    <w:p>
      <w:pPr>
        <w:pStyle w:val="BodyText"/>
        <w:spacing w:line="480" w:lineRule="auto" w:before="207"/>
        <w:ind w:left="152" w:right="99"/>
        <w:jc w:val="both"/>
      </w:pPr>
      <w:r>
        <w:rPr/>
        <w:t>Aproximadamente el 25% de los perros tratados por epilepsia en los centros de referencia </w:t>
      </w:r>
      <w:r>
        <w:rPr>
          <w:spacing w:val="-3"/>
        </w:rPr>
        <w:t>no </w:t>
      </w:r>
      <w:r>
        <w:rPr/>
        <w:t>son bien controlados con fármacos anticonvulsivos, (Schwartz-Porsche, 1985; Podell y Fenner, 1993; Farnbach, 1984). En pacientes con aparente epilepsia refractaria, es esencial </w:t>
      </w:r>
      <w:r>
        <w:rPr>
          <w:spacing w:val="-3"/>
        </w:rPr>
        <w:t>la </w:t>
      </w:r>
      <w:r>
        <w:rPr/>
        <w:t>búsqueda de errores en el diagnóstico o </w:t>
      </w:r>
      <w:r>
        <w:rPr>
          <w:spacing w:val="-5"/>
        </w:rPr>
        <w:t>la </w:t>
      </w:r>
      <w:r>
        <w:rPr/>
        <w:t>gestión que pueden ser responsables </w:t>
      </w:r>
      <w:r>
        <w:rPr>
          <w:spacing w:val="2"/>
        </w:rPr>
        <w:t>del </w:t>
      </w:r>
      <w:r>
        <w:rPr/>
        <w:t>fracaso  del  tratamiento.  Errores  de  diagnóstico  incluyen  </w:t>
      </w:r>
      <w:r>
        <w:rPr>
          <w:spacing w:val="-3"/>
        </w:rPr>
        <w:t>la  </w:t>
      </w:r>
      <w:r>
        <w:rPr/>
        <w:t>falta  de  reconocimiento</w:t>
      </w:r>
      <w:r>
        <w:rPr>
          <w:spacing w:val="17"/>
        </w:rPr>
        <w:t> </w:t>
      </w:r>
      <w:r>
        <w:rPr/>
        <w:t>de</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01"/>
        <w:jc w:val="both"/>
      </w:pPr>
      <w:r>
        <w:rPr/>
        <w:t>trastornos paroxísticos </w:t>
      </w:r>
      <w:r>
        <w:rPr>
          <w:spacing w:val="-3"/>
        </w:rPr>
        <w:t>no </w:t>
      </w:r>
      <w:r>
        <w:rPr/>
        <w:t>epilépticos y las causas subyacentes de </w:t>
      </w:r>
      <w:r>
        <w:rPr>
          <w:spacing w:val="-3"/>
        </w:rPr>
        <w:t>las </w:t>
      </w:r>
      <w:r>
        <w:rPr/>
        <w:t>convulsiones. Estos deben ser evitados por una historia clínica meticulosa, una visión completa y adecuada del uso de exámenes diagnósticos complementarios, como neuroimagen y el análisis del LCR. Los errores en </w:t>
      </w:r>
      <w:r>
        <w:rPr>
          <w:spacing w:val="-3"/>
        </w:rPr>
        <w:t>la </w:t>
      </w:r>
      <w:r>
        <w:rPr/>
        <w:t>terapia farmacológica incluye el uso de medicamentos ineficaces, dosificación incorrecta e incumplimiento (Beleza, 2009). La actividad proconvulsivante de los estrógenos debe tomarse en cuenta, </w:t>
      </w:r>
      <w:r>
        <w:rPr>
          <w:spacing w:val="-5"/>
        </w:rPr>
        <w:t>ya </w:t>
      </w:r>
      <w:r>
        <w:rPr/>
        <w:t>que son a menudo pasados por alto en </w:t>
      </w:r>
      <w:r>
        <w:rPr>
          <w:spacing w:val="-5"/>
        </w:rPr>
        <w:t>la </w:t>
      </w:r>
      <w:r>
        <w:rPr/>
        <w:t>revisión de </w:t>
      </w:r>
      <w:r>
        <w:rPr>
          <w:spacing w:val="-3"/>
        </w:rPr>
        <w:t>la </w:t>
      </w:r>
      <w:r>
        <w:rPr/>
        <w:t>historia médica de un perro. De vez en cuando una perra </w:t>
      </w:r>
      <w:r>
        <w:rPr>
          <w:spacing w:val="-3"/>
        </w:rPr>
        <w:t>no </w:t>
      </w:r>
      <w:r>
        <w:rPr/>
        <w:t>está esterilizada y experimenta un aumento en </w:t>
      </w:r>
      <w:r>
        <w:rPr>
          <w:spacing w:val="-5"/>
        </w:rPr>
        <w:t>la </w:t>
      </w:r>
      <w:r>
        <w:rPr/>
        <w:t>frecuencia de convulsiones durante el estro o un perro castrado que pueda estar en terapia con estrógenos para </w:t>
      </w:r>
      <w:r>
        <w:rPr>
          <w:spacing w:val="-5"/>
        </w:rPr>
        <w:t>la </w:t>
      </w:r>
      <w:r>
        <w:rPr/>
        <w:t>incontinencia urinaria. Los estrógenos pueden exacerbar </w:t>
      </w:r>
      <w:r>
        <w:rPr>
          <w:spacing w:val="-3"/>
        </w:rPr>
        <w:t>las </w:t>
      </w:r>
      <w:r>
        <w:rPr/>
        <w:t>crisis en racimo y deben ser evitados (Monteiro et  </w:t>
      </w:r>
      <w:r>
        <w:rPr>
          <w:spacing w:val="-3"/>
        </w:rPr>
        <w:t>al, </w:t>
      </w:r>
      <w:r>
        <w:rPr/>
        <w:t>2012). Aproximadamente el 30% y el 50% de los pacientes humanos con epilepsia </w:t>
      </w:r>
      <w:r>
        <w:rPr>
          <w:spacing w:val="-3"/>
        </w:rPr>
        <w:t>no </w:t>
      </w:r>
      <w:r>
        <w:rPr/>
        <w:t>cumplen con </w:t>
      </w:r>
      <w:r>
        <w:rPr>
          <w:spacing w:val="-3"/>
        </w:rPr>
        <w:t>la </w:t>
      </w:r>
      <w:r>
        <w:rPr/>
        <w:t>terapia prescrita (Beleza, 2009). En pacientes veterinarios </w:t>
      </w:r>
      <w:r>
        <w:rPr>
          <w:spacing w:val="-3"/>
        </w:rPr>
        <w:t>no </w:t>
      </w:r>
      <w:r>
        <w:rPr/>
        <w:t>se han publicado datos similares, pero el incumplimiento en </w:t>
      </w:r>
      <w:r>
        <w:rPr>
          <w:spacing w:val="-3"/>
        </w:rPr>
        <w:t>la </w:t>
      </w:r>
      <w:r>
        <w:rPr/>
        <w:t>dosificación es probablemente el mayor problema en </w:t>
      </w:r>
      <w:r>
        <w:rPr>
          <w:spacing w:val="-3"/>
        </w:rPr>
        <w:t>la </w:t>
      </w:r>
      <w:r>
        <w:rPr/>
        <w:t>medicina veterinaria. Una causa común de un mal control es el uso de varios fármacos a los cuales </w:t>
      </w:r>
      <w:r>
        <w:rPr>
          <w:spacing w:val="-3"/>
        </w:rPr>
        <w:t>no </w:t>
      </w:r>
      <w:r>
        <w:rPr/>
        <w:t>se les dio el tiempo suficiente de valoración, se han cambiado rápido o </w:t>
      </w:r>
      <w:r>
        <w:rPr>
          <w:spacing w:val="-3"/>
        </w:rPr>
        <w:t>las </w:t>
      </w:r>
      <w:r>
        <w:rPr/>
        <w:t>dosis </w:t>
      </w:r>
      <w:r>
        <w:rPr>
          <w:spacing w:val="-3"/>
        </w:rPr>
        <w:t>no </w:t>
      </w:r>
      <w:r>
        <w:rPr/>
        <w:t>se han incrementado </w:t>
      </w:r>
      <w:r>
        <w:rPr>
          <w:spacing w:val="-5"/>
        </w:rPr>
        <w:t>lo </w:t>
      </w:r>
      <w:r>
        <w:rPr/>
        <w:t>suficientemente debido al miedo a los efectos adversos. La monitorización terapéutica es útil para identificar las concentraciones sanguíneas bajas causadas por dosis insuficiente o incumplimiento. La remisión a un neurólogo se debe considerar si el control </w:t>
      </w:r>
      <w:r>
        <w:rPr>
          <w:spacing w:val="-3"/>
        </w:rPr>
        <w:t>no </w:t>
      </w:r>
      <w:r>
        <w:rPr/>
        <w:t>se consigue en un plazo razonable de tiempo o si el diagnóstico es incierto (Thomas, 2010; Knowles,</w:t>
      </w:r>
      <w:r>
        <w:rPr>
          <w:spacing w:val="-24"/>
        </w:rPr>
        <w:t> </w:t>
      </w:r>
      <w:r>
        <w:rPr/>
        <w:t>1998).</w:t>
      </w:r>
    </w:p>
    <w:p>
      <w:pPr>
        <w:spacing w:after="0" w:line="480" w:lineRule="auto"/>
        <w:jc w:val="both"/>
        <w:sectPr>
          <w:footerReference w:type="default" r:id="rId29"/>
          <w:pgSz w:w="12240" w:h="15840"/>
          <w:pgMar w:footer="2131" w:header="0" w:top="1500" w:bottom="2320" w:left="1720" w:right="1420"/>
        </w:sectPr>
      </w:pPr>
    </w:p>
    <w:p>
      <w:pPr>
        <w:pStyle w:val="BodyText"/>
        <w:spacing w:before="4"/>
        <w:rPr>
          <w:sz w:val="21"/>
        </w:rPr>
      </w:pPr>
    </w:p>
    <w:p>
      <w:pPr>
        <w:pStyle w:val="Heading2"/>
        <w:numPr>
          <w:ilvl w:val="1"/>
          <w:numId w:val="9"/>
        </w:numPr>
        <w:tabs>
          <w:tab w:pos="2328" w:val="left" w:leader="none"/>
        </w:tabs>
        <w:spacing w:line="240" w:lineRule="auto" w:before="67" w:after="0"/>
        <w:ind w:left="2327" w:right="0" w:hanging="398"/>
        <w:jc w:val="left"/>
        <w:rPr>
          <w:rFonts w:ascii="Cambria" w:hAnsi="Cambria"/>
        </w:rPr>
      </w:pPr>
      <w:bookmarkStart w:name="_bookmark38" w:id="64"/>
      <w:bookmarkEnd w:id="64"/>
      <w:r>
        <w:rPr>
          <w:rFonts w:ascii="Cambria" w:hAnsi="Cambria"/>
        </w:rPr>
        <w:t>T</w:t>
      </w:r>
      <w:r>
        <w:rPr>
          <w:rFonts w:ascii="Cambria" w:hAnsi="Cambria"/>
        </w:rPr>
        <w:t>ratamientos alternos de la epilepsia</w:t>
      </w:r>
      <w:r>
        <w:rPr>
          <w:rFonts w:ascii="Cambria" w:hAnsi="Cambria"/>
          <w:spacing w:val="-28"/>
        </w:rPr>
        <w:t> </w:t>
      </w:r>
      <w:r>
        <w:rPr>
          <w:rFonts w:ascii="Cambria" w:hAnsi="Cambria"/>
        </w:rPr>
        <w:t>idiopática</w:t>
      </w:r>
    </w:p>
    <w:p>
      <w:pPr>
        <w:pStyle w:val="BodyText"/>
        <w:spacing w:before="11"/>
        <w:rPr>
          <w:rFonts w:ascii="Cambria"/>
          <w:b/>
          <w:sz w:val="23"/>
        </w:rPr>
      </w:pPr>
    </w:p>
    <w:p>
      <w:pPr>
        <w:pStyle w:val="ListParagraph"/>
        <w:numPr>
          <w:ilvl w:val="2"/>
          <w:numId w:val="9"/>
        </w:numPr>
        <w:tabs>
          <w:tab w:pos="2985" w:val="left" w:leader="none"/>
          <w:tab w:pos="2986" w:val="left" w:leader="none"/>
        </w:tabs>
        <w:spacing w:line="240" w:lineRule="auto" w:before="0" w:after="0"/>
        <w:ind w:left="2986" w:right="0" w:hanging="697"/>
        <w:jc w:val="left"/>
        <w:rPr>
          <w:rFonts w:ascii="Cambria" w:hAnsi="Cambria"/>
          <w:b/>
          <w:sz w:val="24"/>
        </w:rPr>
      </w:pPr>
      <w:bookmarkStart w:name="_bookmark39" w:id="65"/>
      <w:bookmarkEnd w:id="65"/>
      <w:r>
        <w:rPr/>
      </w:r>
      <w:bookmarkStart w:name="_bookmark39" w:id="66"/>
      <w:bookmarkEnd w:id="66"/>
      <w:r>
        <w:rPr>
          <w:rFonts w:ascii="Cambria" w:hAnsi="Cambria"/>
          <w:b/>
          <w:sz w:val="24"/>
        </w:rPr>
        <w:t>C</w:t>
      </w:r>
      <w:r>
        <w:rPr>
          <w:rFonts w:ascii="Cambria" w:hAnsi="Cambria"/>
          <w:b/>
          <w:sz w:val="24"/>
        </w:rPr>
        <w:t>irugía</w:t>
      </w:r>
    </w:p>
    <w:p>
      <w:pPr>
        <w:pStyle w:val="BodyText"/>
        <w:spacing w:line="480" w:lineRule="auto" w:before="97"/>
        <w:ind w:left="152" w:right="102"/>
        <w:jc w:val="both"/>
      </w:pPr>
      <w:r>
        <w:rPr/>
        <w:t>En los seres humanos, la cirugía es una opción terapéutica cada vez más aceptada para los pacientes cuyas convulsiones no están bien controladas por los anticonvulsivos y son muy frecuentes, graves, o ambas cosas y que interfieren con la calidad de vida de una persona (Engel, 1989). La escisión cortical o lobectomía, seccionamiento del cuerpo calloso y hemisferectomía es generalmente reservado (Adams et al, 1997; Engel, 1989). La eficacia de la cirugía en perros con EI refractaria es desconocida. Hay un informe en el que  se realizó sección del cuerpo calloso en un pequeño número de perros con convulsiones generalizadas médicamente refractarios con resultados alentadores a corto plazo (Thomas, 2000; Bagley et al, 1996)</w:t>
      </w:r>
    </w:p>
    <w:p>
      <w:pPr>
        <w:pStyle w:val="BodyText"/>
        <w:spacing w:before="3"/>
        <w:rPr>
          <w:sz w:val="22"/>
        </w:rPr>
      </w:pPr>
    </w:p>
    <w:p>
      <w:pPr>
        <w:pStyle w:val="Heading2"/>
        <w:numPr>
          <w:ilvl w:val="2"/>
          <w:numId w:val="9"/>
        </w:numPr>
        <w:tabs>
          <w:tab w:pos="2985" w:val="left" w:leader="none"/>
          <w:tab w:pos="2986" w:val="left" w:leader="none"/>
        </w:tabs>
        <w:spacing w:line="240" w:lineRule="auto" w:before="0" w:after="0"/>
        <w:ind w:left="2986" w:right="0" w:hanging="697"/>
        <w:jc w:val="left"/>
        <w:rPr>
          <w:rFonts w:ascii="Cambria"/>
        </w:rPr>
      </w:pPr>
      <w:bookmarkStart w:name="_bookmark40" w:id="67"/>
      <w:bookmarkEnd w:id="67"/>
      <w:r>
        <w:rPr>
          <w:b w:val="0"/>
        </w:rPr>
      </w:r>
      <w:bookmarkStart w:name="_bookmark40" w:id="68"/>
      <w:bookmarkEnd w:id="68"/>
      <w:r>
        <w:rPr>
          <w:rFonts w:ascii="Cambria"/>
        </w:rPr>
        <w:t>A</w:t>
      </w:r>
      <w:r>
        <w:rPr>
          <w:rFonts w:ascii="Cambria"/>
        </w:rPr>
        <w:t>cupuntura</w:t>
      </w:r>
    </w:p>
    <w:p>
      <w:pPr>
        <w:pStyle w:val="BodyText"/>
        <w:spacing w:line="480" w:lineRule="auto" w:before="97"/>
        <w:ind w:left="152" w:right="100"/>
        <w:jc w:val="both"/>
      </w:pPr>
      <w:r>
        <w:rPr/>
        <w:t>La acupuntura y otras manipulaciones se han utilizado para miles de años en el tratamiento de la epilepsia humana en China, pero los resultados no han sido examinados adecuadamente (Engel, 1989). La acupuntura se ha informado que es útil para controlar las convulsiones en perros y gatos cuando los anticonvulsivos orales fallan. (Chrisman, 1995). Y se ha descrito que ha sido efectiva en EI temprana además de aumentar la habilidad de la carbamazepina aunque no para convulsiones por distemper canino (Sumano et al, 1987). En perros involucra utilizar agujas de acupuntura situados en los meridianos de vesícula biliar, vejiga urinaria, bazo-páncreas e hígado (Van Niekerk, 1988) y puntos extraordinarios, incluyendo  puntos auriculares o  implantación de  balines de oro  en puntos de  acupuntura</w:t>
      </w:r>
    </w:p>
    <w:p>
      <w:pPr>
        <w:spacing w:after="0" w:line="480" w:lineRule="auto"/>
        <w:jc w:val="both"/>
        <w:sectPr>
          <w:footerReference w:type="default" r:id="rId30"/>
          <w:pgSz w:w="12240" w:h="15840"/>
          <w:pgMar w:footer="2071" w:header="0" w:top="1500" w:bottom="2260" w:left="1720" w:right="1420"/>
          <w:pgNumType w:start="71"/>
        </w:sectPr>
      </w:pPr>
    </w:p>
    <w:p>
      <w:pPr>
        <w:pStyle w:val="BodyText"/>
        <w:spacing w:before="7"/>
        <w:rPr>
          <w:sz w:val="20"/>
        </w:rPr>
      </w:pPr>
    </w:p>
    <w:p>
      <w:pPr>
        <w:pStyle w:val="BodyText"/>
        <w:spacing w:line="480" w:lineRule="auto" w:before="69"/>
        <w:ind w:left="152" w:right="109"/>
        <w:jc w:val="both"/>
      </w:pPr>
      <w:r>
        <w:rPr/>
        <w:t>(Bagley, 2005). Según Knowles, 1998 se tiene una experiencia limitada con esta forma de terapia, pero los resultados de unos pocos casos tienden a ser mixtos. Existe necesidad de evaluar críticamente el papel de los enfoques terapéuticos "no tradicionales" en </w:t>
      </w:r>
      <w:r>
        <w:rPr>
          <w:spacing w:val="-3"/>
        </w:rPr>
        <w:t>la </w:t>
      </w:r>
      <w:r>
        <w:rPr/>
        <w:t>gestión de animales con</w:t>
      </w:r>
      <w:r>
        <w:rPr>
          <w:spacing w:val="-4"/>
        </w:rPr>
        <w:t> </w:t>
      </w:r>
      <w:r>
        <w:rPr/>
        <w:t>EI.</w:t>
      </w:r>
    </w:p>
    <w:p>
      <w:pPr>
        <w:pStyle w:val="BodyText"/>
        <w:spacing w:before="3"/>
        <w:rPr>
          <w:sz w:val="22"/>
        </w:rPr>
      </w:pPr>
    </w:p>
    <w:p>
      <w:pPr>
        <w:pStyle w:val="Heading2"/>
        <w:numPr>
          <w:ilvl w:val="2"/>
          <w:numId w:val="9"/>
        </w:numPr>
        <w:tabs>
          <w:tab w:pos="2985" w:val="left" w:leader="none"/>
          <w:tab w:pos="2986" w:val="left" w:leader="none"/>
        </w:tabs>
        <w:spacing w:line="240" w:lineRule="auto" w:before="0" w:after="0"/>
        <w:ind w:left="2986" w:right="0" w:hanging="697"/>
        <w:jc w:val="left"/>
        <w:rPr>
          <w:rFonts w:ascii="Cambria" w:hAnsi="Cambria"/>
        </w:rPr>
      </w:pPr>
      <w:bookmarkStart w:name="_bookmark41" w:id="69"/>
      <w:bookmarkEnd w:id="69"/>
      <w:r>
        <w:rPr>
          <w:b w:val="0"/>
        </w:rPr>
      </w:r>
      <w:bookmarkStart w:name="_bookmark41" w:id="70"/>
      <w:bookmarkEnd w:id="70"/>
      <w:r>
        <w:rPr>
          <w:rFonts w:ascii="Cambria" w:hAnsi="Cambria"/>
        </w:rPr>
        <w:t>H</w:t>
      </w:r>
      <w:r>
        <w:rPr>
          <w:rFonts w:ascii="Cambria" w:hAnsi="Cambria"/>
        </w:rPr>
        <w:t>omeopatía</w:t>
      </w:r>
    </w:p>
    <w:p>
      <w:pPr>
        <w:pStyle w:val="BodyText"/>
        <w:spacing w:line="480" w:lineRule="auto" w:before="97"/>
        <w:ind w:left="152" w:right="101"/>
        <w:jc w:val="both"/>
      </w:pPr>
      <w:r>
        <w:rPr/>
        <w:t>Debido a los efectos adversos de los fármacos comunes, medicamentos homeopáticos tales como </w:t>
      </w:r>
      <w:r>
        <w:rPr>
          <w:i/>
        </w:rPr>
        <w:t>Absinthium, Artemisia vulgaris, Silicea, Calcarea arsenica y belladona </w:t>
      </w:r>
      <w:r>
        <w:rPr/>
        <w:t>se han utilizado en el tratamiento de la epilepsia en seres humanos (Boericke, 2001). La </w:t>
      </w:r>
      <w:r>
        <w:rPr>
          <w:i/>
        </w:rPr>
        <w:t>belladona </w:t>
      </w:r>
      <w:r>
        <w:rPr>
          <w:i/>
        </w:rPr>
        <w:t>200C, </w:t>
      </w:r>
      <w:r>
        <w:rPr/>
        <w:t>ha sido probada en perros como una alternativa eficaz sin presentar inducción de enzimas específicas del hígado. En este estudio, 10 casos de perros con epilepsia idiopática se utilizaron para la administración de </w:t>
      </w:r>
      <w:r>
        <w:rPr>
          <w:i/>
        </w:rPr>
        <w:t>belladona 200C </w:t>
      </w:r>
      <w:r>
        <w:rPr/>
        <w:t>en intervalos de 15 minutos durante las convulsiones y fue asociada a la reducción de la actividad convulsiva dentro de la primera hora. El número de ataques fue reducido a 2-3 durante las primeras 2 semanas después de iniciar el tratamiento, reduciendo aún más a 0-1 en las siguientes dos semanas manteniéndose así durante 2-8 meses de la terapia excepto en 2 perros en  los  cuales después 15-25 días del cese de la terapia continuaron con convulsiones pero con la reanudación de las </w:t>
      </w:r>
      <w:r>
        <w:rPr>
          <w:i/>
        </w:rPr>
        <w:t>belladona 200C</w:t>
      </w:r>
      <w:r>
        <w:rPr/>
        <w:t>, los ataques fueron nuevamente controlados (Varshney, 2007).</w:t>
      </w:r>
    </w:p>
    <w:p>
      <w:pPr>
        <w:spacing w:after="0" w:line="480" w:lineRule="auto"/>
        <w:jc w:val="both"/>
        <w:sectPr>
          <w:pgSz w:w="12240" w:h="15840"/>
          <w:pgMar w:header="0" w:footer="2071" w:top="1500" w:bottom="2320" w:left="1720" w:right="1420"/>
        </w:sectPr>
      </w:pPr>
    </w:p>
    <w:p>
      <w:pPr>
        <w:pStyle w:val="BodyText"/>
        <w:spacing w:before="4"/>
        <w:rPr>
          <w:sz w:val="21"/>
        </w:rPr>
      </w:pPr>
    </w:p>
    <w:p>
      <w:pPr>
        <w:pStyle w:val="Heading2"/>
        <w:numPr>
          <w:ilvl w:val="2"/>
          <w:numId w:val="9"/>
        </w:numPr>
        <w:tabs>
          <w:tab w:pos="2985" w:val="left" w:leader="none"/>
          <w:tab w:pos="2986" w:val="left" w:leader="none"/>
        </w:tabs>
        <w:spacing w:line="240" w:lineRule="auto" w:before="67" w:after="0"/>
        <w:ind w:left="2986" w:right="0" w:hanging="697"/>
        <w:jc w:val="left"/>
        <w:rPr>
          <w:rFonts w:ascii="Cambria" w:hAnsi="Cambria"/>
        </w:rPr>
      </w:pPr>
      <w:bookmarkStart w:name="_bookmark42" w:id="71"/>
      <w:bookmarkEnd w:id="71"/>
      <w:r>
        <w:rPr>
          <w:b w:val="0"/>
        </w:rPr>
      </w:r>
      <w:bookmarkStart w:name="_bookmark42" w:id="72"/>
      <w:bookmarkEnd w:id="72"/>
      <w:r>
        <w:rPr>
          <w:rFonts w:ascii="Cambria" w:hAnsi="Cambria"/>
        </w:rPr>
        <w:t>Es</w:t>
      </w:r>
      <w:r>
        <w:rPr>
          <w:rFonts w:ascii="Cambria" w:hAnsi="Cambria"/>
        </w:rPr>
        <w:t>timulación</w:t>
      </w:r>
      <w:r>
        <w:rPr>
          <w:rFonts w:ascii="Cambria" w:hAnsi="Cambria"/>
          <w:spacing w:val="-6"/>
        </w:rPr>
        <w:t> </w:t>
      </w:r>
      <w:r>
        <w:rPr>
          <w:rFonts w:ascii="Cambria" w:hAnsi="Cambria"/>
        </w:rPr>
        <w:t>vagal</w:t>
      </w:r>
    </w:p>
    <w:p>
      <w:pPr>
        <w:pStyle w:val="BodyText"/>
        <w:spacing w:line="480" w:lineRule="auto" w:before="97"/>
        <w:ind w:left="152" w:right="110"/>
        <w:jc w:val="both"/>
      </w:pPr>
      <w:r>
        <w:rPr/>
        <w:t>También se ha recurrido a la estimulación del nervio vago utilizando un generador de pulso similar a un marcapasos. El mecanismo anticonvulsivo no se ha comprendido del todo, pero se cree que la estimulación de fibras aferentes del nervio vago probablemente modifica la actividad eléctrica cerebral y disminuye la susceptibilidad a las convulsiones. Se ha observado que esta técnica es efectiva para inhibir convulsiones inducidas experimentalmente en perros (Thomas, 2000).</w:t>
      </w:r>
    </w:p>
    <w:p>
      <w:pPr>
        <w:pStyle w:val="BodyText"/>
        <w:spacing w:before="10"/>
        <w:rPr>
          <w:sz w:val="21"/>
        </w:rPr>
      </w:pPr>
    </w:p>
    <w:p>
      <w:pPr>
        <w:pStyle w:val="Heading2"/>
        <w:numPr>
          <w:ilvl w:val="1"/>
          <w:numId w:val="9"/>
        </w:numPr>
        <w:tabs>
          <w:tab w:pos="2328" w:val="left" w:leader="none"/>
        </w:tabs>
        <w:spacing w:line="240" w:lineRule="auto" w:before="0" w:after="0"/>
        <w:ind w:left="2327" w:right="0" w:hanging="398"/>
        <w:jc w:val="left"/>
        <w:rPr>
          <w:rFonts w:ascii="Cambria" w:hAnsi="Cambria"/>
        </w:rPr>
      </w:pPr>
      <w:bookmarkStart w:name="_bookmark43" w:id="73"/>
      <w:bookmarkEnd w:id="73"/>
      <w:r>
        <w:rPr>
          <w:rFonts w:ascii="Cambria" w:hAnsi="Cambria"/>
        </w:rPr>
        <w:t>E</w:t>
      </w:r>
      <w:r>
        <w:rPr>
          <w:rFonts w:ascii="Cambria" w:hAnsi="Cambria"/>
        </w:rPr>
        <w:t>status epiléptico y terapia anticonvulsiva de</w:t>
      </w:r>
      <w:r>
        <w:rPr>
          <w:rFonts w:ascii="Cambria" w:hAnsi="Cambria"/>
          <w:spacing w:val="-23"/>
        </w:rPr>
        <w:t> </w:t>
      </w:r>
      <w:r>
        <w:rPr>
          <w:rFonts w:ascii="Cambria" w:hAnsi="Cambria"/>
        </w:rPr>
        <w:t>emergencia</w:t>
      </w:r>
    </w:p>
    <w:p>
      <w:pPr>
        <w:pStyle w:val="BodyText"/>
        <w:spacing w:line="480" w:lineRule="auto" w:before="102"/>
        <w:ind w:left="152" w:right="101"/>
        <w:jc w:val="both"/>
      </w:pPr>
      <w:r>
        <w:rPr/>
        <w:t>Convulsiones en racimo y estatus epiléptico son dos condiciones de actividad convulsiva que amenazan </w:t>
      </w:r>
      <w:r>
        <w:rPr>
          <w:spacing w:val="-3"/>
        </w:rPr>
        <w:t>la </w:t>
      </w:r>
      <w:r>
        <w:rPr/>
        <w:t>vida y son difíciles de tratar tanto en perros como personas. Dewey (2006) y Knowles (1998) consideran que las convulsiones en racimo incluyen dos o más eventos convulsivos discretos dentro de un período de 24 horas. Una convulsión discreta implica que el paciente se recupere por completo antes de experimentar un ataque posterior. El estatus epiléptico es una actividad convulsiva continua que dura </w:t>
      </w:r>
      <w:r>
        <w:rPr>
          <w:spacing w:val="-3"/>
        </w:rPr>
        <w:t>más </w:t>
      </w:r>
      <w:r>
        <w:rPr/>
        <w:t>de 5 minutos o convulsiones recurrentes en donde el paciente </w:t>
      </w:r>
      <w:r>
        <w:rPr>
          <w:spacing w:val="-3"/>
        </w:rPr>
        <w:t>no </w:t>
      </w:r>
      <w:r>
        <w:rPr/>
        <w:t>recupera </w:t>
      </w:r>
      <w:r>
        <w:rPr>
          <w:spacing w:val="-3"/>
        </w:rPr>
        <w:t>la </w:t>
      </w:r>
      <w:r>
        <w:rPr/>
        <w:t>conciencia totalmente (Thomas, 2010; Platt, 2002). Hay una superposición obvia que este tipo de actividad y convulsiones en racimo puede progresar a un estatus epiléptico en algunos pacientes. La actividad convulsiva que </w:t>
      </w:r>
      <w:r>
        <w:rPr>
          <w:spacing w:val="-3"/>
        </w:rPr>
        <w:t>no </w:t>
      </w:r>
      <w:r>
        <w:rPr/>
        <w:t>se trata puede llevar a consecuencias graves, como hipertermia, neumonía por aspiración, coagulación intravascular diseminada, y </w:t>
      </w:r>
      <w:r>
        <w:rPr>
          <w:spacing w:val="-3"/>
        </w:rPr>
        <w:t>la </w:t>
      </w:r>
      <w:r>
        <w:rPr/>
        <w:t>lesión cerebral permanente (Thomas, 2003; Podell, 1998; Platt y McDonnell, 2000). Es de vital importancia  en estos  casos  detener  </w:t>
      </w:r>
      <w:r>
        <w:rPr>
          <w:spacing w:val="-5"/>
        </w:rPr>
        <w:t>la  </w:t>
      </w:r>
      <w:r>
        <w:rPr/>
        <w:t>actividad  convulsiva  y tratar  cualquier </w:t>
      </w:r>
      <w:r>
        <w:rPr>
          <w:spacing w:val="29"/>
        </w:rPr>
        <w:t> </w:t>
      </w:r>
      <w:r>
        <w:rPr/>
        <w:t>problema</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00"/>
        <w:jc w:val="both"/>
      </w:pPr>
      <w:r>
        <w:rPr/>
        <w:t>asociado con convulsiones (por ejemplo, edema cerebral), así como proporcionar monitorización fisiológica. Muchos casos requieren sedación profunda o anestesia; estos pacientes suelen necesitar intubación traqueal y estrecha vigilancia en una unidad de cuidados intensivos (Bagley, 2005; Lahunta et al, 2009).</w:t>
      </w:r>
    </w:p>
    <w:p>
      <w:pPr>
        <w:pStyle w:val="BodyText"/>
        <w:spacing w:line="480" w:lineRule="auto" w:before="212"/>
        <w:ind w:left="152" w:right="101"/>
        <w:jc w:val="both"/>
      </w:pPr>
      <w:r>
        <w:rPr/>
        <w:t>Diazepam intravenoso (0.5 a 2.0 mg/kg) es </w:t>
      </w:r>
      <w:r>
        <w:rPr>
          <w:spacing w:val="-3"/>
        </w:rPr>
        <w:t>la </w:t>
      </w:r>
      <w:r>
        <w:rPr/>
        <w:t>opción inicial preferida para detener los ataques debido a su rápido </w:t>
      </w:r>
      <w:r>
        <w:rPr>
          <w:spacing w:val="-3"/>
        </w:rPr>
        <w:t>inicio </w:t>
      </w:r>
      <w:r>
        <w:rPr/>
        <w:t>de acción y seguridad. A pesar de esto, el diazepam a menudo </w:t>
      </w:r>
      <w:r>
        <w:rPr>
          <w:spacing w:val="-3"/>
        </w:rPr>
        <w:t>solo </w:t>
      </w:r>
      <w:r>
        <w:rPr/>
        <w:t>cesa de forma temporal </w:t>
      </w:r>
      <w:r>
        <w:rPr>
          <w:spacing w:val="-3"/>
        </w:rPr>
        <w:t>la </w:t>
      </w:r>
      <w:r>
        <w:rPr/>
        <w:t>actividad convulsiva o </w:t>
      </w:r>
      <w:r>
        <w:rPr>
          <w:spacing w:val="-3"/>
        </w:rPr>
        <w:t>no la </w:t>
      </w:r>
      <w:r>
        <w:rPr/>
        <w:t>detiene por completo. Bolos de diazepam intravenoso se deben administrar si se requiere (Thomas, 2003). Si </w:t>
      </w:r>
      <w:r>
        <w:rPr>
          <w:spacing w:val="4"/>
        </w:rPr>
        <w:t>el </w:t>
      </w:r>
      <w:r>
        <w:rPr/>
        <w:t>diazepam por vía intravenosa </w:t>
      </w:r>
      <w:r>
        <w:rPr>
          <w:spacing w:val="-3"/>
        </w:rPr>
        <w:t>no </w:t>
      </w:r>
      <w:r>
        <w:rPr/>
        <w:t>detiene </w:t>
      </w:r>
      <w:r>
        <w:rPr>
          <w:spacing w:val="-3"/>
        </w:rPr>
        <w:t>las </w:t>
      </w:r>
      <w:r>
        <w:rPr/>
        <w:t>convulsiones, otros fármacos (por ejemplo, pentobarbital, fenobarbital) deben ser administrados. Otros medicamentos derivados de las benzodiazepinas se han sugerido para el tratamiento de emergencia de las crisis en perros y gatos, pero los datos clínicos en relación con estos medicamentos son insuficientes. Estos medicamentos incluyen clonazepam, midazolam y lorazepam (Thomas, 2003; Platt y McDonnell, 2000). Clonazepam en dosis de 0.05 a 0.2 mg/kg de peso corporal intravenosa (Boothe, 2001; March et </w:t>
      </w:r>
      <w:r>
        <w:rPr>
          <w:spacing w:val="-3"/>
        </w:rPr>
        <w:t>al, </w:t>
      </w:r>
      <w:r>
        <w:rPr/>
        <w:t>2004). </w:t>
      </w:r>
      <w:r>
        <w:rPr>
          <w:spacing w:val="3"/>
        </w:rPr>
        <w:t>El </w:t>
      </w:r>
      <w:r>
        <w:rPr/>
        <w:t>midazolam puede ser más efectivo y algo más seguro que </w:t>
      </w:r>
      <w:r>
        <w:rPr>
          <w:spacing w:val="-3"/>
        </w:rPr>
        <w:t>las </w:t>
      </w:r>
      <w:r>
        <w:rPr/>
        <w:t>dosis equivalentes de diazepam; midazolam tiene un rápido </w:t>
      </w:r>
      <w:r>
        <w:rPr>
          <w:spacing w:val="-3"/>
        </w:rPr>
        <w:t>inicio </w:t>
      </w:r>
      <w:r>
        <w:rPr/>
        <w:t>de acción y una </w:t>
      </w:r>
      <w:r>
        <w:rPr>
          <w:position w:val="2"/>
        </w:rPr>
        <w:t>corta eliminación t </w:t>
      </w:r>
      <w:r>
        <w:rPr>
          <w:sz w:val="16"/>
        </w:rPr>
        <w:t>1/2 </w:t>
      </w:r>
      <w:r>
        <w:rPr>
          <w:position w:val="2"/>
        </w:rPr>
        <w:t>después de </w:t>
      </w:r>
      <w:r>
        <w:rPr>
          <w:spacing w:val="-5"/>
          <w:position w:val="2"/>
        </w:rPr>
        <w:t>la </w:t>
      </w:r>
      <w:r>
        <w:rPr>
          <w:position w:val="2"/>
        </w:rPr>
        <w:t>administración intravenosa o intramuscular. La dosis </w:t>
      </w:r>
      <w:r>
        <w:rPr/>
        <w:t>por </w:t>
      </w:r>
      <w:r>
        <w:rPr>
          <w:spacing w:val="-4"/>
        </w:rPr>
        <w:t>vía </w:t>
      </w:r>
      <w:r>
        <w:rPr/>
        <w:t>intravenosa o por vía intramuscular para perros y gatos es de 0.066 a 0.22 mg/kg de peso corporal (Court y Greenblatt, 1992; Lowenstein y Alldredge, 1998). El lorazepam tiene una  actividad  más potente  en los receptores de  benzodiazepinas que  el diazepam </w:t>
      </w:r>
      <w:r>
        <w:rPr>
          <w:spacing w:val="25"/>
        </w:rPr>
        <w:t> </w:t>
      </w:r>
      <w:r>
        <w:rPr/>
        <w:t>y</w:t>
      </w:r>
    </w:p>
    <w:p>
      <w:pPr>
        <w:pStyle w:val="BodyText"/>
        <w:spacing w:before="10"/>
        <w:ind w:left="152"/>
        <w:jc w:val="both"/>
      </w:pPr>
      <w:r>
        <w:rPr/>
        <w:t>dura </w:t>
      </w:r>
      <w:r>
        <w:rPr>
          <w:spacing w:val="-3"/>
        </w:rPr>
        <w:t>mucho  más </w:t>
      </w:r>
      <w:r>
        <w:rPr/>
        <w:t>tiempo después de </w:t>
      </w:r>
      <w:r>
        <w:rPr>
          <w:spacing w:val="-5"/>
        </w:rPr>
        <w:t>la  </w:t>
      </w:r>
      <w:r>
        <w:rPr/>
        <w:t>administración intravenosa. En pacientes  </w:t>
      </w:r>
      <w:r>
        <w:rPr>
          <w:spacing w:val="54"/>
        </w:rPr>
        <w:t> </w:t>
      </w:r>
      <w:r>
        <w:rPr/>
        <w:t>humanos</w:t>
      </w:r>
    </w:p>
    <w:p>
      <w:pPr>
        <w:spacing w:after="0"/>
        <w:jc w:val="both"/>
        <w:sectPr>
          <w:pgSz w:w="12240" w:h="15840"/>
          <w:pgMar w:header="0" w:footer="2071" w:top="1500" w:bottom="2320" w:left="1720" w:right="1420"/>
        </w:sectPr>
      </w:pPr>
    </w:p>
    <w:p>
      <w:pPr>
        <w:pStyle w:val="BodyText"/>
        <w:spacing w:before="7"/>
        <w:rPr>
          <w:sz w:val="20"/>
        </w:rPr>
      </w:pPr>
    </w:p>
    <w:p>
      <w:pPr>
        <w:pStyle w:val="BodyText"/>
        <w:spacing w:before="69"/>
        <w:ind w:left="152"/>
        <w:jc w:val="both"/>
      </w:pPr>
      <w:r>
        <w:rPr/>
        <w:t>con estatus epiléptico es ampliamente utilizado (Lowenstein y Alldredge, 1998).    Dosis de</w:t>
      </w:r>
    </w:p>
    <w:p>
      <w:pPr>
        <w:pStyle w:val="BodyText"/>
      </w:pPr>
    </w:p>
    <w:p>
      <w:pPr>
        <w:pStyle w:val="ListParagraph"/>
        <w:numPr>
          <w:ilvl w:val="1"/>
          <w:numId w:val="14"/>
        </w:numPr>
        <w:tabs>
          <w:tab w:pos="523" w:val="left" w:leader="none"/>
        </w:tabs>
        <w:spacing w:line="480" w:lineRule="auto" w:before="0" w:after="0"/>
        <w:ind w:left="152" w:right="101" w:firstLine="0"/>
        <w:jc w:val="both"/>
        <w:rPr>
          <w:sz w:val="24"/>
        </w:rPr>
      </w:pPr>
      <w:r>
        <w:rPr>
          <w:sz w:val="24"/>
        </w:rPr>
        <w:t>mg/kg de peso corporal </w:t>
      </w:r>
      <w:r>
        <w:rPr>
          <w:spacing w:val="-3"/>
          <w:sz w:val="24"/>
        </w:rPr>
        <w:t>ha </w:t>
      </w:r>
      <w:r>
        <w:rPr>
          <w:sz w:val="24"/>
        </w:rPr>
        <w:t>demostrado ser bien tolerada por los perros (Platt, 2000). La administración de benzodiazepinas intrarrectal e intranasal se </w:t>
      </w:r>
      <w:r>
        <w:rPr>
          <w:spacing w:val="-3"/>
          <w:sz w:val="24"/>
        </w:rPr>
        <w:t>ha </w:t>
      </w:r>
      <w:r>
        <w:rPr>
          <w:sz w:val="24"/>
        </w:rPr>
        <w:t>investigado en perros. Estas vías de administración de medicamentos son ventajosas cuando </w:t>
      </w:r>
      <w:r>
        <w:rPr>
          <w:spacing w:val="-3"/>
          <w:sz w:val="24"/>
        </w:rPr>
        <w:t>la </w:t>
      </w:r>
      <w:r>
        <w:rPr>
          <w:sz w:val="24"/>
        </w:rPr>
        <w:t>vía intravenosa </w:t>
      </w:r>
      <w:r>
        <w:rPr>
          <w:spacing w:val="3"/>
          <w:sz w:val="24"/>
        </w:rPr>
        <w:t>es </w:t>
      </w:r>
      <w:r>
        <w:rPr>
          <w:sz w:val="24"/>
        </w:rPr>
        <w:t>de difícil acceso. Los propietarios de perros que tienden a experimentar convulsiones en racimo o estatus epiléptico pueden administrar estos medicamentos en el hogar durante actividad convulsiva. Entre las posibles desventajas de </w:t>
      </w:r>
      <w:r>
        <w:rPr>
          <w:spacing w:val="-3"/>
          <w:sz w:val="24"/>
        </w:rPr>
        <w:t>la </w:t>
      </w:r>
      <w:r>
        <w:rPr>
          <w:sz w:val="24"/>
        </w:rPr>
        <w:t>administración intranasal frente a </w:t>
      </w:r>
      <w:r>
        <w:rPr>
          <w:spacing w:val="-3"/>
          <w:sz w:val="24"/>
        </w:rPr>
        <w:t>la </w:t>
      </w:r>
      <w:r>
        <w:rPr>
          <w:sz w:val="24"/>
        </w:rPr>
        <w:t>administración intrarectal incluyen factores técnicos (por ejemplo, pérdida de medicamento al tragar o estornudar) y un mayor riesgo para el propietario a ser mordido  por su mascota durante un episodio de convulsiones. Diazepam (0.5 mg/kg de peso corporal) y lorazepam (0.2 mg/kg de peso corporal) han demostrado alcanzar  niveles séricos en los perros dentro del rango terapéutico después de </w:t>
      </w:r>
      <w:r>
        <w:rPr>
          <w:spacing w:val="-3"/>
          <w:sz w:val="24"/>
        </w:rPr>
        <w:t>la </w:t>
      </w:r>
      <w:r>
        <w:rPr>
          <w:sz w:val="24"/>
        </w:rPr>
        <w:t>administración intranasal (Platt y McDonnell, 2000; Mariani et </w:t>
      </w:r>
      <w:r>
        <w:rPr>
          <w:spacing w:val="-3"/>
          <w:sz w:val="24"/>
        </w:rPr>
        <w:t>al, </w:t>
      </w:r>
      <w:r>
        <w:rPr>
          <w:sz w:val="24"/>
        </w:rPr>
        <w:t>2003). La administración intranasal de midazolam para perros logra niveles séricos casi tres veces más rápido que </w:t>
      </w:r>
      <w:r>
        <w:rPr>
          <w:spacing w:val="-3"/>
          <w:sz w:val="24"/>
        </w:rPr>
        <w:t>la </w:t>
      </w:r>
      <w:r>
        <w:rPr>
          <w:sz w:val="24"/>
        </w:rPr>
        <w:t>administración oral de otros fármacos (Lui et </w:t>
      </w:r>
      <w:r>
        <w:rPr>
          <w:spacing w:val="-3"/>
          <w:sz w:val="24"/>
        </w:rPr>
        <w:t>al, </w:t>
      </w:r>
      <w:r>
        <w:rPr>
          <w:sz w:val="24"/>
        </w:rPr>
        <w:t>1999). El diazepam es bien absorbido después de </w:t>
      </w:r>
      <w:r>
        <w:rPr>
          <w:spacing w:val="-3"/>
          <w:sz w:val="24"/>
        </w:rPr>
        <w:t>la </w:t>
      </w:r>
      <w:r>
        <w:rPr>
          <w:sz w:val="24"/>
        </w:rPr>
        <w:t>administración intrarrectal; el rango de dosis recomendada es de 1 a 2 mg/kg de peso corporal (Podell, 1995). Lorazepam y midazolam </w:t>
      </w:r>
      <w:r>
        <w:rPr>
          <w:spacing w:val="-3"/>
          <w:sz w:val="24"/>
        </w:rPr>
        <w:t>no </w:t>
      </w:r>
      <w:r>
        <w:rPr>
          <w:sz w:val="24"/>
        </w:rPr>
        <w:t>parecen ser bien absorbidos después  de </w:t>
      </w:r>
      <w:r>
        <w:rPr>
          <w:spacing w:val="-5"/>
          <w:sz w:val="24"/>
        </w:rPr>
        <w:t>la </w:t>
      </w:r>
      <w:r>
        <w:rPr>
          <w:sz w:val="24"/>
        </w:rPr>
        <w:t>administración intrarectal en perros. Sin embargo, esto se </w:t>
      </w:r>
      <w:r>
        <w:rPr>
          <w:spacing w:val="-3"/>
          <w:sz w:val="24"/>
        </w:rPr>
        <w:t>basa </w:t>
      </w:r>
      <w:r>
        <w:rPr>
          <w:sz w:val="24"/>
        </w:rPr>
        <w:t>en </w:t>
      </w:r>
      <w:r>
        <w:rPr>
          <w:spacing w:val="-3"/>
          <w:sz w:val="24"/>
        </w:rPr>
        <w:t>la </w:t>
      </w:r>
      <w:r>
        <w:rPr>
          <w:sz w:val="24"/>
        </w:rPr>
        <w:t>farmacocinética de un solo perro (Court y Greenblatt, 1992). Los barbitúricos vía intravenosa se utilizan comúnmente cuando </w:t>
      </w:r>
      <w:r>
        <w:rPr>
          <w:spacing w:val="-3"/>
          <w:sz w:val="24"/>
        </w:rPr>
        <w:t>las </w:t>
      </w:r>
      <w:r>
        <w:rPr>
          <w:sz w:val="24"/>
        </w:rPr>
        <w:t>benzodiazepinas fallan. El objetivo en el </w:t>
      </w:r>
      <w:r>
        <w:rPr>
          <w:spacing w:val="-3"/>
          <w:sz w:val="24"/>
        </w:rPr>
        <w:t>manejo </w:t>
      </w:r>
      <w:r>
        <w:rPr>
          <w:sz w:val="24"/>
        </w:rPr>
        <w:t>de animales con estatus  epiléptico  es  detenerlo,  y  tratar  </w:t>
      </w:r>
      <w:r>
        <w:rPr>
          <w:spacing w:val="-3"/>
          <w:sz w:val="24"/>
        </w:rPr>
        <w:t>las  </w:t>
      </w:r>
      <w:r>
        <w:rPr>
          <w:sz w:val="24"/>
        </w:rPr>
        <w:t>consecuencias  sistémicas  o   </w:t>
      </w:r>
      <w:r>
        <w:rPr>
          <w:spacing w:val="45"/>
          <w:sz w:val="24"/>
        </w:rPr>
        <w:t> </w:t>
      </w:r>
      <w:r>
        <w:rPr>
          <w:sz w:val="24"/>
        </w:rPr>
        <w:t>intracraneales</w:t>
      </w:r>
    </w:p>
    <w:p>
      <w:pPr>
        <w:spacing w:after="0" w:line="480" w:lineRule="auto"/>
        <w:jc w:val="both"/>
        <w:rPr>
          <w:sz w:val="24"/>
        </w:rPr>
        <w:sectPr>
          <w:pgSz w:w="12240" w:h="15840"/>
          <w:pgMar w:header="0" w:footer="2071" w:top="1500" w:bottom="2320" w:left="1720" w:right="1420"/>
        </w:sectPr>
      </w:pPr>
    </w:p>
    <w:p>
      <w:pPr>
        <w:pStyle w:val="BodyText"/>
        <w:spacing w:before="7"/>
        <w:rPr>
          <w:sz w:val="20"/>
        </w:rPr>
      </w:pPr>
    </w:p>
    <w:p>
      <w:pPr>
        <w:pStyle w:val="BodyText"/>
        <w:spacing w:line="480" w:lineRule="auto" w:before="69"/>
        <w:ind w:left="232" w:right="228"/>
        <w:jc w:val="both"/>
      </w:pPr>
      <w:r>
        <w:rPr/>
        <w:t>asociadas a </w:t>
      </w:r>
      <w:r>
        <w:rPr>
          <w:spacing w:val="-5"/>
        </w:rPr>
        <w:t>la </w:t>
      </w:r>
      <w:r>
        <w:rPr/>
        <w:t>actividad convulsiva (Bagley, 2005). En el esquema de tratamiento de </w:t>
      </w:r>
      <w:r>
        <w:rPr>
          <w:spacing w:val="-5"/>
        </w:rPr>
        <w:t>la  </w:t>
      </w:r>
      <w:r>
        <w:rPr/>
        <w:t>tabla 4 se enumera el procedimiento </w:t>
      </w:r>
      <w:r>
        <w:rPr>
          <w:spacing w:val="-3"/>
        </w:rPr>
        <w:t>médico </w:t>
      </w:r>
      <w:r>
        <w:rPr/>
        <w:t>a seguir durante estatus epiléptico de emergencia.</w:t>
      </w:r>
    </w:p>
    <w:p>
      <w:pPr>
        <w:pStyle w:val="BodyText"/>
        <w:spacing w:before="1"/>
        <w:rPr>
          <w:sz w:val="1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1"/>
      </w:tblGrid>
      <w:tr>
        <w:trPr>
          <w:trHeight w:val="759" w:hRule="exact"/>
        </w:trPr>
        <w:tc>
          <w:tcPr>
            <w:tcW w:w="9061" w:type="dxa"/>
          </w:tcPr>
          <w:p>
            <w:pPr>
              <w:pStyle w:val="TableParagraph"/>
              <w:spacing w:line="268" w:lineRule="exact"/>
              <w:ind w:left="1454" w:right="137"/>
              <w:rPr>
                <w:sz w:val="24"/>
              </w:rPr>
            </w:pPr>
            <w:r>
              <w:rPr>
                <w:sz w:val="24"/>
              </w:rPr>
              <w:t>Tabla 4: Manejo de estatus epiléptico. Tomado de Bagley, 2005</w:t>
            </w:r>
          </w:p>
        </w:tc>
      </w:tr>
      <w:tr>
        <w:trPr>
          <w:trHeight w:val="763" w:hRule="exact"/>
        </w:trPr>
        <w:tc>
          <w:tcPr>
            <w:tcW w:w="9061" w:type="dxa"/>
          </w:tcPr>
          <w:p>
            <w:pPr>
              <w:pStyle w:val="TableParagraph"/>
              <w:spacing w:line="268" w:lineRule="exact"/>
              <w:ind w:left="465" w:right="137"/>
              <w:rPr>
                <w:sz w:val="24"/>
              </w:rPr>
            </w:pPr>
            <w:r>
              <w:rPr>
                <w:sz w:val="24"/>
              </w:rPr>
              <w:t>1.   Mantenerse en calma y colocar una vía de acceso periférico al paciente</w:t>
            </w:r>
          </w:p>
        </w:tc>
      </w:tr>
      <w:tr>
        <w:trPr>
          <w:trHeight w:val="4614" w:hRule="exact"/>
        </w:trPr>
        <w:tc>
          <w:tcPr>
            <w:tcW w:w="9061" w:type="dxa"/>
          </w:tcPr>
          <w:p>
            <w:pPr>
              <w:pStyle w:val="TableParagraph"/>
              <w:numPr>
                <w:ilvl w:val="0"/>
                <w:numId w:val="15"/>
              </w:numPr>
              <w:tabs>
                <w:tab w:pos="812" w:val="left" w:leader="none"/>
              </w:tabs>
              <w:spacing w:line="268" w:lineRule="exact" w:before="0" w:after="0"/>
              <w:ind w:left="811" w:right="0" w:hanging="346"/>
              <w:jc w:val="left"/>
              <w:rPr>
                <w:sz w:val="24"/>
              </w:rPr>
            </w:pPr>
            <w:r>
              <w:rPr>
                <w:sz w:val="24"/>
              </w:rPr>
              <w:t>Administrar diazepam (Valium) intravenoso o intrarectal </w:t>
            </w:r>
            <w:r>
              <w:rPr>
                <w:spacing w:val="2"/>
                <w:sz w:val="24"/>
              </w:rPr>
              <w:t>0.5-2</w:t>
            </w:r>
            <w:r>
              <w:rPr>
                <w:spacing w:val="-32"/>
                <w:sz w:val="24"/>
              </w:rPr>
              <w:t> </w:t>
            </w:r>
            <w:r>
              <w:rPr>
                <w:sz w:val="24"/>
              </w:rPr>
              <w:t>mg/kg</w:t>
            </w:r>
          </w:p>
          <w:p>
            <w:pPr>
              <w:pStyle w:val="TableParagraph"/>
              <w:rPr>
                <w:sz w:val="24"/>
              </w:rPr>
            </w:pPr>
          </w:p>
          <w:p>
            <w:pPr>
              <w:pStyle w:val="TableParagraph"/>
              <w:spacing w:line="412" w:lineRule="auto" w:before="202"/>
              <w:ind w:left="465" w:right="5800"/>
              <w:rPr>
                <w:sz w:val="24"/>
              </w:rPr>
            </w:pPr>
            <w:r>
              <w:rPr>
                <w:sz w:val="24"/>
              </w:rPr>
              <w:t>Perros pequeños: 5 mg Perros medianos: 5-10 mg Perros grandes: 10-20 mg</w:t>
            </w:r>
          </w:p>
          <w:p>
            <w:pPr>
              <w:pStyle w:val="TableParagraph"/>
              <w:numPr>
                <w:ilvl w:val="1"/>
                <w:numId w:val="15"/>
              </w:numPr>
              <w:tabs>
                <w:tab w:pos="1172" w:val="left" w:leader="none"/>
              </w:tabs>
              <w:spacing w:line="475" w:lineRule="auto" w:before="10" w:after="0"/>
              <w:ind w:left="1171" w:right="111" w:hanging="360"/>
              <w:jc w:val="both"/>
              <w:rPr>
                <w:sz w:val="24"/>
              </w:rPr>
            </w:pPr>
            <w:r>
              <w:rPr>
                <w:sz w:val="24"/>
              </w:rPr>
              <w:t>No tenga </w:t>
            </w:r>
            <w:r>
              <w:rPr>
                <w:spacing w:val="-3"/>
                <w:sz w:val="24"/>
              </w:rPr>
              <w:t>miedo </w:t>
            </w:r>
            <w:r>
              <w:rPr>
                <w:sz w:val="24"/>
              </w:rPr>
              <w:t>de administrar diazepam siempre y cuando </w:t>
            </w:r>
            <w:r>
              <w:rPr>
                <w:spacing w:val="-3"/>
                <w:sz w:val="24"/>
              </w:rPr>
              <w:t>no  </w:t>
            </w:r>
            <w:r>
              <w:rPr>
                <w:sz w:val="24"/>
              </w:rPr>
              <w:t>se sospeche de  un problema hepático como puentes portosistémicos. Esperar 1 minuto a que tenga efecto. Seguir dando dosis únicas cada minuto hasta que pare </w:t>
            </w:r>
            <w:r>
              <w:rPr>
                <w:spacing w:val="-3"/>
                <w:sz w:val="24"/>
              </w:rPr>
              <w:t>la </w:t>
            </w:r>
            <w:r>
              <w:rPr>
                <w:sz w:val="24"/>
              </w:rPr>
              <w:t>convulsión.</w:t>
            </w:r>
          </w:p>
        </w:tc>
      </w:tr>
      <w:tr>
        <w:trPr>
          <w:trHeight w:val="2747" w:hRule="exact"/>
        </w:trPr>
        <w:tc>
          <w:tcPr>
            <w:tcW w:w="9061" w:type="dxa"/>
          </w:tcPr>
          <w:p>
            <w:pPr>
              <w:pStyle w:val="TableParagraph"/>
              <w:spacing w:line="480" w:lineRule="auto"/>
              <w:ind w:left="825" w:right="137" w:hanging="360"/>
              <w:rPr>
                <w:sz w:val="24"/>
              </w:rPr>
            </w:pPr>
            <w:r>
              <w:rPr>
                <w:sz w:val="24"/>
              </w:rPr>
              <w:t>3. Si las convulsiones paran, administrar fenobarbital y proceder con diagnóstico adicional.</w:t>
            </w:r>
          </w:p>
          <w:p>
            <w:pPr>
              <w:pStyle w:val="TableParagraph"/>
              <w:spacing w:line="412" w:lineRule="auto" w:before="207"/>
              <w:ind w:left="825" w:right="1608"/>
              <w:rPr>
                <w:sz w:val="24"/>
              </w:rPr>
            </w:pPr>
            <w:r>
              <w:rPr>
                <w:sz w:val="24"/>
              </w:rPr>
              <w:t>Si el animal no ha recibido fenobarbital, dar 12 mg/kg intravenoso. Si actualmente está recibiendo fenobarbital, parar hasta 12 mg/kg</w:t>
            </w:r>
          </w:p>
        </w:tc>
      </w:tr>
      <w:tr>
        <w:trPr>
          <w:trHeight w:val="562" w:hRule="exact"/>
        </w:trPr>
        <w:tc>
          <w:tcPr>
            <w:tcW w:w="9061" w:type="dxa"/>
          </w:tcPr>
          <w:p>
            <w:pPr>
              <w:pStyle w:val="TableParagraph"/>
              <w:spacing w:line="268" w:lineRule="exact"/>
              <w:ind w:left="465"/>
              <w:rPr>
                <w:sz w:val="24"/>
              </w:rPr>
            </w:pPr>
            <w:r>
              <w:rPr>
                <w:sz w:val="24"/>
              </w:rPr>
              <w:t>4.   Si las convulsiones regresan rápidamente volver a dar adicionalmente diazepam 0.5-</w:t>
            </w:r>
          </w:p>
        </w:tc>
      </w:tr>
    </w:tbl>
    <w:p>
      <w:pPr>
        <w:spacing w:after="0" w:line="268" w:lineRule="exact"/>
        <w:rPr>
          <w:sz w:val="24"/>
        </w:rPr>
        <w:sectPr>
          <w:pgSz w:w="12240" w:h="15840"/>
          <w:pgMar w:header="0" w:footer="2071" w:top="1500" w:bottom="2320" w:left="1640" w:right="13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1"/>
      </w:tblGrid>
      <w:tr>
        <w:trPr>
          <w:trHeight w:val="4077" w:hRule="exact"/>
        </w:trPr>
        <w:tc>
          <w:tcPr>
            <w:tcW w:w="9061" w:type="dxa"/>
          </w:tcPr>
          <w:p>
            <w:pPr>
              <w:pStyle w:val="TableParagraph"/>
              <w:spacing w:line="480" w:lineRule="auto"/>
              <w:ind w:left="825" w:right="105"/>
              <w:jc w:val="both"/>
              <w:rPr>
                <w:sz w:val="24"/>
              </w:rPr>
            </w:pPr>
            <w:r>
              <w:rPr>
                <w:sz w:val="24"/>
              </w:rPr>
              <w:t>2 mg/kg. </w:t>
            </w:r>
            <w:r>
              <w:rPr>
                <w:spacing w:val="2"/>
                <w:sz w:val="24"/>
              </w:rPr>
              <w:t>Si </w:t>
            </w:r>
            <w:r>
              <w:rPr>
                <w:sz w:val="24"/>
              </w:rPr>
              <w:t>las convulsiones paran considerar una infusión de diazepam. Dar </w:t>
            </w:r>
            <w:r>
              <w:rPr>
                <w:spacing w:val="-5"/>
                <w:sz w:val="24"/>
              </w:rPr>
              <w:t>la </w:t>
            </w:r>
            <w:r>
              <w:rPr>
                <w:sz w:val="24"/>
              </w:rPr>
              <w:t>cantidad de diazepam que detuvo </w:t>
            </w:r>
            <w:r>
              <w:rPr>
                <w:spacing w:val="-5"/>
                <w:sz w:val="24"/>
              </w:rPr>
              <w:t>la </w:t>
            </w:r>
            <w:r>
              <w:rPr>
                <w:sz w:val="24"/>
              </w:rPr>
              <w:t>convulsión y continuar con una infusión  durante una hora (aproximadamente 5-20 mg/perro/hora; cachorros, 5-10 mg/hora; perros grandes 10-20 mg/hora. Mezclar </w:t>
            </w:r>
            <w:r>
              <w:rPr>
                <w:spacing w:val="-3"/>
                <w:sz w:val="24"/>
              </w:rPr>
              <w:t>la </w:t>
            </w:r>
            <w:r>
              <w:rPr>
                <w:sz w:val="24"/>
              </w:rPr>
              <w:t>dosis en un pequeño volumen de NaCl 0.9% o dextrosa al 5% en una bureta. Evitar </w:t>
            </w:r>
            <w:r>
              <w:rPr>
                <w:spacing w:val="-5"/>
                <w:sz w:val="24"/>
              </w:rPr>
              <w:t>la </w:t>
            </w:r>
            <w:r>
              <w:rPr>
                <w:sz w:val="24"/>
              </w:rPr>
              <w:t>luz. Administrar 5 </w:t>
            </w:r>
            <w:r>
              <w:rPr>
                <w:spacing w:val="-5"/>
                <w:sz w:val="24"/>
              </w:rPr>
              <w:t>mg </w:t>
            </w:r>
            <w:r>
              <w:rPr>
                <w:sz w:val="24"/>
              </w:rPr>
              <w:t>de diazepam a través de </w:t>
            </w:r>
            <w:r>
              <w:rPr>
                <w:spacing w:val="-5"/>
                <w:sz w:val="24"/>
              </w:rPr>
              <w:t>la </w:t>
            </w:r>
            <w:r>
              <w:rPr>
                <w:sz w:val="24"/>
              </w:rPr>
              <w:t>línea de venoclisis de plástico para saturar los sitios de unión del diazepam a </w:t>
            </w:r>
            <w:r>
              <w:rPr>
                <w:spacing w:val="-3"/>
                <w:sz w:val="24"/>
              </w:rPr>
              <w:t>la </w:t>
            </w:r>
            <w:r>
              <w:rPr>
                <w:spacing w:val="-2"/>
                <w:sz w:val="24"/>
              </w:rPr>
              <w:t>línea. </w:t>
            </w:r>
            <w:r>
              <w:rPr>
                <w:sz w:val="24"/>
              </w:rPr>
              <w:t>Otra opción es usar bomba de</w:t>
            </w:r>
            <w:r>
              <w:rPr>
                <w:spacing w:val="-1"/>
                <w:sz w:val="24"/>
              </w:rPr>
              <w:t> </w:t>
            </w:r>
            <w:r>
              <w:rPr>
                <w:sz w:val="24"/>
              </w:rPr>
              <w:t>infusión.</w:t>
            </w:r>
          </w:p>
        </w:tc>
      </w:tr>
      <w:tr>
        <w:trPr>
          <w:trHeight w:val="7235" w:hRule="exact"/>
        </w:trPr>
        <w:tc>
          <w:tcPr>
            <w:tcW w:w="9061" w:type="dxa"/>
          </w:tcPr>
          <w:p>
            <w:pPr>
              <w:pStyle w:val="TableParagraph"/>
              <w:spacing w:line="480" w:lineRule="auto"/>
              <w:ind w:left="825" w:right="104" w:hanging="360"/>
              <w:jc w:val="both"/>
              <w:rPr>
                <w:sz w:val="24"/>
              </w:rPr>
            </w:pPr>
            <w:r>
              <w:rPr>
                <w:sz w:val="24"/>
              </w:rPr>
              <w:t>5. Si las convulsiones no responden al diazepam administrar propofol 1-2 mg/kg intravenoso; ó infusión constante de 0.1-0.6 mg/kg/hora hasta efecto ó fenobarbital 3-6 mg/kg intravenoso ó si el animal no ha estado medicado con fenobarbital previamente 12-15 mg/kg intravenoso ó intramuscular y esperar 20 minutos el efecto.  Dar  1 mg/kg  de  fenobarbital para  elevar  concentraciones  en suero  de   1</w:t>
            </w:r>
          </w:p>
          <w:p>
            <w:pPr>
              <w:pStyle w:val="TableParagraph"/>
              <w:spacing w:before="10"/>
              <w:ind w:left="825"/>
              <w:jc w:val="both"/>
              <w:rPr>
                <w:sz w:val="24"/>
              </w:rPr>
            </w:pPr>
            <w:r>
              <w:rPr>
                <w:sz w:val="24"/>
              </w:rPr>
              <w:t>µg/ml. Pudiendo dar máximo 2-4 mg/kg/hora de fenobarbital intravenoso.</w:t>
            </w:r>
          </w:p>
          <w:p>
            <w:pPr>
              <w:pStyle w:val="TableParagraph"/>
              <w:rPr>
                <w:sz w:val="24"/>
              </w:rPr>
            </w:pPr>
          </w:p>
          <w:p>
            <w:pPr>
              <w:pStyle w:val="TableParagraph"/>
              <w:spacing w:line="480" w:lineRule="auto" w:before="197"/>
              <w:ind w:left="825" w:right="104"/>
              <w:jc w:val="both"/>
              <w:rPr>
                <w:sz w:val="24"/>
              </w:rPr>
            </w:pPr>
            <w:r>
              <w:rPr>
                <w:sz w:val="24"/>
              </w:rPr>
              <w:t>Monitorear depresión respiratoria y preparar ventilación mécanica. Si las convulsiones retornan usar infusión continua de fenobarbital ó diazepam 2-4 mg/kg/hora. (120 mg de fenobarbital diluidos en 20 ml de volumen total= 6 mg/ml).</w:t>
            </w:r>
          </w:p>
          <w:p>
            <w:pPr>
              <w:pStyle w:val="TableParagraph"/>
              <w:spacing w:line="480" w:lineRule="auto" w:before="212"/>
              <w:ind w:left="825" w:right="104"/>
              <w:jc w:val="both"/>
              <w:rPr>
                <w:sz w:val="24"/>
              </w:rPr>
            </w:pPr>
            <w:r>
              <w:rPr>
                <w:sz w:val="24"/>
              </w:rPr>
              <w:t>Si las convulsiones paran continuar con fenobarbital BID 3 mg/kg/intravenoso, intramuscular u oral, es apropiado incrementar la dosis dependiendo de cuanto fenobarbital ha recibido previamente el paciente.</w:t>
            </w:r>
          </w:p>
        </w:tc>
      </w:tr>
    </w:tbl>
    <w:p>
      <w:pPr>
        <w:spacing w:after="0" w:line="480" w:lineRule="auto"/>
        <w:jc w:val="both"/>
        <w:rPr>
          <w:sz w:val="24"/>
        </w:rPr>
        <w:sectPr>
          <w:pgSz w:w="12240" w:h="15840"/>
          <w:pgMar w:header="0" w:footer="2071" w:top="1500" w:bottom="2260" w:left="1640" w:right="1300"/>
        </w:sectPr>
      </w:pPr>
    </w:p>
    <w:p>
      <w:pPr>
        <w:pStyle w:val="BodyText"/>
        <w:spacing w:before="4"/>
        <w:rPr>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1"/>
      </w:tblGrid>
      <w:tr>
        <w:trPr>
          <w:trHeight w:val="1868" w:hRule="exact"/>
        </w:trPr>
        <w:tc>
          <w:tcPr>
            <w:tcW w:w="9061" w:type="dxa"/>
          </w:tcPr>
          <w:p>
            <w:pPr>
              <w:pStyle w:val="TableParagraph"/>
              <w:spacing w:line="480" w:lineRule="auto"/>
              <w:ind w:left="825" w:right="106" w:hanging="360"/>
              <w:jc w:val="both"/>
              <w:rPr>
                <w:sz w:val="24"/>
              </w:rPr>
            </w:pPr>
            <w:r>
              <w:rPr>
                <w:sz w:val="24"/>
              </w:rPr>
              <w:t>6. </w:t>
            </w:r>
            <w:r>
              <w:rPr>
                <w:spacing w:val="2"/>
                <w:sz w:val="24"/>
              </w:rPr>
              <w:t>Si </w:t>
            </w:r>
            <w:r>
              <w:rPr>
                <w:sz w:val="24"/>
              </w:rPr>
              <w:t>todo </w:t>
            </w:r>
            <w:r>
              <w:rPr>
                <w:spacing w:val="-5"/>
                <w:sz w:val="24"/>
              </w:rPr>
              <w:t>lo </w:t>
            </w:r>
            <w:r>
              <w:rPr>
                <w:sz w:val="24"/>
              </w:rPr>
              <w:t>demás falla anestesiar al paciente con isoflurano es </w:t>
            </w:r>
            <w:r>
              <w:rPr>
                <w:spacing w:val="-5"/>
                <w:sz w:val="24"/>
              </w:rPr>
              <w:t>lo </w:t>
            </w:r>
            <w:r>
              <w:rPr>
                <w:sz w:val="24"/>
              </w:rPr>
              <w:t>indicado (menos ideal pentobarbital 3 mg/kg/intravenoso hasta efecto). Esto detiene, las manifestaciones motoras de </w:t>
            </w:r>
            <w:r>
              <w:rPr>
                <w:spacing w:val="-5"/>
                <w:sz w:val="24"/>
              </w:rPr>
              <w:t>la </w:t>
            </w:r>
            <w:r>
              <w:rPr>
                <w:sz w:val="24"/>
              </w:rPr>
              <w:t>convulsión pero </w:t>
            </w:r>
            <w:r>
              <w:rPr>
                <w:spacing w:val="-3"/>
                <w:sz w:val="24"/>
              </w:rPr>
              <w:t>no la </w:t>
            </w:r>
            <w:r>
              <w:rPr>
                <w:sz w:val="24"/>
              </w:rPr>
              <w:t>actividad eléctrica</w:t>
            </w:r>
            <w:r>
              <w:rPr>
                <w:spacing w:val="-13"/>
                <w:sz w:val="24"/>
              </w:rPr>
              <w:t> </w:t>
            </w:r>
            <w:r>
              <w:rPr>
                <w:sz w:val="24"/>
              </w:rPr>
              <w:t>intracraneal.</w:t>
            </w:r>
          </w:p>
        </w:tc>
      </w:tr>
      <w:tr>
        <w:trPr>
          <w:trHeight w:val="759" w:hRule="exact"/>
        </w:trPr>
        <w:tc>
          <w:tcPr>
            <w:tcW w:w="9061" w:type="dxa"/>
          </w:tcPr>
          <w:p>
            <w:pPr>
              <w:pStyle w:val="TableParagraph"/>
              <w:spacing w:line="268" w:lineRule="exact"/>
              <w:ind w:left="465" w:right="137"/>
              <w:rPr>
                <w:sz w:val="24"/>
              </w:rPr>
            </w:pPr>
            <w:r>
              <w:rPr>
                <w:sz w:val="24"/>
              </w:rPr>
              <w:t>7.   También se ha administrado bromuro de sodio de forma intravenosa y rectal</w:t>
            </w:r>
          </w:p>
        </w:tc>
      </w:tr>
      <w:tr>
        <w:trPr>
          <w:trHeight w:val="1517" w:hRule="exact"/>
        </w:trPr>
        <w:tc>
          <w:tcPr>
            <w:tcW w:w="9061" w:type="dxa"/>
          </w:tcPr>
          <w:p>
            <w:pPr>
              <w:pStyle w:val="TableParagraph"/>
              <w:numPr>
                <w:ilvl w:val="0"/>
                <w:numId w:val="16"/>
              </w:numPr>
              <w:tabs>
                <w:tab w:pos="812" w:val="left" w:leader="none"/>
              </w:tabs>
              <w:spacing w:line="268" w:lineRule="exact" w:before="0" w:after="0"/>
              <w:ind w:left="811" w:right="0" w:hanging="346"/>
              <w:jc w:val="left"/>
              <w:rPr>
                <w:sz w:val="24"/>
              </w:rPr>
            </w:pPr>
            <w:r>
              <w:rPr>
                <w:sz w:val="24"/>
              </w:rPr>
              <w:t>Mantener </w:t>
            </w:r>
            <w:r>
              <w:rPr>
                <w:spacing w:val="-5"/>
                <w:sz w:val="24"/>
              </w:rPr>
              <w:t>la </w:t>
            </w:r>
            <w:r>
              <w:rPr>
                <w:sz w:val="24"/>
              </w:rPr>
              <w:t>presión sanguínea con una adecuada terapia de</w:t>
            </w:r>
            <w:r>
              <w:rPr>
                <w:spacing w:val="-8"/>
                <w:sz w:val="24"/>
              </w:rPr>
              <w:t> </w:t>
            </w:r>
            <w:r>
              <w:rPr>
                <w:sz w:val="24"/>
              </w:rPr>
              <w:t>líquidos.</w:t>
            </w:r>
          </w:p>
          <w:p>
            <w:pPr>
              <w:pStyle w:val="TableParagraph"/>
              <w:rPr>
                <w:sz w:val="24"/>
              </w:rPr>
            </w:pPr>
          </w:p>
          <w:p>
            <w:pPr>
              <w:pStyle w:val="TableParagraph"/>
              <w:numPr>
                <w:ilvl w:val="0"/>
                <w:numId w:val="16"/>
              </w:numPr>
              <w:tabs>
                <w:tab w:pos="812" w:val="left" w:leader="none"/>
              </w:tabs>
              <w:spacing w:line="240" w:lineRule="auto" w:before="201" w:after="0"/>
              <w:ind w:left="811" w:right="0" w:hanging="346"/>
              <w:jc w:val="left"/>
              <w:rPr>
                <w:sz w:val="24"/>
              </w:rPr>
            </w:pPr>
            <w:r>
              <w:rPr>
                <w:position w:val="2"/>
                <w:sz w:val="24"/>
              </w:rPr>
              <w:t>Se puede administrar vitamina B (vitamina B</w:t>
            </w:r>
            <w:r>
              <w:rPr>
                <w:sz w:val="16"/>
              </w:rPr>
              <w:t>1 </w:t>
            </w:r>
            <w:r>
              <w:rPr>
                <w:position w:val="2"/>
                <w:sz w:val="24"/>
              </w:rPr>
              <w:t>25-50</w:t>
            </w:r>
            <w:r>
              <w:rPr>
                <w:spacing w:val="-8"/>
                <w:position w:val="2"/>
                <w:sz w:val="24"/>
              </w:rPr>
              <w:t> </w:t>
            </w:r>
            <w:r>
              <w:rPr>
                <w:position w:val="2"/>
                <w:sz w:val="24"/>
              </w:rPr>
              <w:t>mg/perro/intramuscular</w:t>
            </w:r>
          </w:p>
        </w:tc>
      </w:tr>
      <w:tr>
        <w:trPr>
          <w:trHeight w:val="1863" w:hRule="exact"/>
        </w:trPr>
        <w:tc>
          <w:tcPr>
            <w:tcW w:w="9061" w:type="dxa"/>
          </w:tcPr>
          <w:p>
            <w:pPr>
              <w:pStyle w:val="TableParagraph"/>
              <w:spacing w:line="480" w:lineRule="auto"/>
              <w:ind w:left="825" w:right="104" w:hanging="360"/>
              <w:jc w:val="both"/>
              <w:rPr>
                <w:sz w:val="24"/>
              </w:rPr>
            </w:pPr>
            <w:r>
              <w:rPr>
                <w:sz w:val="24"/>
              </w:rPr>
              <w:t>10. Si las convulsiones han sido prolongadas, tratar el incremento de la presión intracraneana con: manitol (0.25-1 g/kg/IV) y furosemida (0.07 mg/kg/IV) ó solución salina hipertónica (3% solución, 5.3 ml/kg/IV).</w:t>
            </w:r>
          </w:p>
        </w:tc>
      </w:tr>
      <w:tr>
        <w:trPr>
          <w:trHeight w:val="1868" w:hRule="exact"/>
        </w:trPr>
        <w:tc>
          <w:tcPr>
            <w:tcW w:w="9061" w:type="dxa"/>
          </w:tcPr>
          <w:p>
            <w:pPr>
              <w:pStyle w:val="TableParagraph"/>
              <w:spacing w:line="480" w:lineRule="auto"/>
              <w:ind w:left="825" w:right="108" w:hanging="360"/>
              <w:jc w:val="both"/>
              <w:rPr>
                <w:sz w:val="24"/>
              </w:rPr>
            </w:pPr>
            <w:r>
              <w:rPr>
                <w:sz w:val="24"/>
              </w:rPr>
              <w:t>11. Muchos animales son beneficiados con la administración de corticoesteroides (succinato sódico de metilprednisolona ó succinato sódico de prednisona a 30 mg/kg/IV lentamente.</w:t>
            </w:r>
          </w:p>
        </w:tc>
      </w:tr>
      <w:tr>
        <w:trPr>
          <w:trHeight w:val="763" w:hRule="exact"/>
        </w:trPr>
        <w:tc>
          <w:tcPr>
            <w:tcW w:w="9061" w:type="dxa"/>
          </w:tcPr>
          <w:p>
            <w:pPr>
              <w:pStyle w:val="TableParagraph"/>
              <w:spacing w:line="268" w:lineRule="exact"/>
              <w:ind w:left="465" w:right="137"/>
              <w:rPr>
                <w:sz w:val="24"/>
              </w:rPr>
            </w:pPr>
            <w:r>
              <w:rPr>
                <w:sz w:val="24"/>
              </w:rPr>
              <w:t>12.  Dar terapia de soporte al paciente crítico y mantener la temperatura.</w:t>
            </w:r>
          </w:p>
        </w:tc>
      </w:tr>
      <w:tr>
        <w:trPr>
          <w:trHeight w:val="1316" w:hRule="exact"/>
        </w:trPr>
        <w:tc>
          <w:tcPr>
            <w:tcW w:w="9061" w:type="dxa"/>
          </w:tcPr>
          <w:p>
            <w:pPr>
              <w:pStyle w:val="TableParagraph"/>
              <w:spacing w:line="480" w:lineRule="auto"/>
              <w:ind w:left="825" w:right="137" w:hanging="360"/>
              <w:rPr>
                <w:sz w:val="24"/>
              </w:rPr>
            </w:pPr>
            <w:r>
              <w:rPr>
                <w:sz w:val="24"/>
              </w:rPr>
              <w:t>13. Como última observación todas </w:t>
            </w:r>
            <w:r>
              <w:rPr>
                <w:spacing w:val="-4"/>
                <w:sz w:val="24"/>
              </w:rPr>
              <w:t>las </w:t>
            </w:r>
            <w:r>
              <w:rPr>
                <w:sz w:val="24"/>
              </w:rPr>
              <w:t>infusiones continuas  deben detenerse después  de 2 a 4 horas de haberse presentado el último evento</w:t>
            </w:r>
            <w:r>
              <w:rPr>
                <w:spacing w:val="-31"/>
                <w:sz w:val="24"/>
              </w:rPr>
              <w:t> </w:t>
            </w:r>
            <w:r>
              <w:rPr>
                <w:sz w:val="24"/>
              </w:rPr>
              <w:t>convulsivo.</w:t>
            </w:r>
          </w:p>
        </w:tc>
      </w:tr>
    </w:tbl>
    <w:p>
      <w:pPr>
        <w:spacing w:after="0" w:line="480" w:lineRule="auto"/>
        <w:rPr>
          <w:sz w:val="24"/>
        </w:rPr>
        <w:sectPr>
          <w:pgSz w:w="12240" w:h="15840"/>
          <w:pgMar w:header="0" w:footer="2071" w:top="1500" w:bottom="2260" w:left="1640" w:right="1300"/>
        </w:sectPr>
      </w:pPr>
    </w:p>
    <w:p>
      <w:pPr>
        <w:pStyle w:val="BodyText"/>
        <w:spacing w:before="3"/>
        <w:rPr>
          <w:sz w:val="21"/>
        </w:rPr>
      </w:pPr>
    </w:p>
    <w:p>
      <w:pPr>
        <w:pStyle w:val="Heading1"/>
        <w:ind w:right="241"/>
      </w:pPr>
      <w:bookmarkStart w:name="_bookmark44" w:id="74"/>
      <w:bookmarkEnd w:id="74"/>
      <w:r>
        <w:rPr>
          <w:b w:val="0"/>
        </w:rPr>
      </w:r>
      <w:r>
        <w:rPr/>
        <w:t>CAPITULO III</w:t>
      </w:r>
    </w:p>
    <w:p>
      <w:pPr>
        <w:pStyle w:val="BodyText"/>
        <w:spacing w:before="4"/>
        <w:rPr>
          <w:b/>
          <w:sz w:val="11"/>
        </w:rPr>
      </w:pPr>
      <w:r>
        <w:rPr/>
        <w:pict>
          <v:group style="position:absolute;margin-left:85.958pt;margin-top:8.481658pt;width:452.85pt;height:4.350pt;mso-position-horizontal-relative:page;mso-position-vertical-relative:paragraph;z-index:1456;mso-wrap-distance-left:0;mso-wrap-distance-right:0" coordorigin="1719,170" coordsize="9057,87">
            <v:line style="position:absolute" from="1748,249" to="10747,249" stroked="true" strokeweight=".72pt" strokecolor="#000000"/>
            <v:line style="position:absolute" from="1748,199" to="10747,199" stroked="true" strokeweight="2.88pt" strokecolor="#000000"/>
            <w10:wrap type="topAndBottom"/>
          </v:group>
        </w:pict>
      </w:r>
    </w:p>
    <w:p>
      <w:pPr>
        <w:pStyle w:val="BodyText"/>
        <w:rPr>
          <w:b/>
          <w:sz w:val="20"/>
        </w:rPr>
      </w:pPr>
    </w:p>
    <w:p>
      <w:pPr>
        <w:pStyle w:val="BodyText"/>
        <w:rPr>
          <w:b/>
          <w:sz w:val="20"/>
        </w:rPr>
      </w:pPr>
    </w:p>
    <w:p>
      <w:pPr>
        <w:pStyle w:val="BodyText"/>
        <w:rPr>
          <w:b/>
          <w:sz w:val="20"/>
        </w:rPr>
      </w:pPr>
    </w:p>
    <w:p>
      <w:pPr>
        <w:pStyle w:val="BodyText"/>
        <w:spacing w:before="8"/>
        <w:rPr>
          <w:b/>
          <w:sz w:val="23"/>
        </w:rPr>
      </w:pPr>
    </w:p>
    <w:p>
      <w:pPr>
        <w:pStyle w:val="Heading2"/>
        <w:spacing w:before="70"/>
        <w:ind w:left="272" w:right="164"/>
        <w:rPr>
          <w:rFonts w:ascii="Arial" w:hAnsi="Arial"/>
        </w:rPr>
      </w:pPr>
      <w:bookmarkStart w:name="_bookmark45" w:id="75"/>
      <w:bookmarkEnd w:id="75"/>
      <w:r>
        <w:rPr>
          <w:b w:val="0"/>
        </w:rPr>
      </w:r>
      <w:r>
        <w:rPr>
          <w:rFonts w:ascii="Arial" w:hAnsi="Arial"/>
        </w:rPr>
        <w:t>JUSTIFICACIÓN</w:t>
      </w:r>
    </w:p>
    <w:p>
      <w:pPr>
        <w:pStyle w:val="BodyText"/>
        <w:rPr>
          <w:rFonts w:ascii="Arial"/>
          <w:b/>
        </w:rPr>
      </w:pPr>
    </w:p>
    <w:p>
      <w:pPr>
        <w:pStyle w:val="BodyText"/>
        <w:spacing w:before="6"/>
        <w:rPr>
          <w:rFonts w:ascii="Arial"/>
          <w:b/>
          <w:sz w:val="30"/>
        </w:rPr>
      </w:pPr>
    </w:p>
    <w:p>
      <w:pPr>
        <w:pStyle w:val="BodyText"/>
        <w:spacing w:line="480" w:lineRule="auto" w:before="1"/>
        <w:ind w:left="272" w:right="164"/>
      </w:pPr>
      <w:r>
        <w:rPr/>
        <w:t>Debido a que la gabapentina es un fármaco con nulos efectos tóxicos, es necesario probar la efectividad a dos diferentes dosis en el tratamiento de la epilepsia idiopática en el perro.</w:t>
      </w:r>
    </w:p>
    <w:p>
      <w:pPr>
        <w:spacing w:after="0" w:line="480" w:lineRule="auto"/>
        <w:sectPr>
          <w:pgSz w:w="12240" w:h="15840"/>
          <w:pgMar w:header="0" w:footer="2071" w:top="1500" w:bottom="2260" w:left="1600" w:right="1360"/>
        </w:sectPr>
      </w:pPr>
    </w:p>
    <w:p>
      <w:pPr>
        <w:pStyle w:val="BodyText"/>
        <w:spacing w:before="9"/>
        <w:rPr>
          <w:sz w:val="28"/>
        </w:rPr>
      </w:pPr>
    </w:p>
    <w:p>
      <w:pPr>
        <w:pStyle w:val="Heading1"/>
        <w:ind w:right="163"/>
      </w:pPr>
      <w:r>
        <w:rPr/>
        <w:pict>
          <v:group style="position:absolute;margin-left:90.758003pt;margin-top:20.530283pt;width:447.8pt;height:4.350pt;mso-position-horizontal-relative:page;mso-position-vertical-relative:paragraph;z-index:1480;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46" w:id="76"/>
      <w:bookmarkEnd w:id="76"/>
      <w:r>
        <w:rPr>
          <w:b w:val="0"/>
        </w:rPr>
      </w:r>
      <w:r>
        <w:rPr/>
        <w:t>CAPITULO IV</w:t>
      </w:r>
    </w:p>
    <w:p>
      <w:pPr>
        <w:pStyle w:val="BodyText"/>
        <w:rPr>
          <w:b/>
          <w:sz w:val="15"/>
        </w:rPr>
      </w:pPr>
    </w:p>
    <w:p>
      <w:pPr>
        <w:pStyle w:val="Heading2"/>
        <w:spacing w:before="69"/>
      </w:pPr>
      <w:bookmarkStart w:name="_bookmark47" w:id="77"/>
      <w:bookmarkEnd w:id="77"/>
      <w:r>
        <w:rPr>
          <w:b w:val="0"/>
        </w:rPr>
      </w:r>
      <w:r>
        <w:rPr/>
        <w:t>HIPÓTESIS</w:t>
      </w:r>
    </w:p>
    <w:p>
      <w:pPr>
        <w:pStyle w:val="BodyText"/>
        <w:rPr>
          <w:b/>
        </w:rPr>
      </w:pPr>
    </w:p>
    <w:p>
      <w:pPr>
        <w:pStyle w:val="BodyText"/>
        <w:spacing w:before="7"/>
        <w:rPr>
          <w:b/>
          <w:sz w:val="29"/>
        </w:rPr>
      </w:pPr>
    </w:p>
    <w:p>
      <w:pPr>
        <w:pStyle w:val="BodyText"/>
        <w:spacing w:line="480" w:lineRule="auto"/>
        <w:ind w:left="172"/>
        <w:rPr>
          <w:rFonts w:ascii="Arial" w:hAnsi="Arial"/>
        </w:rPr>
      </w:pPr>
      <w:r>
        <w:rPr/>
        <w:t>La gabapentina es efectiva para el control de convulsiones como monoterapia a dosis de 60 mg/kg al día por vía oral en perros con epilepsia idiopática de reciente diagnóstico</w:t>
      </w:r>
      <w:r>
        <w:rPr>
          <w:rFonts w:ascii="Arial" w:hAnsi="Arial"/>
        </w:rPr>
        <w:t>.</w:t>
      </w:r>
    </w:p>
    <w:p>
      <w:pPr>
        <w:spacing w:after="0" w:line="480" w:lineRule="auto"/>
        <w:rPr>
          <w:rFonts w:ascii="Arial" w:hAnsi="Arial"/>
        </w:rPr>
        <w:sectPr>
          <w:footerReference w:type="default" r:id="rId31"/>
          <w:pgSz w:w="12240" w:h="15840"/>
          <w:pgMar w:footer="2131" w:header="0" w:top="1500" w:bottom="2320" w:left="1700" w:right="1360"/>
        </w:sectPr>
      </w:pPr>
    </w:p>
    <w:p>
      <w:pPr>
        <w:pStyle w:val="BodyText"/>
        <w:spacing w:before="9"/>
        <w:rPr>
          <w:rFonts w:ascii="Arial"/>
          <w:sz w:val="28"/>
        </w:rPr>
      </w:pPr>
    </w:p>
    <w:p>
      <w:pPr>
        <w:pStyle w:val="Heading1"/>
        <w:ind w:right="165"/>
      </w:pPr>
      <w:r>
        <w:rPr/>
        <w:pict>
          <v:group style="position:absolute;margin-left:90.758003pt;margin-top:20.530283pt;width:447.8pt;height:4.350pt;mso-position-horizontal-relative:page;mso-position-vertical-relative:paragraph;z-index:1504;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48" w:id="78"/>
      <w:bookmarkEnd w:id="78"/>
      <w:r>
        <w:rPr>
          <w:b w:val="0"/>
        </w:rPr>
      </w:r>
      <w:r>
        <w:rPr/>
        <w:t>CAPITULO V</w:t>
      </w:r>
    </w:p>
    <w:p>
      <w:pPr>
        <w:pStyle w:val="BodyText"/>
        <w:rPr>
          <w:b/>
          <w:sz w:val="20"/>
        </w:rPr>
      </w:pPr>
    </w:p>
    <w:p>
      <w:pPr>
        <w:pStyle w:val="BodyText"/>
        <w:rPr>
          <w:b/>
          <w:sz w:val="20"/>
        </w:rPr>
      </w:pPr>
    </w:p>
    <w:p>
      <w:pPr>
        <w:pStyle w:val="BodyText"/>
        <w:spacing w:before="4"/>
        <w:rPr>
          <w:b/>
          <w:sz w:val="23"/>
        </w:rPr>
      </w:pPr>
    </w:p>
    <w:p>
      <w:pPr>
        <w:pStyle w:val="Heading2"/>
        <w:spacing w:before="70"/>
        <w:jc w:val="both"/>
      </w:pPr>
      <w:bookmarkStart w:name="_bookmark49" w:id="79"/>
      <w:bookmarkEnd w:id="79"/>
      <w:r>
        <w:rPr>
          <w:b w:val="0"/>
        </w:rPr>
      </w:r>
      <w:r>
        <w:rPr/>
        <w:t>OBJETIVO GENERAL</w:t>
      </w:r>
    </w:p>
    <w:p>
      <w:pPr>
        <w:pStyle w:val="BodyText"/>
        <w:rPr>
          <w:b/>
        </w:rPr>
      </w:pPr>
    </w:p>
    <w:p>
      <w:pPr>
        <w:pStyle w:val="BodyText"/>
        <w:rPr>
          <w:b/>
        </w:rPr>
      </w:pPr>
    </w:p>
    <w:p>
      <w:pPr>
        <w:pStyle w:val="BodyText"/>
        <w:spacing w:before="1"/>
        <w:rPr>
          <w:b/>
          <w:sz w:val="26"/>
        </w:rPr>
      </w:pPr>
    </w:p>
    <w:p>
      <w:pPr>
        <w:pStyle w:val="BodyText"/>
        <w:spacing w:line="480" w:lineRule="auto"/>
        <w:ind w:left="172" w:right="168"/>
        <w:jc w:val="both"/>
      </w:pPr>
      <w:r>
        <w:rPr/>
        <w:t>Comprobar la efectividad de la gabapentina como monoterapia en epilepsia idiopática en perros.</w:t>
      </w:r>
    </w:p>
    <w:p>
      <w:pPr>
        <w:pStyle w:val="BodyText"/>
      </w:pPr>
    </w:p>
    <w:p>
      <w:pPr>
        <w:pStyle w:val="BodyText"/>
      </w:pPr>
    </w:p>
    <w:p>
      <w:pPr>
        <w:pStyle w:val="BodyText"/>
        <w:spacing w:before="10"/>
        <w:rPr>
          <w:sz w:val="18"/>
        </w:rPr>
      </w:pPr>
    </w:p>
    <w:p>
      <w:pPr>
        <w:pStyle w:val="Heading2"/>
        <w:jc w:val="both"/>
      </w:pPr>
      <w:bookmarkStart w:name="_bookmark50" w:id="80"/>
      <w:bookmarkEnd w:id="80"/>
      <w:r>
        <w:rPr>
          <w:b w:val="0"/>
        </w:rPr>
      </w:r>
      <w:r>
        <w:rPr/>
        <w:t>OBJETIVOS PARTICULARES</w:t>
      </w:r>
    </w:p>
    <w:p>
      <w:pPr>
        <w:pStyle w:val="BodyText"/>
        <w:rPr>
          <w:b/>
        </w:rPr>
      </w:pPr>
    </w:p>
    <w:p>
      <w:pPr>
        <w:pStyle w:val="BodyText"/>
        <w:rPr>
          <w:b/>
        </w:rPr>
      </w:pPr>
    </w:p>
    <w:p>
      <w:pPr>
        <w:pStyle w:val="BodyText"/>
        <w:spacing w:before="1"/>
        <w:rPr>
          <w:b/>
          <w:sz w:val="26"/>
        </w:rPr>
      </w:pPr>
    </w:p>
    <w:p>
      <w:pPr>
        <w:pStyle w:val="ListParagraph"/>
        <w:numPr>
          <w:ilvl w:val="0"/>
          <w:numId w:val="17"/>
        </w:numPr>
        <w:tabs>
          <w:tab w:pos="365" w:val="left" w:leader="none"/>
        </w:tabs>
        <w:spacing w:line="480" w:lineRule="auto" w:before="0" w:after="0"/>
        <w:ind w:left="172" w:right="181" w:firstLine="0"/>
        <w:jc w:val="both"/>
        <w:rPr>
          <w:sz w:val="24"/>
        </w:rPr>
      </w:pPr>
      <w:r>
        <w:rPr>
          <w:sz w:val="24"/>
        </w:rPr>
        <w:t>Determinar </w:t>
      </w:r>
      <w:r>
        <w:rPr>
          <w:spacing w:val="-5"/>
          <w:sz w:val="24"/>
        </w:rPr>
        <w:t>la </w:t>
      </w:r>
      <w:r>
        <w:rPr>
          <w:sz w:val="24"/>
        </w:rPr>
        <w:t>dosis efectiva capaz de controlar convulsiones en perros con epilepsia idiopática por </w:t>
      </w:r>
      <w:r>
        <w:rPr>
          <w:spacing w:val="-4"/>
          <w:sz w:val="24"/>
        </w:rPr>
        <w:t>medio </w:t>
      </w:r>
      <w:r>
        <w:rPr>
          <w:sz w:val="24"/>
        </w:rPr>
        <w:t>de </w:t>
      </w:r>
      <w:r>
        <w:rPr>
          <w:spacing w:val="-5"/>
          <w:sz w:val="24"/>
        </w:rPr>
        <w:t>la </w:t>
      </w:r>
      <w:r>
        <w:rPr>
          <w:sz w:val="24"/>
        </w:rPr>
        <w:t>utilización de 2 diferentes</w:t>
      </w:r>
      <w:r>
        <w:rPr>
          <w:spacing w:val="13"/>
          <w:sz w:val="24"/>
        </w:rPr>
        <w:t> </w:t>
      </w:r>
      <w:r>
        <w:rPr>
          <w:sz w:val="24"/>
        </w:rPr>
        <w:t>dosis.</w:t>
      </w:r>
    </w:p>
    <w:p>
      <w:pPr>
        <w:pStyle w:val="ListParagraph"/>
        <w:numPr>
          <w:ilvl w:val="0"/>
          <w:numId w:val="17"/>
        </w:numPr>
        <w:tabs>
          <w:tab w:pos="365" w:val="left" w:leader="none"/>
        </w:tabs>
        <w:spacing w:line="480" w:lineRule="auto" w:before="212" w:after="0"/>
        <w:ind w:left="172" w:right="168" w:firstLine="0"/>
        <w:jc w:val="both"/>
        <w:rPr>
          <w:sz w:val="24"/>
        </w:rPr>
      </w:pPr>
      <w:r>
        <w:rPr>
          <w:sz w:val="24"/>
        </w:rPr>
        <w:t>Caracterizar los efectos adversos provocados por el uso de </w:t>
      </w:r>
      <w:r>
        <w:rPr>
          <w:spacing w:val="-3"/>
          <w:sz w:val="24"/>
        </w:rPr>
        <w:t>la </w:t>
      </w:r>
      <w:r>
        <w:rPr>
          <w:sz w:val="24"/>
        </w:rPr>
        <w:t>gabapentina a corto y mediano plazo de forma clínica y por </w:t>
      </w:r>
      <w:r>
        <w:rPr>
          <w:spacing w:val="-3"/>
          <w:sz w:val="24"/>
        </w:rPr>
        <w:t>medio </w:t>
      </w:r>
      <w:r>
        <w:rPr>
          <w:sz w:val="24"/>
        </w:rPr>
        <w:t>de patología clínica (hemograma, química sanguínea, urianálisis y</w:t>
      </w:r>
      <w:r>
        <w:rPr>
          <w:spacing w:val="-15"/>
          <w:sz w:val="24"/>
        </w:rPr>
        <w:t> </w:t>
      </w:r>
      <w:r>
        <w:rPr>
          <w:sz w:val="24"/>
        </w:rPr>
        <w:t>electrólitos).</w:t>
      </w:r>
    </w:p>
    <w:p>
      <w:pPr>
        <w:pStyle w:val="ListParagraph"/>
        <w:numPr>
          <w:ilvl w:val="0"/>
          <w:numId w:val="17"/>
        </w:numPr>
        <w:tabs>
          <w:tab w:pos="317" w:val="left" w:leader="none"/>
        </w:tabs>
        <w:spacing w:line="480" w:lineRule="auto" w:before="212" w:after="0"/>
        <w:ind w:left="172" w:right="171" w:firstLine="0"/>
        <w:jc w:val="both"/>
        <w:rPr>
          <w:sz w:val="24"/>
        </w:rPr>
      </w:pPr>
      <w:r>
        <w:rPr>
          <w:sz w:val="24"/>
        </w:rPr>
        <w:t>Comparar </w:t>
      </w:r>
      <w:r>
        <w:rPr>
          <w:spacing w:val="-3"/>
          <w:sz w:val="24"/>
        </w:rPr>
        <w:t>la </w:t>
      </w:r>
      <w:r>
        <w:rPr>
          <w:sz w:val="24"/>
        </w:rPr>
        <w:t>efectividad de gabapentina en el control de convulsiones respecto a </w:t>
      </w:r>
      <w:r>
        <w:rPr>
          <w:spacing w:val="-5"/>
          <w:sz w:val="24"/>
        </w:rPr>
        <w:t>la </w:t>
      </w:r>
      <w:r>
        <w:rPr>
          <w:sz w:val="24"/>
        </w:rPr>
        <w:t>terapia convencional con</w:t>
      </w:r>
      <w:r>
        <w:rPr>
          <w:spacing w:val="-21"/>
          <w:sz w:val="24"/>
        </w:rPr>
        <w:t> </w:t>
      </w:r>
      <w:r>
        <w:rPr>
          <w:sz w:val="24"/>
        </w:rPr>
        <w:t>fenobarbital.</w:t>
      </w:r>
    </w:p>
    <w:p>
      <w:pPr>
        <w:spacing w:after="0" w:line="480" w:lineRule="auto"/>
        <w:jc w:val="both"/>
        <w:rPr>
          <w:sz w:val="24"/>
        </w:rPr>
        <w:sectPr>
          <w:footerReference w:type="default" r:id="rId32"/>
          <w:pgSz w:w="12240" w:h="15840"/>
          <w:pgMar w:footer="2071" w:header="0" w:top="1500" w:bottom="2260" w:left="1700" w:right="1360"/>
          <w:pgNumType w:start="81"/>
        </w:sectPr>
      </w:pPr>
    </w:p>
    <w:p>
      <w:pPr>
        <w:pStyle w:val="BodyText"/>
        <w:spacing w:before="9"/>
        <w:rPr>
          <w:sz w:val="28"/>
        </w:rPr>
      </w:pPr>
    </w:p>
    <w:p>
      <w:pPr>
        <w:pStyle w:val="Heading1"/>
        <w:ind w:right="161"/>
      </w:pPr>
      <w:r>
        <w:rPr/>
        <w:pict>
          <v:group style="position:absolute;margin-left:90.758003pt;margin-top:20.530283pt;width:447.8pt;height:4.350pt;mso-position-horizontal-relative:page;mso-position-vertical-relative:paragraph;z-index:1528;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51" w:id="81"/>
      <w:bookmarkEnd w:id="81"/>
      <w:r>
        <w:rPr>
          <w:b w:val="0"/>
        </w:rPr>
      </w:r>
      <w:r>
        <w:rPr/>
        <w:t>CAPITULO VI</w:t>
      </w:r>
    </w:p>
    <w:p>
      <w:pPr>
        <w:pStyle w:val="BodyText"/>
        <w:rPr>
          <w:b/>
          <w:sz w:val="15"/>
        </w:rPr>
      </w:pPr>
    </w:p>
    <w:p>
      <w:pPr>
        <w:pStyle w:val="Heading2"/>
        <w:spacing w:before="69"/>
        <w:jc w:val="both"/>
      </w:pPr>
      <w:bookmarkStart w:name="_bookmark52" w:id="82"/>
      <w:bookmarkEnd w:id="82"/>
      <w:r>
        <w:rPr>
          <w:b w:val="0"/>
        </w:rPr>
      </w:r>
      <w:r>
        <w:rPr/>
        <w:t>MATERIAL Y MÉTODO</w:t>
      </w:r>
    </w:p>
    <w:p>
      <w:pPr>
        <w:pStyle w:val="BodyText"/>
        <w:rPr>
          <w:b/>
        </w:rPr>
      </w:pPr>
    </w:p>
    <w:p>
      <w:pPr>
        <w:pStyle w:val="BodyText"/>
        <w:spacing w:before="2"/>
        <w:rPr>
          <w:b/>
          <w:sz w:val="29"/>
        </w:rPr>
      </w:pPr>
    </w:p>
    <w:p>
      <w:pPr>
        <w:pStyle w:val="ListParagraph"/>
        <w:numPr>
          <w:ilvl w:val="2"/>
          <w:numId w:val="14"/>
        </w:numPr>
        <w:tabs>
          <w:tab w:pos="1301" w:val="left" w:leader="none"/>
          <w:tab w:pos="1302" w:val="left" w:leader="none"/>
        </w:tabs>
        <w:spacing w:line="240" w:lineRule="auto" w:before="0" w:after="0"/>
        <w:ind w:left="152" w:right="0" w:firstLine="726"/>
        <w:jc w:val="left"/>
        <w:rPr>
          <w:sz w:val="24"/>
        </w:rPr>
      </w:pPr>
      <w:r>
        <w:rPr>
          <w:sz w:val="24"/>
        </w:rPr>
        <w:t>PACIENTES</w:t>
      </w:r>
    </w:p>
    <w:p>
      <w:pPr>
        <w:pStyle w:val="BodyText"/>
      </w:pPr>
    </w:p>
    <w:p>
      <w:pPr>
        <w:pStyle w:val="BodyText"/>
      </w:pPr>
    </w:p>
    <w:p>
      <w:pPr>
        <w:pStyle w:val="BodyText"/>
      </w:pPr>
    </w:p>
    <w:p>
      <w:pPr>
        <w:pStyle w:val="BodyText"/>
        <w:spacing w:line="480" w:lineRule="auto" w:before="173"/>
        <w:ind w:left="172" w:right="160"/>
        <w:jc w:val="both"/>
      </w:pPr>
      <w:r>
        <w:rPr/>
        <w:t>Para </w:t>
      </w:r>
      <w:r>
        <w:rPr>
          <w:spacing w:val="-5"/>
        </w:rPr>
        <w:t>la </w:t>
      </w:r>
      <w:r>
        <w:rPr/>
        <w:t>realización de este estudio se utilizaron 30 perros, que fueron remitidos al Hospital Veterinario para Pequeñas Especies de </w:t>
      </w:r>
      <w:r>
        <w:rPr>
          <w:spacing w:val="-3"/>
        </w:rPr>
        <w:t>la </w:t>
      </w:r>
      <w:r>
        <w:rPr/>
        <w:t>Facultad de Medicina Veterinaria y Zootecnia de </w:t>
      </w:r>
      <w:r>
        <w:rPr>
          <w:spacing w:val="-3"/>
        </w:rPr>
        <w:t>la </w:t>
      </w:r>
      <w:r>
        <w:rPr/>
        <w:t>Universidad Autónoma del Estado de México en un período de 2 años de diferentes  razas, sexos y pesos variables los cuales fueron diagnosticados clínicamente con epilepsia idiopática por exclusión por </w:t>
      </w:r>
      <w:r>
        <w:rPr>
          <w:spacing w:val="-4"/>
        </w:rPr>
        <w:t>medio </w:t>
      </w:r>
      <w:r>
        <w:rPr/>
        <w:t>de historia clínica, examen físico general y examen neurológico. Así como exámenes de laboratorio (hemograma completo, urianálisis, química sanguínea: urea, creatinina, FAS (fosfatasa alcalina), ALT (alanino </w:t>
      </w:r>
      <w:r>
        <w:rPr>
          <w:spacing w:val="-3"/>
        </w:rPr>
        <w:t>amino  </w:t>
      </w:r>
      <w:r>
        <w:rPr/>
        <w:t>transferasa),  AST (aspartato </w:t>
      </w:r>
      <w:r>
        <w:rPr>
          <w:spacing w:val="-4"/>
        </w:rPr>
        <w:t>amino </w:t>
      </w:r>
      <w:r>
        <w:rPr/>
        <w:t>transferasa), albúmina, proteínas totales, glucosa, fósforo, colesterol, triglicéridos y electrólitos. En todos los casos existió consentimiento firmado por parte de los propietarios para </w:t>
      </w:r>
      <w:r>
        <w:rPr>
          <w:spacing w:val="-5"/>
        </w:rPr>
        <w:t>la </w:t>
      </w:r>
      <w:r>
        <w:rPr/>
        <w:t>administración de los tratamientos. También un acuerdo de compromiso con el tratamiento en donde se explico riesgos, beneficios y finalidad del estudio.</w:t>
      </w:r>
    </w:p>
    <w:p>
      <w:pPr>
        <w:spacing w:after="0" w:line="480" w:lineRule="auto"/>
        <w:jc w:val="both"/>
        <w:sectPr>
          <w:pgSz w:w="12240" w:h="15840"/>
          <w:pgMar w:header="0" w:footer="2071" w:top="1500" w:bottom="2320" w:left="1700" w:right="1360"/>
        </w:sectPr>
      </w:pPr>
    </w:p>
    <w:p>
      <w:pPr>
        <w:pStyle w:val="BodyText"/>
        <w:spacing w:before="2"/>
        <w:rPr>
          <w:sz w:val="20"/>
        </w:rPr>
      </w:pPr>
    </w:p>
    <w:p>
      <w:pPr>
        <w:pStyle w:val="ListParagraph"/>
        <w:numPr>
          <w:ilvl w:val="2"/>
          <w:numId w:val="14"/>
        </w:numPr>
        <w:tabs>
          <w:tab w:pos="1219" w:val="left" w:leader="none"/>
        </w:tabs>
        <w:spacing w:line="456" w:lineRule="auto" w:before="70" w:after="0"/>
        <w:ind w:left="152" w:right="5916" w:firstLine="706"/>
        <w:jc w:val="left"/>
        <w:rPr>
          <w:sz w:val="24"/>
        </w:rPr>
      </w:pPr>
      <w:r>
        <w:rPr>
          <w:sz w:val="24"/>
        </w:rPr>
        <w:t>PROCEDIMIENTO Criterios de</w:t>
      </w:r>
      <w:r>
        <w:rPr>
          <w:spacing w:val="-12"/>
          <w:sz w:val="24"/>
        </w:rPr>
        <w:t> </w:t>
      </w:r>
      <w:r>
        <w:rPr>
          <w:sz w:val="24"/>
        </w:rPr>
        <w:t>Inclusión</w:t>
      </w:r>
    </w:p>
    <w:p>
      <w:pPr>
        <w:pStyle w:val="BodyText"/>
        <w:spacing w:before="3"/>
        <w:rPr>
          <w:sz w:val="20"/>
        </w:rPr>
      </w:pPr>
    </w:p>
    <w:p>
      <w:pPr>
        <w:pStyle w:val="BodyText"/>
        <w:spacing w:line="480" w:lineRule="auto"/>
        <w:ind w:left="152" w:right="106"/>
        <w:jc w:val="both"/>
      </w:pPr>
      <w:r>
        <w:rPr/>
        <w:t>Pacientes con historia clínica de convulsiones recurrentes tónico-clónicas generalizadas, con al menos 1 año de presentación y 2 ó </w:t>
      </w:r>
      <w:r>
        <w:rPr>
          <w:spacing w:val="-3"/>
        </w:rPr>
        <w:t>más </w:t>
      </w:r>
      <w:r>
        <w:rPr/>
        <w:t>eventos convulsivos por </w:t>
      </w:r>
      <w:r>
        <w:rPr>
          <w:spacing w:val="-3"/>
        </w:rPr>
        <w:t>mes, </w:t>
      </w:r>
      <w:r>
        <w:rPr/>
        <w:t>progresión de los eventos convulsivos, edad de presentación inicial, edad actual, mayores de 1 año y menores de 5 años, ningún tratamiento prescrito anteriormente, sin antecedentes de enfermedades infecciosas, trauma craneoencefálico, examen </w:t>
      </w:r>
      <w:r>
        <w:rPr>
          <w:spacing w:val="-3"/>
        </w:rPr>
        <w:t>físico </w:t>
      </w:r>
      <w:r>
        <w:rPr/>
        <w:t>general y examen neurológico interictal sin</w:t>
      </w:r>
      <w:r>
        <w:rPr>
          <w:spacing w:val="-21"/>
        </w:rPr>
        <w:t> </w:t>
      </w:r>
      <w:r>
        <w:rPr/>
        <w:t>anormalidades</w:t>
      </w:r>
    </w:p>
    <w:p>
      <w:pPr>
        <w:pStyle w:val="BodyText"/>
      </w:pPr>
    </w:p>
    <w:p>
      <w:pPr>
        <w:pStyle w:val="BodyText"/>
      </w:pPr>
    </w:p>
    <w:p>
      <w:pPr>
        <w:pStyle w:val="BodyText"/>
        <w:spacing w:before="11"/>
        <w:rPr>
          <w:sz w:val="35"/>
        </w:rPr>
      </w:pPr>
    </w:p>
    <w:p>
      <w:pPr>
        <w:pStyle w:val="BodyText"/>
        <w:ind w:left="152"/>
        <w:jc w:val="both"/>
      </w:pPr>
      <w:r>
        <w:rPr/>
        <w:t>Criterios de Exclusión</w:t>
      </w:r>
    </w:p>
    <w:p>
      <w:pPr>
        <w:pStyle w:val="BodyText"/>
      </w:pPr>
    </w:p>
    <w:p>
      <w:pPr>
        <w:pStyle w:val="BodyText"/>
        <w:spacing w:line="480" w:lineRule="auto" w:before="197"/>
        <w:ind w:left="152" w:right="103"/>
        <w:jc w:val="both"/>
      </w:pPr>
      <w:r>
        <w:rPr/>
        <w:t>Se excluyeron del estudio pacientes que desarrollaron estatus epiléptico de forma imprevista, pacientes que presentaron otros padecimientos durante la duración del estudio y aquellos que no dieron cumplimiento informado por parte de los propietarios.</w:t>
      </w:r>
    </w:p>
    <w:p>
      <w:pPr>
        <w:pStyle w:val="BodyText"/>
      </w:pPr>
    </w:p>
    <w:p>
      <w:pPr>
        <w:pStyle w:val="BodyText"/>
      </w:pPr>
    </w:p>
    <w:p>
      <w:pPr>
        <w:pStyle w:val="BodyText"/>
      </w:pPr>
    </w:p>
    <w:p>
      <w:pPr>
        <w:pStyle w:val="BodyText"/>
        <w:spacing w:line="480" w:lineRule="auto" w:before="138"/>
        <w:ind w:left="152" w:right="105"/>
        <w:jc w:val="both"/>
      </w:pPr>
      <w:r>
        <w:rPr/>
        <w:t>Se abrió un expediente clínico completo por paciente el cual incluyó anamnesis según criterios de inclusión antes mencionados, plan diagnóstico y plan terapéutico. También se incluyeron al inicio del diagnóstico exámenes de laboratorio y hojas de progreso de cada revisión consecutiva durante un período de 3 meses. Al inicio del diagnóstico a través de  la</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11"/>
        <w:jc w:val="both"/>
      </w:pPr>
      <w:r>
        <w:rPr/>
        <w:t>historia clínica, se registró el número, hora y duración de las convulsiones presentadas por el paciente.</w:t>
      </w:r>
    </w:p>
    <w:p>
      <w:pPr>
        <w:pStyle w:val="BodyText"/>
      </w:pPr>
    </w:p>
    <w:p>
      <w:pPr>
        <w:pStyle w:val="BodyText"/>
        <w:spacing w:before="10"/>
      </w:pPr>
    </w:p>
    <w:p>
      <w:pPr>
        <w:pStyle w:val="BodyText"/>
        <w:spacing w:line="480" w:lineRule="auto"/>
        <w:ind w:left="152" w:right="119"/>
        <w:jc w:val="both"/>
      </w:pPr>
      <w:r>
        <w:rPr/>
        <w:t>Una vez realizados los estudios de laboratorio sin existir alteraciones se procedió a la prescripción del tratamiento de manera aleatoria a cada paciente a las dosis correspondientes de gabapentina o fenobarbital.</w:t>
      </w:r>
    </w:p>
    <w:p>
      <w:pPr>
        <w:pStyle w:val="BodyText"/>
        <w:spacing w:line="480" w:lineRule="auto" w:before="10"/>
        <w:ind w:left="152" w:right="105"/>
        <w:jc w:val="both"/>
      </w:pPr>
      <w:r>
        <w:rPr/>
        <w:t>A cada propietario se le otorgaron cuestionarios para el registro de las convulsiones de forma semanal en donde se incluyeron la fecha del evento convulsivo, hora, duración, última hora de administración de la gabapentina y/o fenobarbital, descripción del evento, observaciones y grabación de video de los eventos convulsivos.</w:t>
      </w:r>
    </w:p>
    <w:p>
      <w:pPr>
        <w:pStyle w:val="BodyText"/>
        <w:spacing w:line="480" w:lineRule="auto" w:before="10"/>
        <w:ind w:left="152" w:right="103"/>
        <w:jc w:val="both"/>
      </w:pPr>
      <w:r>
        <w:rPr/>
        <w:t>También se incluyó una hoja de escala de sedación basada en la evaluación de sedación por (Carroll et al, 2005) Cuadro 1, y cuestionarios donde se registraron la aparición de vómitos, anorexia, diarrea o cualquier anormalidad que el paciente presentara posterior a la medicación con la finalidad de determinar efectos adversos.</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before="69"/>
        <w:ind w:left="232"/>
      </w:pPr>
      <w:r>
        <w:rPr/>
        <w:t>Cuadro 1. Escala de sedación modificada (Carroll et al, 2005)</w:t>
      </w:r>
    </w:p>
    <w:p>
      <w:pPr>
        <w:pStyle w:val="BodyText"/>
        <w:spacing w:before="8"/>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3"/>
        <w:gridCol w:w="3621"/>
        <w:gridCol w:w="3827"/>
      </w:tblGrid>
      <w:tr>
        <w:trPr>
          <w:trHeight w:val="562" w:hRule="exact"/>
        </w:trPr>
        <w:tc>
          <w:tcPr>
            <w:tcW w:w="1613" w:type="dxa"/>
          </w:tcPr>
          <w:p>
            <w:pPr>
              <w:pStyle w:val="TableParagraph"/>
              <w:spacing w:line="237" w:lineRule="auto"/>
              <w:ind w:left="360" w:right="280" w:hanging="63"/>
              <w:rPr>
                <w:sz w:val="24"/>
              </w:rPr>
            </w:pPr>
            <w:r>
              <w:rPr>
                <w:sz w:val="24"/>
              </w:rPr>
              <w:t>Puntaje de Sedación</w:t>
            </w:r>
          </w:p>
        </w:tc>
        <w:tc>
          <w:tcPr>
            <w:tcW w:w="3621" w:type="dxa"/>
          </w:tcPr>
          <w:p>
            <w:pPr>
              <w:pStyle w:val="TableParagraph"/>
              <w:spacing w:line="269" w:lineRule="exact"/>
              <w:ind w:left="922"/>
              <w:rPr>
                <w:sz w:val="24"/>
              </w:rPr>
            </w:pPr>
            <w:r>
              <w:rPr>
                <w:sz w:val="24"/>
              </w:rPr>
              <w:t>Nivel de Sedación</w:t>
            </w:r>
          </w:p>
        </w:tc>
        <w:tc>
          <w:tcPr>
            <w:tcW w:w="3827" w:type="dxa"/>
          </w:tcPr>
          <w:p>
            <w:pPr>
              <w:pStyle w:val="TableParagraph"/>
              <w:spacing w:line="269" w:lineRule="exact"/>
              <w:ind w:left="595"/>
              <w:rPr>
                <w:sz w:val="24"/>
              </w:rPr>
            </w:pPr>
            <w:r>
              <w:rPr>
                <w:sz w:val="24"/>
              </w:rPr>
              <w:t>Características del paciente</w:t>
            </w:r>
          </w:p>
        </w:tc>
      </w:tr>
      <w:tr>
        <w:trPr>
          <w:trHeight w:val="840" w:hRule="exact"/>
        </w:trPr>
        <w:tc>
          <w:tcPr>
            <w:tcW w:w="1613" w:type="dxa"/>
          </w:tcPr>
          <w:p>
            <w:pPr>
              <w:pStyle w:val="TableParagraph"/>
              <w:spacing w:line="268" w:lineRule="exact"/>
              <w:ind w:right="3"/>
              <w:jc w:val="center"/>
              <w:rPr>
                <w:sz w:val="24"/>
              </w:rPr>
            </w:pPr>
            <w:r>
              <w:rPr>
                <w:sz w:val="24"/>
              </w:rPr>
              <w:t>0</w:t>
            </w:r>
          </w:p>
        </w:tc>
        <w:tc>
          <w:tcPr>
            <w:tcW w:w="3621" w:type="dxa"/>
          </w:tcPr>
          <w:p>
            <w:pPr>
              <w:pStyle w:val="TableParagraph"/>
              <w:spacing w:line="268" w:lineRule="exact"/>
              <w:ind w:left="1271" w:right="1279"/>
              <w:jc w:val="center"/>
              <w:rPr>
                <w:sz w:val="24"/>
              </w:rPr>
            </w:pPr>
            <w:r>
              <w:rPr>
                <w:sz w:val="24"/>
              </w:rPr>
              <w:t>No sedado</w:t>
            </w:r>
          </w:p>
        </w:tc>
        <w:tc>
          <w:tcPr>
            <w:tcW w:w="3827" w:type="dxa"/>
          </w:tcPr>
          <w:p>
            <w:pPr>
              <w:pStyle w:val="TableParagraph"/>
              <w:ind w:left="105" w:right="107"/>
              <w:jc w:val="both"/>
              <w:rPr>
                <w:sz w:val="24"/>
              </w:rPr>
            </w:pPr>
            <w:r>
              <w:rPr>
                <w:sz w:val="24"/>
              </w:rPr>
              <w:t>Actitud de alerta normal, mueve las orejas en respuesta a un estímulo (aplausos)</w:t>
            </w:r>
          </w:p>
        </w:tc>
      </w:tr>
      <w:tr>
        <w:trPr>
          <w:trHeight w:val="836" w:hRule="exact"/>
        </w:trPr>
        <w:tc>
          <w:tcPr>
            <w:tcW w:w="1613" w:type="dxa"/>
          </w:tcPr>
          <w:p>
            <w:pPr>
              <w:pStyle w:val="TableParagraph"/>
              <w:spacing w:line="268" w:lineRule="exact"/>
              <w:ind w:right="3"/>
              <w:jc w:val="center"/>
              <w:rPr>
                <w:sz w:val="24"/>
              </w:rPr>
            </w:pPr>
            <w:r>
              <w:rPr>
                <w:sz w:val="24"/>
              </w:rPr>
              <w:t>1</w:t>
            </w:r>
          </w:p>
        </w:tc>
        <w:tc>
          <w:tcPr>
            <w:tcW w:w="3621" w:type="dxa"/>
          </w:tcPr>
          <w:p>
            <w:pPr>
              <w:pStyle w:val="TableParagraph"/>
              <w:spacing w:line="268" w:lineRule="exact"/>
              <w:ind w:left="1056"/>
              <w:rPr>
                <w:sz w:val="24"/>
              </w:rPr>
            </w:pPr>
            <w:r>
              <w:rPr>
                <w:sz w:val="24"/>
              </w:rPr>
              <w:t>Sedación ligera</w:t>
            </w:r>
          </w:p>
        </w:tc>
        <w:tc>
          <w:tcPr>
            <w:tcW w:w="3827" w:type="dxa"/>
          </w:tcPr>
          <w:p>
            <w:pPr>
              <w:pStyle w:val="TableParagraph"/>
              <w:ind w:left="105" w:right="105"/>
              <w:jc w:val="both"/>
              <w:rPr>
                <w:sz w:val="24"/>
              </w:rPr>
            </w:pPr>
            <w:r>
              <w:rPr>
                <w:sz w:val="24"/>
              </w:rPr>
              <w:t>Actitud deprimida, mueve  las orejas o tiene movimiento facial dirigido al ruido</w:t>
            </w:r>
          </w:p>
        </w:tc>
      </w:tr>
      <w:tr>
        <w:trPr>
          <w:trHeight w:val="840" w:hRule="exact"/>
        </w:trPr>
        <w:tc>
          <w:tcPr>
            <w:tcW w:w="1613" w:type="dxa"/>
          </w:tcPr>
          <w:p>
            <w:pPr>
              <w:pStyle w:val="TableParagraph"/>
              <w:spacing w:line="268" w:lineRule="exact"/>
              <w:ind w:right="3"/>
              <w:jc w:val="center"/>
              <w:rPr>
                <w:sz w:val="24"/>
              </w:rPr>
            </w:pPr>
            <w:r>
              <w:rPr>
                <w:sz w:val="24"/>
              </w:rPr>
              <w:t>2</w:t>
            </w:r>
          </w:p>
        </w:tc>
        <w:tc>
          <w:tcPr>
            <w:tcW w:w="3621" w:type="dxa"/>
          </w:tcPr>
          <w:p>
            <w:pPr>
              <w:pStyle w:val="TableParagraph"/>
              <w:spacing w:line="268" w:lineRule="exact"/>
              <w:ind w:left="859"/>
              <w:rPr>
                <w:sz w:val="24"/>
              </w:rPr>
            </w:pPr>
            <w:r>
              <w:rPr>
                <w:sz w:val="24"/>
              </w:rPr>
              <w:t>Sedación moderada</w:t>
            </w:r>
          </w:p>
        </w:tc>
        <w:tc>
          <w:tcPr>
            <w:tcW w:w="3827" w:type="dxa"/>
          </w:tcPr>
          <w:p>
            <w:pPr>
              <w:pStyle w:val="TableParagraph"/>
              <w:ind w:left="105" w:right="108"/>
              <w:jc w:val="both"/>
              <w:rPr>
                <w:sz w:val="24"/>
              </w:rPr>
            </w:pPr>
            <w:r>
              <w:rPr>
                <w:sz w:val="24"/>
              </w:rPr>
              <w:t>Actitud deprimida, decúbito esternal; puede ser consciente de ruido, pero tiene respuesta mínima</w:t>
            </w:r>
          </w:p>
        </w:tc>
      </w:tr>
      <w:tr>
        <w:trPr>
          <w:trHeight w:val="836" w:hRule="exact"/>
        </w:trPr>
        <w:tc>
          <w:tcPr>
            <w:tcW w:w="1613" w:type="dxa"/>
          </w:tcPr>
          <w:p>
            <w:pPr>
              <w:pStyle w:val="TableParagraph"/>
              <w:spacing w:line="268" w:lineRule="exact"/>
              <w:ind w:right="3"/>
              <w:jc w:val="center"/>
              <w:rPr>
                <w:sz w:val="24"/>
              </w:rPr>
            </w:pPr>
            <w:r>
              <w:rPr>
                <w:sz w:val="24"/>
              </w:rPr>
              <w:t>3</w:t>
            </w:r>
          </w:p>
        </w:tc>
        <w:tc>
          <w:tcPr>
            <w:tcW w:w="3621" w:type="dxa"/>
          </w:tcPr>
          <w:p>
            <w:pPr>
              <w:pStyle w:val="TableParagraph"/>
              <w:spacing w:line="268" w:lineRule="exact"/>
              <w:ind w:left="926"/>
              <w:rPr>
                <w:sz w:val="24"/>
              </w:rPr>
            </w:pPr>
            <w:r>
              <w:rPr>
                <w:sz w:val="24"/>
              </w:rPr>
              <w:t>Sedación marcada</w:t>
            </w:r>
          </w:p>
        </w:tc>
        <w:tc>
          <w:tcPr>
            <w:tcW w:w="3827" w:type="dxa"/>
          </w:tcPr>
          <w:p>
            <w:pPr>
              <w:pStyle w:val="TableParagraph"/>
              <w:ind w:left="105" w:right="109"/>
              <w:jc w:val="both"/>
              <w:rPr>
                <w:sz w:val="24"/>
              </w:rPr>
            </w:pPr>
            <w:r>
              <w:rPr>
                <w:sz w:val="24"/>
              </w:rPr>
              <w:t>El paciente se encuentra en decúbito lateral y no responde a estímulos de ruido</w:t>
            </w:r>
          </w:p>
        </w:tc>
      </w:tr>
    </w:tbl>
    <w:p>
      <w:pPr>
        <w:pStyle w:val="BodyText"/>
        <w:rPr>
          <w:sz w:val="20"/>
        </w:rPr>
      </w:pPr>
    </w:p>
    <w:p>
      <w:pPr>
        <w:pStyle w:val="BodyText"/>
        <w:spacing w:before="7"/>
        <w:rPr>
          <w:sz w:val="22"/>
        </w:rPr>
      </w:pPr>
    </w:p>
    <w:p>
      <w:pPr>
        <w:pStyle w:val="ListParagraph"/>
        <w:numPr>
          <w:ilvl w:val="3"/>
          <w:numId w:val="14"/>
        </w:numPr>
        <w:tabs>
          <w:tab w:pos="1298" w:val="left" w:leader="none"/>
          <w:tab w:pos="1299" w:val="left" w:leader="none"/>
        </w:tabs>
        <w:spacing w:line="465" w:lineRule="auto" w:before="56" w:after="0"/>
        <w:ind w:left="1299" w:right="232" w:hanging="361"/>
        <w:jc w:val="left"/>
        <w:rPr>
          <w:sz w:val="24"/>
        </w:rPr>
      </w:pPr>
      <w:r>
        <w:rPr>
          <w:sz w:val="24"/>
        </w:rPr>
        <w:t>Las puntuaciones de </w:t>
      </w:r>
      <w:r>
        <w:rPr>
          <w:spacing w:val="-3"/>
          <w:sz w:val="24"/>
        </w:rPr>
        <w:t>la </w:t>
      </w:r>
      <w:r>
        <w:rPr>
          <w:sz w:val="24"/>
        </w:rPr>
        <w:t>escala de sedación fueron determinadas en respuesta a aplausos y a signos clínicos presentados por el</w:t>
      </w:r>
      <w:r>
        <w:rPr>
          <w:spacing w:val="-25"/>
          <w:sz w:val="24"/>
        </w:rPr>
        <w:t> </w:t>
      </w:r>
      <w:r>
        <w:rPr>
          <w:sz w:val="24"/>
        </w:rPr>
        <w:t>paciente.</w:t>
      </w:r>
    </w:p>
    <w:p>
      <w:pPr>
        <w:pStyle w:val="BodyText"/>
      </w:pPr>
    </w:p>
    <w:p>
      <w:pPr>
        <w:pStyle w:val="BodyText"/>
        <w:spacing w:before="3"/>
        <w:rPr>
          <w:sz w:val="26"/>
        </w:rPr>
      </w:pPr>
    </w:p>
    <w:p>
      <w:pPr>
        <w:pStyle w:val="BodyText"/>
        <w:spacing w:line="480" w:lineRule="auto"/>
        <w:ind w:left="232" w:right="221"/>
        <w:jc w:val="both"/>
      </w:pPr>
      <w:r>
        <w:rPr/>
        <w:t>El laboratorio (ALPHA CHEM, México) formuló tabletas genéricas de gabapentina a una concentración de 50, 100, 300 y 400 mg respectivamente con lo cual se dosificó a los pacientes de acuerdo al peso y de esta manera facilito la dosificación en cada paciente. El fenobarbital utilizado fué de uso comercial (FENABOOTT Tabletas 100 mg, ABBOT, México).</w:t>
      </w:r>
    </w:p>
    <w:p>
      <w:pPr>
        <w:pStyle w:val="BodyText"/>
      </w:pPr>
    </w:p>
    <w:p>
      <w:pPr>
        <w:pStyle w:val="BodyText"/>
        <w:spacing w:before="10"/>
      </w:pPr>
    </w:p>
    <w:p>
      <w:pPr>
        <w:pStyle w:val="BodyText"/>
        <w:spacing w:line="480" w:lineRule="auto"/>
        <w:ind w:left="232" w:right="230"/>
        <w:jc w:val="both"/>
      </w:pPr>
      <w:r>
        <w:rPr/>
        <w:t>Cada propietario adquirió un frasco con el medicamento suficiente para 15 días el cual se les volvió a surtir en cada revisión. </w:t>
      </w:r>
      <w:r>
        <w:rPr>
          <w:spacing w:val="3"/>
        </w:rPr>
        <w:t>El </w:t>
      </w:r>
      <w:r>
        <w:rPr/>
        <w:t>frasco </w:t>
      </w:r>
      <w:r>
        <w:rPr>
          <w:spacing w:val="-3"/>
        </w:rPr>
        <w:t>fue </w:t>
      </w:r>
      <w:r>
        <w:rPr/>
        <w:t>identificado con el nombre </w:t>
      </w:r>
      <w:r>
        <w:rPr>
          <w:spacing w:val="2"/>
        </w:rPr>
        <w:t>del </w:t>
      </w:r>
      <w:r>
        <w:rPr/>
        <w:t>medicamento, </w:t>
      </w:r>
      <w:r>
        <w:rPr>
          <w:spacing w:val="-5"/>
        </w:rPr>
        <w:t>la  </w:t>
      </w:r>
      <w:r>
        <w:rPr/>
        <w:t>presentación, dosificación,  fecha, vía  e intervalo  de administración. </w:t>
      </w:r>
      <w:r>
        <w:rPr>
          <w:spacing w:val="59"/>
        </w:rPr>
        <w:t> </w:t>
      </w:r>
      <w:r>
        <w:rPr/>
        <w:t>De</w:t>
      </w:r>
    </w:p>
    <w:p>
      <w:pPr>
        <w:spacing w:after="0" w:line="480" w:lineRule="auto"/>
        <w:jc w:val="both"/>
        <w:sectPr>
          <w:pgSz w:w="12240" w:h="15840"/>
          <w:pgMar w:header="0" w:footer="2071" w:top="1500" w:bottom="2320" w:left="1640" w:right="1300"/>
        </w:sectPr>
      </w:pPr>
    </w:p>
    <w:p>
      <w:pPr>
        <w:pStyle w:val="BodyText"/>
        <w:spacing w:before="7"/>
        <w:rPr>
          <w:sz w:val="20"/>
        </w:rPr>
      </w:pPr>
    </w:p>
    <w:p>
      <w:pPr>
        <w:pStyle w:val="BodyText"/>
        <w:spacing w:line="480" w:lineRule="auto" w:before="69"/>
        <w:ind w:left="152" w:right="111"/>
        <w:jc w:val="both"/>
      </w:pPr>
      <w:r>
        <w:rPr/>
        <w:t>forma mensual se realizó venopunción yugular para exámenes de laboratorio (hemograma completo, urianálisis y química sanguínea completa para determinar efectos adversos.</w:t>
      </w:r>
    </w:p>
    <w:p>
      <w:pPr>
        <w:pStyle w:val="BodyText"/>
      </w:pPr>
    </w:p>
    <w:p>
      <w:pPr>
        <w:pStyle w:val="BodyText"/>
      </w:pPr>
    </w:p>
    <w:p>
      <w:pPr>
        <w:pStyle w:val="ListParagraph"/>
        <w:numPr>
          <w:ilvl w:val="2"/>
          <w:numId w:val="14"/>
        </w:numPr>
        <w:tabs>
          <w:tab w:pos="1219" w:val="left" w:leader="none"/>
        </w:tabs>
        <w:spacing w:line="240" w:lineRule="auto" w:before="212" w:after="0"/>
        <w:ind w:left="1219" w:right="0" w:hanging="361"/>
        <w:jc w:val="left"/>
        <w:rPr>
          <w:sz w:val="24"/>
        </w:rPr>
      </w:pPr>
      <w:r>
        <w:rPr>
          <w:sz w:val="24"/>
        </w:rPr>
        <w:t>GRUPOS</w:t>
      </w:r>
      <w:r>
        <w:rPr>
          <w:spacing w:val="-15"/>
          <w:sz w:val="24"/>
        </w:rPr>
        <w:t> </w:t>
      </w:r>
      <w:r>
        <w:rPr>
          <w:sz w:val="24"/>
        </w:rPr>
        <w:t>EXPERIMENTALES</w:t>
      </w:r>
    </w:p>
    <w:p>
      <w:pPr>
        <w:pStyle w:val="BodyText"/>
      </w:pPr>
    </w:p>
    <w:p>
      <w:pPr>
        <w:pStyle w:val="BodyText"/>
        <w:spacing w:line="480" w:lineRule="auto" w:before="197"/>
        <w:ind w:left="152" w:right="119"/>
        <w:jc w:val="both"/>
      </w:pPr>
      <w:r>
        <w:rPr/>
        <w:t>Los pacientes fueron divididos aleatoriamente en 3 grupos de 10 animales cada uno los cuales se distribuyeron de la siguiente manera:</w:t>
      </w:r>
    </w:p>
    <w:p>
      <w:pPr>
        <w:pStyle w:val="ListParagraph"/>
        <w:numPr>
          <w:ilvl w:val="1"/>
          <w:numId w:val="18"/>
        </w:numPr>
        <w:tabs>
          <w:tab w:pos="1276" w:val="left" w:leader="none"/>
        </w:tabs>
        <w:spacing w:line="480" w:lineRule="auto" w:before="212" w:after="0"/>
        <w:ind w:left="152" w:right="111" w:firstLine="706"/>
        <w:jc w:val="both"/>
        <w:rPr>
          <w:sz w:val="24"/>
        </w:rPr>
      </w:pPr>
      <w:r>
        <w:rPr>
          <w:sz w:val="24"/>
        </w:rPr>
        <w:t>Grupo I (G GBP 30 mg/kg/día): Los pacientes pertenecientes a este grupo fueron tratados a una dosis de 10 mg/kg por </w:t>
      </w:r>
      <w:r>
        <w:rPr>
          <w:spacing w:val="-4"/>
          <w:sz w:val="24"/>
        </w:rPr>
        <w:t>vía </w:t>
      </w:r>
      <w:r>
        <w:rPr>
          <w:sz w:val="24"/>
        </w:rPr>
        <w:t>oral cada 8</w:t>
      </w:r>
      <w:r>
        <w:rPr>
          <w:spacing w:val="-24"/>
          <w:sz w:val="24"/>
        </w:rPr>
        <w:t> </w:t>
      </w:r>
      <w:r>
        <w:rPr>
          <w:sz w:val="24"/>
        </w:rPr>
        <w:t>horas.</w:t>
      </w:r>
    </w:p>
    <w:p>
      <w:pPr>
        <w:pStyle w:val="ListParagraph"/>
        <w:numPr>
          <w:ilvl w:val="1"/>
          <w:numId w:val="18"/>
        </w:numPr>
        <w:tabs>
          <w:tab w:pos="1271" w:val="left" w:leader="none"/>
        </w:tabs>
        <w:spacing w:line="475" w:lineRule="auto" w:before="212" w:after="0"/>
        <w:ind w:left="152" w:right="116" w:firstLine="706"/>
        <w:jc w:val="both"/>
        <w:rPr>
          <w:sz w:val="24"/>
        </w:rPr>
      </w:pPr>
      <w:r>
        <w:rPr>
          <w:sz w:val="24"/>
        </w:rPr>
        <w:t>Grupo II (G GBP 60 mg/kg/día): Los pacientes pertenecientes a este grupo fueron tratados a una dosis de 20 mg/kg por </w:t>
      </w:r>
      <w:r>
        <w:rPr>
          <w:spacing w:val="-4"/>
          <w:sz w:val="24"/>
        </w:rPr>
        <w:t>vía </w:t>
      </w:r>
      <w:r>
        <w:rPr>
          <w:sz w:val="24"/>
        </w:rPr>
        <w:t>oral cada 8</w:t>
      </w:r>
      <w:r>
        <w:rPr>
          <w:spacing w:val="-6"/>
          <w:sz w:val="24"/>
        </w:rPr>
        <w:t> </w:t>
      </w:r>
      <w:r>
        <w:rPr>
          <w:sz w:val="24"/>
        </w:rPr>
        <w:t>horas.</w:t>
      </w:r>
    </w:p>
    <w:p>
      <w:pPr>
        <w:pStyle w:val="BodyText"/>
        <w:spacing w:before="10"/>
        <w:rPr>
          <w:sz w:val="18"/>
        </w:rPr>
      </w:pPr>
    </w:p>
    <w:p>
      <w:pPr>
        <w:pStyle w:val="ListParagraph"/>
        <w:numPr>
          <w:ilvl w:val="1"/>
          <w:numId w:val="18"/>
        </w:numPr>
        <w:tabs>
          <w:tab w:pos="1324" w:val="left" w:leader="none"/>
        </w:tabs>
        <w:spacing w:line="480" w:lineRule="auto" w:before="0" w:after="0"/>
        <w:ind w:left="152" w:right="113" w:firstLine="706"/>
        <w:jc w:val="both"/>
        <w:rPr>
          <w:sz w:val="24"/>
        </w:rPr>
      </w:pPr>
      <w:r>
        <w:rPr>
          <w:sz w:val="24"/>
        </w:rPr>
        <w:t>Grupo III (G FB 4 mg/kg/día): Grupo control positivo. Los pacientes pertenecientes a este grupo fueron tratados a una dosis de 2 mg/kg por vía oral cada 12 horas.</w:t>
      </w:r>
    </w:p>
    <w:p>
      <w:pPr>
        <w:pStyle w:val="BodyText"/>
      </w:pPr>
    </w:p>
    <w:p>
      <w:pPr>
        <w:pStyle w:val="BodyText"/>
      </w:pPr>
    </w:p>
    <w:p>
      <w:pPr>
        <w:pStyle w:val="BodyText"/>
        <w:spacing w:before="6"/>
        <w:rPr>
          <w:sz w:val="35"/>
        </w:rPr>
      </w:pPr>
    </w:p>
    <w:p>
      <w:pPr>
        <w:pStyle w:val="BodyText"/>
        <w:spacing w:line="480" w:lineRule="auto" w:before="1"/>
        <w:ind w:left="152" w:right="104"/>
        <w:jc w:val="both"/>
      </w:pPr>
      <w:r>
        <w:rPr/>
        <w:t>Se registraron los efectos adversos presentados de forma clínica referidos por el propietario así como los observados durante los exámenes, físico, neurológico y de laboratorio durante el estudio y al final del mismo con el fin de correlacionar datos.</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15"/>
        <w:jc w:val="both"/>
      </w:pPr>
      <w:r>
        <w:rPr/>
        <w:t>Los pacientes que no respondieron al tratamiento con gabapentina en un período de evaluación de 15 días fueron rescatados con fenobarbital tomando como una respuesta positiva aquellos pacientes en donde el número de convulsiones se reducía en un 50% con referencia al número de convulsiones presentadas antes del tratamiento.</w:t>
      </w:r>
    </w:p>
    <w:p>
      <w:pPr>
        <w:pStyle w:val="ListParagraph"/>
        <w:numPr>
          <w:ilvl w:val="0"/>
          <w:numId w:val="19"/>
        </w:numPr>
        <w:tabs>
          <w:tab w:pos="1103" w:val="left" w:leader="none"/>
        </w:tabs>
        <w:spacing w:line="240" w:lineRule="auto" w:before="207" w:after="0"/>
        <w:ind w:left="1102" w:right="0" w:hanging="244"/>
        <w:jc w:val="left"/>
        <w:rPr>
          <w:sz w:val="24"/>
        </w:rPr>
      </w:pPr>
      <w:r>
        <w:rPr>
          <w:sz w:val="24"/>
        </w:rPr>
        <w:t>DISEÑO</w:t>
      </w:r>
      <w:r>
        <w:rPr>
          <w:spacing w:val="-19"/>
          <w:sz w:val="24"/>
        </w:rPr>
        <w:t> </w:t>
      </w:r>
      <w:r>
        <w:rPr>
          <w:sz w:val="24"/>
        </w:rPr>
        <w:t>EXPERIMENTAL</w:t>
      </w:r>
    </w:p>
    <w:p>
      <w:pPr>
        <w:pStyle w:val="BodyText"/>
        <w:rPr>
          <w:sz w:val="21"/>
        </w:rPr>
      </w:pPr>
    </w:p>
    <w:p>
      <w:pPr>
        <w:pStyle w:val="BodyText"/>
        <w:spacing w:line="480" w:lineRule="auto" w:before="1"/>
        <w:ind w:left="152" w:right="104"/>
        <w:jc w:val="both"/>
      </w:pPr>
      <w:r>
        <w:rPr/>
        <w:t>Se realizó un estudio clínico, prospectivo, aleatorio, donde cada paciente </w:t>
      </w:r>
      <w:r>
        <w:rPr>
          <w:spacing w:val="-3"/>
        </w:rPr>
        <w:t>fue </w:t>
      </w:r>
      <w:r>
        <w:rPr/>
        <w:t>asignado a  uno de los tres grupos de experimentación (n =</w:t>
      </w:r>
      <w:r>
        <w:rPr>
          <w:spacing w:val="-19"/>
        </w:rPr>
        <w:t> </w:t>
      </w:r>
      <w:r>
        <w:rPr/>
        <w:t>10).</w:t>
      </w:r>
    </w:p>
    <w:p>
      <w:pPr>
        <w:pStyle w:val="ListParagraph"/>
        <w:numPr>
          <w:ilvl w:val="0"/>
          <w:numId w:val="19"/>
        </w:numPr>
        <w:tabs>
          <w:tab w:pos="1219" w:val="left" w:leader="none"/>
        </w:tabs>
        <w:spacing w:line="240" w:lineRule="auto" w:before="212" w:after="0"/>
        <w:ind w:left="1219" w:right="0" w:hanging="361"/>
        <w:jc w:val="left"/>
        <w:rPr>
          <w:sz w:val="24"/>
        </w:rPr>
      </w:pPr>
      <w:r>
        <w:rPr>
          <w:sz w:val="24"/>
        </w:rPr>
        <w:t>ANÁLISIS</w:t>
      </w:r>
      <w:r>
        <w:rPr>
          <w:spacing w:val="-11"/>
          <w:sz w:val="24"/>
        </w:rPr>
        <w:t> </w:t>
      </w:r>
      <w:r>
        <w:rPr>
          <w:sz w:val="24"/>
        </w:rPr>
        <w:t>ESTADÍSTICO</w:t>
      </w:r>
    </w:p>
    <w:p>
      <w:pPr>
        <w:pStyle w:val="BodyText"/>
      </w:pPr>
    </w:p>
    <w:p>
      <w:pPr>
        <w:pStyle w:val="BodyText"/>
        <w:spacing w:line="480" w:lineRule="auto" w:before="201"/>
        <w:ind w:left="152" w:right="120"/>
        <w:jc w:val="both"/>
      </w:pPr>
      <w:r>
        <w:rPr/>
        <w:t>Los resultados obtenidos fueron expresados como media ± error estándar. El análisis estadístico se realizó con el programa estadístico PrismStat 6.</w:t>
      </w:r>
    </w:p>
    <w:p>
      <w:pPr>
        <w:pStyle w:val="BodyText"/>
        <w:spacing w:line="480" w:lineRule="auto" w:before="207"/>
        <w:ind w:left="152" w:right="114"/>
        <w:jc w:val="both"/>
      </w:pPr>
      <w:r>
        <w:rPr/>
        <w:t>Se utilizó la prueba de D’ Agostino-Pearson para determinar la normalidad en la distribución de los datos.</w:t>
      </w:r>
    </w:p>
    <w:p>
      <w:pPr>
        <w:pStyle w:val="BodyText"/>
        <w:spacing w:line="480" w:lineRule="auto" w:before="212"/>
        <w:ind w:left="152" w:right="110"/>
        <w:jc w:val="both"/>
      </w:pPr>
      <w:r>
        <w:rPr/>
        <w:t>Para evaluar el numero de convulsiones entre cada grupo se utilizo un análisis de varianza (ANOVA) de una sola vía seguido de </w:t>
      </w:r>
      <w:r>
        <w:rPr>
          <w:spacing w:val="-5"/>
        </w:rPr>
        <w:t>la </w:t>
      </w:r>
      <w:r>
        <w:rPr/>
        <w:t>prueba de Holm-Sidak para medidas repetidas.  Para comparar los analitos de química sanguínea antes y al final del tratamiento en cada grupo se utilizó </w:t>
      </w:r>
      <w:r>
        <w:rPr>
          <w:spacing w:val="-3"/>
        </w:rPr>
        <w:t>la </w:t>
      </w:r>
      <w:r>
        <w:rPr/>
        <w:t>prueba de Mann</w:t>
      </w:r>
      <w:r>
        <w:rPr>
          <w:spacing w:val="-11"/>
        </w:rPr>
        <w:t> </w:t>
      </w:r>
      <w:r>
        <w:rPr/>
        <w:t>Whitney.</w:t>
      </w:r>
    </w:p>
    <w:p>
      <w:pPr>
        <w:pStyle w:val="BodyText"/>
        <w:spacing w:before="212"/>
        <w:ind w:left="152"/>
        <w:jc w:val="both"/>
      </w:pPr>
      <w:r>
        <w:rPr/>
        <w:t>Para todas las comparaciones se consideró como estadísticamente significativa un valor   de</w:t>
      </w:r>
    </w:p>
    <w:p>
      <w:pPr>
        <w:pStyle w:val="BodyText"/>
      </w:pPr>
    </w:p>
    <w:p>
      <w:pPr>
        <w:spacing w:before="0"/>
        <w:ind w:left="152" w:right="0" w:firstLine="0"/>
        <w:jc w:val="both"/>
        <w:rPr>
          <w:sz w:val="24"/>
        </w:rPr>
      </w:pPr>
      <w:r>
        <w:rPr>
          <w:i/>
          <w:sz w:val="24"/>
        </w:rPr>
        <w:t>p </w:t>
      </w:r>
      <w:r>
        <w:rPr>
          <w:sz w:val="24"/>
        </w:rPr>
        <w:t>˂ 0.05.</w:t>
      </w:r>
    </w:p>
    <w:p>
      <w:pPr>
        <w:spacing w:after="0"/>
        <w:jc w:val="both"/>
        <w:rPr>
          <w:sz w:val="24"/>
        </w:rPr>
        <w:sectPr>
          <w:pgSz w:w="12240" w:h="15840"/>
          <w:pgMar w:header="0" w:footer="2071" w:top="1500" w:bottom="2320" w:left="1720" w:right="1420"/>
        </w:sectPr>
      </w:pPr>
    </w:p>
    <w:p>
      <w:pPr>
        <w:pStyle w:val="BodyText"/>
        <w:spacing w:before="9"/>
        <w:rPr>
          <w:sz w:val="28"/>
        </w:rPr>
      </w:pPr>
    </w:p>
    <w:p>
      <w:pPr>
        <w:pStyle w:val="Heading1"/>
      </w:pPr>
      <w:r>
        <w:rPr/>
        <w:pict>
          <v:group style="position:absolute;margin-left:90.758003pt;margin-top:20.530283pt;width:447.8pt;height:4.350pt;mso-position-horizontal-relative:page;mso-position-vertical-relative:paragraph;z-index:1552;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53" w:id="83"/>
      <w:bookmarkEnd w:id="83"/>
      <w:r>
        <w:rPr>
          <w:b w:val="0"/>
        </w:rPr>
      </w:r>
      <w:r>
        <w:rPr/>
        <w:t>CAPITULO VII</w:t>
      </w:r>
    </w:p>
    <w:p>
      <w:pPr>
        <w:pStyle w:val="BodyText"/>
        <w:rPr>
          <w:b/>
          <w:sz w:val="15"/>
        </w:rPr>
      </w:pPr>
    </w:p>
    <w:p>
      <w:pPr>
        <w:pStyle w:val="Heading2"/>
        <w:spacing w:before="69"/>
      </w:pPr>
      <w:bookmarkStart w:name="_bookmark54" w:id="84"/>
      <w:bookmarkEnd w:id="84"/>
      <w:r>
        <w:rPr>
          <w:b w:val="0"/>
        </w:rPr>
      </w:r>
      <w:r>
        <w:rPr/>
        <w:t>RESULTADOS</w:t>
      </w:r>
    </w:p>
    <w:p>
      <w:pPr>
        <w:pStyle w:val="BodyText"/>
        <w:spacing w:before="9"/>
        <w:rPr>
          <w:b/>
        </w:rPr>
      </w:pPr>
    </w:p>
    <w:p>
      <w:pPr>
        <w:spacing w:before="0"/>
        <w:ind w:left="172" w:right="0" w:firstLine="0"/>
        <w:jc w:val="left"/>
        <w:rPr>
          <w:b/>
          <w:sz w:val="24"/>
        </w:rPr>
      </w:pPr>
      <w:r>
        <w:rPr/>
        <w:drawing>
          <wp:anchor distT="0" distB="0" distL="0" distR="0" allowOverlap="1" layoutInCell="1" locked="0" behindDoc="0" simplePos="0" relativeHeight="1576">
            <wp:simplePos x="0" y="0"/>
            <wp:positionH relativeFrom="page">
              <wp:posOffset>1642745</wp:posOffset>
            </wp:positionH>
            <wp:positionV relativeFrom="paragraph">
              <wp:posOffset>239434</wp:posOffset>
            </wp:positionV>
            <wp:extent cx="4663637" cy="5962554"/>
            <wp:effectExtent l="0" t="0" r="0" b="0"/>
            <wp:wrapTopAndBottom/>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33" cstate="print"/>
                    <a:stretch>
                      <a:fillRect/>
                    </a:stretch>
                  </pic:blipFill>
                  <pic:spPr>
                    <a:xfrm>
                      <a:off x="0" y="0"/>
                      <a:ext cx="4663637" cy="5962554"/>
                    </a:xfrm>
                    <a:prstGeom prst="rect">
                      <a:avLst/>
                    </a:prstGeom>
                  </pic:spPr>
                </pic:pic>
              </a:graphicData>
            </a:graphic>
          </wp:anchor>
        </w:drawing>
      </w:r>
      <w:bookmarkStart w:name="_bookmark55" w:id="85"/>
      <w:bookmarkEnd w:id="85"/>
      <w:r>
        <w:rPr/>
      </w:r>
      <w:r>
        <w:rPr>
          <w:b/>
          <w:sz w:val="24"/>
        </w:rPr>
        <w:t>1 ARTÍCULO CIENTÍFICO</w:t>
      </w:r>
    </w:p>
    <w:p>
      <w:pPr>
        <w:spacing w:after="0"/>
        <w:jc w:val="left"/>
        <w:rPr>
          <w:sz w:val="24"/>
        </w:rPr>
        <w:sectPr>
          <w:pgSz w:w="12240" w:h="15840"/>
          <w:pgMar w:header="0" w:footer="2071" w:top="1500" w:bottom="2320" w:left="1700" w:right="1360"/>
        </w:sectPr>
      </w:pPr>
    </w:p>
    <w:p>
      <w:pPr>
        <w:pStyle w:val="BodyText"/>
        <w:spacing w:before="11"/>
        <w:rPr>
          <w:sz w:val="26"/>
        </w:rPr>
      </w:pPr>
    </w:p>
    <w:p>
      <w:pPr>
        <w:pStyle w:val="BodyText"/>
        <w:ind w:left="205"/>
        <w:rPr>
          <w:sz w:val="20"/>
        </w:rPr>
      </w:pPr>
      <w:r>
        <w:rPr>
          <w:sz w:val="20"/>
        </w:rPr>
        <w:drawing>
          <wp:inline distT="0" distB="0" distL="0" distR="0">
            <wp:extent cx="5532799" cy="7060882"/>
            <wp:effectExtent l="0" t="0" r="0" b="0"/>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34" cstate="print"/>
                    <a:stretch>
                      <a:fillRect/>
                    </a:stretch>
                  </pic:blipFill>
                  <pic:spPr>
                    <a:xfrm>
                      <a:off x="0" y="0"/>
                      <a:ext cx="5532799" cy="7060882"/>
                    </a:xfrm>
                    <a:prstGeom prst="rect">
                      <a:avLst/>
                    </a:prstGeom>
                  </pic:spPr>
                </pic:pic>
              </a:graphicData>
            </a:graphic>
          </wp:inline>
        </w:drawing>
      </w:r>
      <w:r>
        <w:rPr>
          <w:sz w:val="20"/>
        </w:rPr>
      </w:r>
    </w:p>
    <w:p>
      <w:pPr>
        <w:spacing w:after="0"/>
        <w:rPr>
          <w:sz w:val="20"/>
        </w:rPr>
        <w:sectPr>
          <w:pgSz w:w="12240" w:h="15840"/>
          <w:pgMar w:header="0" w:footer="2071" w:top="1500" w:bottom="2260" w:left="1720" w:right="1420"/>
        </w:sectPr>
      </w:pPr>
    </w:p>
    <w:p>
      <w:pPr>
        <w:pStyle w:val="BodyText"/>
        <w:rPr>
          <w:sz w:val="20"/>
        </w:rPr>
      </w:pPr>
    </w:p>
    <w:p>
      <w:pPr>
        <w:pStyle w:val="BodyText"/>
        <w:rPr>
          <w:sz w:val="20"/>
        </w:rPr>
      </w:pPr>
    </w:p>
    <w:p>
      <w:pPr>
        <w:pStyle w:val="BodyText"/>
        <w:spacing w:before="6"/>
        <w:rPr>
          <w:sz w:val="11"/>
        </w:rPr>
      </w:pPr>
    </w:p>
    <w:p>
      <w:pPr>
        <w:pStyle w:val="BodyText"/>
        <w:ind w:left="152"/>
        <w:rPr>
          <w:sz w:val="20"/>
        </w:rPr>
      </w:pPr>
      <w:r>
        <w:rPr>
          <w:sz w:val="20"/>
        </w:rPr>
        <w:drawing>
          <wp:inline distT="0" distB="0" distL="0" distR="0">
            <wp:extent cx="5468970" cy="6973157"/>
            <wp:effectExtent l="0" t="0" r="0" b="0"/>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36" cstate="print"/>
                    <a:stretch>
                      <a:fillRect/>
                    </a:stretch>
                  </pic:blipFill>
                  <pic:spPr>
                    <a:xfrm>
                      <a:off x="0" y="0"/>
                      <a:ext cx="5468970" cy="6973157"/>
                    </a:xfrm>
                    <a:prstGeom prst="rect">
                      <a:avLst/>
                    </a:prstGeom>
                  </pic:spPr>
                </pic:pic>
              </a:graphicData>
            </a:graphic>
          </wp:inline>
        </w:drawing>
      </w:r>
      <w:r>
        <w:rPr>
          <w:sz w:val="20"/>
        </w:rPr>
      </w:r>
    </w:p>
    <w:p>
      <w:pPr>
        <w:spacing w:after="0"/>
        <w:rPr>
          <w:sz w:val="20"/>
        </w:rPr>
        <w:sectPr>
          <w:footerReference w:type="default" r:id="rId35"/>
          <w:pgSz w:w="12240" w:h="15840"/>
          <w:pgMar w:footer="2071" w:header="0" w:top="1500" w:bottom="2260" w:left="1720" w:right="1420"/>
        </w:sectPr>
      </w:pPr>
    </w:p>
    <w:p>
      <w:pPr>
        <w:pStyle w:val="BodyText"/>
        <w:spacing w:before="9"/>
        <w:rPr>
          <w:sz w:val="27"/>
        </w:rPr>
      </w:pPr>
    </w:p>
    <w:p>
      <w:pPr>
        <w:pStyle w:val="BodyText"/>
        <w:ind w:left="151"/>
        <w:rPr>
          <w:sz w:val="20"/>
        </w:rPr>
      </w:pPr>
      <w:r>
        <w:rPr>
          <w:sz w:val="20"/>
        </w:rPr>
        <w:drawing>
          <wp:inline distT="0" distB="0" distL="0" distR="0">
            <wp:extent cx="5506979" cy="7004304"/>
            <wp:effectExtent l="0" t="0" r="0" b="0"/>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38" cstate="print"/>
                    <a:stretch>
                      <a:fillRect/>
                    </a:stretch>
                  </pic:blipFill>
                  <pic:spPr>
                    <a:xfrm>
                      <a:off x="0" y="0"/>
                      <a:ext cx="5506979" cy="7004304"/>
                    </a:xfrm>
                    <a:prstGeom prst="rect">
                      <a:avLst/>
                    </a:prstGeom>
                  </pic:spPr>
                </pic:pic>
              </a:graphicData>
            </a:graphic>
          </wp:inline>
        </w:drawing>
      </w:r>
      <w:r>
        <w:rPr>
          <w:sz w:val="20"/>
        </w:rPr>
      </w:r>
    </w:p>
    <w:p>
      <w:pPr>
        <w:spacing w:after="0"/>
        <w:rPr>
          <w:sz w:val="20"/>
        </w:rPr>
        <w:sectPr>
          <w:footerReference w:type="default" r:id="rId37"/>
          <w:pgSz w:w="12240" w:h="15840"/>
          <w:pgMar w:footer="2071" w:header="0" w:top="1500" w:bottom="2260" w:left="1720" w:right="1420"/>
          <w:pgNumType w:start="91"/>
        </w:sectPr>
      </w:pPr>
    </w:p>
    <w:p>
      <w:pPr>
        <w:pStyle w:val="BodyText"/>
        <w:spacing w:before="3"/>
        <w:rPr>
          <w:sz w:val="27"/>
        </w:rPr>
      </w:pPr>
    </w:p>
    <w:p>
      <w:pPr>
        <w:pStyle w:val="BodyText"/>
        <w:ind w:left="152"/>
        <w:rPr>
          <w:sz w:val="20"/>
        </w:rPr>
      </w:pPr>
      <w:r>
        <w:rPr>
          <w:sz w:val="20"/>
        </w:rPr>
        <w:drawing>
          <wp:inline distT="0" distB="0" distL="0" distR="0">
            <wp:extent cx="5513064" cy="7054215"/>
            <wp:effectExtent l="0" t="0" r="0" b="0"/>
            <wp:docPr id="21" name="image14.jpeg" descr=""/>
            <wp:cNvGraphicFramePr>
              <a:graphicFrameLocks noChangeAspect="1"/>
            </wp:cNvGraphicFramePr>
            <a:graphic>
              <a:graphicData uri="http://schemas.openxmlformats.org/drawingml/2006/picture">
                <pic:pic>
                  <pic:nvPicPr>
                    <pic:cNvPr id="22" name="image14.jpeg"/>
                    <pic:cNvPicPr/>
                  </pic:nvPicPr>
                  <pic:blipFill>
                    <a:blip r:embed="rId39" cstate="print"/>
                    <a:stretch>
                      <a:fillRect/>
                    </a:stretch>
                  </pic:blipFill>
                  <pic:spPr>
                    <a:xfrm>
                      <a:off x="0" y="0"/>
                      <a:ext cx="5513064" cy="7054215"/>
                    </a:xfrm>
                    <a:prstGeom prst="rect">
                      <a:avLst/>
                    </a:prstGeom>
                  </pic:spPr>
                </pic:pic>
              </a:graphicData>
            </a:graphic>
          </wp:inline>
        </w:drawing>
      </w:r>
      <w:r>
        <w:rPr>
          <w:sz w:val="20"/>
        </w:rPr>
      </w:r>
    </w:p>
    <w:p>
      <w:pPr>
        <w:spacing w:after="0"/>
        <w:rPr>
          <w:sz w:val="20"/>
        </w:rPr>
        <w:sectPr>
          <w:pgSz w:w="12240" w:h="15840"/>
          <w:pgMar w:header="0" w:footer="2071" w:top="1500" w:bottom="2260" w:left="1720" w:right="1420"/>
        </w:sectPr>
      </w:pPr>
    </w:p>
    <w:p>
      <w:pPr>
        <w:pStyle w:val="BodyText"/>
        <w:spacing w:before="3"/>
        <w:rPr>
          <w:sz w:val="27"/>
        </w:rPr>
      </w:pPr>
    </w:p>
    <w:p>
      <w:pPr>
        <w:pStyle w:val="BodyText"/>
        <w:ind w:left="152"/>
        <w:rPr>
          <w:sz w:val="20"/>
        </w:rPr>
      </w:pPr>
      <w:r>
        <w:rPr>
          <w:sz w:val="20"/>
        </w:rPr>
        <w:drawing>
          <wp:inline distT="0" distB="0" distL="0" distR="0">
            <wp:extent cx="5467540" cy="6986301"/>
            <wp:effectExtent l="0" t="0" r="0" b="0"/>
            <wp:docPr id="23" name="image15.jpeg" descr=""/>
            <wp:cNvGraphicFramePr>
              <a:graphicFrameLocks noChangeAspect="1"/>
            </wp:cNvGraphicFramePr>
            <a:graphic>
              <a:graphicData uri="http://schemas.openxmlformats.org/drawingml/2006/picture">
                <pic:pic>
                  <pic:nvPicPr>
                    <pic:cNvPr id="24" name="image15.jpeg"/>
                    <pic:cNvPicPr/>
                  </pic:nvPicPr>
                  <pic:blipFill>
                    <a:blip r:embed="rId40" cstate="print"/>
                    <a:stretch>
                      <a:fillRect/>
                    </a:stretch>
                  </pic:blipFill>
                  <pic:spPr>
                    <a:xfrm>
                      <a:off x="0" y="0"/>
                      <a:ext cx="5467540" cy="6986301"/>
                    </a:xfrm>
                    <a:prstGeom prst="rect">
                      <a:avLst/>
                    </a:prstGeom>
                  </pic:spPr>
                </pic:pic>
              </a:graphicData>
            </a:graphic>
          </wp:inline>
        </w:drawing>
      </w:r>
      <w:r>
        <w:rPr>
          <w:sz w:val="20"/>
        </w:rPr>
      </w:r>
    </w:p>
    <w:p>
      <w:pPr>
        <w:spacing w:after="0"/>
        <w:rPr>
          <w:sz w:val="20"/>
        </w:rPr>
        <w:sectPr>
          <w:pgSz w:w="12240" w:h="15840"/>
          <w:pgMar w:header="0" w:footer="2071" w:top="1500" w:bottom="2260" w:left="1720" w:right="1420"/>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1088"/>
        <w:gridCol w:w="734"/>
        <w:gridCol w:w="413"/>
        <w:gridCol w:w="720"/>
        <w:gridCol w:w="739"/>
        <w:gridCol w:w="1142"/>
        <w:gridCol w:w="1376"/>
        <w:gridCol w:w="2296"/>
      </w:tblGrid>
      <w:tr>
        <w:trPr>
          <w:trHeight w:val="423" w:hRule="exact"/>
        </w:trPr>
        <w:tc>
          <w:tcPr>
            <w:tcW w:w="8984" w:type="dxa"/>
            <w:gridSpan w:val="9"/>
          </w:tcPr>
          <w:p>
            <w:pPr>
              <w:pStyle w:val="TableParagraph"/>
              <w:ind w:left="67"/>
              <w:rPr>
                <w:rFonts w:ascii="Arial"/>
                <w:b/>
                <w:sz w:val="18"/>
              </w:rPr>
            </w:pPr>
            <w:r>
              <w:rPr>
                <w:rFonts w:ascii="Arial"/>
                <w:b/>
                <w:w w:val="85"/>
                <w:sz w:val="18"/>
              </w:rPr>
              <w:t>TABLE</w:t>
            </w:r>
            <w:r>
              <w:rPr>
                <w:rFonts w:ascii="Arial"/>
                <w:b/>
                <w:spacing w:val="-16"/>
                <w:w w:val="85"/>
                <w:sz w:val="18"/>
              </w:rPr>
              <w:t> </w:t>
            </w:r>
            <w:r>
              <w:rPr>
                <w:rFonts w:ascii="Arial"/>
                <w:b/>
                <w:w w:val="85"/>
                <w:sz w:val="18"/>
              </w:rPr>
              <w:t>1.</w:t>
            </w:r>
            <w:r>
              <w:rPr>
                <w:rFonts w:ascii="Arial"/>
                <w:b/>
                <w:spacing w:val="-18"/>
                <w:w w:val="85"/>
                <w:sz w:val="18"/>
              </w:rPr>
              <w:t> </w:t>
            </w:r>
            <w:r>
              <w:rPr>
                <w:rFonts w:ascii="Arial"/>
                <w:b/>
                <w:w w:val="85"/>
                <w:sz w:val="18"/>
              </w:rPr>
              <w:t>Effect</w:t>
            </w:r>
            <w:r>
              <w:rPr>
                <w:rFonts w:ascii="Arial"/>
                <w:b/>
                <w:spacing w:val="-17"/>
                <w:w w:val="85"/>
                <w:sz w:val="18"/>
              </w:rPr>
              <w:t> </w:t>
            </w:r>
            <w:r>
              <w:rPr>
                <w:rFonts w:ascii="Arial"/>
                <w:b/>
                <w:spacing w:val="-3"/>
                <w:w w:val="85"/>
                <w:sz w:val="18"/>
              </w:rPr>
              <w:t>of</w:t>
            </w:r>
            <w:r>
              <w:rPr>
                <w:rFonts w:ascii="Arial"/>
                <w:b/>
                <w:spacing w:val="-17"/>
                <w:w w:val="85"/>
                <w:sz w:val="18"/>
              </w:rPr>
              <w:t> </w:t>
            </w:r>
            <w:r>
              <w:rPr>
                <w:rFonts w:ascii="Arial"/>
                <w:b/>
                <w:w w:val="85"/>
                <w:sz w:val="18"/>
              </w:rPr>
              <w:t>gabapentin</w:t>
            </w:r>
            <w:r>
              <w:rPr>
                <w:rFonts w:ascii="Arial"/>
                <w:b/>
                <w:spacing w:val="-19"/>
                <w:w w:val="85"/>
                <w:sz w:val="18"/>
              </w:rPr>
              <w:t> </w:t>
            </w:r>
            <w:r>
              <w:rPr>
                <w:rFonts w:ascii="Arial"/>
                <w:b/>
                <w:spacing w:val="-3"/>
                <w:w w:val="85"/>
                <w:sz w:val="18"/>
              </w:rPr>
              <w:t>for</w:t>
            </w:r>
            <w:r>
              <w:rPr>
                <w:rFonts w:ascii="Arial"/>
                <w:b/>
                <w:spacing w:val="-14"/>
                <w:w w:val="85"/>
                <w:sz w:val="18"/>
              </w:rPr>
              <w:t> </w:t>
            </w:r>
            <w:r>
              <w:rPr>
                <w:rFonts w:ascii="Arial"/>
                <w:b/>
                <w:w w:val="85"/>
                <w:sz w:val="18"/>
              </w:rPr>
              <w:t>dogs</w:t>
            </w:r>
            <w:r>
              <w:rPr>
                <w:rFonts w:ascii="Arial"/>
                <w:b/>
                <w:spacing w:val="-17"/>
                <w:w w:val="85"/>
                <w:sz w:val="18"/>
              </w:rPr>
              <w:t> </w:t>
            </w:r>
            <w:r>
              <w:rPr>
                <w:rFonts w:ascii="Arial"/>
                <w:b/>
                <w:w w:val="85"/>
                <w:sz w:val="18"/>
              </w:rPr>
              <w:t>with</w:t>
            </w:r>
            <w:r>
              <w:rPr>
                <w:rFonts w:ascii="Arial"/>
                <w:b/>
                <w:spacing w:val="-19"/>
                <w:w w:val="85"/>
                <w:sz w:val="18"/>
              </w:rPr>
              <w:t> </w:t>
            </w:r>
            <w:r>
              <w:rPr>
                <w:rFonts w:ascii="Arial"/>
                <w:b/>
                <w:w w:val="85"/>
                <w:sz w:val="18"/>
              </w:rPr>
              <w:t>idiopathic</w:t>
            </w:r>
            <w:r>
              <w:rPr>
                <w:rFonts w:ascii="Arial"/>
                <w:b/>
                <w:spacing w:val="-17"/>
                <w:w w:val="85"/>
                <w:sz w:val="18"/>
              </w:rPr>
              <w:t> </w:t>
            </w:r>
            <w:r>
              <w:rPr>
                <w:rFonts w:ascii="Arial"/>
                <w:b/>
                <w:w w:val="85"/>
                <w:sz w:val="18"/>
              </w:rPr>
              <w:t>epilepsy.</w:t>
            </w:r>
            <w:r>
              <w:rPr>
                <w:rFonts w:ascii="Arial"/>
                <w:b/>
                <w:spacing w:val="-15"/>
                <w:w w:val="85"/>
                <w:sz w:val="18"/>
              </w:rPr>
              <w:t> </w:t>
            </w:r>
            <w:r>
              <w:rPr>
                <w:rFonts w:ascii="Arial"/>
                <w:b/>
                <w:w w:val="85"/>
                <w:sz w:val="18"/>
              </w:rPr>
              <w:t>Patient</w:t>
            </w:r>
            <w:r>
              <w:rPr>
                <w:rFonts w:ascii="Arial"/>
                <w:b/>
                <w:spacing w:val="-17"/>
                <w:w w:val="85"/>
                <w:sz w:val="18"/>
              </w:rPr>
              <w:t> </w:t>
            </w:r>
            <w:r>
              <w:rPr>
                <w:rFonts w:ascii="Arial"/>
                <w:b/>
                <w:w w:val="85"/>
                <w:sz w:val="18"/>
              </w:rPr>
              <w:t>information</w:t>
            </w:r>
            <w:r>
              <w:rPr>
                <w:rFonts w:ascii="Arial"/>
                <w:b/>
                <w:spacing w:val="-17"/>
                <w:w w:val="85"/>
                <w:sz w:val="18"/>
              </w:rPr>
              <w:t> </w:t>
            </w:r>
            <w:r>
              <w:rPr>
                <w:rFonts w:ascii="Arial"/>
                <w:b/>
                <w:w w:val="85"/>
                <w:sz w:val="18"/>
              </w:rPr>
              <w:t>prior</w:t>
            </w:r>
            <w:r>
              <w:rPr>
                <w:rFonts w:ascii="Arial"/>
                <w:b/>
                <w:spacing w:val="-14"/>
                <w:w w:val="85"/>
                <w:sz w:val="18"/>
              </w:rPr>
              <w:t> </w:t>
            </w:r>
            <w:r>
              <w:rPr>
                <w:rFonts w:ascii="Arial"/>
                <w:b/>
                <w:w w:val="85"/>
                <w:sz w:val="18"/>
              </w:rPr>
              <w:t>to</w:t>
            </w:r>
            <w:r>
              <w:rPr>
                <w:rFonts w:ascii="Arial"/>
                <w:b/>
                <w:spacing w:val="-19"/>
                <w:w w:val="85"/>
                <w:sz w:val="18"/>
              </w:rPr>
              <w:t> </w:t>
            </w:r>
            <w:r>
              <w:rPr>
                <w:rFonts w:ascii="Arial"/>
                <w:b/>
                <w:w w:val="85"/>
                <w:sz w:val="18"/>
              </w:rPr>
              <w:t>entering</w:t>
            </w:r>
            <w:r>
              <w:rPr>
                <w:rFonts w:ascii="Arial"/>
                <w:b/>
                <w:spacing w:val="-20"/>
                <w:w w:val="85"/>
                <w:sz w:val="18"/>
              </w:rPr>
              <w:t> </w:t>
            </w:r>
            <w:r>
              <w:rPr>
                <w:rFonts w:ascii="Arial"/>
                <w:b/>
                <w:w w:val="85"/>
                <w:sz w:val="18"/>
              </w:rPr>
              <w:t>the</w:t>
            </w:r>
            <w:r>
              <w:rPr>
                <w:rFonts w:ascii="Arial"/>
                <w:b/>
                <w:spacing w:val="-17"/>
                <w:w w:val="85"/>
                <w:sz w:val="18"/>
              </w:rPr>
              <w:t> </w:t>
            </w:r>
            <w:r>
              <w:rPr>
                <w:rFonts w:ascii="Arial"/>
                <w:b/>
                <w:w w:val="85"/>
                <w:sz w:val="18"/>
              </w:rPr>
              <w:t>study</w:t>
            </w:r>
            <w:r>
              <w:rPr>
                <w:rFonts w:ascii="Arial"/>
                <w:b/>
                <w:spacing w:val="-20"/>
                <w:w w:val="85"/>
                <w:sz w:val="18"/>
              </w:rPr>
              <w:t> </w:t>
            </w:r>
            <w:r>
              <w:rPr>
                <w:rFonts w:ascii="Arial"/>
                <w:b/>
                <w:w w:val="85"/>
                <w:sz w:val="18"/>
              </w:rPr>
              <w:t>and</w:t>
            </w:r>
            <w:r>
              <w:rPr>
                <w:rFonts w:ascii="Arial"/>
                <w:b/>
                <w:spacing w:val="-19"/>
                <w:w w:val="85"/>
                <w:sz w:val="18"/>
              </w:rPr>
              <w:t> </w:t>
            </w:r>
            <w:r>
              <w:rPr>
                <w:rFonts w:ascii="Arial"/>
                <w:b/>
                <w:w w:val="85"/>
                <w:sz w:val="18"/>
              </w:rPr>
              <w:t>number</w:t>
            </w:r>
            <w:r>
              <w:rPr>
                <w:rFonts w:ascii="Arial"/>
                <w:b/>
                <w:spacing w:val="-14"/>
                <w:w w:val="85"/>
                <w:sz w:val="18"/>
              </w:rPr>
              <w:t> </w:t>
            </w:r>
            <w:r>
              <w:rPr>
                <w:rFonts w:ascii="Arial"/>
                <w:b/>
                <w:spacing w:val="-3"/>
                <w:w w:val="85"/>
                <w:sz w:val="18"/>
              </w:rPr>
              <w:t>of </w:t>
            </w:r>
            <w:r>
              <w:rPr>
                <w:rFonts w:ascii="Arial"/>
                <w:b/>
                <w:w w:val="85"/>
                <w:sz w:val="18"/>
              </w:rPr>
              <w:t>seizure</w:t>
            </w:r>
            <w:r>
              <w:rPr>
                <w:rFonts w:ascii="Arial"/>
                <w:b/>
                <w:spacing w:val="-18"/>
                <w:w w:val="85"/>
                <w:sz w:val="18"/>
              </w:rPr>
              <w:t> </w:t>
            </w:r>
            <w:r>
              <w:rPr>
                <w:rFonts w:ascii="Arial"/>
                <w:b/>
                <w:w w:val="85"/>
                <w:sz w:val="18"/>
              </w:rPr>
              <w:t>episodes</w:t>
            </w:r>
            <w:r>
              <w:rPr>
                <w:rFonts w:ascii="Arial"/>
                <w:b/>
                <w:spacing w:val="-18"/>
                <w:w w:val="85"/>
                <w:sz w:val="18"/>
              </w:rPr>
              <w:t> </w:t>
            </w:r>
            <w:r>
              <w:rPr>
                <w:rFonts w:ascii="Arial"/>
                <w:b/>
                <w:spacing w:val="-3"/>
                <w:w w:val="85"/>
                <w:sz w:val="18"/>
              </w:rPr>
              <w:t>per</w:t>
            </w:r>
            <w:r>
              <w:rPr>
                <w:rFonts w:ascii="Arial"/>
                <w:b/>
                <w:spacing w:val="-17"/>
                <w:w w:val="85"/>
                <w:sz w:val="18"/>
              </w:rPr>
              <w:t> </w:t>
            </w:r>
            <w:r>
              <w:rPr>
                <w:rFonts w:ascii="Arial"/>
                <w:b/>
                <w:w w:val="85"/>
                <w:sz w:val="18"/>
              </w:rPr>
              <w:t>month</w:t>
            </w:r>
            <w:r>
              <w:rPr>
                <w:rFonts w:ascii="Arial"/>
                <w:b/>
                <w:spacing w:val="-17"/>
                <w:w w:val="85"/>
                <w:sz w:val="18"/>
              </w:rPr>
              <w:t> </w:t>
            </w:r>
            <w:r>
              <w:rPr>
                <w:rFonts w:ascii="Arial"/>
                <w:b/>
                <w:w w:val="85"/>
                <w:sz w:val="18"/>
              </w:rPr>
              <w:t>at</w:t>
            </w:r>
            <w:r>
              <w:rPr>
                <w:rFonts w:ascii="Arial"/>
                <w:b/>
                <w:spacing w:val="-18"/>
                <w:w w:val="85"/>
                <w:sz w:val="18"/>
              </w:rPr>
              <w:t> </w:t>
            </w:r>
            <w:r>
              <w:rPr>
                <w:rFonts w:ascii="Arial"/>
                <w:b/>
                <w:w w:val="85"/>
                <w:sz w:val="18"/>
              </w:rPr>
              <w:t>study</w:t>
            </w:r>
            <w:r>
              <w:rPr>
                <w:rFonts w:ascii="Arial"/>
                <w:b/>
                <w:spacing w:val="-18"/>
                <w:w w:val="85"/>
                <w:sz w:val="18"/>
              </w:rPr>
              <w:t> </w:t>
            </w:r>
            <w:r>
              <w:rPr>
                <w:rFonts w:ascii="Arial"/>
                <w:b/>
                <w:w w:val="85"/>
                <w:sz w:val="18"/>
              </w:rPr>
              <w:t>end.</w:t>
            </w:r>
          </w:p>
        </w:tc>
      </w:tr>
      <w:tr>
        <w:trPr>
          <w:trHeight w:val="879" w:hRule="exact"/>
        </w:trPr>
        <w:tc>
          <w:tcPr>
            <w:tcW w:w="475" w:type="dxa"/>
            <w:tcBorders>
              <w:left w:val="nil"/>
              <w:bottom w:val="nil"/>
              <w:right w:val="nil"/>
            </w:tcBorders>
          </w:tcPr>
          <w:p>
            <w:pPr>
              <w:pStyle w:val="TableParagraph"/>
              <w:rPr>
                <w:sz w:val="16"/>
              </w:rPr>
            </w:pPr>
          </w:p>
          <w:p>
            <w:pPr>
              <w:pStyle w:val="TableParagraph"/>
              <w:rPr>
                <w:sz w:val="16"/>
              </w:rPr>
            </w:pPr>
          </w:p>
          <w:p>
            <w:pPr>
              <w:pStyle w:val="TableParagraph"/>
              <w:rPr>
                <w:sz w:val="16"/>
              </w:rPr>
            </w:pPr>
          </w:p>
          <w:p>
            <w:pPr>
              <w:pStyle w:val="TableParagraph"/>
              <w:spacing w:before="99"/>
              <w:ind w:left="37" w:right="53"/>
              <w:jc w:val="center"/>
              <w:rPr>
                <w:rFonts w:ascii="Arial"/>
                <w:b/>
                <w:sz w:val="16"/>
              </w:rPr>
            </w:pPr>
            <w:r>
              <w:rPr>
                <w:rFonts w:ascii="Arial"/>
                <w:b/>
                <w:w w:val="90"/>
                <w:sz w:val="16"/>
              </w:rPr>
              <w:t>Case</w:t>
            </w:r>
          </w:p>
        </w:tc>
        <w:tc>
          <w:tcPr>
            <w:tcW w:w="1088" w:type="dxa"/>
            <w:tcBorders>
              <w:left w:val="nil"/>
              <w:bottom w:val="nil"/>
              <w:right w:val="nil"/>
            </w:tcBorders>
          </w:tcPr>
          <w:p>
            <w:pPr>
              <w:pStyle w:val="TableParagraph"/>
              <w:rPr>
                <w:sz w:val="16"/>
              </w:rPr>
            </w:pPr>
          </w:p>
          <w:p>
            <w:pPr>
              <w:pStyle w:val="TableParagraph"/>
              <w:rPr>
                <w:sz w:val="16"/>
              </w:rPr>
            </w:pPr>
          </w:p>
          <w:p>
            <w:pPr>
              <w:pStyle w:val="TableParagraph"/>
              <w:rPr>
                <w:sz w:val="16"/>
              </w:rPr>
            </w:pPr>
          </w:p>
          <w:p>
            <w:pPr>
              <w:pStyle w:val="TableParagraph"/>
              <w:spacing w:before="99"/>
              <w:ind w:left="81" w:right="78"/>
              <w:jc w:val="center"/>
              <w:rPr>
                <w:rFonts w:ascii="Arial"/>
                <w:b/>
                <w:sz w:val="16"/>
              </w:rPr>
            </w:pPr>
            <w:r>
              <w:rPr>
                <w:rFonts w:ascii="Arial"/>
                <w:b/>
                <w:w w:val="90"/>
                <w:sz w:val="16"/>
              </w:rPr>
              <w:t>Breed</w:t>
            </w:r>
          </w:p>
        </w:tc>
        <w:tc>
          <w:tcPr>
            <w:tcW w:w="734" w:type="dxa"/>
            <w:tcBorders>
              <w:left w:val="nil"/>
              <w:bottom w:val="nil"/>
              <w:right w:val="nil"/>
            </w:tcBorders>
          </w:tcPr>
          <w:p>
            <w:pPr>
              <w:pStyle w:val="TableParagraph"/>
              <w:rPr>
                <w:sz w:val="16"/>
              </w:rPr>
            </w:pPr>
          </w:p>
          <w:p>
            <w:pPr>
              <w:pStyle w:val="TableParagraph"/>
              <w:rPr>
                <w:sz w:val="16"/>
              </w:rPr>
            </w:pPr>
          </w:p>
          <w:p>
            <w:pPr>
              <w:pStyle w:val="TableParagraph"/>
              <w:spacing w:before="101"/>
              <w:ind w:left="250" w:right="129" w:hanging="92"/>
              <w:rPr>
                <w:rFonts w:ascii="Arial"/>
                <w:b/>
                <w:sz w:val="16"/>
              </w:rPr>
            </w:pPr>
            <w:r>
              <w:rPr>
                <w:rFonts w:ascii="Arial"/>
                <w:b/>
                <w:w w:val="80"/>
                <w:sz w:val="16"/>
              </w:rPr>
              <w:t>Weight </w:t>
            </w:r>
            <w:r>
              <w:rPr>
                <w:rFonts w:ascii="Arial"/>
                <w:b/>
                <w:w w:val="90"/>
                <w:sz w:val="16"/>
              </w:rPr>
              <w:t>(Kg)</w:t>
            </w:r>
          </w:p>
        </w:tc>
        <w:tc>
          <w:tcPr>
            <w:tcW w:w="413" w:type="dxa"/>
            <w:tcBorders>
              <w:left w:val="nil"/>
              <w:bottom w:val="nil"/>
              <w:right w:val="nil"/>
            </w:tcBorders>
          </w:tcPr>
          <w:p>
            <w:pPr>
              <w:pStyle w:val="TableParagraph"/>
              <w:rPr>
                <w:sz w:val="16"/>
              </w:rPr>
            </w:pPr>
          </w:p>
          <w:p>
            <w:pPr>
              <w:pStyle w:val="TableParagraph"/>
              <w:rPr>
                <w:sz w:val="16"/>
              </w:rPr>
            </w:pPr>
          </w:p>
          <w:p>
            <w:pPr>
              <w:pStyle w:val="TableParagraph"/>
              <w:rPr>
                <w:sz w:val="16"/>
              </w:rPr>
            </w:pPr>
          </w:p>
          <w:p>
            <w:pPr>
              <w:pStyle w:val="TableParagraph"/>
              <w:spacing w:before="99"/>
              <w:ind w:right="110"/>
              <w:jc w:val="right"/>
              <w:rPr>
                <w:rFonts w:ascii="Arial"/>
                <w:b/>
                <w:sz w:val="16"/>
              </w:rPr>
            </w:pPr>
            <w:r>
              <w:rPr>
                <w:rFonts w:ascii="Arial"/>
                <w:b/>
                <w:w w:val="80"/>
                <w:sz w:val="16"/>
              </w:rPr>
              <w:t>Sex</w:t>
            </w:r>
          </w:p>
        </w:tc>
        <w:tc>
          <w:tcPr>
            <w:tcW w:w="720" w:type="dxa"/>
            <w:tcBorders>
              <w:left w:val="nil"/>
              <w:bottom w:val="nil"/>
              <w:right w:val="nil"/>
            </w:tcBorders>
          </w:tcPr>
          <w:p>
            <w:pPr>
              <w:pStyle w:val="TableParagraph"/>
              <w:spacing w:before="104"/>
              <w:ind w:left="112" w:right="149" w:firstLine="4"/>
              <w:jc w:val="center"/>
              <w:rPr>
                <w:rFonts w:ascii="Arial"/>
                <w:b/>
                <w:sz w:val="16"/>
              </w:rPr>
            </w:pPr>
            <w:r>
              <w:rPr>
                <w:rFonts w:ascii="Arial"/>
                <w:b/>
                <w:w w:val="90"/>
                <w:sz w:val="16"/>
              </w:rPr>
              <w:t>Age at first </w:t>
            </w:r>
            <w:r>
              <w:rPr>
                <w:rFonts w:ascii="Arial"/>
                <w:b/>
                <w:w w:val="80"/>
                <w:sz w:val="16"/>
              </w:rPr>
              <w:t>seizure (years)</w:t>
            </w:r>
          </w:p>
        </w:tc>
        <w:tc>
          <w:tcPr>
            <w:tcW w:w="739" w:type="dxa"/>
            <w:tcBorders>
              <w:left w:val="nil"/>
              <w:bottom w:val="nil"/>
              <w:right w:val="nil"/>
            </w:tcBorders>
          </w:tcPr>
          <w:p>
            <w:pPr>
              <w:pStyle w:val="TableParagraph"/>
              <w:spacing w:before="104"/>
              <w:ind w:left="165" w:right="144" w:firstLine="14"/>
              <w:jc w:val="both"/>
              <w:rPr>
                <w:rFonts w:ascii="Arial"/>
                <w:b/>
                <w:sz w:val="16"/>
              </w:rPr>
            </w:pPr>
            <w:r>
              <w:rPr>
                <w:rFonts w:ascii="Arial"/>
                <w:b/>
                <w:w w:val="85"/>
                <w:sz w:val="16"/>
              </w:rPr>
              <w:t>Age at </w:t>
            </w:r>
            <w:r>
              <w:rPr>
                <w:rFonts w:ascii="Arial"/>
                <w:b/>
                <w:w w:val="90"/>
                <w:sz w:val="16"/>
              </w:rPr>
              <w:t>study entry </w:t>
            </w:r>
            <w:r>
              <w:rPr>
                <w:rFonts w:ascii="Arial"/>
                <w:b/>
                <w:w w:val="80"/>
                <w:sz w:val="16"/>
              </w:rPr>
              <w:t>(years)</w:t>
            </w:r>
          </w:p>
        </w:tc>
        <w:tc>
          <w:tcPr>
            <w:tcW w:w="1142" w:type="dxa"/>
            <w:tcBorders>
              <w:left w:val="nil"/>
              <w:bottom w:val="nil"/>
              <w:right w:val="nil"/>
            </w:tcBorders>
          </w:tcPr>
          <w:p>
            <w:pPr>
              <w:pStyle w:val="TableParagraph"/>
              <w:spacing w:before="104"/>
              <w:ind w:left="112" w:right="82" w:hanging="5"/>
              <w:jc w:val="center"/>
              <w:rPr>
                <w:rFonts w:ascii="Arial"/>
                <w:b/>
                <w:sz w:val="16"/>
              </w:rPr>
            </w:pPr>
            <w:r>
              <w:rPr>
                <w:rFonts w:ascii="Arial"/>
                <w:b/>
                <w:w w:val="90"/>
                <w:sz w:val="16"/>
              </w:rPr>
              <w:t>No.</w:t>
            </w:r>
            <w:r>
              <w:rPr>
                <w:rFonts w:ascii="Arial"/>
                <w:b/>
                <w:spacing w:val="-28"/>
                <w:w w:val="90"/>
                <w:sz w:val="16"/>
              </w:rPr>
              <w:t> </w:t>
            </w:r>
            <w:r>
              <w:rPr>
                <w:rFonts w:ascii="Arial"/>
                <w:b/>
                <w:w w:val="90"/>
                <w:sz w:val="16"/>
              </w:rPr>
              <w:t>of</w:t>
            </w:r>
            <w:r>
              <w:rPr>
                <w:rFonts w:ascii="Arial"/>
                <w:b/>
                <w:spacing w:val="-27"/>
                <w:w w:val="90"/>
                <w:sz w:val="16"/>
              </w:rPr>
              <w:t> </w:t>
            </w:r>
            <w:r>
              <w:rPr>
                <w:rFonts w:ascii="Arial"/>
                <w:b/>
                <w:w w:val="90"/>
                <w:sz w:val="16"/>
              </w:rPr>
              <w:t>seizure </w:t>
            </w:r>
            <w:r>
              <w:rPr>
                <w:rFonts w:ascii="Arial"/>
                <w:b/>
                <w:w w:val="85"/>
                <w:sz w:val="16"/>
              </w:rPr>
              <w:t>episodes per month</w:t>
            </w:r>
            <w:r>
              <w:rPr>
                <w:rFonts w:ascii="Arial"/>
                <w:b/>
                <w:spacing w:val="-16"/>
                <w:w w:val="85"/>
                <w:sz w:val="16"/>
              </w:rPr>
              <w:t> </w:t>
            </w:r>
            <w:r>
              <w:rPr>
                <w:rFonts w:ascii="Arial"/>
                <w:b/>
                <w:w w:val="85"/>
                <w:sz w:val="16"/>
              </w:rPr>
              <w:t>at</w:t>
            </w:r>
            <w:r>
              <w:rPr>
                <w:rFonts w:ascii="Arial"/>
                <w:b/>
                <w:spacing w:val="-17"/>
                <w:w w:val="85"/>
                <w:sz w:val="16"/>
              </w:rPr>
              <w:t> </w:t>
            </w:r>
            <w:r>
              <w:rPr>
                <w:rFonts w:ascii="Arial"/>
                <w:b/>
                <w:w w:val="85"/>
                <w:sz w:val="16"/>
              </w:rPr>
              <w:t>study</w:t>
            </w:r>
            <w:r>
              <w:rPr>
                <w:rFonts w:ascii="Arial"/>
                <w:b/>
                <w:w w:val="81"/>
                <w:sz w:val="16"/>
              </w:rPr>
              <w:t> </w:t>
            </w:r>
            <w:r>
              <w:rPr>
                <w:rFonts w:ascii="Arial"/>
                <w:b/>
                <w:w w:val="90"/>
                <w:sz w:val="16"/>
              </w:rPr>
              <w:t>entry</w:t>
            </w:r>
          </w:p>
        </w:tc>
        <w:tc>
          <w:tcPr>
            <w:tcW w:w="1376" w:type="dxa"/>
            <w:tcBorders>
              <w:left w:val="nil"/>
              <w:bottom w:val="nil"/>
              <w:right w:val="nil"/>
            </w:tcBorders>
          </w:tcPr>
          <w:p>
            <w:pPr>
              <w:pStyle w:val="TableParagraph"/>
              <w:spacing w:before="104"/>
              <w:ind w:left="84" w:right="344" w:hanging="5"/>
              <w:jc w:val="center"/>
              <w:rPr>
                <w:rFonts w:ascii="Arial"/>
                <w:b/>
                <w:sz w:val="16"/>
              </w:rPr>
            </w:pPr>
            <w:r>
              <w:rPr>
                <w:rFonts w:ascii="Arial"/>
                <w:b/>
                <w:w w:val="90"/>
                <w:sz w:val="16"/>
              </w:rPr>
              <w:t>No.</w:t>
            </w:r>
            <w:r>
              <w:rPr>
                <w:rFonts w:ascii="Arial"/>
                <w:b/>
                <w:spacing w:val="-28"/>
                <w:w w:val="90"/>
                <w:sz w:val="16"/>
              </w:rPr>
              <w:t> </w:t>
            </w:r>
            <w:r>
              <w:rPr>
                <w:rFonts w:ascii="Arial"/>
                <w:b/>
                <w:w w:val="90"/>
                <w:sz w:val="16"/>
              </w:rPr>
              <w:t>of</w:t>
            </w:r>
            <w:r>
              <w:rPr>
                <w:rFonts w:ascii="Arial"/>
                <w:b/>
                <w:spacing w:val="-27"/>
                <w:w w:val="90"/>
                <w:sz w:val="16"/>
              </w:rPr>
              <w:t> </w:t>
            </w:r>
            <w:r>
              <w:rPr>
                <w:rFonts w:ascii="Arial"/>
                <w:b/>
                <w:w w:val="90"/>
                <w:sz w:val="16"/>
              </w:rPr>
              <w:t>seizure </w:t>
            </w:r>
            <w:r>
              <w:rPr>
                <w:rFonts w:ascii="Arial"/>
                <w:b/>
                <w:w w:val="85"/>
                <w:sz w:val="16"/>
              </w:rPr>
              <w:t>episodes per month</w:t>
            </w:r>
            <w:r>
              <w:rPr>
                <w:rFonts w:ascii="Arial"/>
                <w:b/>
                <w:spacing w:val="-16"/>
                <w:w w:val="85"/>
                <w:sz w:val="16"/>
              </w:rPr>
              <w:t> </w:t>
            </w:r>
            <w:r>
              <w:rPr>
                <w:rFonts w:ascii="Arial"/>
                <w:b/>
                <w:w w:val="85"/>
                <w:sz w:val="16"/>
              </w:rPr>
              <w:t>at</w:t>
            </w:r>
            <w:r>
              <w:rPr>
                <w:rFonts w:ascii="Arial"/>
                <w:b/>
                <w:spacing w:val="-17"/>
                <w:w w:val="85"/>
                <w:sz w:val="16"/>
              </w:rPr>
              <w:t> </w:t>
            </w:r>
            <w:r>
              <w:rPr>
                <w:rFonts w:ascii="Arial"/>
                <w:b/>
                <w:w w:val="85"/>
                <w:sz w:val="16"/>
              </w:rPr>
              <w:t>study</w:t>
            </w:r>
            <w:r>
              <w:rPr>
                <w:rFonts w:ascii="Arial"/>
                <w:b/>
                <w:w w:val="81"/>
                <w:sz w:val="16"/>
              </w:rPr>
              <w:t> </w:t>
            </w:r>
            <w:r>
              <w:rPr>
                <w:rFonts w:ascii="Arial"/>
                <w:b/>
                <w:w w:val="90"/>
                <w:sz w:val="16"/>
              </w:rPr>
              <w:t>end</w:t>
            </w:r>
          </w:p>
        </w:tc>
        <w:tc>
          <w:tcPr>
            <w:tcW w:w="2296" w:type="dxa"/>
            <w:tcBorders>
              <w:left w:val="nil"/>
              <w:bottom w:val="nil"/>
              <w:right w:val="nil"/>
            </w:tcBorders>
          </w:tcPr>
          <w:p>
            <w:pPr>
              <w:pStyle w:val="TableParagraph"/>
              <w:rPr>
                <w:sz w:val="16"/>
              </w:rPr>
            </w:pPr>
          </w:p>
          <w:p>
            <w:pPr>
              <w:pStyle w:val="TableParagraph"/>
              <w:rPr>
                <w:sz w:val="16"/>
              </w:rPr>
            </w:pPr>
          </w:p>
          <w:p>
            <w:pPr>
              <w:pStyle w:val="TableParagraph"/>
              <w:rPr>
                <w:sz w:val="16"/>
              </w:rPr>
            </w:pPr>
          </w:p>
          <w:p>
            <w:pPr>
              <w:pStyle w:val="TableParagraph"/>
              <w:spacing w:before="99"/>
              <w:ind w:left="346"/>
              <w:rPr>
                <w:rFonts w:ascii="Arial"/>
                <w:b/>
                <w:sz w:val="16"/>
              </w:rPr>
            </w:pPr>
            <w:r>
              <w:rPr>
                <w:rFonts w:ascii="Arial"/>
                <w:b/>
                <w:w w:val="80"/>
                <w:sz w:val="16"/>
              </w:rPr>
              <w:t>Adverse Effects Reported</w:t>
            </w:r>
          </w:p>
        </w:tc>
      </w:tr>
      <w:tr>
        <w:trPr>
          <w:trHeight w:val="257" w:hRule="exact"/>
        </w:trPr>
        <w:tc>
          <w:tcPr>
            <w:tcW w:w="8984" w:type="dxa"/>
            <w:gridSpan w:val="9"/>
            <w:tcBorders>
              <w:top w:val="nil"/>
              <w:left w:val="nil"/>
              <w:bottom w:val="nil"/>
              <w:right w:val="nil"/>
            </w:tcBorders>
          </w:tcPr>
          <w:p>
            <w:pPr>
              <w:pStyle w:val="TableParagraph"/>
              <w:spacing w:before="22"/>
              <w:ind w:left="3568" w:right="3568"/>
              <w:jc w:val="center"/>
              <w:rPr>
                <w:rFonts w:ascii="Arial" w:hAnsi="Arial"/>
                <w:b/>
                <w:sz w:val="16"/>
              </w:rPr>
            </w:pPr>
            <w:r>
              <w:rPr>
                <w:rFonts w:ascii="Arial" w:hAnsi="Arial"/>
                <w:b/>
                <w:w w:val="85"/>
                <w:sz w:val="16"/>
              </w:rPr>
              <w:t>Group I (GBP 30 mg/kg día)</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1</w:t>
            </w:r>
          </w:p>
        </w:tc>
        <w:tc>
          <w:tcPr>
            <w:tcW w:w="1088" w:type="dxa"/>
            <w:tcBorders>
              <w:top w:val="nil"/>
              <w:left w:val="nil"/>
              <w:bottom w:val="nil"/>
              <w:right w:val="nil"/>
            </w:tcBorders>
          </w:tcPr>
          <w:p>
            <w:pPr>
              <w:pStyle w:val="TableParagraph"/>
              <w:spacing w:before="34"/>
              <w:ind w:left="81" w:right="82"/>
              <w:jc w:val="center"/>
              <w:rPr>
                <w:rFonts w:ascii="Arial"/>
                <w:sz w:val="16"/>
              </w:rPr>
            </w:pPr>
            <w:r>
              <w:rPr>
                <w:rFonts w:ascii="Arial"/>
                <w:w w:val="90"/>
                <w:sz w:val="16"/>
              </w:rPr>
              <w:t>Beagle</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16</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3</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88" w:right="263"/>
              <w:jc w:val="center"/>
              <w:rPr>
                <w:rFonts w:ascii="Arial"/>
                <w:sz w:val="16"/>
              </w:rPr>
            </w:pPr>
            <w:r>
              <w:rPr>
                <w:rFonts w:ascii="Arial"/>
                <w:w w:val="90"/>
                <w:sz w:val="16"/>
              </w:rPr>
              <w:t>11</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2</w:t>
            </w:r>
          </w:p>
        </w:tc>
        <w:tc>
          <w:tcPr>
            <w:tcW w:w="1088" w:type="dxa"/>
            <w:tcBorders>
              <w:top w:val="nil"/>
              <w:left w:val="nil"/>
              <w:bottom w:val="nil"/>
              <w:right w:val="nil"/>
            </w:tcBorders>
          </w:tcPr>
          <w:p>
            <w:pPr>
              <w:pStyle w:val="TableParagraph"/>
              <w:spacing w:before="34"/>
              <w:ind w:left="81" w:right="78"/>
              <w:jc w:val="center"/>
              <w:rPr>
                <w:rFonts w:ascii="Arial"/>
                <w:sz w:val="10"/>
              </w:rPr>
            </w:pPr>
            <w:r>
              <w:rPr>
                <w:rFonts w:ascii="Arial"/>
                <w:w w:val="90"/>
                <w:sz w:val="16"/>
              </w:rPr>
              <w:t>Rottweiller</w:t>
            </w:r>
            <w:r>
              <w:rPr>
                <w:rFonts w:ascii="Arial"/>
                <w:w w:val="90"/>
                <w:position w:val="4"/>
                <w:sz w:val="10"/>
              </w:rPr>
              <w:t>a</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40</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2</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2</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4</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3</w:t>
            </w:r>
          </w:p>
        </w:tc>
        <w:tc>
          <w:tcPr>
            <w:tcW w:w="1088" w:type="dxa"/>
            <w:tcBorders>
              <w:top w:val="nil"/>
              <w:left w:val="nil"/>
              <w:bottom w:val="nil"/>
              <w:right w:val="nil"/>
            </w:tcBorders>
          </w:tcPr>
          <w:p>
            <w:pPr>
              <w:pStyle w:val="TableParagraph"/>
              <w:spacing w:before="34"/>
              <w:ind w:left="81" w:right="81"/>
              <w:jc w:val="center"/>
              <w:rPr>
                <w:rFonts w:ascii="Arial"/>
                <w:sz w:val="16"/>
              </w:rPr>
            </w:pPr>
            <w:r>
              <w:rPr>
                <w:rFonts w:ascii="Arial"/>
                <w:w w:val="80"/>
                <w:sz w:val="16"/>
              </w:rPr>
              <w:t>Siberian husky</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35</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3</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5</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4</w:t>
            </w:r>
          </w:p>
        </w:tc>
        <w:tc>
          <w:tcPr>
            <w:tcW w:w="1088" w:type="dxa"/>
            <w:tcBorders>
              <w:top w:val="nil"/>
              <w:left w:val="nil"/>
              <w:bottom w:val="nil"/>
              <w:right w:val="nil"/>
            </w:tcBorders>
          </w:tcPr>
          <w:p>
            <w:pPr>
              <w:pStyle w:val="TableParagraph"/>
              <w:spacing w:before="34"/>
              <w:ind w:left="81" w:right="81"/>
              <w:jc w:val="center"/>
              <w:rPr>
                <w:rFonts w:ascii="Arial"/>
                <w:sz w:val="10"/>
              </w:rPr>
            </w:pPr>
            <w:r>
              <w:rPr>
                <w:rFonts w:ascii="Arial"/>
                <w:w w:val="80"/>
                <w:sz w:val="16"/>
              </w:rPr>
              <w:t>Mongrel dog</w:t>
            </w:r>
            <w:r>
              <w:rPr>
                <w:rFonts w:ascii="Arial"/>
                <w:w w:val="80"/>
                <w:position w:val="4"/>
                <w:sz w:val="10"/>
              </w:rPr>
              <w:t>a</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30</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8</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5</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Dachshund</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7.6</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5</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630"/>
              <w:rPr>
                <w:rFonts w:ascii="Arial"/>
                <w:sz w:val="16"/>
              </w:rPr>
            </w:pPr>
            <w:r>
              <w:rPr>
                <w:rFonts w:ascii="Arial"/>
                <w:w w:val="80"/>
                <w:sz w:val="16"/>
              </w:rPr>
              <w:t>Mild sedation</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6</w:t>
            </w:r>
          </w:p>
        </w:tc>
        <w:tc>
          <w:tcPr>
            <w:tcW w:w="1088" w:type="dxa"/>
            <w:tcBorders>
              <w:top w:val="nil"/>
              <w:left w:val="nil"/>
              <w:bottom w:val="nil"/>
              <w:right w:val="nil"/>
            </w:tcBorders>
          </w:tcPr>
          <w:p>
            <w:pPr>
              <w:pStyle w:val="TableParagraph"/>
              <w:spacing w:before="34"/>
              <w:ind w:left="81" w:right="82"/>
              <w:jc w:val="center"/>
              <w:rPr>
                <w:rFonts w:ascii="Arial"/>
                <w:sz w:val="16"/>
              </w:rPr>
            </w:pPr>
            <w:r>
              <w:rPr>
                <w:rFonts w:ascii="Arial"/>
                <w:w w:val="90"/>
                <w:sz w:val="16"/>
              </w:rPr>
              <w:t>Poodle</w:t>
            </w:r>
          </w:p>
        </w:tc>
        <w:tc>
          <w:tcPr>
            <w:tcW w:w="734" w:type="dxa"/>
            <w:tcBorders>
              <w:top w:val="nil"/>
              <w:left w:val="nil"/>
              <w:bottom w:val="nil"/>
              <w:right w:val="nil"/>
            </w:tcBorders>
          </w:tcPr>
          <w:p>
            <w:pPr>
              <w:pStyle w:val="TableParagraph"/>
              <w:spacing w:before="34"/>
              <w:ind w:left="32"/>
              <w:jc w:val="center"/>
              <w:rPr>
                <w:rFonts w:ascii="Arial"/>
                <w:sz w:val="16"/>
              </w:rPr>
            </w:pPr>
            <w:r>
              <w:rPr>
                <w:rFonts w:ascii="Arial"/>
                <w:w w:val="81"/>
                <w:sz w:val="16"/>
              </w:rPr>
              <w:t>3</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left="50" w:right="81"/>
              <w:jc w:val="center"/>
              <w:rPr>
                <w:rFonts w:ascii="Arial"/>
                <w:sz w:val="16"/>
              </w:rPr>
            </w:pPr>
            <w:r>
              <w:rPr>
                <w:rFonts w:ascii="Arial"/>
                <w:w w:val="90"/>
                <w:sz w:val="16"/>
              </w:rPr>
              <w:t>1.5</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88" w:right="263"/>
              <w:jc w:val="center"/>
              <w:rPr>
                <w:rFonts w:ascii="Arial"/>
                <w:sz w:val="16"/>
              </w:rPr>
            </w:pPr>
            <w:r>
              <w:rPr>
                <w:rFonts w:ascii="Arial"/>
                <w:w w:val="90"/>
                <w:sz w:val="16"/>
              </w:rPr>
              <w:t>10</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7</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Schnauzer</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9.4</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3</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6</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8</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20</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1</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71" w:hRule="exact"/>
        </w:trPr>
        <w:tc>
          <w:tcPr>
            <w:tcW w:w="475" w:type="dxa"/>
            <w:tcBorders>
              <w:top w:val="nil"/>
              <w:left w:val="nil"/>
              <w:bottom w:val="nil"/>
              <w:right w:val="nil"/>
            </w:tcBorders>
          </w:tcPr>
          <w:p>
            <w:pPr>
              <w:pStyle w:val="TableParagraph"/>
              <w:spacing w:before="34"/>
              <w:ind w:right="17"/>
              <w:jc w:val="center"/>
              <w:rPr>
                <w:rFonts w:ascii="Arial"/>
                <w:sz w:val="16"/>
              </w:rPr>
            </w:pPr>
            <w:r>
              <w:rPr>
                <w:rFonts w:ascii="Arial"/>
                <w:w w:val="81"/>
                <w:sz w:val="16"/>
              </w:rPr>
              <w:t>9</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Maltese</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5.4</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1</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3</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71" w:hRule="exact"/>
        </w:trPr>
        <w:tc>
          <w:tcPr>
            <w:tcW w:w="475" w:type="dxa"/>
            <w:tcBorders>
              <w:top w:val="nil"/>
              <w:left w:val="nil"/>
              <w:bottom w:val="nil"/>
              <w:right w:val="nil"/>
            </w:tcBorders>
          </w:tcPr>
          <w:p>
            <w:pPr>
              <w:pStyle w:val="TableParagraph"/>
              <w:spacing w:before="36"/>
              <w:ind w:left="31" w:right="53"/>
              <w:jc w:val="center"/>
              <w:rPr>
                <w:rFonts w:ascii="Arial"/>
                <w:sz w:val="16"/>
              </w:rPr>
            </w:pPr>
            <w:r>
              <w:rPr>
                <w:rFonts w:ascii="Arial"/>
                <w:w w:val="90"/>
                <w:sz w:val="16"/>
              </w:rPr>
              <w:t>10</w:t>
            </w:r>
          </w:p>
        </w:tc>
        <w:tc>
          <w:tcPr>
            <w:tcW w:w="1088" w:type="dxa"/>
            <w:tcBorders>
              <w:top w:val="nil"/>
              <w:left w:val="nil"/>
              <w:bottom w:val="nil"/>
              <w:right w:val="nil"/>
            </w:tcBorders>
          </w:tcPr>
          <w:p>
            <w:pPr>
              <w:pStyle w:val="TableParagraph"/>
              <w:spacing w:before="36"/>
              <w:ind w:left="81" w:right="81"/>
              <w:jc w:val="center"/>
              <w:rPr>
                <w:rFonts w:ascii="Arial"/>
                <w:sz w:val="16"/>
              </w:rPr>
            </w:pPr>
            <w:r>
              <w:rPr>
                <w:rFonts w:ascii="Arial"/>
                <w:w w:val="90"/>
                <w:sz w:val="16"/>
              </w:rPr>
              <w:t>Yorkshire</w:t>
            </w:r>
          </w:p>
        </w:tc>
        <w:tc>
          <w:tcPr>
            <w:tcW w:w="734" w:type="dxa"/>
            <w:tcBorders>
              <w:top w:val="nil"/>
              <w:left w:val="nil"/>
              <w:bottom w:val="nil"/>
              <w:right w:val="nil"/>
            </w:tcBorders>
          </w:tcPr>
          <w:p>
            <w:pPr>
              <w:pStyle w:val="TableParagraph"/>
              <w:spacing w:before="36"/>
              <w:ind w:left="32"/>
              <w:jc w:val="center"/>
              <w:rPr>
                <w:rFonts w:ascii="Arial"/>
                <w:sz w:val="16"/>
              </w:rPr>
            </w:pPr>
            <w:r>
              <w:rPr>
                <w:rFonts w:ascii="Arial"/>
                <w:w w:val="81"/>
                <w:sz w:val="16"/>
              </w:rPr>
              <w:t>3</w:t>
            </w:r>
          </w:p>
        </w:tc>
        <w:tc>
          <w:tcPr>
            <w:tcW w:w="413" w:type="dxa"/>
            <w:tcBorders>
              <w:top w:val="nil"/>
              <w:left w:val="nil"/>
              <w:bottom w:val="nil"/>
              <w:right w:val="nil"/>
            </w:tcBorders>
          </w:tcPr>
          <w:p>
            <w:pPr>
              <w:pStyle w:val="TableParagraph"/>
              <w:spacing w:before="36"/>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6"/>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6"/>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6"/>
              <w:ind w:left="20"/>
              <w:jc w:val="center"/>
              <w:rPr>
                <w:rFonts w:ascii="Arial"/>
                <w:sz w:val="16"/>
              </w:rPr>
            </w:pPr>
            <w:r>
              <w:rPr>
                <w:rFonts w:ascii="Arial"/>
                <w:w w:val="81"/>
                <w:sz w:val="16"/>
              </w:rPr>
              <w:t>9</w:t>
            </w:r>
          </w:p>
        </w:tc>
        <w:tc>
          <w:tcPr>
            <w:tcW w:w="1376" w:type="dxa"/>
            <w:tcBorders>
              <w:top w:val="nil"/>
              <w:left w:val="nil"/>
              <w:bottom w:val="nil"/>
              <w:right w:val="nil"/>
            </w:tcBorders>
          </w:tcPr>
          <w:p>
            <w:pPr>
              <w:pStyle w:val="TableParagraph"/>
              <w:spacing w:before="36"/>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6"/>
              <w:ind w:left="471"/>
              <w:rPr>
                <w:rFonts w:ascii="Arial"/>
                <w:sz w:val="16"/>
              </w:rPr>
            </w:pPr>
            <w:r>
              <w:rPr>
                <w:rFonts w:ascii="Arial"/>
                <w:w w:val="80"/>
                <w:sz w:val="16"/>
              </w:rPr>
              <w:t>Moderate sedation</w:t>
            </w:r>
          </w:p>
        </w:tc>
      </w:tr>
      <w:tr>
        <w:trPr>
          <w:trHeight w:val="269" w:hRule="exact"/>
        </w:trPr>
        <w:tc>
          <w:tcPr>
            <w:tcW w:w="8984" w:type="dxa"/>
            <w:gridSpan w:val="9"/>
            <w:tcBorders>
              <w:top w:val="nil"/>
              <w:left w:val="nil"/>
              <w:bottom w:val="nil"/>
              <w:right w:val="nil"/>
            </w:tcBorders>
          </w:tcPr>
          <w:p>
            <w:pPr>
              <w:pStyle w:val="TableParagraph"/>
              <w:spacing w:before="34"/>
              <w:ind w:left="3570" w:right="3568"/>
              <w:jc w:val="center"/>
              <w:rPr>
                <w:rFonts w:ascii="Arial" w:hAnsi="Arial"/>
                <w:b/>
                <w:sz w:val="16"/>
              </w:rPr>
            </w:pPr>
            <w:r>
              <w:rPr>
                <w:rFonts w:ascii="Arial" w:hAnsi="Arial"/>
                <w:b/>
                <w:w w:val="85"/>
                <w:sz w:val="16"/>
              </w:rPr>
              <w:t>Group II (GBP 60 mg/kg día)</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11</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12</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2</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8</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2</w:t>
            </w:r>
          </w:p>
        </w:tc>
        <w:tc>
          <w:tcPr>
            <w:tcW w:w="2296" w:type="dxa"/>
            <w:tcBorders>
              <w:top w:val="nil"/>
              <w:left w:val="nil"/>
              <w:bottom w:val="nil"/>
              <w:right w:val="nil"/>
            </w:tcBorders>
          </w:tcPr>
          <w:p>
            <w:pPr>
              <w:pStyle w:val="TableParagraph"/>
              <w:spacing w:before="34"/>
              <w:ind w:left="630"/>
              <w:rPr>
                <w:rFonts w:ascii="Arial"/>
                <w:sz w:val="16"/>
              </w:rPr>
            </w:pPr>
            <w:r>
              <w:rPr>
                <w:rFonts w:ascii="Arial"/>
                <w:w w:val="80"/>
                <w:sz w:val="16"/>
              </w:rPr>
              <w:t>Mild sedation</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12</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65" w:right="33"/>
              <w:jc w:val="center"/>
              <w:rPr>
                <w:rFonts w:ascii="Arial"/>
                <w:sz w:val="16"/>
              </w:rPr>
            </w:pPr>
            <w:r>
              <w:rPr>
                <w:rFonts w:ascii="Arial"/>
                <w:w w:val="90"/>
                <w:sz w:val="16"/>
              </w:rPr>
              <w:t>20.7</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2</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13</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Schnauzer</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8.3</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1</w:t>
            </w:r>
          </w:p>
        </w:tc>
        <w:tc>
          <w:tcPr>
            <w:tcW w:w="1142" w:type="dxa"/>
            <w:tcBorders>
              <w:top w:val="nil"/>
              <w:left w:val="nil"/>
              <w:bottom w:val="nil"/>
              <w:right w:val="nil"/>
            </w:tcBorders>
          </w:tcPr>
          <w:p>
            <w:pPr>
              <w:pStyle w:val="TableParagraph"/>
              <w:spacing w:before="34"/>
              <w:ind w:left="288" w:right="263"/>
              <w:jc w:val="center"/>
              <w:rPr>
                <w:rFonts w:ascii="Arial"/>
                <w:sz w:val="16"/>
              </w:rPr>
            </w:pPr>
            <w:r>
              <w:rPr>
                <w:rFonts w:ascii="Arial"/>
                <w:w w:val="90"/>
                <w:sz w:val="16"/>
              </w:rPr>
              <w:t>12</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534"/>
              <w:rPr>
                <w:rFonts w:ascii="Arial"/>
                <w:sz w:val="16"/>
              </w:rPr>
            </w:pPr>
            <w:r>
              <w:rPr>
                <w:rFonts w:ascii="Arial"/>
                <w:w w:val="80"/>
                <w:sz w:val="16"/>
              </w:rPr>
              <w:t>Initial sleepiness</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14</w:t>
            </w:r>
          </w:p>
        </w:tc>
        <w:tc>
          <w:tcPr>
            <w:tcW w:w="1088" w:type="dxa"/>
            <w:tcBorders>
              <w:top w:val="nil"/>
              <w:left w:val="nil"/>
              <w:bottom w:val="nil"/>
              <w:right w:val="nil"/>
            </w:tcBorders>
          </w:tcPr>
          <w:p>
            <w:pPr>
              <w:pStyle w:val="TableParagraph"/>
              <w:spacing w:before="34"/>
              <w:ind w:left="81" w:right="81"/>
              <w:jc w:val="center"/>
              <w:rPr>
                <w:rFonts w:ascii="Arial"/>
                <w:sz w:val="16"/>
              </w:rPr>
            </w:pPr>
            <w:r>
              <w:rPr>
                <w:rFonts w:ascii="Arial"/>
                <w:w w:val="80"/>
                <w:sz w:val="16"/>
              </w:rPr>
              <w:t>Cocker spaniel</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11</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2</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2</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81"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15</w:t>
            </w:r>
          </w:p>
        </w:tc>
        <w:tc>
          <w:tcPr>
            <w:tcW w:w="1088" w:type="dxa"/>
            <w:tcBorders>
              <w:top w:val="nil"/>
              <w:left w:val="nil"/>
              <w:bottom w:val="nil"/>
              <w:right w:val="nil"/>
            </w:tcBorders>
          </w:tcPr>
          <w:p>
            <w:pPr>
              <w:pStyle w:val="TableParagraph"/>
              <w:spacing w:before="34"/>
              <w:ind w:left="81" w:right="82"/>
              <w:jc w:val="center"/>
              <w:rPr>
                <w:rFonts w:ascii="Arial"/>
                <w:sz w:val="16"/>
              </w:rPr>
            </w:pPr>
            <w:r>
              <w:rPr>
                <w:rFonts w:ascii="Arial"/>
                <w:w w:val="90"/>
                <w:sz w:val="16"/>
              </w:rPr>
              <w:t>Poodle</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4.4</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8</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81" w:hRule="exact"/>
        </w:trPr>
        <w:tc>
          <w:tcPr>
            <w:tcW w:w="475" w:type="dxa"/>
            <w:tcBorders>
              <w:top w:val="nil"/>
              <w:left w:val="nil"/>
              <w:bottom w:val="nil"/>
              <w:right w:val="nil"/>
            </w:tcBorders>
          </w:tcPr>
          <w:p>
            <w:pPr>
              <w:pStyle w:val="TableParagraph"/>
              <w:spacing w:before="46"/>
              <w:ind w:left="31" w:right="53"/>
              <w:jc w:val="center"/>
              <w:rPr>
                <w:rFonts w:ascii="Arial"/>
                <w:sz w:val="16"/>
              </w:rPr>
            </w:pPr>
            <w:r>
              <w:rPr>
                <w:rFonts w:ascii="Arial"/>
                <w:w w:val="90"/>
                <w:sz w:val="16"/>
              </w:rPr>
              <w:t>16</w:t>
            </w:r>
          </w:p>
        </w:tc>
        <w:tc>
          <w:tcPr>
            <w:tcW w:w="1088" w:type="dxa"/>
            <w:tcBorders>
              <w:top w:val="nil"/>
              <w:left w:val="nil"/>
              <w:bottom w:val="nil"/>
              <w:right w:val="nil"/>
            </w:tcBorders>
          </w:tcPr>
          <w:p>
            <w:pPr>
              <w:pStyle w:val="TableParagraph"/>
              <w:spacing w:before="46"/>
              <w:ind w:left="81" w:right="85"/>
              <w:jc w:val="center"/>
              <w:rPr>
                <w:rFonts w:ascii="Arial"/>
                <w:sz w:val="10"/>
              </w:rPr>
            </w:pPr>
            <w:r>
              <w:rPr>
                <w:rFonts w:ascii="Arial"/>
                <w:w w:val="90"/>
                <w:sz w:val="16"/>
              </w:rPr>
              <w:t>Pug</w:t>
            </w:r>
            <w:r>
              <w:rPr>
                <w:rFonts w:ascii="Arial"/>
                <w:w w:val="90"/>
                <w:position w:val="4"/>
                <w:sz w:val="10"/>
              </w:rPr>
              <w:t>b</w:t>
            </w:r>
          </w:p>
        </w:tc>
        <w:tc>
          <w:tcPr>
            <w:tcW w:w="734" w:type="dxa"/>
            <w:tcBorders>
              <w:top w:val="nil"/>
              <w:left w:val="nil"/>
              <w:bottom w:val="nil"/>
              <w:right w:val="nil"/>
            </w:tcBorders>
          </w:tcPr>
          <w:p>
            <w:pPr>
              <w:pStyle w:val="TableParagraph"/>
              <w:spacing w:before="46"/>
              <w:ind w:left="65" w:right="38"/>
              <w:jc w:val="center"/>
              <w:rPr>
                <w:rFonts w:ascii="Arial"/>
                <w:sz w:val="16"/>
              </w:rPr>
            </w:pPr>
            <w:r>
              <w:rPr>
                <w:rFonts w:ascii="Arial"/>
                <w:w w:val="90"/>
                <w:sz w:val="16"/>
              </w:rPr>
              <w:t>7.5</w:t>
            </w:r>
          </w:p>
        </w:tc>
        <w:tc>
          <w:tcPr>
            <w:tcW w:w="413" w:type="dxa"/>
            <w:tcBorders>
              <w:top w:val="nil"/>
              <w:left w:val="nil"/>
              <w:bottom w:val="nil"/>
              <w:right w:val="nil"/>
            </w:tcBorders>
          </w:tcPr>
          <w:p>
            <w:pPr>
              <w:pStyle w:val="TableParagraph"/>
              <w:spacing w:before="46"/>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46"/>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46"/>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46"/>
              <w:ind w:left="20"/>
              <w:jc w:val="center"/>
              <w:rPr>
                <w:rFonts w:ascii="Arial"/>
                <w:sz w:val="16"/>
              </w:rPr>
            </w:pPr>
            <w:r>
              <w:rPr>
                <w:rFonts w:ascii="Arial"/>
                <w:w w:val="81"/>
                <w:sz w:val="16"/>
              </w:rPr>
              <w:t>8</w:t>
            </w:r>
          </w:p>
        </w:tc>
        <w:tc>
          <w:tcPr>
            <w:tcW w:w="1376" w:type="dxa"/>
            <w:tcBorders>
              <w:top w:val="nil"/>
              <w:left w:val="nil"/>
              <w:bottom w:val="nil"/>
              <w:right w:val="nil"/>
            </w:tcBorders>
          </w:tcPr>
          <w:p>
            <w:pPr>
              <w:pStyle w:val="TableParagraph"/>
              <w:spacing w:before="46"/>
              <w:ind w:left="261" w:right="524"/>
              <w:jc w:val="center"/>
              <w:rPr>
                <w:rFonts w:ascii="Arial"/>
                <w:sz w:val="16"/>
              </w:rPr>
            </w:pPr>
            <w:r>
              <w:rPr>
                <w:rFonts w:ascii="Arial"/>
                <w:w w:val="90"/>
                <w:sz w:val="16"/>
              </w:rPr>
              <w:t>13</w:t>
            </w:r>
          </w:p>
        </w:tc>
        <w:tc>
          <w:tcPr>
            <w:tcW w:w="2296" w:type="dxa"/>
            <w:tcBorders>
              <w:top w:val="nil"/>
              <w:left w:val="nil"/>
              <w:bottom w:val="nil"/>
              <w:right w:val="nil"/>
            </w:tcBorders>
          </w:tcPr>
          <w:p>
            <w:pPr>
              <w:pStyle w:val="TableParagraph"/>
              <w:spacing w:before="46"/>
              <w:ind w:left="630"/>
              <w:rPr>
                <w:rFonts w:ascii="Arial"/>
                <w:sz w:val="16"/>
              </w:rPr>
            </w:pPr>
            <w:r>
              <w:rPr>
                <w:rFonts w:ascii="Arial"/>
                <w:w w:val="80"/>
                <w:sz w:val="16"/>
              </w:rPr>
              <w:t>Mild sedation</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17</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65" w:right="33"/>
              <w:jc w:val="center"/>
              <w:rPr>
                <w:rFonts w:ascii="Arial"/>
                <w:sz w:val="16"/>
              </w:rPr>
            </w:pPr>
            <w:r>
              <w:rPr>
                <w:rFonts w:ascii="Arial"/>
                <w:w w:val="90"/>
                <w:sz w:val="16"/>
              </w:rPr>
              <w:t>23.4</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2</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6</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630"/>
              <w:rPr>
                <w:rFonts w:ascii="Arial"/>
                <w:sz w:val="16"/>
              </w:rPr>
            </w:pPr>
            <w:r>
              <w:rPr>
                <w:rFonts w:ascii="Arial"/>
                <w:w w:val="80"/>
                <w:sz w:val="16"/>
              </w:rPr>
              <w:t>Mild sedation</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18</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80"/>
                <w:sz w:val="16"/>
              </w:rPr>
              <w:t>Saint Bernard</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56</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4</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3</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19</w:t>
            </w:r>
          </w:p>
        </w:tc>
        <w:tc>
          <w:tcPr>
            <w:tcW w:w="1088" w:type="dxa"/>
            <w:tcBorders>
              <w:top w:val="nil"/>
              <w:left w:val="nil"/>
              <w:bottom w:val="nil"/>
              <w:right w:val="nil"/>
            </w:tcBorders>
          </w:tcPr>
          <w:p>
            <w:pPr>
              <w:pStyle w:val="TableParagraph"/>
              <w:spacing w:before="34"/>
              <w:ind w:left="81" w:right="81"/>
              <w:jc w:val="center"/>
              <w:rPr>
                <w:rFonts w:ascii="Arial"/>
                <w:sz w:val="16"/>
              </w:rPr>
            </w:pPr>
            <w:r>
              <w:rPr>
                <w:rFonts w:ascii="Arial"/>
                <w:w w:val="80"/>
                <w:sz w:val="16"/>
              </w:rPr>
              <w:t>Cocker spaniel</w:t>
            </w:r>
          </w:p>
        </w:tc>
        <w:tc>
          <w:tcPr>
            <w:tcW w:w="734" w:type="dxa"/>
            <w:tcBorders>
              <w:top w:val="nil"/>
              <w:left w:val="nil"/>
              <w:bottom w:val="nil"/>
              <w:right w:val="nil"/>
            </w:tcBorders>
          </w:tcPr>
          <w:p>
            <w:pPr>
              <w:pStyle w:val="TableParagraph"/>
              <w:spacing w:before="34"/>
              <w:ind w:left="65" w:right="33"/>
              <w:jc w:val="center"/>
              <w:rPr>
                <w:rFonts w:ascii="Arial"/>
                <w:sz w:val="16"/>
              </w:rPr>
            </w:pPr>
            <w:r>
              <w:rPr>
                <w:rFonts w:ascii="Arial"/>
                <w:w w:val="90"/>
                <w:sz w:val="16"/>
              </w:rPr>
              <w:t>12.7</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5</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4</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20</w:t>
            </w:r>
          </w:p>
        </w:tc>
        <w:tc>
          <w:tcPr>
            <w:tcW w:w="1088" w:type="dxa"/>
            <w:tcBorders>
              <w:top w:val="nil"/>
              <w:left w:val="nil"/>
              <w:bottom w:val="nil"/>
              <w:right w:val="nil"/>
            </w:tcBorders>
          </w:tcPr>
          <w:p>
            <w:pPr>
              <w:pStyle w:val="TableParagraph"/>
              <w:spacing w:before="34"/>
              <w:ind w:left="81" w:right="81"/>
              <w:jc w:val="center"/>
              <w:rPr>
                <w:rFonts w:ascii="Arial"/>
                <w:sz w:val="16"/>
              </w:rPr>
            </w:pPr>
            <w:r>
              <w:rPr>
                <w:rFonts w:ascii="Arial"/>
                <w:w w:val="85"/>
                <w:sz w:val="16"/>
              </w:rPr>
              <w:t>Fox terrier</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5.7</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2</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2</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3</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2</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8984" w:type="dxa"/>
            <w:gridSpan w:val="9"/>
            <w:tcBorders>
              <w:top w:val="nil"/>
              <w:left w:val="nil"/>
              <w:bottom w:val="nil"/>
              <w:right w:val="nil"/>
            </w:tcBorders>
          </w:tcPr>
          <w:p>
            <w:pPr>
              <w:pStyle w:val="TableParagraph"/>
              <w:spacing w:before="34"/>
              <w:ind w:left="3566" w:right="3568"/>
              <w:jc w:val="center"/>
              <w:rPr>
                <w:rFonts w:ascii="Arial" w:hAnsi="Arial"/>
                <w:b/>
                <w:sz w:val="16"/>
              </w:rPr>
            </w:pPr>
            <w:r>
              <w:rPr>
                <w:rFonts w:ascii="Arial" w:hAnsi="Arial"/>
                <w:b/>
                <w:w w:val="85"/>
                <w:sz w:val="16"/>
              </w:rPr>
              <w:t>Group III (FB 4 mg/kg</w:t>
            </w:r>
            <w:r>
              <w:rPr>
                <w:rFonts w:ascii="Arial" w:hAnsi="Arial"/>
                <w:b/>
                <w:w w:val="85"/>
                <w:position w:val="4"/>
                <w:sz w:val="10"/>
              </w:rPr>
              <w:t>/</w:t>
            </w:r>
            <w:r>
              <w:rPr>
                <w:rFonts w:ascii="Arial" w:hAnsi="Arial"/>
                <w:b/>
                <w:w w:val="85"/>
                <w:sz w:val="16"/>
              </w:rPr>
              <w:t>día)</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21</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65" w:right="33"/>
              <w:jc w:val="center"/>
              <w:rPr>
                <w:rFonts w:ascii="Arial"/>
                <w:sz w:val="16"/>
              </w:rPr>
            </w:pPr>
            <w:r>
              <w:rPr>
                <w:rFonts w:ascii="Arial"/>
                <w:w w:val="90"/>
                <w:sz w:val="16"/>
              </w:rPr>
              <w:t>11.3</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3</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2</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630"/>
              <w:rPr>
                <w:rFonts w:ascii="Arial"/>
                <w:sz w:val="16"/>
              </w:rPr>
            </w:pPr>
            <w:r>
              <w:rPr>
                <w:rFonts w:ascii="Arial"/>
                <w:w w:val="80"/>
                <w:sz w:val="16"/>
              </w:rPr>
              <w:t>Mild sedation</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22</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Pug</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9.2</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1</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23</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Schnauzer</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8.5</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left="50" w:right="81"/>
              <w:jc w:val="center"/>
              <w:rPr>
                <w:rFonts w:ascii="Arial"/>
                <w:sz w:val="16"/>
              </w:rPr>
            </w:pPr>
            <w:r>
              <w:rPr>
                <w:rFonts w:ascii="Arial"/>
                <w:w w:val="90"/>
                <w:sz w:val="16"/>
              </w:rPr>
              <w:t>1.5</w:t>
            </w:r>
          </w:p>
        </w:tc>
        <w:tc>
          <w:tcPr>
            <w:tcW w:w="739" w:type="dxa"/>
            <w:tcBorders>
              <w:top w:val="nil"/>
              <w:left w:val="nil"/>
              <w:bottom w:val="nil"/>
              <w:right w:val="nil"/>
            </w:tcBorders>
          </w:tcPr>
          <w:p>
            <w:pPr>
              <w:pStyle w:val="TableParagraph"/>
              <w:spacing w:before="34"/>
              <w:ind w:left="87" w:right="63"/>
              <w:jc w:val="center"/>
              <w:rPr>
                <w:rFonts w:ascii="Arial"/>
                <w:sz w:val="16"/>
              </w:rPr>
            </w:pPr>
            <w:r>
              <w:rPr>
                <w:rFonts w:ascii="Arial"/>
                <w:w w:val="90"/>
                <w:sz w:val="16"/>
              </w:rPr>
              <w:t>1.5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3</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24</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32"/>
              <w:jc w:val="center"/>
              <w:rPr>
                <w:rFonts w:ascii="Arial"/>
                <w:sz w:val="16"/>
              </w:rPr>
            </w:pPr>
            <w:r>
              <w:rPr>
                <w:rFonts w:ascii="Arial"/>
                <w:w w:val="81"/>
                <w:sz w:val="16"/>
              </w:rPr>
              <w:t>5</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left="50" w:right="81"/>
              <w:jc w:val="center"/>
              <w:rPr>
                <w:rFonts w:ascii="Arial"/>
                <w:sz w:val="16"/>
              </w:rPr>
            </w:pPr>
            <w:r>
              <w:rPr>
                <w:rFonts w:ascii="Arial"/>
                <w:w w:val="90"/>
                <w:sz w:val="16"/>
              </w:rPr>
              <w:t>1.5</w:t>
            </w:r>
          </w:p>
        </w:tc>
        <w:tc>
          <w:tcPr>
            <w:tcW w:w="739" w:type="dxa"/>
            <w:tcBorders>
              <w:top w:val="nil"/>
              <w:left w:val="nil"/>
              <w:bottom w:val="nil"/>
              <w:right w:val="nil"/>
            </w:tcBorders>
          </w:tcPr>
          <w:p>
            <w:pPr>
              <w:pStyle w:val="TableParagraph"/>
              <w:spacing w:before="34"/>
              <w:ind w:left="87" w:right="63"/>
              <w:jc w:val="center"/>
              <w:rPr>
                <w:rFonts w:ascii="Arial"/>
                <w:sz w:val="16"/>
              </w:rPr>
            </w:pPr>
            <w:r>
              <w:rPr>
                <w:rFonts w:ascii="Arial"/>
                <w:w w:val="90"/>
                <w:sz w:val="16"/>
              </w:rPr>
              <w:t>2.5</w:t>
            </w:r>
          </w:p>
        </w:tc>
        <w:tc>
          <w:tcPr>
            <w:tcW w:w="1142" w:type="dxa"/>
            <w:tcBorders>
              <w:top w:val="nil"/>
              <w:left w:val="nil"/>
              <w:bottom w:val="nil"/>
              <w:right w:val="nil"/>
            </w:tcBorders>
          </w:tcPr>
          <w:p>
            <w:pPr>
              <w:pStyle w:val="TableParagraph"/>
              <w:spacing w:before="34"/>
              <w:ind w:left="288" w:right="263"/>
              <w:jc w:val="center"/>
              <w:rPr>
                <w:rFonts w:ascii="Arial"/>
                <w:sz w:val="16"/>
              </w:rPr>
            </w:pPr>
            <w:r>
              <w:rPr>
                <w:rFonts w:ascii="Arial"/>
                <w:w w:val="90"/>
                <w:sz w:val="16"/>
              </w:rPr>
              <w:t>11</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4</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25</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Pug</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7.5</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4</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88" w:right="263"/>
              <w:jc w:val="center"/>
              <w:rPr>
                <w:rFonts w:ascii="Arial"/>
                <w:sz w:val="16"/>
              </w:rPr>
            </w:pPr>
            <w:r>
              <w:rPr>
                <w:rFonts w:ascii="Arial"/>
                <w:w w:val="90"/>
                <w:sz w:val="16"/>
              </w:rPr>
              <w:t>13</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418"/>
              <w:rPr>
                <w:rFonts w:ascii="Arial"/>
                <w:sz w:val="16"/>
              </w:rPr>
            </w:pPr>
            <w:r>
              <w:rPr>
                <w:rFonts w:ascii="Arial"/>
                <w:w w:val="80"/>
                <w:sz w:val="16"/>
              </w:rPr>
              <w:t>Initial hyperexitacion</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26</w:t>
            </w:r>
          </w:p>
        </w:tc>
        <w:tc>
          <w:tcPr>
            <w:tcW w:w="1088" w:type="dxa"/>
            <w:tcBorders>
              <w:top w:val="nil"/>
              <w:left w:val="nil"/>
              <w:bottom w:val="nil"/>
              <w:right w:val="nil"/>
            </w:tcBorders>
          </w:tcPr>
          <w:p>
            <w:pPr>
              <w:pStyle w:val="TableParagraph"/>
              <w:spacing w:before="34"/>
              <w:ind w:left="79" w:right="85"/>
              <w:jc w:val="center"/>
              <w:rPr>
                <w:rFonts w:ascii="Arial"/>
                <w:sz w:val="16"/>
              </w:rPr>
            </w:pPr>
            <w:r>
              <w:rPr>
                <w:rFonts w:ascii="Arial"/>
                <w:w w:val="80"/>
                <w:sz w:val="16"/>
              </w:rPr>
              <w:t>Mongrel dog</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5.4</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3</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2</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27</w:t>
            </w:r>
          </w:p>
        </w:tc>
        <w:tc>
          <w:tcPr>
            <w:tcW w:w="1088" w:type="dxa"/>
            <w:tcBorders>
              <w:top w:val="nil"/>
              <w:left w:val="nil"/>
              <w:bottom w:val="nil"/>
              <w:right w:val="nil"/>
            </w:tcBorders>
          </w:tcPr>
          <w:p>
            <w:pPr>
              <w:pStyle w:val="TableParagraph"/>
              <w:spacing w:before="34"/>
              <w:ind w:left="81" w:right="83"/>
              <w:jc w:val="center"/>
              <w:rPr>
                <w:rFonts w:ascii="Arial"/>
                <w:sz w:val="16"/>
              </w:rPr>
            </w:pPr>
            <w:r>
              <w:rPr>
                <w:rFonts w:ascii="Arial"/>
                <w:w w:val="90"/>
                <w:sz w:val="16"/>
              </w:rPr>
              <w:t>Schnauzer</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9.4</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3</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8</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630"/>
              <w:rPr>
                <w:rFonts w:ascii="Arial"/>
                <w:sz w:val="16"/>
              </w:rPr>
            </w:pPr>
            <w:r>
              <w:rPr>
                <w:rFonts w:ascii="Arial"/>
                <w:w w:val="80"/>
                <w:sz w:val="16"/>
              </w:rPr>
              <w:t>Mild sedation</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28</w:t>
            </w:r>
          </w:p>
        </w:tc>
        <w:tc>
          <w:tcPr>
            <w:tcW w:w="1088" w:type="dxa"/>
            <w:tcBorders>
              <w:top w:val="nil"/>
              <w:left w:val="nil"/>
              <w:bottom w:val="nil"/>
              <w:right w:val="nil"/>
            </w:tcBorders>
          </w:tcPr>
          <w:p>
            <w:pPr>
              <w:pStyle w:val="TableParagraph"/>
              <w:spacing w:before="34"/>
              <w:ind w:left="81" w:right="82"/>
              <w:jc w:val="center"/>
              <w:rPr>
                <w:rFonts w:ascii="Arial"/>
                <w:sz w:val="16"/>
              </w:rPr>
            </w:pPr>
            <w:r>
              <w:rPr>
                <w:rFonts w:ascii="Arial"/>
                <w:w w:val="90"/>
                <w:sz w:val="16"/>
              </w:rPr>
              <w:t>Maltes</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3.9</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3</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7</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29</w:t>
            </w:r>
          </w:p>
        </w:tc>
        <w:tc>
          <w:tcPr>
            <w:tcW w:w="1088" w:type="dxa"/>
            <w:tcBorders>
              <w:top w:val="nil"/>
              <w:left w:val="nil"/>
              <w:bottom w:val="nil"/>
              <w:right w:val="nil"/>
            </w:tcBorders>
          </w:tcPr>
          <w:p>
            <w:pPr>
              <w:pStyle w:val="TableParagraph"/>
              <w:spacing w:before="34"/>
              <w:ind w:left="81" w:right="85"/>
              <w:jc w:val="center"/>
              <w:rPr>
                <w:rFonts w:ascii="Arial"/>
                <w:sz w:val="16"/>
              </w:rPr>
            </w:pPr>
            <w:r>
              <w:rPr>
                <w:rFonts w:ascii="Arial"/>
                <w:w w:val="80"/>
                <w:sz w:val="16"/>
              </w:rPr>
              <w:t>Great pyrenees</w:t>
            </w:r>
          </w:p>
        </w:tc>
        <w:tc>
          <w:tcPr>
            <w:tcW w:w="734" w:type="dxa"/>
            <w:tcBorders>
              <w:top w:val="nil"/>
              <w:left w:val="nil"/>
              <w:bottom w:val="nil"/>
              <w:right w:val="nil"/>
            </w:tcBorders>
          </w:tcPr>
          <w:p>
            <w:pPr>
              <w:pStyle w:val="TableParagraph"/>
              <w:spacing w:before="34"/>
              <w:ind w:left="65" w:right="33"/>
              <w:jc w:val="center"/>
              <w:rPr>
                <w:rFonts w:ascii="Arial"/>
                <w:sz w:val="16"/>
              </w:rPr>
            </w:pPr>
            <w:r>
              <w:rPr>
                <w:rFonts w:ascii="Arial"/>
                <w:w w:val="90"/>
                <w:sz w:val="16"/>
              </w:rPr>
              <w:t>34.2</w:t>
            </w:r>
          </w:p>
        </w:tc>
        <w:tc>
          <w:tcPr>
            <w:tcW w:w="413" w:type="dxa"/>
            <w:tcBorders>
              <w:top w:val="nil"/>
              <w:left w:val="nil"/>
              <w:bottom w:val="nil"/>
              <w:right w:val="nil"/>
            </w:tcBorders>
          </w:tcPr>
          <w:p>
            <w:pPr>
              <w:pStyle w:val="TableParagraph"/>
              <w:spacing w:before="34"/>
              <w:ind w:right="170"/>
              <w:jc w:val="right"/>
              <w:rPr>
                <w:rFonts w:ascii="Arial"/>
                <w:sz w:val="16"/>
              </w:rPr>
            </w:pPr>
            <w:r>
              <w:rPr>
                <w:rFonts w:ascii="Arial"/>
                <w:w w:val="81"/>
                <w:sz w:val="16"/>
              </w:rPr>
              <w:t>M</w:t>
            </w:r>
          </w:p>
        </w:tc>
        <w:tc>
          <w:tcPr>
            <w:tcW w:w="720" w:type="dxa"/>
            <w:tcBorders>
              <w:top w:val="nil"/>
              <w:left w:val="nil"/>
              <w:bottom w:val="nil"/>
              <w:right w:val="nil"/>
            </w:tcBorders>
          </w:tcPr>
          <w:p>
            <w:pPr>
              <w:pStyle w:val="TableParagraph"/>
              <w:spacing w:before="34"/>
              <w:ind w:left="50" w:right="81"/>
              <w:jc w:val="center"/>
              <w:rPr>
                <w:rFonts w:ascii="Arial"/>
                <w:sz w:val="16"/>
              </w:rPr>
            </w:pPr>
            <w:r>
              <w:rPr>
                <w:rFonts w:ascii="Arial"/>
                <w:w w:val="90"/>
                <w:sz w:val="16"/>
              </w:rPr>
              <w:t>1.5</w:t>
            </w:r>
          </w:p>
        </w:tc>
        <w:tc>
          <w:tcPr>
            <w:tcW w:w="739" w:type="dxa"/>
            <w:tcBorders>
              <w:top w:val="nil"/>
              <w:left w:val="nil"/>
              <w:bottom w:val="nil"/>
              <w:right w:val="nil"/>
            </w:tcBorders>
          </w:tcPr>
          <w:p>
            <w:pPr>
              <w:pStyle w:val="TableParagraph"/>
              <w:spacing w:before="34"/>
              <w:ind w:left="87" w:right="63"/>
              <w:jc w:val="center"/>
              <w:rPr>
                <w:rFonts w:ascii="Arial"/>
                <w:sz w:val="16"/>
              </w:rPr>
            </w:pPr>
            <w:r>
              <w:rPr>
                <w:rFonts w:ascii="Arial"/>
                <w:w w:val="90"/>
                <w:sz w:val="16"/>
              </w:rPr>
              <w:t>1.5</w:t>
            </w:r>
          </w:p>
        </w:tc>
        <w:tc>
          <w:tcPr>
            <w:tcW w:w="1142" w:type="dxa"/>
            <w:tcBorders>
              <w:top w:val="nil"/>
              <w:left w:val="nil"/>
              <w:bottom w:val="nil"/>
              <w:right w:val="nil"/>
            </w:tcBorders>
          </w:tcPr>
          <w:p>
            <w:pPr>
              <w:pStyle w:val="TableParagraph"/>
              <w:spacing w:before="34"/>
              <w:ind w:left="20"/>
              <w:jc w:val="center"/>
              <w:rPr>
                <w:rFonts w:ascii="Arial"/>
                <w:sz w:val="16"/>
              </w:rPr>
            </w:pPr>
            <w:r>
              <w:rPr>
                <w:rFonts w:ascii="Arial"/>
                <w:w w:val="81"/>
                <w:sz w:val="16"/>
              </w:rPr>
              <w:t>2</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826" w:right="1086"/>
              <w:jc w:val="center"/>
              <w:rPr>
                <w:rFonts w:ascii="Arial"/>
                <w:sz w:val="16"/>
              </w:rPr>
            </w:pPr>
            <w:r>
              <w:rPr>
                <w:rFonts w:ascii="Arial"/>
                <w:w w:val="90"/>
                <w:sz w:val="16"/>
              </w:rPr>
              <w:t>None</w:t>
            </w:r>
          </w:p>
        </w:tc>
      </w:tr>
      <w:tr>
        <w:trPr>
          <w:trHeight w:val="269" w:hRule="exact"/>
        </w:trPr>
        <w:tc>
          <w:tcPr>
            <w:tcW w:w="475" w:type="dxa"/>
            <w:tcBorders>
              <w:top w:val="nil"/>
              <w:left w:val="nil"/>
              <w:bottom w:val="nil"/>
              <w:right w:val="nil"/>
            </w:tcBorders>
          </w:tcPr>
          <w:p>
            <w:pPr>
              <w:pStyle w:val="TableParagraph"/>
              <w:spacing w:before="34"/>
              <w:ind w:left="31" w:right="53"/>
              <w:jc w:val="center"/>
              <w:rPr>
                <w:rFonts w:ascii="Arial"/>
                <w:sz w:val="16"/>
              </w:rPr>
            </w:pPr>
            <w:r>
              <w:rPr>
                <w:rFonts w:ascii="Arial"/>
                <w:w w:val="90"/>
                <w:sz w:val="16"/>
              </w:rPr>
              <w:t>30</w:t>
            </w:r>
          </w:p>
        </w:tc>
        <w:tc>
          <w:tcPr>
            <w:tcW w:w="1088" w:type="dxa"/>
            <w:tcBorders>
              <w:top w:val="nil"/>
              <w:left w:val="nil"/>
              <w:bottom w:val="nil"/>
              <w:right w:val="nil"/>
            </w:tcBorders>
          </w:tcPr>
          <w:p>
            <w:pPr>
              <w:pStyle w:val="TableParagraph"/>
              <w:spacing w:before="34"/>
              <w:ind w:left="81" w:right="85"/>
              <w:jc w:val="center"/>
              <w:rPr>
                <w:rFonts w:ascii="Arial"/>
                <w:sz w:val="16"/>
              </w:rPr>
            </w:pPr>
            <w:r>
              <w:rPr>
                <w:rFonts w:ascii="Arial"/>
                <w:w w:val="80"/>
                <w:sz w:val="16"/>
              </w:rPr>
              <w:t>Great pyrenees</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42</w:t>
            </w:r>
          </w:p>
        </w:tc>
        <w:tc>
          <w:tcPr>
            <w:tcW w:w="413" w:type="dxa"/>
            <w:tcBorders>
              <w:top w:val="nil"/>
              <w:left w:val="nil"/>
              <w:bottom w:val="nil"/>
              <w:right w:val="nil"/>
            </w:tcBorders>
          </w:tcPr>
          <w:p>
            <w:pPr>
              <w:pStyle w:val="TableParagraph"/>
              <w:spacing w:before="34"/>
              <w:ind w:right="185"/>
              <w:jc w:val="right"/>
              <w:rPr>
                <w:rFonts w:ascii="Arial"/>
                <w:sz w:val="16"/>
              </w:rPr>
            </w:pPr>
            <w:r>
              <w:rPr>
                <w:rFonts w:ascii="Arial"/>
                <w:w w:val="81"/>
                <w:sz w:val="16"/>
              </w:rPr>
              <w:t>F</w:t>
            </w: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1</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3</w:t>
            </w:r>
          </w:p>
        </w:tc>
        <w:tc>
          <w:tcPr>
            <w:tcW w:w="1142" w:type="dxa"/>
            <w:tcBorders>
              <w:top w:val="nil"/>
              <w:left w:val="nil"/>
              <w:bottom w:val="nil"/>
              <w:right w:val="nil"/>
            </w:tcBorders>
          </w:tcPr>
          <w:p>
            <w:pPr>
              <w:pStyle w:val="TableParagraph"/>
              <w:spacing w:before="34"/>
              <w:ind w:left="288" w:right="263"/>
              <w:jc w:val="center"/>
              <w:rPr>
                <w:rFonts w:ascii="Arial"/>
                <w:sz w:val="16"/>
              </w:rPr>
            </w:pPr>
            <w:r>
              <w:rPr>
                <w:rFonts w:ascii="Arial"/>
                <w:w w:val="90"/>
                <w:sz w:val="16"/>
              </w:rPr>
              <w:t>10</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1</w:t>
            </w:r>
          </w:p>
        </w:tc>
        <w:tc>
          <w:tcPr>
            <w:tcW w:w="2296" w:type="dxa"/>
            <w:tcBorders>
              <w:top w:val="nil"/>
              <w:left w:val="nil"/>
              <w:bottom w:val="nil"/>
              <w:right w:val="nil"/>
            </w:tcBorders>
          </w:tcPr>
          <w:p>
            <w:pPr>
              <w:pStyle w:val="TableParagraph"/>
              <w:spacing w:before="34"/>
              <w:ind w:left="630"/>
              <w:rPr>
                <w:rFonts w:ascii="Arial"/>
                <w:sz w:val="16"/>
              </w:rPr>
            </w:pPr>
            <w:r>
              <w:rPr>
                <w:rFonts w:ascii="Arial"/>
                <w:w w:val="80"/>
                <w:sz w:val="16"/>
              </w:rPr>
              <w:t>Mild sedation</w:t>
            </w:r>
          </w:p>
        </w:tc>
      </w:tr>
      <w:tr>
        <w:trPr>
          <w:trHeight w:val="312" w:hRule="exact"/>
        </w:trPr>
        <w:tc>
          <w:tcPr>
            <w:tcW w:w="475" w:type="dxa"/>
            <w:tcBorders>
              <w:top w:val="nil"/>
              <w:left w:val="nil"/>
              <w:bottom w:val="nil"/>
              <w:right w:val="nil"/>
            </w:tcBorders>
          </w:tcPr>
          <w:p>
            <w:pPr/>
          </w:p>
        </w:tc>
        <w:tc>
          <w:tcPr>
            <w:tcW w:w="1088" w:type="dxa"/>
            <w:tcBorders>
              <w:top w:val="nil"/>
              <w:left w:val="nil"/>
              <w:bottom w:val="nil"/>
              <w:right w:val="nil"/>
            </w:tcBorders>
          </w:tcPr>
          <w:p>
            <w:pPr>
              <w:pStyle w:val="TableParagraph"/>
              <w:spacing w:before="34"/>
              <w:ind w:left="81" w:right="82"/>
              <w:jc w:val="center"/>
              <w:rPr>
                <w:rFonts w:ascii="Arial"/>
                <w:sz w:val="16"/>
              </w:rPr>
            </w:pPr>
            <w:r>
              <w:rPr>
                <w:rFonts w:ascii="Arial"/>
                <w:w w:val="90"/>
                <w:sz w:val="16"/>
              </w:rPr>
              <w:t>MEDIAN</w:t>
            </w:r>
          </w:p>
        </w:tc>
        <w:tc>
          <w:tcPr>
            <w:tcW w:w="734" w:type="dxa"/>
            <w:tcBorders>
              <w:top w:val="nil"/>
              <w:left w:val="nil"/>
              <w:bottom w:val="nil"/>
              <w:right w:val="nil"/>
            </w:tcBorders>
          </w:tcPr>
          <w:p>
            <w:pPr>
              <w:pStyle w:val="TableParagraph"/>
              <w:spacing w:before="34"/>
              <w:ind w:left="65" w:right="38"/>
              <w:jc w:val="center"/>
              <w:rPr>
                <w:rFonts w:ascii="Arial"/>
                <w:sz w:val="16"/>
              </w:rPr>
            </w:pPr>
            <w:r>
              <w:rPr>
                <w:rFonts w:ascii="Arial"/>
                <w:w w:val="90"/>
                <w:sz w:val="16"/>
              </w:rPr>
              <w:t>9.4</w:t>
            </w:r>
          </w:p>
        </w:tc>
        <w:tc>
          <w:tcPr>
            <w:tcW w:w="413" w:type="dxa"/>
            <w:tcBorders>
              <w:top w:val="nil"/>
              <w:left w:val="nil"/>
              <w:bottom w:val="nil"/>
              <w:right w:val="nil"/>
            </w:tcBorders>
          </w:tcPr>
          <w:p>
            <w:pPr/>
          </w:p>
        </w:tc>
        <w:tc>
          <w:tcPr>
            <w:tcW w:w="720" w:type="dxa"/>
            <w:tcBorders>
              <w:top w:val="nil"/>
              <w:left w:val="nil"/>
              <w:bottom w:val="nil"/>
              <w:right w:val="nil"/>
            </w:tcBorders>
          </w:tcPr>
          <w:p>
            <w:pPr>
              <w:pStyle w:val="TableParagraph"/>
              <w:spacing w:before="34"/>
              <w:ind w:right="36"/>
              <w:jc w:val="center"/>
              <w:rPr>
                <w:rFonts w:ascii="Arial"/>
                <w:sz w:val="16"/>
              </w:rPr>
            </w:pPr>
            <w:r>
              <w:rPr>
                <w:rFonts w:ascii="Arial"/>
                <w:w w:val="81"/>
                <w:sz w:val="16"/>
              </w:rPr>
              <w:t>2</w:t>
            </w:r>
          </w:p>
        </w:tc>
        <w:tc>
          <w:tcPr>
            <w:tcW w:w="739" w:type="dxa"/>
            <w:tcBorders>
              <w:top w:val="nil"/>
              <w:left w:val="nil"/>
              <w:bottom w:val="nil"/>
              <w:right w:val="nil"/>
            </w:tcBorders>
          </w:tcPr>
          <w:p>
            <w:pPr>
              <w:pStyle w:val="TableParagraph"/>
              <w:spacing w:before="34"/>
              <w:ind w:left="19"/>
              <w:jc w:val="center"/>
              <w:rPr>
                <w:rFonts w:ascii="Arial"/>
                <w:sz w:val="16"/>
              </w:rPr>
            </w:pPr>
            <w:r>
              <w:rPr>
                <w:rFonts w:ascii="Arial"/>
                <w:w w:val="81"/>
                <w:sz w:val="16"/>
              </w:rPr>
              <w:t>4</w:t>
            </w:r>
          </w:p>
        </w:tc>
        <w:tc>
          <w:tcPr>
            <w:tcW w:w="1142" w:type="dxa"/>
            <w:tcBorders>
              <w:top w:val="nil"/>
              <w:left w:val="nil"/>
              <w:bottom w:val="nil"/>
              <w:right w:val="nil"/>
            </w:tcBorders>
          </w:tcPr>
          <w:p>
            <w:pPr>
              <w:pStyle w:val="TableParagraph"/>
              <w:spacing w:before="34"/>
              <w:ind w:left="288" w:right="264"/>
              <w:jc w:val="center"/>
              <w:rPr>
                <w:rFonts w:ascii="Arial"/>
                <w:sz w:val="16"/>
              </w:rPr>
            </w:pPr>
            <w:r>
              <w:rPr>
                <w:rFonts w:ascii="Arial"/>
                <w:w w:val="90"/>
                <w:sz w:val="16"/>
              </w:rPr>
              <w:t>5.5</w:t>
            </w:r>
          </w:p>
        </w:tc>
        <w:tc>
          <w:tcPr>
            <w:tcW w:w="1376" w:type="dxa"/>
            <w:tcBorders>
              <w:top w:val="nil"/>
              <w:left w:val="nil"/>
              <w:bottom w:val="nil"/>
              <w:right w:val="nil"/>
            </w:tcBorders>
          </w:tcPr>
          <w:p>
            <w:pPr>
              <w:pStyle w:val="TableParagraph"/>
              <w:spacing w:before="34"/>
              <w:ind w:right="258"/>
              <w:jc w:val="center"/>
              <w:rPr>
                <w:rFonts w:ascii="Arial"/>
                <w:sz w:val="16"/>
              </w:rPr>
            </w:pPr>
            <w:r>
              <w:rPr>
                <w:rFonts w:ascii="Arial"/>
                <w:w w:val="81"/>
                <w:sz w:val="16"/>
              </w:rPr>
              <w:t>0</w:t>
            </w:r>
          </w:p>
        </w:tc>
        <w:tc>
          <w:tcPr>
            <w:tcW w:w="2296" w:type="dxa"/>
            <w:tcBorders>
              <w:top w:val="nil"/>
              <w:left w:val="nil"/>
              <w:bottom w:val="nil"/>
              <w:right w:val="nil"/>
            </w:tcBorders>
          </w:tcPr>
          <w:p>
            <w:pPr/>
          </w:p>
        </w:tc>
      </w:tr>
      <w:tr>
        <w:trPr>
          <w:trHeight w:val="453" w:hRule="exact"/>
        </w:trPr>
        <w:tc>
          <w:tcPr>
            <w:tcW w:w="475" w:type="dxa"/>
            <w:tcBorders>
              <w:top w:val="nil"/>
              <w:left w:val="nil"/>
              <w:right w:val="nil"/>
            </w:tcBorders>
          </w:tcPr>
          <w:p>
            <w:pPr/>
          </w:p>
        </w:tc>
        <w:tc>
          <w:tcPr>
            <w:tcW w:w="1088" w:type="dxa"/>
            <w:tcBorders>
              <w:top w:val="nil"/>
              <w:left w:val="nil"/>
              <w:right w:val="nil"/>
            </w:tcBorders>
          </w:tcPr>
          <w:p>
            <w:pPr>
              <w:pStyle w:val="TableParagraph"/>
              <w:spacing w:before="77"/>
              <w:ind w:left="110" w:firstLine="148"/>
              <w:rPr>
                <w:rFonts w:ascii="Arial"/>
                <w:sz w:val="16"/>
              </w:rPr>
            </w:pPr>
            <w:r>
              <w:rPr>
                <w:rFonts w:ascii="Arial"/>
                <w:w w:val="90"/>
                <w:sz w:val="16"/>
              </w:rPr>
              <w:t>(25 - 75% </w:t>
            </w:r>
            <w:r>
              <w:rPr>
                <w:rFonts w:ascii="Arial"/>
                <w:w w:val="80"/>
                <w:sz w:val="16"/>
              </w:rPr>
              <w:t>PERCENTILE)</w:t>
            </w:r>
          </w:p>
        </w:tc>
        <w:tc>
          <w:tcPr>
            <w:tcW w:w="734" w:type="dxa"/>
            <w:tcBorders>
              <w:top w:val="nil"/>
              <w:left w:val="nil"/>
              <w:right w:val="nil"/>
            </w:tcBorders>
          </w:tcPr>
          <w:p>
            <w:pPr>
              <w:pStyle w:val="TableParagraph"/>
              <w:spacing w:before="6"/>
              <w:rPr>
                <w:sz w:val="22"/>
              </w:rPr>
            </w:pPr>
          </w:p>
          <w:p>
            <w:pPr>
              <w:pStyle w:val="TableParagraph"/>
              <w:spacing w:before="1"/>
              <w:ind w:left="65" w:right="38"/>
              <w:jc w:val="center"/>
              <w:rPr>
                <w:rFonts w:ascii="Arial"/>
                <w:sz w:val="16"/>
              </w:rPr>
            </w:pPr>
            <w:r>
              <w:rPr>
                <w:rFonts w:ascii="Arial"/>
                <w:w w:val="85"/>
                <w:sz w:val="16"/>
              </w:rPr>
              <w:t>(5.6-21.3)</w:t>
            </w:r>
          </w:p>
        </w:tc>
        <w:tc>
          <w:tcPr>
            <w:tcW w:w="413" w:type="dxa"/>
            <w:tcBorders>
              <w:top w:val="nil"/>
              <w:left w:val="nil"/>
              <w:right w:val="nil"/>
            </w:tcBorders>
          </w:tcPr>
          <w:p>
            <w:pPr/>
          </w:p>
        </w:tc>
        <w:tc>
          <w:tcPr>
            <w:tcW w:w="720" w:type="dxa"/>
            <w:tcBorders>
              <w:top w:val="nil"/>
              <w:left w:val="nil"/>
              <w:right w:val="nil"/>
            </w:tcBorders>
          </w:tcPr>
          <w:p>
            <w:pPr>
              <w:pStyle w:val="TableParagraph"/>
              <w:spacing w:before="6"/>
              <w:rPr>
                <w:sz w:val="22"/>
              </w:rPr>
            </w:pPr>
          </w:p>
          <w:p>
            <w:pPr>
              <w:pStyle w:val="TableParagraph"/>
              <w:spacing w:before="1"/>
              <w:ind w:left="50" w:right="86"/>
              <w:jc w:val="center"/>
              <w:rPr>
                <w:rFonts w:ascii="Arial"/>
                <w:sz w:val="16"/>
              </w:rPr>
            </w:pPr>
            <w:r>
              <w:rPr>
                <w:rFonts w:ascii="Arial"/>
                <w:w w:val="90"/>
                <w:sz w:val="16"/>
              </w:rPr>
              <w:t>(1.3-4.0)</w:t>
            </w:r>
          </w:p>
        </w:tc>
        <w:tc>
          <w:tcPr>
            <w:tcW w:w="739" w:type="dxa"/>
            <w:tcBorders>
              <w:top w:val="nil"/>
              <w:left w:val="nil"/>
              <w:right w:val="nil"/>
            </w:tcBorders>
          </w:tcPr>
          <w:p>
            <w:pPr>
              <w:pStyle w:val="TableParagraph"/>
              <w:spacing w:before="6"/>
              <w:rPr>
                <w:sz w:val="22"/>
              </w:rPr>
            </w:pPr>
          </w:p>
          <w:p>
            <w:pPr>
              <w:pStyle w:val="TableParagraph"/>
              <w:spacing w:before="1"/>
              <w:ind w:left="87" w:right="68"/>
              <w:jc w:val="center"/>
              <w:rPr>
                <w:rFonts w:ascii="Arial"/>
                <w:sz w:val="16"/>
              </w:rPr>
            </w:pPr>
            <w:r>
              <w:rPr>
                <w:rFonts w:ascii="Arial"/>
                <w:w w:val="90"/>
                <w:sz w:val="16"/>
              </w:rPr>
              <w:t>(2.8-5.0)</w:t>
            </w:r>
          </w:p>
        </w:tc>
        <w:tc>
          <w:tcPr>
            <w:tcW w:w="1142" w:type="dxa"/>
            <w:tcBorders>
              <w:top w:val="nil"/>
              <w:left w:val="nil"/>
              <w:right w:val="nil"/>
            </w:tcBorders>
          </w:tcPr>
          <w:p>
            <w:pPr>
              <w:pStyle w:val="TableParagraph"/>
              <w:spacing w:before="6"/>
              <w:rPr>
                <w:sz w:val="22"/>
              </w:rPr>
            </w:pPr>
          </w:p>
          <w:p>
            <w:pPr>
              <w:pStyle w:val="TableParagraph"/>
              <w:spacing w:before="1"/>
              <w:ind w:left="288" w:right="269"/>
              <w:jc w:val="center"/>
              <w:rPr>
                <w:rFonts w:ascii="Arial"/>
                <w:sz w:val="16"/>
              </w:rPr>
            </w:pPr>
            <w:r>
              <w:rPr>
                <w:rFonts w:ascii="Arial"/>
                <w:w w:val="90"/>
                <w:sz w:val="16"/>
              </w:rPr>
              <w:t>(2.7-8.2)</w:t>
            </w:r>
          </w:p>
        </w:tc>
        <w:tc>
          <w:tcPr>
            <w:tcW w:w="1376" w:type="dxa"/>
            <w:tcBorders>
              <w:top w:val="nil"/>
              <w:left w:val="nil"/>
              <w:right w:val="nil"/>
            </w:tcBorders>
          </w:tcPr>
          <w:p>
            <w:pPr>
              <w:pStyle w:val="TableParagraph"/>
              <w:spacing w:before="6"/>
              <w:rPr>
                <w:sz w:val="22"/>
              </w:rPr>
            </w:pPr>
          </w:p>
          <w:p>
            <w:pPr>
              <w:pStyle w:val="TableParagraph"/>
              <w:spacing w:before="1"/>
              <w:ind w:left="267" w:right="524"/>
              <w:jc w:val="center"/>
              <w:rPr>
                <w:rFonts w:ascii="Arial"/>
                <w:sz w:val="16"/>
              </w:rPr>
            </w:pPr>
            <w:r>
              <w:rPr>
                <w:rFonts w:ascii="Arial"/>
                <w:w w:val="90"/>
                <w:sz w:val="16"/>
              </w:rPr>
              <w:t>(0.0-1.0)</w:t>
            </w:r>
          </w:p>
        </w:tc>
        <w:tc>
          <w:tcPr>
            <w:tcW w:w="2296" w:type="dxa"/>
            <w:tcBorders>
              <w:top w:val="nil"/>
              <w:left w:val="nil"/>
              <w:right w:val="nil"/>
            </w:tcBorders>
          </w:tcPr>
          <w:p>
            <w:pPr/>
          </w:p>
        </w:tc>
      </w:tr>
    </w:tbl>
    <w:p>
      <w:pPr>
        <w:pStyle w:val="BodyText"/>
        <w:rPr>
          <w:sz w:val="20"/>
        </w:rPr>
      </w:pPr>
    </w:p>
    <w:p>
      <w:pPr>
        <w:pStyle w:val="BodyText"/>
        <w:spacing w:before="9"/>
        <w:rPr>
          <w:sz w:val="17"/>
        </w:rPr>
      </w:pPr>
    </w:p>
    <w:p>
      <w:pPr>
        <w:spacing w:line="278" w:lineRule="auto" w:before="74"/>
        <w:ind w:left="192" w:right="0" w:firstLine="0"/>
        <w:jc w:val="left"/>
        <w:rPr>
          <w:rFonts w:ascii="Arial"/>
          <w:sz w:val="22"/>
        </w:rPr>
      </w:pPr>
      <w:r>
        <w:rPr>
          <w:rFonts w:ascii="Arial"/>
          <w:w w:val="90"/>
          <w:position w:val="6"/>
          <w:sz w:val="14"/>
        </w:rPr>
        <w:t>a</w:t>
      </w:r>
      <w:r>
        <w:rPr>
          <w:rFonts w:ascii="Arial"/>
          <w:spacing w:val="-7"/>
          <w:w w:val="90"/>
          <w:position w:val="6"/>
          <w:sz w:val="14"/>
        </w:rPr>
        <w:t> </w:t>
      </w:r>
      <w:r>
        <w:rPr>
          <w:rFonts w:ascii="Arial"/>
          <w:w w:val="90"/>
          <w:sz w:val="22"/>
        </w:rPr>
        <w:t>These</w:t>
      </w:r>
      <w:r>
        <w:rPr>
          <w:rFonts w:ascii="Arial"/>
          <w:spacing w:val="-34"/>
          <w:w w:val="90"/>
          <w:sz w:val="22"/>
        </w:rPr>
        <w:t> </w:t>
      </w:r>
      <w:r>
        <w:rPr>
          <w:rFonts w:ascii="Arial"/>
          <w:w w:val="90"/>
          <w:sz w:val="22"/>
        </w:rPr>
        <w:t>patients</w:t>
      </w:r>
      <w:r>
        <w:rPr>
          <w:rFonts w:ascii="Arial"/>
          <w:spacing w:val="-34"/>
          <w:w w:val="90"/>
          <w:sz w:val="22"/>
        </w:rPr>
        <w:t> </w:t>
      </w:r>
      <w:r>
        <w:rPr>
          <w:rFonts w:ascii="Arial"/>
          <w:w w:val="90"/>
          <w:sz w:val="22"/>
        </w:rPr>
        <w:t>was</w:t>
      </w:r>
      <w:r>
        <w:rPr>
          <w:rFonts w:ascii="Arial"/>
          <w:spacing w:val="-34"/>
          <w:w w:val="90"/>
          <w:sz w:val="22"/>
        </w:rPr>
        <w:t> </w:t>
      </w:r>
      <w:r>
        <w:rPr>
          <w:rFonts w:ascii="Arial"/>
          <w:w w:val="90"/>
          <w:sz w:val="22"/>
        </w:rPr>
        <w:t>rescued</w:t>
      </w:r>
      <w:r>
        <w:rPr>
          <w:rFonts w:ascii="Arial"/>
          <w:spacing w:val="-34"/>
          <w:w w:val="90"/>
          <w:sz w:val="22"/>
        </w:rPr>
        <w:t> </w:t>
      </w:r>
      <w:r>
        <w:rPr>
          <w:rFonts w:ascii="Arial"/>
          <w:w w:val="90"/>
          <w:sz w:val="22"/>
        </w:rPr>
        <w:t>with</w:t>
      </w:r>
      <w:r>
        <w:rPr>
          <w:rFonts w:ascii="Arial"/>
          <w:spacing w:val="-34"/>
          <w:w w:val="90"/>
          <w:sz w:val="22"/>
        </w:rPr>
        <w:t> </w:t>
      </w:r>
      <w:r>
        <w:rPr>
          <w:rFonts w:ascii="Arial"/>
          <w:w w:val="90"/>
          <w:sz w:val="22"/>
        </w:rPr>
        <w:t>phenobarbital</w:t>
      </w:r>
      <w:r>
        <w:rPr>
          <w:rFonts w:ascii="Arial"/>
          <w:spacing w:val="-35"/>
          <w:w w:val="90"/>
          <w:sz w:val="22"/>
        </w:rPr>
        <w:t> </w:t>
      </w:r>
      <w:r>
        <w:rPr>
          <w:rFonts w:ascii="Arial"/>
          <w:w w:val="90"/>
          <w:sz w:val="22"/>
        </w:rPr>
        <w:t>because</w:t>
      </w:r>
      <w:r>
        <w:rPr>
          <w:rFonts w:ascii="Arial"/>
          <w:spacing w:val="-34"/>
          <w:w w:val="90"/>
          <w:sz w:val="22"/>
        </w:rPr>
        <w:t> </w:t>
      </w:r>
      <w:r>
        <w:rPr>
          <w:rFonts w:ascii="Arial"/>
          <w:w w:val="90"/>
          <w:sz w:val="22"/>
        </w:rPr>
        <w:t>during</w:t>
      </w:r>
      <w:r>
        <w:rPr>
          <w:rFonts w:ascii="Arial"/>
          <w:spacing w:val="-34"/>
          <w:w w:val="90"/>
          <w:sz w:val="22"/>
        </w:rPr>
        <w:t> </w:t>
      </w:r>
      <w:r>
        <w:rPr>
          <w:rFonts w:ascii="Arial"/>
          <w:w w:val="90"/>
          <w:sz w:val="22"/>
        </w:rPr>
        <w:t>the</w:t>
      </w:r>
      <w:r>
        <w:rPr>
          <w:rFonts w:ascii="Arial"/>
          <w:spacing w:val="-34"/>
          <w:w w:val="90"/>
          <w:sz w:val="22"/>
        </w:rPr>
        <w:t> </w:t>
      </w:r>
      <w:r>
        <w:rPr>
          <w:rFonts w:ascii="Arial"/>
          <w:w w:val="90"/>
          <w:sz w:val="22"/>
        </w:rPr>
        <w:t>first</w:t>
      </w:r>
      <w:r>
        <w:rPr>
          <w:rFonts w:ascii="Arial"/>
          <w:spacing w:val="-36"/>
          <w:w w:val="90"/>
          <w:sz w:val="22"/>
        </w:rPr>
        <w:t> </w:t>
      </w:r>
      <w:r>
        <w:rPr>
          <w:rFonts w:ascii="Arial"/>
          <w:w w:val="90"/>
          <w:sz w:val="22"/>
        </w:rPr>
        <w:t>week</w:t>
      </w:r>
      <w:r>
        <w:rPr>
          <w:rFonts w:ascii="Arial"/>
          <w:spacing w:val="-34"/>
          <w:w w:val="90"/>
          <w:sz w:val="22"/>
        </w:rPr>
        <w:t> </w:t>
      </w:r>
      <w:r>
        <w:rPr>
          <w:rFonts w:ascii="Arial"/>
          <w:w w:val="90"/>
          <w:sz w:val="22"/>
        </w:rPr>
        <w:t>of</w:t>
      </w:r>
      <w:r>
        <w:rPr>
          <w:rFonts w:ascii="Arial"/>
          <w:spacing w:val="-33"/>
          <w:w w:val="90"/>
          <w:sz w:val="22"/>
        </w:rPr>
        <w:t> </w:t>
      </w:r>
      <w:r>
        <w:rPr>
          <w:rFonts w:ascii="Arial"/>
          <w:w w:val="90"/>
          <w:sz w:val="22"/>
        </w:rPr>
        <w:t>starting</w:t>
      </w:r>
      <w:r>
        <w:rPr>
          <w:rFonts w:ascii="Arial"/>
          <w:spacing w:val="-33"/>
          <w:w w:val="90"/>
          <w:sz w:val="22"/>
        </w:rPr>
        <w:t> </w:t>
      </w:r>
      <w:r>
        <w:rPr>
          <w:rFonts w:ascii="Arial"/>
          <w:w w:val="90"/>
          <w:sz w:val="22"/>
        </w:rPr>
        <w:t>treatment</w:t>
      </w:r>
      <w:r>
        <w:rPr>
          <w:rFonts w:ascii="Arial"/>
          <w:spacing w:val="-30"/>
          <w:w w:val="90"/>
          <w:sz w:val="22"/>
        </w:rPr>
        <w:t> </w:t>
      </w:r>
      <w:r>
        <w:rPr>
          <w:rFonts w:ascii="Arial"/>
          <w:w w:val="90"/>
          <w:sz w:val="22"/>
        </w:rPr>
        <w:t>the </w:t>
      </w:r>
      <w:r>
        <w:rPr>
          <w:rFonts w:ascii="Arial"/>
          <w:w w:val="85"/>
          <w:sz w:val="22"/>
        </w:rPr>
        <w:t>patients</w:t>
      </w:r>
      <w:r>
        <w:rPr>
          <w:rFonts w:ascii="Arial"/>
          <w:spacing w:val="-24"/>
          <w:w w:val="85"/>
          <w:sz w:val="22"/>
        </w:rPr>
        <w:t> </w:t>
      </w:r>
      <w:r>
        <w:rPr>
          <w:rFonts w:ascii="Arial"/>
          <w:w w:val="85"/>
          <w:sz w:val="22"/>
        </w:rPr>
        <w:t>had</w:t>
      </w:r>
      <w:r>
        <w:rPr>
          <w:rFonts w:ascii="Arial"/>
          <w:spacing w:val="-24"/>
          <w:w w:val="85"/>
          <w:sz w:val="22"/>
        </w:rPr>
        <w:t> </w:t>
      </w:r>
      <w:r>
        <w:rPr>
          <w:rFonts w:ascii="Arial"/>
          <w:w w:val="85"/>
          <w:sz w:val="22"/>
        </w:rPr>
        <w:t>status</w:t>
      </w:r>
      <w:r>
        <w:rPr>
          <w:rFonts w:ascii="Arial"/>
          <w:spacing w:val="-24"/>
          <w:w w:val="85"/>
          <w:sz w:val="22"/>
        </w:rPr>
        <w:t> </w:t>
      </w:r>
      <w:r>
        <w:rPr>
          <w:rFonts w:ascii="Arial"/>
          <w:w w:val="85"/>
          <w:sz w:val="22"/>
        </w:rPr>
        <w:t>epilepticus.</w:t>
      </w:r>
      <w:r>
        <w:rPr>
          <w:rFonts w:ascii="Arial"/>
          <w:spacing w:val="-21"/>
          <w:w w:val="85"/>
          <w:sz w:val="22"/>
        </w:rPr>
        <w:t> </w:t>
      </w:r>
      <w:r>
        <w:rPr>
          <w:rFonts w:ascii="Arial"/>
          <w:w w:val="85"/>
          <w:position w:val="6"/>
          <w:sz w:val="14"/>
        </w:rPr>
        <w:t>b</w:t>
      </w:r>
      <w:r>
        <w:rPr>
          <w:rFonts w:ascii="Arial"/>
          <w:spacing w:val="-15"/>
          <w:w w:val="85"/>
          <w:position w:val="6"/>
          <w:sz w:val="14"/>
        </w:rPr>
        <w:t> </w:t>
      </w:r>
      <w:r>
        <w:rPr>
          <w:rFonts w:ascii="Arial"/>
          <w:w w:val="85"/>
          <w:sz w:val="22"/>
        </w:rPr>
        <w:t>This</w:t>
      </w:r>
      <w:r>
        <w:rPr>
          <w:rFonts w:ascii="Arial"/>
          <w:spacing w:val="-24"/>
          <w:w w:val="85"/>
          <w:sz w:val="22"/>
        </w:rPr>
        <w:t> </w:t>
      </w:r>
      <w:r>
        <w:rPr>
          <w:rFonts w:ascii="Arial"/>
          <w:w w:val="85"/>
          <w:sz w:val="22"/>
        </w:rPr>
        <w:t>patient</w:t>
      </w:r>
      <w:r>
        <w:rPr>
          <w:rFonts w:ascii="Arial"/>
          <w:spacing w:val="-26"/>
          <w:w w:val="85"/>
          <w:sz w:val="22"/>
        </w:rPr>
        <w:t> </w:t>
      </w:r>
      <w:r>
        <w:rPr>
          <w:rFonts w:ascii="Arial"/>
          <w:w w:val="85"/>
          <w:sz w:val="22"/>
        </w:rPr>
        <w:t>was</w:t>
      </w:r>
      <w:r>
        <w:rPr>
          <w:rFonts w:ascii="Arial"/>
          <w:spacing w:val="-24"/>
          <w:w w:val="85"/>
          <w:sz w:val="22"/>
        </w:rPr>
        <w:t> </w:t>
      </w:r>
      <w:r>
        <w:rPr>
          <w:rFonts w:ascii="Arial"/>
          <w:w w:val="85"/>
          <w:sz w:val="22"/>
        </w:rPr>
        <w:t>rescued</w:t>
      </w:r>
      <w:r>
        <w:rPr>
          <w:rFonts w:ascii="Arial"/>
          <w:spacing w:val="-24"/>
          <w:w w:val="85"/>
          <w:sz w:val="22"/>
        </w:rPr>
        <w:t> </w:t>
      </w:r>
      <w:r>
        <w:rPr>
          <w:rFonts w:ascii="Arial"/>
          <w:w w:val="85"/>
          <w:sz w:val="22"/>
        </w:rPr>
        <w:t>with</w:t>
      </w:r>
      <w:r>
        <w:rPr>
          <w:rFonts w:ascii="Arial"/>
          <w:spacing w:val="-24"/>
          <w:w w:val="85"/>
          <w:sz w:val="22"/>
        </w:rPr>
        <w:t> </w:t>
      </w:r>
      <w:r>
        <w:rPr>
          <w:rFonts w:ascii="Arial"/>
          <w:w w:val="85"/>
          <w:sz w:val="22"/>
        </w:rPr>
        <w:t>phenobarbital</w:t>
      </w:r>
      <w:r>
        <w:rPr>
          <w:rFonts w:ascii="Arial"/>
          <w:spacing w:val="-25"/>
          <w:w w:val="85"/>
          <w:sz w:val="22"/>
        </w:rPr>
        <w:t> </w:t>
      </w:r>
      <w:r>
        <w:rPr>
          <w:rFonts w:ascii="Arial"/>
          <w:w w:val="85"/>
          <w:sz w:val="22"/>
        </w:rPr>
        <w:t>after</w:t>
      </w:r>
      <w:r>
        <w:rPr>
          <w:rFonts w:ascii="Arial"/>
          <w:spacing w:val="-20"/>
          <w:w w:val="85"/>
          <w:sz w:val="22"/>
        </w:rPr>
        <w:t> </w:t>
      </w:r>
      <w:r>
        <w:rPr>
          <w:rFonts w:ascii="Arial"/>
          <w:w w:val="85"/>
          <w:sz w:val="22"/>
        </w:rPr>
        <w:t>the</w:t>
      </w:r>
      <w:r>
        <w:rPr>
          <w:rFonts w:ascii="Arial"/>
          <w:spacing w:val="-24"/>
          <w:w w:val="85"/>
          <w:sz w:val="22"/>
        </w:rPr>
        <w:t> </w:t>
      </w:r>
      <w:r>
        <w:rPr>
          <w:rFonts w:ascii="Arial"/>
          <w:w w:val="85"/>
          <w:sz w:val="22"/>
        </w:rPr>
        <w:t>first</w:t>
      </w:r>
      <w:r>
        <w:rPr>
          <w:rFonts w:ascii="Arial"/>
          <w:spacing w:val="-26"/>
          <w:w w:val="85"/>
          <w:sz w:val="22"/>
        </w:rPr>
        <w:t> </w:t>
      </w:r>
      <w:r>
        <w:rPr>
          <w:rFonts w:ascii="Arial"/>
          <w:w w:val="85"/>
          <w:sz w:val="22"/>
        </w:rPr>
        <w:t>month</w:t>
      </w:r>
      <w:r>
        <w:rPr>
          <w:rFonts w:ascii="Arial"/>
          <w:spacing w:val="-21"/>
          <w:w w:val="85"/>
          <w:sz w:val="22"/>
        </w:rPr>
        <w:t> </w:t>
      </w:r>
      <w:r>
        <w:rPr>
          <w:rFonts w:ascii="Arial"/>
          <w:w w:val="85"/>
          <w:sz w:val="22"/>
        </w:rPr>
        <w:t>of</w:t>
      </w:r>
      <w:r>
        <w:rPr>
          <w:rFonts w:ascii="Arial"/>
          <w:spacing w:val="-23"/>
          <w:w w:val="85"/>
          <w:sz w:val="22"/>
        </w:rPr>
        <w:t> </w:t>
      </w:r>
      <w:r>
        <w:rPr>
          <w:rFonts w:ascii="Arial"/>
          <w:w w:val="85"/>
          <w:sz w:val="22"/>
        </w:rPr>
        <w:t>treatment.</w:t>
      </w:r>
    </w:p>
    <w:p>
      <w:pPr>
        <w:spacing w:after="0" w:line="278" w:lineRule="auto"/>
        <w:jc w:val="left"/>
        <w:rPr>
          <w:rFonts w:ascii="Arial"/>
          <w:sz w:val="22"/>
        </w:rPr>
        <w:sectPr>
          <w:pgSz w:w="12240" w:h="15840"/>
          <w:pgMar w:header="0" w:footer="2071" w:top="720" w:bottom="2260" w:left="1680" w:right="1340"/>
        </w:sectPr>
      </w:pPr>
    </w:p>
    <w:p>
      <w:pPr>
        <w:pStyle w:val="BodyText"/>
        <w:rPr>
          <w:rFonts w:ascii="Arial"/>
          <w:sz w:val="20"/>
        </w:rPr>
      </w:pPr>
    </w:p>
    <w:p>
      <w:pPr>
        <w:pStyle w:val="BodyText"/>
        <w:rPr>
          <w:rFonts w:ascii="Arial"/>
          <w:sz w:val="20"/>
        </w:rPr>
      </w:pPr>
    </w:p>
    <w:p>
      <w:pPr>
        <w:pStyle w:val="BodyText"/>
        <w:spacing w:before="1" w:after="1"/>
        <w:rPr>
          <w:rFonts w:ascii="Arial"/>
          <w:sz w:val="18"/>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70"/>
        <w:gridCol w:w="1675"/>
        <w:gridCol w:w="1483"/>
        <w:gridCol w:w="1818"/>
        <w:gridCol w:w="1438"/>
      </w:tblGrid>
      <w:tr>
        <w:trPr>
          <w:trHeight w:val="217" w:hRule="exact"/>
        </w:trPr>
        <w:tc>
          <w:tcPr>
            <w:tcW w:w="8984" w:type="dxa"/>
            <w:gridSpan w:val="5"/>
            <w:tcBorders>
              <w:bottom w:val="single" w:sz="4" w:space="0" w:color="000000"/>
            </w:tcBorders>
          </w:tcPr>
          <w:p>
            <w:pPr>
              <w:pStyle w:val="TableParagraph"/>
              <w:spacing w:line="207" w:lineRule="exact"/>
              <w:ind w:left="71" w:right="188"/>
              <w:rPr>
                <w:rFonts w:ascii="Arial" w:hAnsi="Arial"/>
                <w:b/>
                <w:sz w:val="20"/>
              </w:rPr>
            </w:pPr>
            <w:r>
              <w:rPr>
                <w:rFonts w:ascii="Arial" w:hAnsi="Arial"/>
                <w:b/>
                <w:w w:val="85"/>
                <w:sz w:val="20"/>
              </w:rPr>
              <w:t>TABLE 2. Pooled number of seizures (mean ± SD) of all patients at baseline and each month of the study.</w:t>
            </w:r>
          </w:p>
        </w:tc>
      </w:tr>
      <w:tr>
        <w:trPr>
          <w:trHeight w:val="274" w:hRule="exact"/>
        </w:trPr>
        <w:tc>
          <w:tcPr>
            <w:tcW w:w="8984" w:type="dxa"/>
            <w:gridSpan w:val="5"/>
            <w:tcBorders>
              <w:top w:val="single" w:sz="4" w:space="0" w:color="000000"/>
              <w:left w:val="single" w:sz="4" w:space="0" w:color="000000"/>
              <w:bottom w:val="single" w:sz="4" w:space="0" w:color="000000"/>
              <w:right w:val="single" w:sz="4" w:space="0" w:color="000000"/>
            </w:tcBorders>
          </w:tcPr>
          <w:p>
            <w:pPr>
              <w:pStyle w:val="TableParagraph"/>
              <w:spacing w:before="29"/>
              <w:ind w:left="3392" w:right="4067"/>
              <w:jc w:val="center"/>
              <w:rPr>
                <w:rFonts w:ascii="Arial"/>
                <w:sz w:val="20"/>
              </w:rPr>
            </w:pPr>
            <w:r>
              <w:rPr>
                <w:rFonts w:ascii="Arial"/>
                <w:w w:val="85"/>
                <w:sz w:val="20"/>
              </w:rPr>
              <w:t>Number of seizures</w:t>
            </w:r>
          </w:p>
        </w:tc>
      </w:tr>
      <w:tr>
        <w:trPr>
          <w:trHeight w:val="274" w:hRule="exact"/>
        </w:trPr>
        <w:tc>
          <w:tcPr>
            <w:tcW w:w="2570" w:type="dxa"/>
            <w:tcBorders>
              <w:top w:val="single" w:sz="4" w:space="0" w:color="000000"/>
              <w:left w:val="single" w:sz="4" w:space="0" w:color="000000"/>
              <w:bottom w:val="single" w:sz="4" w:space="0" w:color="000000"/>
            </w:tcBorders>
          </w:tcPr>
          <w:p>
            <w:pPr>
              <w:pStyle w:val="TableParagraph"/>
              <w:spacing w:before="28"/>
              <w:ind w:left="628"/>
              <w:rPr>
                <w:rFonts w:ascii="Arial"/>
                <w:sz w:val="20"/>
              </w:rPr>
            </w:pPr>
            <w:r>
              <w:rPr>
                <w:rFonts w:ascii="Arial"/>
                <w:w w:val="85"/>
                <w:sz w:val="20"/>
              </w:rPr>
              <w:t>Groups of treatment</w:t>
            </w:r>
          </w:p>
        </w:tc>
        <w:tc>
          <w:tcPr>
            <w:tcW w:w="1675" w:type="dxa"/>
            <w:tcBorders>
              <w:top w:val="single" w:sz="4" w:space="0" w:color="000000"/>
              <w:bottom w:val="single" w:sz="4" w:space="0" w:color="000000"/>
            </w:tcBorders>
          </w:tcPr>
          <w:p>
            <w:pPr>
              <w:pStyle w:val="TableParagraph"/>
              <w:spacing w:before="28"/>
              <w:ind w:left="229"/>
              <w:rPr>
                <w:rFonts w:ascii="Arial"/>
                <w:sz w:val="20"/>
              </w:rPr>
            </w:pPr>
            <w:r>
              <w:rPr>
                <w:rFonts w:ascii="Arial"/>
                <w:w w:val="80"/>
                <w:sz w:val="20"/>
              </w:rPr>
              <w:t>Before treatment</w:t>
            </w:r>
          </w:p>
        </w:tc>
        <w:tc>
          <w:tcPr>
            <w:tcW w:w="1483" w:type="dxa"/>
            <w:tcBorders>
              <w:top w:val="single" w:sz="4" w:space="0" w:color="000000"/>
              <w:bottom w:val="single" w:sz="4" w:space="0" w:color="000000"/>
            </w:tcBorders>
          </w:tcPr>
          <w:p>
            <w:pPr>
              <w:pStyle w:val="TableParagraph"/>
              <w:spacing w:before="28"/>
              <w:ind w:left="225"/>
              <w:rPr>
                <w:rFonts w:ascii="Arial"/>
                <w:sz w:val="20"/>
              </w:rPr>
            </w:pPr>
            <w:r>
              <w:rPr>
                <w:rFonts w:ascii="Arial"/>
                <w:w w:val="85"/>
                <w:sz w:val="20"/>
              </w:rPr>
              <w:t>First month</w:t>
            </w:r>
          </w:p>
        </w:tc>
        <w:tc>
          <w:tcPr>
            <w:tcW w:w="1818" w:type="dxa"/>
            <w:tcBorders>
              <w:top w:val="single" w:sz="4" w:space="0" w:color="000000"/>
              <w:bottom w:val="single" w:sz="4" w:space="0" w:color="000000"/>
            </w:tcBorders>
          </w:tcPr>
          <w:p>
            <w:pPr>
              <w:pStyle w:val="TableParagraph"/>
              <w:spacing w:before="28"/>
              <w:ind w:left="432"/>
              <w:rPr>
                <w:rFonts w:ascii="Arial"/>
                <w:sz w:val="20"/>
              </w:rPr>
            </w:pPr>
            <w:r>
              <w:rPr>
                <w:rFonts w:ascii="Arial"/>
                <w:w w:val="80"/>
                <w:sz w:val="20"/>
              </w:rPr>
              <w:t>Second month</w:t>
            </w:r>
          </w:p>
        </w:tc>
        <w:tc>
          <w:tcPr>
            <w:tcW w:w="1438" w:type="dxa"/>
            <w:tcBorders>
              <w:top w:val="single" w:sz="4" w:space="0" w:color="000000"/>
              <w:bottom w:val="single" w:sz="4" w:space="0" w:color="000000"/>
              <w:right w:val="single" w:sz="4" w:space="0" w:color="000000"/>
            </w:tcBorders>
          </w:tcPr>
          <w:p>
            <w:pPr>
              <w:pStyle w:val="TableParagraph"/>
              <w:spacing w:before="28"/>
              <w:ind w:left="324"/>
              <w:rPr>
                <w:rFonts w:ascii="Arial"/>
                <w:sz w:val="20"/>
              </w:rPr>
            </w:pPr>
            <w:r>
              <w:rPr>
                <w:rFonts w:ascii="Arial"/>
                <w:w w:val="80"/>
                <w:sz w:val="20"/>
              </w:rPr>
              <w:t>Third month</w:t>
            </w:r>
          </w:p>
        </w:tc>
      </w:tr>
      <w:tr>
        <w:trPr>
          <w:trHeight w:val="385" w:hRule="exact"/>
        </w:trPr>
        <w:tc>
          <w:tcPr>
            <w:tcW w:w="2570" w:type="dxa"/>
            <w:tcBorders>
              <w:top w:val="single" w:sz="4" w:space="0" w:color="000000"/>
            </w:tcBorders>
          </w:tcPr>
          <w:p>
            <w:pPr>
              <w:pStyle w:val="TableParagraph"/>
              <w:spacing w:before="91"/>
              <w:ind w:left="71"/>
              <w:rPr>
                <w:rFonts w:ascii="Arial"/>
                <w:sz w:val="20"/>
              </w:rPr>
            </w:pPr>
            <w:r>
              <w:rPr>
                <w:rFonts w:ascii="Arial"/>
                <w:w w:val="90"/>
                <w:sz w:val="20"/>
              </w:rPr>
              <w:t>Group I (GBP 30 mg kg </w:t>
            </w:r>
            <w:r>
              <w:rPr>
                <w:rFonts w:ascii="Arial"/>
                <w:w w:val="90"/>
                <w:position w:val="5"/>
                <w:sz w:val="13"/>
              </w:rPr>
              <w:t>-1 </w:t>
            </w:r>
            <w:r>
              <w:rPr>
                <w:rFonts w:ascii="Arial"/>
                <w:w w:val="90"/>
                <w:sz w:val="20"/>
              </w:rPr>
              <w:t>day)</w:t>
            </w:r>
          </w:p>
        </w:tc>
        <w:tc>
          <w:tcPr>
            <w:tcW w:w="1675" w:type="dxa"/>
            <w:tcBorders>
              <w:top w:val="single" w:sz="4" w:space="0" w:color="000000"/>
            </w:tcBorders>
          </w:tcPr>
          <w:p>
            <w:pPr>
              <w:pStyle w:val="TableParagraph"/>
              <w:spacing w:before="91"/>
              <w:ind w:left="229"/>
              <w:rPr>
                <w:rFonts w:ascii="Arial" w:hAnsi="Arial"/>
                <w:sz w:val="20"/>
              </w:rPr>
            </w:pPr>
            <w:r>
              <w:rPr>
                <w:rFonts w:ascii="Arial" w:hAnsi="Arial"/>
                <w:w w:val="95"/>
                <w:sz w:val="20"/>
              </w:rPr>
              <w:t>6.2±3.22</w:t>
            </w:r>
          </w:p>
        </w:tc>
        <w:tc>
          <w:tcPr>
            <w:tcW w:w="1483" w:type="dxa"/>
            <w:tcBorders>
              <w:top w:val="single" w:sz="4" w:space="0" w:color="000000"/>
            </w:tcBorders>
          </w:tcPr>
          <w:p>
            <w:pPr>
              <w:pStyle w:val="TableParagraph"/>
              <w:spacing w:before="91"/>
              <w:ind w:left="225"/>
              <w:rPr>
                <w:rFonts w:ascii="Arial" w:hAnsi="Arial"/>
                <w:sz w:val="20"/>
              </w:rPr>
            </w:pPr>
            <w:r>
              <w:rPr>
                <w:rFonts w:ascii="Arial" w:hAnsi="Arial"/>
                <w:w w:val="95"/>
                <w:sz w:val="20"/>
              </w:rPr>
              <w:t>1.25±1.39</w:t>
            </w:r>
          </w:p>
        </w:tc>
        <w:tc>
          <w:tcPr>
            <w:tcW w:w="1818" w:type="dxa"/>
            <w:tcBorders>
              <w:top w:val="single" w:sz="4" w:space="0" w:color="000000"/>
            </w:tcBorders>
          </w:tcPr>
          <w:p>
            <w:pPr>
              <w:pStyle w:val="TableParagraph"/>
              <w:spacing w:before="91"/>
              <w:ind w:left="432"/>
              <w:rPr>
                <w:rFonts w:ascii="Arial" w:hAnsi="Arial"/>
                <w:sz w:val="20"/>
              </w:rPr>
            </w:pPr>
            <w:r>
              <w:rPr>
                <w:rFonts w:ascii="Arial" w:hAnsi="Arial"/>
                <w:w w:val="95"/>
                <w:sz w:val="20"/>
              </w:rPr>
              <w:t>0.37±0.74</w:t>
            </w:r>
          </w:p>
        </w:tc>
        <w:tc>
          <w:tcPr>
            <w:tcW w:w="1438" w:type="dxa"/>
            <w:tcBorders>
              <w:top w:val="single" w:sz="4" w:space="0" w:color="000000"/>
            </w:tcBorders>
          </w:tcPr>
          <w:p>
            <w:pPr>
              <w:pStyle w:val="TableParagraph"/>
              <w:spacing w:before="91"/>
              <w:ind w:left="324"/>
              <w:rPr>
                <w:rFonts w:ascii="Arial" w:hAnsi="Arial"/>
                <w:sz w:val="20"/>
              </w:rPr>
            </w:pPr>
            <w:r>
              <w:rPr>
                <w:rFonts w:ascii="Arial" w:hAnsi="Arial"/>
                <w:w w:val="95"/>
                <w:sz w:val="20"/>
              </w:rPr>
              <w:t>0.37±0.74</w:t>
            </w:r>
          </w:p>
        </w:tc>
      </w:tr>
      <w:tr>
        <w:trPr>
          <w:trHeight w:val="329" w:hRule="exact"/>
        </w:trPr>
        <w:tc>
          <w:tcPr>
            <w:tcW w:w="2570" w:type="dxa"/>
          </w:tcPr>
          <w:p>
            <w:pPr>
              <w:pStyle w:val="TableParagraph"/>
              <w:spacing w:before="41"/>
              <w:ind w:left="71"/>
              <w:rPr>
                <w:rFonts w:ascii="Arial"/>
                <w:sz w:val="20"/>
              </w:rPr>
            </w:pPr>
            <w:r>
              <w:rPr>
                <w:rFonts w:ascii="Arial"/>
                <w:w w:val="90"/>
                <w:sz w:val="20"/>
              </w:rPr>
              <w:t>Group II (GBP 60 mg kg </w:t>
            </w:r>
            <w:r>
              <w:rPr>
                <w:rFonts w:ascii="Arial"/>
                <w:w w:val="90"/>
                <w:position w:val="5"/>
                <w:sz w:val="13"/>
              </w:rPr>
              <w:t>-1 </w:t>
            </w:r>
            <w:r>
              <w:rPr>
                <w:rFonts w:ascii="Arial"/>
                <w:w w:val="90"/>
                <w:sz w:val="20"/>
              </w:rPr>
              <w:t>day)</w:t>
            </w:r>
          </w:p>
        </w:tc>
        <w:tc>
          <w:tcPr>
            <w:tcW w:w="1675" w:type="dxa"/>
          </w:tcPr>
          <w:p>
            <w:pPr>
              <w:pStyle w:val="TableParagraph"/>
              <w:spacing w:before="41"/>
              <w:ind w:left="229"/>
              <w:rPr>
                <w:rFonts w:ascii="Arial" w:hAnsi="Arial"/>
                <w:sz w:val="20"/>
              </w:rPr>
            </w:pPr>
            <w:r>
              <w:rPr>
                <w:rFonts w:ascii="Arial" w:hAnsi="Arial"/>
                <w:w w:val="95"/>
                <w:sz w:val="20"/>
              </w:rPr>
              <w:t>5.7±3.26</w:t>
            </w:r>
          </w:p>
        </w:tc>
        <w:tc>
          <w:tcPr>
            <w:tcW w:w="1483" w:type="dxa"/>
          </w:tcPr>
          <w:p>
            <w:pPr>
              <w:pStyle w:val="TableParagraph"/>
              <w:spacing w:before="41"/>
              <w:ind w:left="225"/>
              <w:rPr>
                <w:rFonts w:ascii="Arial" w:hAnsi="Arial"/>
                <w:sz w:val="20"/>
              </w:rPr>
            </w:pPr>
            <w:r>
              <w:rPr>
                <w:rFonts w:ascii="Arial" w:hAnsi="Arial"/>
                <w:w w:val="95"/>
                <w:sz w:val="20"/>
              </w:rPr>
              <w:t>1.11±1.16</w:t>
            </w:r>
          </w:p>
        </w:tc>
        <w:tc>
          <w:tcPr>
            <w:tcW w:w="1818" w:type="dxa"/>
          </w:tcPr>
          <w:p>
            <w:pPr>
              <w:pStyle w:val="TableParagraph"/>
              <w:spacing w:before="41"/>
              <w:ind w:left="432"/>
              <w:rPr>
                <w:rFonts w:ascii="Arial" w:hAnsi="Arial"/>
                <w:sz w:val="20"/>
              </w:rPr>
            </w:pPr>
            <w:r>
              <w:rPr>
                <w:rFonts w:ascii="Arial" w:hAnsi="Arial"/>
                <w:w w:val="95"/>
                <w:sz w:val="20"/>
              </w:rPr>
              <w:t>0.9±1.6</w:t>
            </w:r>
          </w:p>
        </w:tc>
        <w:tc>
          <w:tcPr>
            <w:tcW w:w="1438" w:type="dxa"/>
          </w:tcPr>
          <w:p>
            <w:pPr>
              <w:pStyle w:val="TableParagraph"/>
              <w:spacing w:before="41"/>
              <w:ind w:left="324"/>
              <w:rPr>
                <w:rFonts w:ascii="Arial" w:hAnsi="Arial"/>
                <w:sz w:val="20"/>
              </w:rPr>
            </w:pPr>
            <w:r>
              <w:rPr>
                <w:rFonts w:ascii="Arial" w:hAnsi="Arial"/>
                <w:w w:val="95"/>
                <w:sz w:val="20"/>
              </w:rPr>
              <w:t>0.9±1.10</w:t>
            </w:r>
          </w:p>
        </w:tc>
      </w:tr>
      <w:tr>
        <w:trPr>
          <w:trHeight w:val="280" w:hRule="exact"/>
        </w:trPr>
        <w:tc>
          <w:tcPr>
            <w:tcW w:w="2570" w:type="dxa"/>
            <w:tcBorders>
              <w:bottom w:val="single" w:sz="4" w:space="0" w:color="000000"/>
            </w:tcBorders>
          </w:tcPr>
          <w:p>
            <w:pPr>
              <w:pStyle w:val="TableParagraph"/>
              <w:spacing w:before="39"/>
              <w:ind w:left="71"/>
              <w:rPr>
                <w:rFonts w:ascii="Arial"/>
                <w:sz w:val="20"/>
              </w:rPr>
            </w:pPr>
            <w:r>
              <w:rPr>
                <w:rFonts w:ascii="Arial"/>
                <w:w w:val="90"/>
                <w:sz w:val="20"/>
              </w:rPr>
              <w:t>Group III (FB 4 mg kg </w:t>
            </w:r>
            <w:r>
              <w:rPr>
                <w:rFonts w:ascii="Arial"/>
                <w:w w:val="90"/>
                <w:position w:val="5"/>
                <w:sz w:val="13"/>
              </w:rPr>
              <w:t>-1 </w:t>
            </w:r>
            <w:r>
              <w:rPr>
                <w:rFonts w:ascii="Arial"/>
                <w:w w:val="90"/>
                <w:sz w:val="20"/>
              </w:rPr>
              <w:t>day)</w:t>
            </w:r>
          </w:p>
        </w:tc>
        <w:tc>
          <w:tcPr>
            <w:tcW w:w="1675" w:type="dxa"/>
            <w:tcBorders>
              <w:bottom w:val="single" w:sz="4" w:space="0" w:color="000000"/>
            </w:tcBorders>
          </w:tcPr>
          <w:p>
            <w:pPr>
              <w:pStyle w:val="TableParagraph"/>
              <w:spacing w:before="39"/>
              <w:ind w:left="229"/>
              <w:rPr>
                <w:rFonts w:ascii="Arial" w:hAnsi="Arial"/>
                <w:sz w:val="20"/>
              </w:rPr>
            </w:pPr>
            <w:r>
              <w:rPr>
                <w:rFonts w:ascii="Arial" w:hAnsi="Arial"/>
                <w:w w:val="95"/>
                <w:sz w:val="20"/>
              </w:rPr>
              <w:t>5.9±4.43</w:t>
            </w:r>
          </w:p>
        </w:tc>
        <w:tc>
          <w:tcPr>
            <w:tcW w:w="1483" w:type="dxa"/>
            <w:tcBorders>
              <w:bottom w:val="single" w:sz="4" w:space="0" w:color="000000"/>
            </w:tcBorders>
          </w:tcPr>
          <w:p>
            <w:pPr>
              <w:pStyle w:val="TableParagraph"/>
              <w:spacing w:before="39"/>
              <w:ind w:left="225"/>
              <w:rPr>
                <w:rFonts w:ascii="Arial" w:hAnsi="Arial"/>
                <w:sz w:val="20"/>
              </w:rPr>
            </w:pPr>
            <w:r>
              <w:rPr>
                <w:rFonts w:ascii="Arial" w:hAnsi="Arial"/>
                <w:w w:val="95"/>
                <w:sz w:val="20"/>
              </w:rPr>
              <w:t>1.4±1.35</w:t>
            </w:r>
          </w:p>
        </w:tc>
        <w:tc>
          <w:tcPr>
            <w:tcW w:w="1818" w:type="dxa"/>
            <w:tcBorders>
              <w:bottom w:val="single" w:sz="4" w:space="0" w:color="000000"/>
            </w:tcBorders>
          </w:tcPr>
          <w:p>
            <w:pPr>
              <w:pStyle w:val="TableParagraph"/>
              <w:spacing w:before="39"/>
              <w:ind w:left="432"/>
              <w:rPr>
                <w:rFonts w:ascii="Arial" w:hAnsi="Arial"/>
                <w:sz w:val="20"/>
              </w:rPr>
            </w:pPr>
            <w:r>
              <w:rPr>
                <w:rFonts w:ascii="Arial" w:hAnsi="Arial"/>
                <w:w w:val="95"/>
                <w:sz w:val="20"/>
              </w:rPr>
              <w:t>1.7±2.1</w:t>
            </w:r>
          </w:p>
        </w:tc>
        <w:tc>
          <w:tcPr>
            <w:tcW w:w="1438" w:type="dxa"/>
            <w:tcBorders>
              <w:bottom w:val="single" w:sz="4" w:space="0" w:color="000000"/>
            </w:tcBorders>
          </w:tcPr>
          <w:p>
            <w:pPr>
              <w:pStyle w:val="TableParagraph"/>
              <w:spacing w:before="39"/>
              <w:ind w:left="324"/>
              <w:rPr>
                <w:rFonts w:ascii="Arial" w:hAnsi="Arial"/>
                <w:sz w:val="20"/>
              </w:rPr>
            </w:pPr>
            <w:r>
              <w:rPr>
                <w:rFonts w:ascii="Arial" w:hAnsi="Arial"/>
                <w:w w:val="95"/>
                <w:sz w:val="20"/>
              </w:rPr>
              <w:t>0.8±1.2</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6"/>
        </w:rPr>
      </w:pPr>
    </w:p>
    <w:p>
      <w:pPr>
        <w:spacing w:before="74"/>
        <w:ind w:left="913" w:right="0" w:firstLine="0"/>
        <w:jc w:val="left"/>
        <w:rPr>
          <w:rFonts w:ascii="Arial"/>
          <w:sz w:val="22"/>
        </w:rPr>
      </w:pPr>
      <w:r>
        <w:rPr>
          <w:rFonts w:ascii="Arial"/>
          <w:w w:val="85"/>
          <w:sz w:val="22"/>
        </w:rPr>
        <w:t>*Stadistically significant compared to before treatment (</w:t>
      </w:r>
      <w:r>
        <w:rPr>
          <w:rFonts w:ascii="Trebuchet MS"/>
          <w:i/>
          <w:w w:val="85"/>
          <w:sz w:val="22"/>
        </w:rPr>
        <w:t>P</w:t>
      </w:r>
      <w:r>
        <w:rPr>
          <w:rFonts w:ascii="Arial"/>
          <w:w w:val="85"/>
          <w:sz w:val="22"/>
        </w:rPr>
        <w:t>&lt;0.05)</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after="1"/>
        <w:rPr>
          <w:rFonts w:ascii="Arial"/>
          <w:sz w:val="1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6"/>
        <w:gridCol w:w="1037"/>
        <w:gridCol w:w="1047"/>
        <w:gridCol w:w="430"/>
        <w:gridCol w:w="1039"/>
        <w:gridCol w:w="1044"/>
        <w:gridCol w:w="430"/>
        <w:gridCol w:w="1042"/>
        <w:gridCol w:w="1066"/>
        <w:gridCol w:w="408"/>
        <w:gridCol w:w="674"/>
      </w:tblGrid>
      <w:tr>
        <w:trPr>
          <w:trHeight w:val="514" w:hRule="exact"/>
        </w:trPr>
        <w:tc>
          <w:tcPr>
            <w:tcW w:w="8984" w:type="dxa"/>
            <w:gridSpan w:val="11"/>
            <w:tcBorders>
              <w:left w:val="nil"/>
              <w:right w:val="nil"/>
            </w:tcBorders>
          </w:tcPr>
          <w:p>
            <w:pPr>
              <w:pStyle w:val="TableParagraph"/>
              <w:spacing w:line="242" w:lineRule="auto"/>
              <w:ind w:left="71" w:right="188"/>
              <w:rPr>
                <w:rFonts w:ascii="Arial" w:hAnsi="Arial"/>
                <w:b/>
                <w:sz w:val="22"/>
              </w:rPr>
            </w:pPr>
            <w:r>
              <w:rPr>
                <w:rFonts w:ascii="Arial" w:hAnsi="Arial"/>
                <w:b/>
                <w:w w:val="85"/>
                <w:sz w:val="22"/>
              </w:rPr>
              <w:t>TABLE</w:t>
            </w:r>
            <w:r>
              <w:rPr>
                <w:rFonts w:ascii="Arial" w:hAnsi="Arial"/>
                <w:b/>
                <w:spacing w:val="-29"/>
                <w:w w:val="85"/>
                <w:sz w:val="22"/>
              </w:rPr>
              <w:t> </w:t>
            </w:r>
            <w:r>
              <w:rPr>
                <w:rFonts w:ascii="Arial" w:hAnsi="Arial"/>
                <w:b/>
                <w:w w:val="85"/>
                <w:sz w:val="22"/>
              </w:rPr>
              <w:t>3.</w:t>
            </w:r>
            <w:r>
              <w:rPr>
                <w:rFonts w:ascii="Arial" w:hAnsi="Arial"/>
                <w:b/>
                <w:spacing w:val="-27"/>
                <w:w w:val="85"/>
                <w:sz w:val="22"/>
              </w:rPr>
              <w:t> </w:t>
            </w:r>
            <w:r>
              <w:rPr>
                <w:rFonts w:ascii="Arial" w:hAnsi="Arial"/>
                <w:b/>
                <w:w w:val="85"/>
                <w:sz w:val="22"/>
              </w:rPr>
              <w:t>Concentrations</w:t>
            </w:r>
            <w:r>
              <w:rPr>
                <w:rFonts w:ascii="Arial" w:hAnsi="Arial"/>
                <w:b/>
                <w:spacing w:val="-29"/>
                <w:w w:val="85"/>
                <w:sz w:val="22"/>
              </w:rPr>
              <w:t> </w:t>
            </w:r>
            <w:r>
              <w:rPr>
                <w:rFonts w:ascii="Arial" w:hAnsi="Arial"/>
                <w:b/>
                <w:w w:val="85"/>
                <w:sz w:val="22"/>
              </w:rPr>
              <w:t>of</w:t>
            </w:r>
            <w:r>
              <w:rPr>
                <w:rFonts w:ascii="Arial" w:hAnsi="Arial"/>
                <w:b/>
                <w:spacing w:val="-28"/>
                <w:w w:val="85"/>
                <w:sz w:val="22"/>
              </w:rPr>
              <w:t> </w:t>
            </w:r>
            <w:r>
              <w:rPr>
                <w:rFonts w:ascii="Arial" w:hAnsi="Arial"/>
                <w:b/>
                <w:w w:val="85"/>
                <w:sz w:val="22"/>
              </w:rPr>
              <w:t>alkaline</w:t>
            </w:r>
            <w:r>
              <w:rPr>
                <w:rFonts w:ascii="Arial" w:hAnsi="Arial"/>
                <w:b/>
                <w:spacing w:val="-29"/>
                <w:w w:val="85"/>
                <w:sz w:val="22"/>
              </w:rPr>
              <w:t> </w:t>
            </w:r>
            <w:r>
              <w:rPr>
                <w:rFonts w:ascii="Arial" w:hAnsi="Arial"/>
                <w:b/>
                <w:w w:val="85"/>
                <w:sz w:val="22"/>
              </w:rPr>
              <w:t>phosphatase,</w:t>
            </w:r>
            <w:r>
              <w:rPr>
                <w:rFonts w:ascii="Arial" w:hAnsi="Arial"/>
                <w:b/>
                <w:spacing w:val="-28"/>
                <w:w w:val="85"/>
                <w:sz w:val="22"/>
              </w:rPr>
              <w:t> </w:t>
            </w:r>
            <w:r>
              <w:rPr>
                <w:rFonts w:ascii="Arial" w:hAnsi="Arial"/>
                <w:b/>
                <w:w w:val="85"/>
                <w:sz w:val="22"/>
              </w:rPr>
              <w:t>triglyceride</w:t>
            </w:r>
            <w:r>
              <w:rPr>
                <w:rFonts w:ascii="Arial" w:hAnsi="Arial"/>
                <w:b/>
                <w:spacing w:val="-29"/>
                <w:w w:val="85"/>
                <w:sz w:val="22"/>
              </w:rPr>
              <w:t> </w:t>
            </w:r>
            <w:r>
              <w:rPr>
                <w:rFonts w:ascii="Arial" w:hAnsi="Arial"/>
                <w:b/>
                <w:w w:val="85"/>
                <w:sz w:val="22"/>
              </w:rPr>
              <w:t>and</w:t>
            </w:r>
            <w:r>
              <w:rPr>
                <w:rFonts w:ascii="Arial" w:hAnsi="Arial"/>
                <w:b/>
                <w:spacing w:val="-29"/>
                <w:w w:val="85"/>
                <w:sz w:val="22"/>
              </w:rPr>
              <w:t> </w:t>
            </w:r>
            <w:r>
              <w:rPr>
                <w:rFonts w:ascii="Arial" w:hAnsi="Arial"/>
                <w:b/>
                <w:w w:val="85"/>
                <w:sz w:val="22"/>
              </w:rPr>
              <w:t>cholesterol</w:t>
            </w:r>
            <w:r>
              <w:rPr>
                <w:rFonts w:ascii="Arial" w:hAnsi="Arial"/>
                <w:b/>
                <w:spacing w:val="-30"/>
                <w:w w:val="85"/>
                <w:sz w:val="22"/>
              </w:rPr>
              <w:t> </w:t>
            </w:r>
            <w:r>
              <w:rPr>
                <w:rFonts w:ascii="Arial" w:hAnsi="Arial"/>
                <w:b/>
                <w:w w:val="85"/>
                <w:sz w:val="22"/>
              </w:rPr>
              <w:t>(mean±SD)</w:t>
            </w:r>
            <w:r>
              <w:rPr>
                <w:rFonts w:ascii="Arial" w:hAnsi="Arial"/>
                <w:b/>
                <w:spacing w:val="-28"/>
                <w:w w:val="85"/>
                <w:sz w:val="22"/>
              </w:rPr>
              <w:t> </w:t>
            </w:r>
            <w:r>
              <w:rPr>
                <w:rFonts w:ascii="Arial" w:hAnsi="Arial"/>
                <w:b/>
                <w:w w:val="85"/>
                <w:sz w:val="22"/>
              </w:rPr>
              <w:t>at</w:t>
            </w:r>
            <w:r>
              <w:rPr>
                <w:rFonts w:ascii="Arial" w:hAnsi="Arial"/>
                <w:b/>
                <w:spacing w:val="-28"/>
                <w:w w:val="85"/>
                <w:sz w:val="22"/>
              </w:rPr>
              <w:t> </w:t>
            </w:r>
            <w:r>
              <w:rPr>
                <w:rFonts w:ascii="Arial" w:hAnsi="Arial"/>
                <w:b/>
                <w:w w:val="85"/>
                <w:sz w:val="22"/>
              </w:rPr>
              <w:t>baseline and</w:t>
            </w:r>
            <w:r>
              <w:rPr>
                <w:rFonts w:ascii="Arial" w:hAnsi="Arial"/>
                <w:b/>
                <w:spacing w:val="-25"/>
                <w:w w:val="85"/>
                <w:sz w:val="22"/>
              </w:rPr>
              <w:t> </w:t>
            </w:r>
            <w:r>
              <w:rPr>
                <w:rFonts w:ascii="Arial" w:hAnsi="Arial"/>
                <w:b/>
                <w:w w:val="85"/>
                <w:sz w:val="22"/>
              </w:rPr>
              <w:t>endpoint</w:t>
            </w:r>
            <w:r>
              <w:rPr>
                <w:rFonts w:ascii="Arial" w:hAnsi="Arial"/>
                <w:b/>
                <w:spacing w:val="-24"/>
                <w:w w:val="85"/>
                <w:sz w:val="22"/>
              </w:rPr>
              <w:t> </w:t>
            </w:r>
            <w:r>
              <w:rPr>
                <w:rFonts w:ascii="Arial" w:hAnsi="Arial"/>
                <w:b/>
                <w:w w:val="85"/>
                <w:sz w:val="22"/>
              </w:rPr>
              <w:t>for</w:t>
            </w:r>
            <w:r>
              <w:rPr>
                <w:rFonts w:ascii="Arial" w:hAnsi="Arial"/>
                <w:b/>
                <w:spacing w:val="-24"/>
                <w:w w:val="85"/>
                <w:sz w:val="22"/>
              </w:rPr>
              <w:t> </w:t>
            </w:r>
            <w:r>
              <w:rPr>
                <w:rFonts w:ascii="Arial" w:hAnsi="Arial"/>
                <w:b/>
                <w:w w:val="85"/>
                <w:sz w:val="22"/>
              </w:rPr>
              <w:t>group</w:t>
            </w:r>
            <w:r>
              <w:rPr>
                <w:rFonts w:ascii="Arial" w:hAnsi="Arial"/>
                <w:b/>
                <w:spacing w:val="-25"/>
                <w:w w:val="85"/>
                <w:sz w:val="22"/>
              </w:rPr>
              <w:t> </w:t>
            </w:r>
            <w:r>
              <w:rPr>
                <w:rFonts w:ascii="Arial" w:hAnsi="Arial"/>
                <w:b/>
                <w:w w:val="85"/>
                <w:sz w:val="22"/>
              </w:rPr>
              <w:t>of</w:t>
            </w:r>
            <w:r>
              <w:rPr>
                <w:rFonts w:ascii="Arial" w:hAnsi="Arial"/>
                <w:b/>
                <w:spacing w:val="-24"/>
                <w:w w:val="85"/>
                <w:sz w:val="22"/>
              </w:rPr>
              <w:t> </w:t>
            </w:r>
            <w:r>
              <w:rPr>
                <w:rFonts w:ascii="Arial" w:hAnsi="Arial"/>
                <w:b/>
                <w:w w:val="85"/>
                <w:sz w:val="22"/>
              </w:rPr>
              <w:t>treatment.</w:t>
            </w:r>
          </w:p>
        </w:tc>
      </w:tr>
      <w:tr>
        <w:trPr>
          <w:trHeight w:val="495" w:hRule="exact"/>
        </w:trPr>
        <w:tc>
          <w:tcPr>
            <w:tcW w:w="766" w:type="dxa"/>
            <w:tcBorders>
              <w:right w:val="nil"/>
            </w:tcBorders>
          </w:tcPr>
          <w:p>
            <w:pPr>
              <w:pStyle w:val="TableParagraph"/>
              <w:spacing w:line="159" w:lineRule="exact"/>
              <w:ind w:left="67"/>
              <w:rPr>
                <w:rFonts w:ascii="Arial"/>
                <w:sz w:val="14"/>
              </w:rPr>
            </w:pPr>
            <w:r>
              <w:rPr>
                <w:rFonts w:ascii="Arial"/>
                <w:w w:val="90"/>
                <w:sz w:val="14"/>
              </w:rPr>
              <w:t>Analite</w:t>
            </w:r>
          </w:p>
        </w:tc>
        <w:tc>
          <w:tcPr>
            <w:tcW w:w="2084" w:type="dxa"/>
            <w:gridSpan w:val="2"/>
            <w:tcBorders>
              <w:left w:val="nil"/>
              <w:right w:val="nil"/>
            </w:tcBorders>
          </w:tcPr>
          <w:p>
            <w:pPr>
              <w:pStyle w:val="TableParagraph"/>
              <w:spacing w:line="159" w:lineRule="exact"/>
              <w:ind w:left="328"/>
              <w:rPr>
                <w:rFonts w:ascii="Arial"/>
                <w:sz w:val="14"/>
              </w:rPr>
            </w:pPr>
            <w:r>
              <w:rPr>
                <w:rFonts w:ascii="Arial"/>
                <w:w w:val="85"/>
                <w:sz w:val="14"/>
              </w:rPr>
              <w:t>Group I (GBP 30 mg/kg/day)</w:t>
            </w:r>
          </w:p>
        </w:tc>
        <w:tc>
          <w:tcPr>
            <w:tcW w:w="430" w:type="dxa"/>
            <w:tcBorders>
              <w:left w:val="nil"/>
              <w:right w:val="nil"/>
            </w:tcBorders>
          </w:tcPr>
          <w:p>
            <w:pPr>
              <w:pStyle w:val="TableParagraph"/>
              <w:spacing w:line="159" w:lineRule="exact"/>
              <w:ind w:left="35"/>
              <w:jc w:val="center"/>
              <w:rPr>
                <w:rFonts w:ascii="Arial"/>
                <w:sz w:val="14"/>
              </w:rPr>
            </w:pPr>
            <w:r>
              <w:rPr>
                <w:rFonts w:ascii="Arial"/>
                <w:w w:val="81"/>
                <w:sz w:val="14"/>
              </w:rPr>
              <w:t>P</w:t>
            </w:r>
          </w:p>
          <w:p>
            <w:pPr>
              <w:pStyle w:val="TableParagraph"/>
              <w:spacing w:line="158" w:lineRule="exact" w:before="7"/>
              <w:ind w:left="115" w:right="81"/>
              <w:jc w:val="center"/>
              <w:rPr>
                <w:rFonts w:ascii="Arial"/>
                <w:sz w:val="14"/>
              </w:rPr>
            </w:pPr>
            <w:r>
              <w:rPr>
                <w:rFonts w:ascii="Arial"/>
                <w:w w:val="80"/>
                <w:sz w:val="14"/>
              </w:rPr>
              <w:t>Valu </w:t>
            </w:r>
            <w:r>
              <w:rPr>
                <w:rFonts w:ascii="Arial"/>
                <w:w w:val="90"/>
                <w:sz w:val="14"/>
              </w:rPr>
              <w:t>e</w:t>
            </w:r>
          </w:p>
        </w:tc>
        <w:tc>
          <w:tcPr>
            <w:tcW w:w="2084" w:type="dxa"/>
            <w:gridSpan w:val="2"/>
            <w:tcBorders>
              <w:left w:val="nil"/>
              <w:right w:val="nil"/>
            </w:tcBorders>
          </w:tcPr>
          <w:p>
            <w:pPr>
              <w:pStyle w:val="TableParagraph"/>
              <w:spacing w:line="159" w:lineRule="exact"/>
              <w:ind w:left="316"/>
              <w:rPr>
                <w:rFonts w:ascii="Arial"/>
                <w:sz w:val="14"/>
              </w:rPr>
            </w:pPr>
            <w:r>
              <w:rPr>
                <w:rFonts w:ascii="Arial"/>
                <w:w w:val="85"/>
                <w:sz w:val="14"/>
              </w:rPr>
              <w:t>Group II (GBP 60 mg/kg/day)</w:t>
            </w:r>
          </w:p>
        </w:tc>
        <w:tc>
          <w:tcPr>
            <w:tcW w:w="430" w:type="dxa"/>
            <w:tcBorders>
              <w:left w:val="nil"/>
              <w:right w:val="nil"/>
            </w:tcBorders>
          </w:tcPr>
          <w:p>
            <w:pPr>
              <w:pStyle w:val="TableParagraph"/>
              <w:spacing w:line="159" w:lineRule="exact"/>
              <w:ind w:left="29"/>
              <w:jc w:val="center"/>
              <w:rPr>
                <w:rFonts w:ascii="Arial"/>
                <w:sz w:val="14"/>
              </w:rPr>
            </w:pPr>
            <w:r>
              <w:rPr>
                <w:rFonts w:ascii="Arial"/>
                <w:w w:val="81"/>
                <w:sz w:val="14"/>
              </w:rPr>
              <w:t>P</w:t>
            </w:r>
          </w:p>
          <w:p>
            <w:pPr>
              <w:pStyle w:val="TableParagraph"/>
              <w:spacing w:line="158" w:lineRule="exact" w:before="7"/>
              <w:ind w:left="112" w:right="83"/>
              <w:jc w:val="center"/>
              <w:rPr>
                <w:rFonts w:ascii="Arial"/>
                <w:sz w:val="14"/>
              </w:rPr>
            </w:pPr>
            <w:r>
              <w:rPr>
                <w:rFonts w:ascii="Arial"/>
                <w:w w:val="80"/>
                <w:sz w:val="14"/>
              </w:rPr>
              <w:t>Valu </w:t>
            </w:r>
            <w:r>
              <w:rPr>
                <w:rFonts w:ascii="Arial"/>
                <w:w w:val="90"/>
                <w:sz w:val="14"/>
              </w:rPr>
              <w:t>e</w:t>
            </w:r>
          </w:p>
        </w:tc>
        <w:tc>
          <w:tcPr>
            <w:tcW w:w="2108" w:type="dxa"/>
            <w:gridSpan w:val="2"/>
            <w:tcBorders>
              <w:left w:val="nil"/>
              <w:right w:val="nil"/>
            </w:tcBorders>
          </w:tcPr>
          <w:p>
            <w:pPr>
              <w:pStyle w:val="TableParagraph"/>
              <w:spacing w:line="159" w:lineRule="exact"/>
              <w:ind w:left="386"/>
              <w:rPr>
                <w:rFonts w:ascii="Arial"/>
                <w:sz w:val="14"/>
              </w:rPr>
            </w:pPr>
            <w:r>
              <w:rPr>
                <w:rFonts w:ascii="Arial"/>
                <w:w w:val="85"/>
                <w:sz w:val="14"/>
              </w:rPr>
              <w:t>Group III (FB 4 mg/kg</w:t>
            </w:r>
            <w:r>
              <w:rPr>
                <w:rFonts w:ascii="Arial"/>
                <w:w w:val="85"/>
                <w:position w:val="4"/>
                <w:sz w:val="9"/>
              </w:rPr>
              <w:t>/</w:t>
            </w:r>
            <w:r>
              <w:rPr>
                <w:rFonts w:ascii="Arial"/>
                <w:w w:val="85"/>
                <w:sz w:val="14"/>
              </w:rPr>
              <w:t>day)</w:t>
            </w:r>
          </w:p>
        </w:tc>
        <w:tc>
          <w:tcPr>
            <w:tcW w:w="408" w:type="dxa"/>
            <w:tcBorders>
              <w:left w:val="nil"/>
              <w:right w:val="nil"/>
            </w:tcBorders>
          </w:tcPr>
          <w:p>
            <w:pPr>
              <w:pStyle w:val="TableParagraph"/>
              <w:spacing w:line="159" w:lineRule="exact"/>
              <w:ind w:left="7"/>
              <w:jc w:val="center"/>
              <w:rPr>
                <w:rFonts w:ascii="Arial"/>
                <w:sz w:val="14"/>
              </w:rPr>
            </w:pPr>
            <w:r>
              <w:rPr>
                <w:rFonts w:ascii="Arial"/>
                <w:w w:val="81"/>
                <w:sz w:val="14"/>
              </w:rPr>
              <w:t>P</w:t>
            </w:r>
          </w:p>
          <w:p>
            <w:pPr>
              <w:pStyle w:val="TableParagraph"/>
              <w:spacing w:line="158" w:lineRule="exact" w:before="7"/>
              <w:ind w:left="91" w:right="84"/>
              <w:jc w:val="center"/>
              <w:rPr>
                <w:rFonts w:ascii="Arial"/>
                <w:sz w:val="14"/>
              </w:rPr>
            </w:pPr>
            <w:r>
              <w:rPr>
                <w:rFonts w:ascii="Arial"/>
                <w:w w:val="80"/>
                <w:sz w:val="14"/>
              </w:rPr>
              <w:t>Valu </w:t>
            </w:r>
            <w:r>
              <w:rPr>
                <w:rFonts w:ascii="Arial"/>
                <w:w w:val="90"/>
                <w:sz w:val="14"/>
              </w:rPr>
              <w:t>e</w:t>
            </w:r>
          </w:p>
        </w:tc>
        <w:tc>
          <w:tcPr>
            <w:tcW w:w="674" w:type="dxa"/>
            <w:tcBorders>
              <w:left w:val="nil"/>
            </w:tcBorders>
          </w:tcPr>
          <w:p>
            <w:pPr>
              <w:pStyle w:val="TableParagraph"/>
              <w:spacing w:line="244" w:lineRule="auto"/>
              <w:ind w:left="127" w:right="56" w:hanging="15"/>
              <w:rPr>
                <w:rFonts w:ascii="Arial"/>
                <w:sz w:val="14"/>
              </w:rPr>
            </w:pPr>
            <w:r>
              <w:rPr>
                <w:rFonts w:ascii="Arial"/>
                <w:w w:val="80"/>
                <w:sz w:val="14"/>
              </w:rPr>
              <w:t>Referenc </w:t>
            </w:r>
            <w:r>
              <w:rPr>
                <w:rFonts w:ascii="Arial"/>
                <w:w w:val="85"/>
                <w:sz w:val="14"/>
              </w:rPr>
              <w:t>e Range</w:t>
            </w:r>
          </w:p>
        </w:tc>
      </w:tr>
      <w:tr>
        <w:trPr>
          <w:trHeight w:val="374" w:hRule="exact"/>
        </w:trPr>
        <w:tc>
          <w:tcPr>
            <w:tcW w:w="766" w:type="dxa"/>
            <w:tcBorders>
              <w:right w:val="nil"/>
            </w:tcBorders>
          </w:tcPr>
          <w:p>
            <w:pPr/>
          </w:p>
        </w:tc>
        <w:tc>
          <w:tcPr>
            <w:tcW w:w="1037" w:type="dxa"/>
            <w:tcBorders>
              <w:left w:val="nil"/>
              <w:right w:val="nil"/>
            </w:tcBorders>
          </w:tcPr>
          <w:p>
            <w:pPr>
              <w:pStyle w:val="TableParagraph"/>
              <w:spacing w:line="159" w:lineRule="exact"/>
              <w:ind w:left="81" w:right="53"/>
              <w:jc w:val="center"/>
              <w:rPr>
                <w:rFonts w:ascii="Arial"/>
                <w:sz w:val="14"/>
              </w:rPr>
            </w:pPr>
            <w:r>
              <w:rPr>
                <w:rFonts w:ascii="Arial"/>
                <w:w w:val="90"/>
                <w:sz w:val="14"/>
              </w:rPr>
              <w:t>Baseline</w:t>
            </w:r>
          </w:p>
        </w:tc>
        <w:tc>
          <w:tcPr>
            <w:tcW w:w="1047" w:type="dxa"/>
            <w:tcBorders>
              <w:left w:val="nil"/>
              <w:right w:val="nil"/>
            </w:tcBorders>
          </w:tcPr>
          <w:p>
            <w:pPr>
              <w:pStyle w:val="TableParagraph"/>
              <w:spacing w:line="159" w:lineRule="exact"/>
              <w:ind w:left="89" w:right="49"/>
              <w:jc w:val="center"/>
              <w:rPr>
                <w:rFonts w:ascii="Arial"/>
                <w:sz w:val="14"/>
              </w:rPr>
            </w:pPr>
            <w:r>
              <w:rPr>
                <w:rFonts w:ascii="Arial"/>
                <w:w w:val="90"/>
                <w:sz w:val="14"/>
              </w:rPr>
              <w:t>Endpoint</w:t>
            </w:r>
          </w:p>
        </w:tc>
        <w:tc>
          <w:tcPr>
            <w:tcW w:w="430" w:type="dxa"/>
            <w:tcBorders>
              <w:left w:val="nil"/>
              <w:right w:val="nil"/>
            </w:tcBorders>
          </w:tcPr>
          <w:p>
            <w:pPr/>
          </w:p>
        </w:tc>
        <w:tc>
          <w:tcPr>
            <w:tcW w:w="1039" w:type="dxa"/>
            <w:tcBorders>
              <w:left w:val="nil"/>
              <w:right w:val="nil"/>
            </w:tcBorders>
          </w:tcPr>
          <w:p>
            <w:pPr>
              <w:pStyle w:val="TableParagraph"/>
              <w:spacing w:line="159" w:lineRule="exact"/>
              <w:ind w:left="83" w:right="52"/>
              <w:jc w:val="center"/>
              <w:rPr>
                <w:rFonts w:ascii="Arial"/>
                <w:sz w:val="14"/>
              </w:rPr>
            </w:pPr>
            <w:r>
              <w:rPr>
                <w:rFonts w:ascii="Arial"/>
                <w:w w:val="90"/>
                <w:sz w:val="14"/>
              </w:rPr>
              <w:t>Baseline</w:t>
            </w:r>
          </w:p>
        </w:tc>
        <w:tc>
          <w:tcPr>
            <w:tcW w:w="1044" w:type="dxa"/>
            <w:tcBorders>
              <w:left w:val="nil"/>
              <w:right w:val="nil"/>
            </w:tcBorders>
          </w:tcPr>
          <w:p>
            <w:pPr>
              <w:pStyle w:val="TableParagraph"/>
              <w:spacing w:line="159" w:lineRule="exact"/>
              <w:ind w:left="89" w:right="47"/>
              <w:jc w:val="center"/>
              <w:rPr>
                <w:rFonts w:ascii="Arial"/>
                <w:sz w:val="14"/>
              </w:rPr>
            </w:pPr>
            <w:r>
              <w:rPr>
                <w:rFonts w:ascii="Arial"/>
                <w:w w:val="90"/>
                <w:sz w:val="14"/>
              </w:rPr>
              <w:t>Endpoint</w:t>
            </w:r>
          </w:p>
        </w:tc>
        <w:tc>
          <w:tcPr>
            <w:tcW w:w="430" w:type="dxa"/>
            <w:tcBorders>
              <w:left w:val="nil"/>
              <w:right w:val="nil"/>
            </w:tcBorders>
          </w:tcPr>
          <w:p>
            <w:pPr/>
          </w:p>
        </w:tc>
        <w:tc>
          <w:tcPr>
            <w:tcW w:w="1042" w:type="dxa"/>
            <w:tcBorders>
              <w:left w:val="nil"/>
              <w:right w:val="nil"/>
            </w:tcBorders>
          </w:tcPr>
          <w:p>
            <w:pPr>
              <w:pStyle w:val="TableParagraph"/>
              <w:spacing w:line="159" w:lineRule="exact"/>
              <w:ind w:left="86" w:right="53"/>
              <w:jc w:val="center"/>
              <w:rPr>
                <w:rFonts w:ascii="Arial"/>
                <w:sz w:val="14"/>
              </w:rPr>
            </w:pPr>
            <w:r>
              <w:rPr>
                <w:rFonts w:ascii="Arial"/>
                <w:w w:val="90"/>
                <w:sz w:val="14"/>
              </w:rPr>
              <w:t>Baseline</w:t>
            </w:r>
          </w:p>
        </w:tc>
        <w:tc>
          <w:tcPr>
            <w:tcW w:w="1066" w:type="dxa"/>
            <w:tcBorders>
              <w:left w:val="nil"/>
              <w:right w:val="nil"/>
            </w:tcBorders>
          </w:tcPr>
          <w:p>
            <w:pPr>
              <w:pStyle w:val="TableParagraph"/>
              <w:spacing w:line="159" w:lineRule="exact"/>
              <w:ind w:left="319"/>
              <w:rPr>
                <w:rFonts w:ascii="Arial"/>
                <w:sz w:val="14"/>
              </w:rPr>
            </w:pPr>
            <w:r>
              <w:rPr>
                <w:rFonts w:ascii="Arial"/>
                <w:w w:val="90"/>
                <w:sz w:val="14"/>
              </w:rPr>
              <w:t>Endpoint</w:t>
            </w:r>
          </w:p>
        </w:tc>
        <w:tc>
          <w:tcPr>
            <w:tcW w:w="408" w:type="dxa"/>
            <w:tcBorders>
              <w:left w:val="nil"/>
              <w:right w:val="nil"/>
            </w:tcBorders>
          </w:tcPr>
          <w:p>
            <w:pPr/>
          </w:p>
        </w:tc>
        <w:tc>
          <w:tcPr>
            <w:tcW w:w="674" w:type="dxa"/>
            <w:tcBorders>
              <w:left w:val="nil"/>
            </w:tcBorders>
          </w:tcPr>
          <w:p>
            <w:pPr/>
          </w:p>
        </w:tc>
      </w:tr>
      <w:tr>
        <w:trPr>
          <w:trHeight w:val="494" w:hRule="exact"/>
        </w:trPr>
        <w:tc>
          <w:tcPr>
            <w:tcW w:w="766" w:type="dxa"/>
            <w:tcBorders>
              <w:left w:val="nil"/>
              <w:bottom w:val="nil"/>
              <w:right w:val="nil"/>
            </w:tcBorders>
          </w:tcPr>
          <w:p>
            <w:pPr>
              <w:pStyle w:val="TableParagraph"/>
              <w:ind w:left="91" w:right="83" w:firstLine="11"/>
              <w:jc w:val="center"/>
              <w:rPr>
                <w:rFonts w:ascii="Arial"/>
                <w:sz w:val="14"/>
              </w:rPr>
            </w:pPr>
            <w:r>
              <w:rPr>
                <w:rFonts w:ascii="Arial"/>
                <w:w w:val="90"/>
                <w:sz w:val="14"/>
              </w:rPr>
              <w:t>Alkaline </w:t>
            </w:r>
            <w:r>
              <w:rPr>
                <w:rFonts w:ascii="Arial"/>
                <w:w w:val="80"/>
                <w:sz w:val="14"/>
              </w:rPr>
              <w:t>phosphatas </w:t>
            </w:r>
            <w:r>
              <w:rPr>
                <w:rFonts w:ascii="Arial"/>
                <w:w w:val="85"/>
                <w:sz w:val="14"/>
              </w:rPr>
              <w:t>e U/L</w:t>
            </w:r>
          </w:p>
        </w:tc>
        <w:tc>
          <w:tcPr>
            <w:tcW w:w="1037" w:type="dxa"/>
            <w:tcBorders>
              <w:left w:val="nil"/>
              <w:bottom w:val="nil"/>
              <w:right w:val="nil"/>
            </w:tcBorders>
          </w:tcPr>
          <w:p>
            <w:pPr>
              <w:pStyle w:val="TableParagraph"/>
              <w:spacing w:line="159" w:lineRule="exact"/>
              <w:ind w:left="81" w:right="88"/>
              <w:jc w:val="center"/>
              <w:rPr>
                <w:rFonts w:ascii="Arial" w:hAnsi="Arial"/>
                <w:sz w:val="14"/>
              </w:rPr>
            </w:pPr>
            <w:r>
              <w:rPr>
                <w:rFonts w:ascii="Arial" w:hAnsi="Arial"/>
                <w:w w:val="80"/>
                <w:sz w:val="14"/>
              </w:rPr>
              <w:t>77.20±35.28 U/L</w:t>
            </w:r>
          </w:p>
        </w:tc>
        <w:tc>
          <w:tcPr>
            <w:tcW w:w="1047" w:type="dxa"/>
            <w:tcBorders>
              <w:left w:val="nil"/>
              <w:bottom w:val="nil"/>
              <w:right w:val="nil"/>
            </w:tcBorders>
          </w:tcPr>
          <w:p>
            <w:pPr>
              <w:pStyle w:val="TableParagraph"/>
              <w:spacing w:line="159" w:lineRule="exact"/>
              <w:ind w:left="89" w:right="89"/>
              <w:jc w:val="center"/>
              <w:rPr>
                <w:rFonts w:ascii="Arial" w:hAnsi="Arial"/>
                <w:sz w:val="14"/>
              </w:rPr>
            </w:pPr>
            <w:r>
              <w:rPr>
                <w:rFonts w:ascii="Arial" w:hAnsi="Arial"/>
                <w:w w:val="80"/>
                <w:sz w:val="14"/>
              </w:rPr>
              <w:t>71.51±32.18 U/L</w:t>
            </w:r>
          </w:p>
        </w:tc>
        <w:tc>
          <w:tcPr>
            <w:tcW w:w="430" w:type="dxa"/>
            <w:tcBorders>
              <w:left w:val="nil"/>
              <w:bottom w:val="nil"/>
              <w:right w:val="nil"/>
            </w:tcBorders>
          </w:tcPr>
          <w:p>
            <w:pPr>
              <w:pStyle w:val="TableParagraph"/>
              <w:spacing w:line="159" w:lineRule="exact"/>
              <w:ind w:left="93"/>
              <w:rPr>
                <w:rFonts w:ascii="Arial"/>
                <w:sz w:val="14"/>
              </w:rPr>
            </w:pPr>
            <w:r>
              <w:rPr>
                <w:rFonts w:ascii="Arial"/>
                <w:w w:val="90"/>
                <w:sz w:val="14"/>
              </w:rPr>
              <w:t>0.94</w:t>
            </w:r>
          </w:p>
        </w:tc>
        <w:tc>
          <w:tcPr>
            <w:tcW w:w="1039" w:type="dxa"/>
            <w:tcBorders>
              <w:left w:val="nil"/>
              <w:bottom w:val="nil"/>
              <w:right w:val="nil"/>
            </w:tcBorders>
          </w:tcPr>
          <w:p>
            <w:pPr>
              <w:pStyle w:val="TableParagraph"/>
              <w:spacing w:line="159" w:lineRule="exact"/>
              <w:ind w:left="83" w:right="88"/>
              <w:jc w:val="center"/>
              <w:rPr>
                <w:rFonts w:ascii="Arial" w:hAnsi="Arial"/>
                <w:sz w:val="14"/>
              </w:rPr>
            </w:pPr>
            <w:r>
              <w:rPr>
                <w:rFonts w:ascii="Arial" w:hAnsi="Arial"/>
                <w:w w:val="80"/>
                <w:sz w:val="14"/>
              </w:rPr>
              <w:t>55.91±21.28 U/L</w:t>
            </w:r>
          </w:p>
        </w:tc>
        <w:tc>
          <w:tcPr>
            <w:tcW w:w="1044" w:type="dxa"/>
            <w:tcBorders>
              <w:left w:val="nil"/>
              <w:bottom w:val="nil"/>
              <w:right w:val="nil"/>
            </w:tcBorders>
          </w:tcPr>
          <w:p>
            <w:pPr>
              <w:pStyle w:val="TableParagraph"/>
              <w:spacing w:line="159" w:lineRule="exact"/>
              <w:ind w:left="89" w:right="87"/>
              <w:jc w:val="center"/>
              <w:rPr>
                <w:rFonts w:ascii="Arial" w:hAnsi="Arial"/>
                <w:sz w:val="14"/>
              </w:rPr>
            </w:pPr>
            <w:r>
              <w:rPr>
                <w:rFonts w:ascii="Arial" w:hAnsi="Arial"/>
                <w:w w:val="80"/>
                <w:sz w:val="14"/>
              </w:rPr>
              <w:t>52.26±33.51 U/L</w:t>
            </w:r>
          </w:p>
        </w:tc>
        <w:tc>
          <w:tcPr>
            <w:tcW w:w="430" w:type="dxa"/>
            <w:tcBorders>
              <w:left w:val="nil"/>
              <w:bottom w:val="nil"/>
              <w:right w:val="nil"/>
            </w:tcBorders>
          </w:tcPr>
          <w:p>
            <w:pPr>
              <w:pStyle w:val="TableParagraph"/>
              <w:spacing w:line="159" w:lineRule="exact"/>
              <w:ind w:left="91"/>
              <w:rPr>
                <w:rFonts w:ascii="Arial"/>
                <w:sz w:val="14"/>
              </w:rPr>
            </w:pPr>
            <w:r>
              <w:rPr>
                <w:rFonts w:ascii="Arial"/>
                <w:w w:val="90"/>
                <w:sz w:val="14"/>
              </w:rPr>
              <w:t>0.79</w:t>
            </w:r>
          </w:p>
        </w:tc>
        <w:tc>
          <w:tcPr>
            <w:tcW w:w="1042" w:type="dxa"/>
            <w:tcBorders>
              <w:left w:val="nil"/>
              <w:bottom w:val="nil"/>
              <w:right w:val="nil"/>
            </w:tcBorders>
          </w:tcPr>
          <w:p>
            <w:pPr>
              <w:pStyle w:val="TableParagraph"/>
              <w:spacing w:line="159" w:lineRule="exact"/>
              <w:ind w:left="86" w:right="88"/>
              <w:jc w:val="center"/>
              <w:rPr>
                <w:rFonts w:ascii="Arial" w:hAnsi="Arial"/>
                <w:sz w:val="14"/>
              </w:rPr>
            </w:pPr>
            <w:r>
              <w:rPr>
                <w:rFonts w:ascii="Arial" w:hAnsi="Arial"/>
                <w:w w:val="80"/>
                <w:sz w:val="14"/>
              </w:rPr>
              <w:t>87.97±45.24 U/L</w:t>
            </w:r>
          </w:p>
        </w:tc>
        <w:tc>
          <w:tcPr>
            <w:tcW w:w="1066" w:type="dxa"/>
            <w:tcBorders>
              <w:left w:val="nil"/>
              <w:bottom w:val="nil"/>
              <w:right w:val="nil"/>
            </w:tcBorders>
          </w:tcPr>
          <w:p>
            <w:pPr>
              <w:pStyle w:val="TableParagraph"/>
              <w:tabs>
                <w:tab w:pos="347" w:val="left" w:leader="none"/>
              </w:tabs>
              <w:spacing w:line="159" w:lineRule="exact"/>
              <w:ind w:left="93"/>
              <w:rPr>
                <w:rFonts w:ascii="Arial" w:hAnsi="Arial"/>
                <w:sz w:val="14"/>
              </w:rPr>
            </w:pPr>
            <w:r>
              <w:rPr>
                <w:rFonts w:ascii="Arial" w:hAnsi="Arial"/>
                <w:w w:val="90"/>
                <w:sz w:val="14"/>
              </w:rPr>
              <w:t>*</w:t>
              <w:tab/>
            </w:r>
            <w:r>
              <w:rPr>
                <w:rFonts w:ascii="Arial" w:hAnsi="Arial"/>
                <w:w w:val="85"/>
                <w:sz w:val="14"/>
              </w:rPr>
              <w:t>210.4±92.47</w:t>
            </w:r>
          </w:p>
          <w:p>
            <w:pPr>
              <w:pStyle w:val="TableParagraph"/>
              <w:spacing w:before="2"/>
              <w:ind w:left="93"/>
              <w:rPr>
                <w:rFonts w:ascii="Arial"/>
                <w:sz w:val="14"/>
              </w:rPr>
            </w:pPr>
            <w:r>
              <w:rPr>
                <w:rFonts w:ascii="Arial"/>
                <w:w w:val="90"/>
                <w:sz w:val="14"/>
              </w:rPr>
              <w:t>U/L</w:t>
            </w:r>
          </w:p>
        </w:tc>
        <w:tc>
          <w:tcPr>
            <w:tcW w:w="408" w:type="dxa"/>
            <w:tcBorders>
              <w:left w:val="nil"/>
              <w:bottom w:val="nil"/>
              <w:right w:val="nil"/>
            </w:tcBorders>
          </w:tcPr>
          <w:p>
            <w:pPr>
              <w:pStyle w:val="TableParagraph"/>
              <w:spacing w:line="159" w:lineRule="exact"/>
              <w:ind w:left="69"/>
              <w:rPr>
                <w:rFonts w:ascii="Arial"/>
                <w:sz w:val="14"/>
              </w:rPr>
            </w:pPr>
            <w:r>
              <w:rPr>
                <w:rFonts w:ascii="Arial"/>
                <w:w w:val="90"/>
                <w:sz w:val="14"/>
              </w:rPr>
              <w:t>0.00</w:t>
            </w:r>
          </w:p>
          <w:p>
            <w:pPr>
              <w:pStyle w:val="TableParagraph"/>
              <w:spacing w:before="2"/>
              <w:ind w:left="69"/>
              <w:rPr>
                <w:rFonts w:ascii="Arial"/>
                <w:sz w:val="14"/>
              </w:rPr>
            </w:pPr>
            <w:r>
              <w:rPr>
                <w:rFonts w:ascii="Arial"/>
                <w:w w:val="81"/>
                <w:sz w:val="14"/>
              </w:rPr>
              <w:t>7</w:t>
            </w:r>
          </w:p>
        </w:tc>
        <w:tc>
          <w:tcPr>
            <w:tcW w:w="674" w:type="dxa"/>
            <w:tcBorders>
              <w:left w:val="nil"/>
              <w:bottom w:val="nil"/>
              <w:right w:val="nil"/>
            </w:tcBorders>
          </w:tcPr>
          <w:p>
            <w:pPr>
              <w:pStyle w:val="TableParagraph"/>
              <w:spacing w:line="159" w:lineRule="exact"/>
              <w:ind w:left="88"/>
              <w:rPr>
                <w:rFonts w:ascii="Arial"/>
                <w:sz w:val="14"/>
              </w:rPr>
            </w:pPr>
            <w:r>
              <w:rPr>
                <w:rFonts w:ascii="Arial"/>
                <w:w w:val="90"/>
                <w:sz w:val="14"/>
              </w:rPr>
              <w:t>(20-156</w:t>
            </w:r>
          </w:p>
          <w:p>
            <w:pPr>
              <w:pStyle w:val="TableParagraph"/>
              <w:spacing w:before="2"/>
              <w:ind w:left="88"/>
              <w:rPr>
                <w:rFonts w:ascii="Arial"/>
                <w:sz w:val="14"/>
              </w:rPr>
            </w:pPr>
            <w:r>
              <w:rPr>
                <w:rFonts w:ascii="Arial"/>
                <w:w w:val="90"/>
                <w:sz w:val="14"/>
              </w:rPr>
              <w:t>U/L)</w:t>
            </w:r>
          </w:p>
        </w:tc>
      </w:tr>
      <w:tr>
        <w:trPr>
          <w:trHeight w:val="564" w:hRule="exact"/>
        </w:trPr>
        <w:tc>
          <w:tcPr>
            <w:tcW w:w="766" w:type="dxa"/>
            <w:tcBorders>
              <w:top w:val="nil"/>
              <w:left w:val="nil"/>
              <w:bottom w:val="nil"/>
              <w:right w:val="nil"/>
            </w:tcBorders>
          </w:tcPr>
          <w:p>
            <w:pPr>
              <w:pStyle w:val="TableParagraph"/>
              <w:spacing w:line="235" w:lineRule="auto"/>
              <w:ind w:left="201" w:right="79" w:hanging="101"/>
              <w:rPr>
                <w:rFonts w:ascii="Arial"/>
                <w:sz w:val="14"/>
              </w:rPr>
            </w:pPr>
            <w:r>
              <w:rPr>
                <w:rFonts w:ascii="Arial"/>
                <w:w w:val="80"/>
                <w:sz w:val="14"/>
              </w:rPr>
              <w:t>Cholesterol </w:t>
            </w:r>
            <w:r>
              <w:rPr>
                <w:rFonts w:ascii="Arial"/>
                <w:w w:val="90"/>
                <w:sz w:val="14"/>
              </w:rPr>
              <w:t>mmol/L</w:t>
            </w:r>
          </w:p>
        </w:tc>
        <w:tc>
          <w:tcPr>
            <w:tcW w:w="1037" w:type="dxa"/>
            <w:tcBorders>
              <w:top w:val="nil"/>
              <w:left w:val="nil"/>
              <w:bottom w:val="nil"/>
              <w:right w:val="nil"/>
            </w:tcBorders>
          </w:tcPr>
          <w:p>
            <w:pPr>
              <w:pStyle w:val="TableParagraph"/>
              <w:spacing w:line="154" w:lineRule="exact"/>
              <w:ind w:left="83"/>
              <w:rPr>
                <w:rFonts w:ascii="Arial" w:hAnsi="Arial"/>
                <w:sz w:val="14"/>
              </w:rPr>
            </w:pPr>
            <w:r>
              <w:rPr>
                <w:rFonts w:ascii="Arial" w:hAnsi="Arial"/>
                <w:w w:val="95"/>
                <w:sz w:val="14"/>
              </w:rPr>
              <w:t>3.57±1.21</w:t>
            </w:r>
          </w:p>
          <w:p>
            <w:pPr>
              <w:pStyle w:val="TableParagraph"/>
              <w:spacing w:line="160" w:lineRule="exact"/>
              <w:ind w:left="83"/>
              <w:rPr>
                <w:rFonts w:ascii="Arial"/>
                <w:sz w:val="14"/>
              </w:rPr>
            </w:pPr>
            <w:r>
              <w:rPr>
                <w:rFonts w:ascii="Arial"/>
                <w:w w:val="90"/>
                <w:sz w:val="14"/>
              </w:rPr>
              <w:t>mmol/L</w:t>
            </w:r>
          </w:p>
        </w:tc>
        <w:tc>
          <w:tcPr>
            <w:tcW w:w="1047" w:type="dxa"/>
            <w:tcBorders>
              <w:top w:val="nil"/>
              <w:left w:val="nil"/>
              <w:bottom w:val="nil"/>
              <w:right w:val="nil"/>
            </w:tcBorders>
          </w:tcPr>
          <w:p>
            <w:pPr>
              <w:pStyle w:val="TableParagraph"/>
              <w:spacing w:line="154" w:lineRule="exact"/>
              <w:ind w:left="93"/>
              <w:rPr>
                <w:rFonts w:ascii="Arial" w:hAnsi="Arial"/>
                <w:sz w:val="14"/>
              </w:rPr>
            </w:pPr>
            <w:r>
              <w:rPr>
                <w:rFonts w:ascii="Arial" w:hAnsi="Arial"/>
                <w:w w:val="95"/>
                <w:sz w:val="14"/>
              </w:rPr>
              <w:t>3.80±1.48</w:t>
            </w:r>
          </w:p>
          <w:p>
            <w:pPr>
              <w:pStyle w:val="TableParagraph"/>
              <w:spacing w:line="160" w:lineRule="exact"/>
              <w:ind w:left="93"/>
              <w:rPr>
                <w:rFonts w:ascii="Arial"/>
                <w:sz w:val="14"/>
              </w:rPr>
            </w:pPr>
            <w:r>
              <w:rPr>
                <w:rFonts w:ascii="Arial"/>
                <w:w w:val="90"/>
                <w:sz w:val="14"/>
              </w:rPr>
              <w:t>mmol/L</w:t>
            </w:r>
          </w:p>
        </w:tc>
        <w:tc>
          <w:tcPr>
            <w:tcW w:w="430" w:type="dxa"/>
            <w:tcBorders>
              <w:top w:val="nil"/>
              <w:left w:val="nil"/>
              <w:bottom w:val="nil"/>
              <w:right w:val="nil"/>
            </w:tcBorders>
          </w:tcPr>
          <w:p>
            <w:pPr>
              <w:pStyle w:val="TableParagraph"/>
              <w:spacing w:line="155" w:lineRule="exact"/>
              <w:ind w:left="93"/>
              <w:rPr>
                <w:rFonts w:ascii="Arial"/>
                <w:sz w:val="14"/>
              </w:rPr>
            </w:pPr>
            <w:r>
              <w:rPr>
                <w:rFonts w:ascii="Arial"/>
                <w:w w:val="90"/>
                <w:sz w:val="14"/>
              </w:rPr>
              <w:t>0.74</w:t>
            </w:r>
          </w:p>
        </w:tc>
        <w:tc>
          <w:tcPr>
            <w:tcW w:w="1039" w:type="dxa"/>
            <w:tcBorders>
              <w:top w:val="nil"/>
              <w:left w:val="nil"/>
              <w:bottom w:val="nil"/>
              <w:right w:val="nil"/>
            </w:tcBorders>
          </w:tcPr>
          <w:p>
            <w:pPr>
              <w:pStyle w:val="TableParagraph"/>
              <w:spacing w:line="154" w:lineRule="exact"/>
              <w:ind w:left="85"/>
              <w:rPr>
                <w:rFonts w:ascii="Arial" w:hAnsi="Arial"/>
                <w:sz w:val="14"/>
              </w:rPr>
            </w:pPr>
            <w:r>
              <w:rPr>
                <w:rFonts w:ascii="Arial" w:hAnsi="Arial"/>
                <w:w w:val="95"/>
                <w:sz w:val="14"/>
              </w:rPr>
              <w:t>5.72±1.61</w:t>
            </w:r>
          </w:p>
          <w:p>
            <w:pPr>
              <w:pStyle w:val="TableParagraph"/>
              <w:spacing w:line="160" w:lineRule="exact"/>
              <w:ind w:left="85"/>
              <w:rPr>
                <w:rFonts w:ascii="Arial"/>
                <w:sz w:val="14"/>
              </w:rPr>
            </w:pPr>
            <w:r>
              <w:rPr>
                <w:rFonts w:ascii="Arial"/>
                <w:w w:val="90"/>
                <w:sz w:val="14"/>
              </w:rPr>
              <w:t>mmol/L</w:t>
            </w:r>
          </w:p>
        </w:tc>
        <w:tc>
          <w:tcPr>
            <w:tcW w:w="1044" w:type="dxa"/>
            <w:tcBorders>
              <w:top w:val="nil"/>
              <w:left w:val="nil"/>
              <w:bottom w:val="nil"/>
              <w:right w:val="nil"/>
            </w:tcBorders>
          </w:tcPr>
          <w:p>
            <w:pPr>
              <w:pStyle w:val="TableParagraph"/>
              <w:spacing w:line="154" w:lineRule="exact"/>
              <w:ind w:left="93"/>
              <w:rPr>
                <w:rFonts w:ascii="Arial" w:hAnsi="Arial"/>
                <w:sz w:val="14"/>
              </w:rPr>
            </w:pPr>
            <w:r>
              <w:rPr>
                <w:rFonts w:ascii="Arial" w:hAnsi="Arial"/>
                <w:w w:val="95"/>
                <w:sz w:val="14"/>
              </w:rPr>
              <w:t>4.99±1.60</w:t>
            </w:r>
          </w:p>
          <w:p>
            <w:pPr>
              <w:pStyle w:val="TableParagraph"/>
              <w:spacing w:line="160" w:lineRule="exact"/>
              <w:ind w:left="93"/>
              <w:rPr>
                <w:rFonts w:ascii="Arial"/>
                <w:sz w:val="14"/>
              </w:rPr>
            </w:pPr>
            <w:r>
              <w:rPr>
                <w:rFonts w:ascii="Arial"/>
                <w:w w:val="90"/>
                <w:sz w:val="14"/>
              </w:rPr>
              <w:t>mmol/L</w:t>
            </w:r>
          </w:p>
        </w:tc>
        <w:tc>
          <w:tcPr>
            <w:tcW w:w="430" w:type="dxa"/>
            <w:tcBorders>
              <w:top w:val="nil"/>
              <w:left w:val="nil"/>
              <w:bottom w:val="nil"/>
              <w:right w:val="nil"/>
            </w:tcBorders>
          </w:tcPr>
          <w:p>
            <w:pPr>
              <w:pStyle w:val="TableParagraph"/>
              <w:spacing w:line="155" w:lineRule="exact"/>
              <w:ind w:left="91"/>
              <w:rPr>
                <w:rFonts w:ascii="Arial"/>
                <w:sz w:val="14"/>
              </w:rPr>
            </w:pPr>
            <w:r>
              <w:rPr>
                <w:rFonts w:ascii="Arial"/>
                <w:w w:val="90"/>
                <w:sz w:val="14"/>
              </w:rPr>
              <w:t>0.3</w:t>
            </w:r>
          </w:p>
        </w:tc>
        <w:tc>
          <w:tcPr>
            <w:tcW w:w="1042" w:type="dxa"/>
            <w:tcBorders>
              <w:top w:val="nil"/>
              <w:left w:val="nil"/>
              <w:bottom w:val="nil"/>
              <w:right w:val="nil"/>
            </w:tcBorders>
          </w:tcPr>
          <w:p>
            <w:pPr>
              <w:pStyle w:val="TableParagraph"/>
              <w:spacing w:line="154" w:lineRule="exact"/>
              <w:ind w:left="88"/>
              <w:rPr>
                <w:rFonts w:ascii="Arial" w:hAnsi="Arial"/>
                <w:sz w:val="14"/>
              </w:rPr>
            </w:pPr>
            <w:r>
              <w:rPr>
                <w:rFonts w:ascii="Arial" w:hAnsi="Arial"/>
                <w:w w:val="95"/>
                <w:sz w:val="14"/>
              </w:rPr>
              <w:t>5.20±1.21</w:t>
            </w:r>
          </w:p>
          <w:p>
            <w:pPr>
              <w:pStyle w:val="TableParagraph"/>
              <w:spacing w:line="160" w:lineRule="exact"/>
              <w:ind w:left="88"/>
              <w:rPr>
                <w:rFonts w:ascii="Arial"/>
                <w:sz w:val="14"/>
              </w:rPr>
            </w:pPr>
            <w:r>
              <w:rPr>
                <w:rFonts w:ascii="Arial"/>
                <w:w w:val="90"/>
                <w:sz w:val="14"/>
              </w:rPr>
              <w:t>mmol/L</w:t>
            </w:r>
          </w:p>
        </w:tc>
        <w:tc>
          <w:tcPr>
            <w:tcW w:w="1066" w:type="dxa"/>
            <w:tcBorders>
              <w:top w:val="nil"/>
              <w:left w:val="nil"/>
              <w:bottom w:val="nil"/>
              <w:right w:val="nil"/>
            </w:tcBorders>
          </w:tcPr>
          <w:p>
            <w:pPr>
              <w:pStyle w:val="TableParagraph"/>
              <w:spacing w:line="154" w:lineRule="exact"/>
              <w:ind w:left="93"/>
              <w:rPr>
                <w:rFonts w:ascii="Arial" w:hAnsi="Arial"/>
                <w:sz w:val="14"/>
              </w:rPr>
            </w:pPr>
            <w:r>
              <w:rPr>
                <w:rFonts w:ascii="Arial" w:hAnsi="Arial"/>
                <w:w w:val="95"/>
                <w:sz w:val="14"/>
              </w:rPr>
              <w:t>5.53±1.07</w:t>
            </w:r>
          </w:p>
          <w:p>
            <w:pPr>
              <w:pStyle w:val="TableParagraph"/>
              <w:spacing w:line="160" w:lineRule="exact"/>
              <w:ind w:left="93"/>
              <w:rPr>
                <w:rFonts w:ascii="Arial"/>
                <w:sz w:val="14"/>
              </w:rPr>
            </w:pPr>
            <w:r>
              <w:rPr>
                <w:rFonts w:ascii="Arial"/>
                <w:w w:val="90"/>
                <w:sz w:val="14"/>
              </w:rPr>
              <w:t>mmol/L</w:t>
            </w:r>
          </w:p>
        </w:tc>
        <w:tc>
          <w:tcPr>
            <w:tcW w:w="408" w:type="dxa"/>
            <w:tcBorders>
              <w:top w:val="nil"/>
              <w:left w:val="nil"/>
              <w:bottom w:val="nil"/>
              <w:right w:val="nil"/>
            </w:tcBorders>
          </w:tcPr>
          <w:p>
            <w:pPr>
              <w:pStyle w:val="TableParagraph"/>
              <w:spacing w:line="155" w:lineRule="exact"/>
              <w:ind w:left="38" w:right="84"/>
              <w:jc w:val="center"/>
              <w:rPr>
                <w:rFonts w:ascii="Arial"/>
                <w:sz w:val="14"/>
              </w:rPr>
            </w:pPr>
            <w:r>
              <w:rPr>
                <w:rFonts w:ascii="Arial"/>
                <w:w w:val="90"/>
                <w:sz w:val="14"/>
              </w:rPr>
              <w:t>0.46</w:t>
            </w:r>
          </w:p>
        </w:tc>
        <w:tc>
          <w:tcPr>
            <w:tcW w:w="674" w:type="dxa"/>
            <w:tcBorders>
              <w:top w:val="nil"/>
              <w:left w:val="nil"/>
              <w:bottom w:val="nil"/>
              <w:right w:val="nil"/>
            </w:tcBorders>
          </w:tcPr>
          <w:p>
            <w:pPr>
              <w:pStyle w:val="TableParagraph"/>
              <w:spacing w:line="154" w:lineRule="exact"/>
              <w:ind w:left="88"/>
              <w:rPr>
                <w:rFonts w:ascii="Arial"/>
                <w:sz w:val="14"/>
              </w:rPr>
            </w:pPr>
            <w:r>
              <w:rPr>
                <w:rFonts w:ascii="Arial"/>
                <w:w w:val="90"/>
                <w:sz w:val="14"/>
              </w:rPr>
              <w:t>(2.85-</w:t>
            </w:r>
          </w:p>
          <w:p>
            <w:pPr>
              <w:pStyle w:val="TableParagraph"/>
              <w:spacing w:line="160" w:lineRule="exact"/>
              <w:ind w:left="88"/>
              <w:rPr>
                <w:rFonts w:ascii="Arial"/>
                <w:sz w:val="14"/>
              </w:rPr>
            </w:pPr>
            <w:r>
              <w:rPr>
                <w:rFonts w:ascii="Arial"/>
                <w:w w:val="90"/>
                <w:sz w:val="14"/>
              </w:rPr>
              <w:t>7.75</w:t>
            </w:r>
          </w:p>
          <w:p>
            <w:pPr>
              <w:pStyle w:val="TableParagraph"/>
              <w:spacing w:before="2"/>
              <w:ind w:left="88"/>
              <w:rPr>
                <w:rFonts w:ascii="Arial"/>
                <w:sz w:val="14"/>
              </w:rPr>
            </w:pPr>
            <w:r>
              <w:rPr>
                <w:rFonts w:ascii="Arial"/>
                <w:w w:val="90"/>
                <w:sz w:val="14"/>
              </w:rPr>
              <w:t>mmol/L)</w:t>
            </w:r>
          </w:p>
        </w:tc>
      </w:tr>
      <w:tr>
        <w:trPr>
          <w:trHeight w:val="402" w:hRule="exact"/>
        </w:trPr>
        <w:tc>
          <w:tcPr>
            <w:tcW w:w="766" w:type="dxa"/>
            <w:tcBorders>
              <w:top w:val="nil"/>
              <w:left w:val="nil"/>
              <w:right w:val="nil"/>
            </w:tcBorders>
          </w:tcPr>
          <w:p>
            <w:pPr>
              <w:pStyle w:val="TableParagraph"/>
              <w:spacing w:before="2"/>
              <w:rPr>
                <w:rFonts w:ascii="Arial"/>
                <w:sz w:val="20"/>
              </w:rPr>
            </w:pPr>
          </w:p>
          <w:p>
            <w:pPr>
              <w:pStyle w:val="TableParagraph"/>
              <w:ind w:left="91"/>
              <w:rPr>
                <w:rFonts w:ascii="Arial"/>
                <w:sz w:val="14"/>
              </w:rPr>
            </w:pPr>
            <w:r>
              <w:rPr>
                <w:rFonts w:ascii="Arial"/>
                <w:w w:val="85"/>
                <w:sz w:val="14"/>
              </w:rPr>
              <w:t>Trygliceride</w:t>
            </w:r>
          </w:p>
        </w:tc>
        <w:tc>
          <w:tcPr>
            <w:tcW w:w="1037" w:type="dxa"/>
            <w:tcBorders>
              <w:top w:val="nil"/>
              <w:left w:val="nil"/>
              <w:right w:val="nil"/>
            </w:tcBorders>
          </w:tcPr>
          <w:p>
            <w:pPr>
              <w:pStyle w:val="TableParagraph"/>
              <w:spacing w:line="160" w:lineRule="exact" w:before="73"/>
              <w:ind w:left="83"/>
              <w:rPr>
                <w:rFonts w:ascii="Arial" w:hAnsi="Arial"/>
                <w:sz w:val="14"/>
              </w:rPr>
            </w:pPr>
            <w:r>
              <w:rPr>
                <w:rFonts w:ascii="Arial" w:hAnsi="Arial"/>
                <w:w w:val="95"/>
                <w:sz w:val="14"/>
              </w:rPr>
              <w:t>0.55±0.34</w:t>
            </w:r>
          </w:p>
          <w:p>
            <w:pPr>
              <w:pStyle w:val="TableParagraph"/>
              <w:spacing w:line="160" w:lineRule="exact"/>
              <w:ind w:left="83"/>
              <w:rPr>
                <w:rFonts w:ascii="Arial"/>
                <w:sz w:val="14"/>
              </w:rPr>
            </w:pPr>
            <w:r>
              <w:rPr>
                <w:rFonts w:ascii="Arial"/>
                <w:w w:val="90"/>
                <w:sz w:val="14"/>
              </w:rPr>
              <w:t>mmol/L</w:t>
            </w:r>
          </w:p>
        </w:tc>
        <w:tc>
          <w:tcPr>
            <w:tcW w:w="1047" w:type="dxa"/>
            <w:tcBorders>
              <w:top w:val="nil"/>
              <w:left w:val="nil"/>
              <w:right w:val="nil"/>
            </w:tcBorders>
          </w:tcPr>
          <w:p>
            <w:pPr>
              <w:pStyle w:val="TableParagraph"/>
              <w:spacing w:line="160" w:lineRule="exact" w:before="73"/>
              <w:ind w:left="93"/>
              <w:rPr>
                <w:rFonts w:ascii="Arial" w:hAnsi="Arial"/>
                <w:sz w:val="14"/>
              </w:rPr>
            </w:pPr>
            <w:r>
              <w:rPr>
                <w:rFonts w:ascii="Arial" w:hAnsi="Arial"/>
                <w:w w:val="95"/>
                <w:sz w:val="14"/>
              </w:rPr>
              <w:t>0.62±0.46</w:t>
            </w:r>
          </w:p>
          <w:p>
            <w:pPr>
              <w:pStyle w:val="TableParagraph"/>
              <w:spacing w:line="160" w:lineRule="exact"/>
              <w:ind w:left="93"/>
              <w:rPr>
                <w:rFonts w:ascii="Arial"/>
                <w:sz w:val="14"/>
              </w:rPr>
            </w:pPr>
            <w:r>
              <w:rPr>
                <w:rFonts w:ascii="Arial"/>
                <w:w w:val="90"/>
                <w:sz w:val="14"/>
              </w:rPr>
              <w:t>mmol/L</w:t>
            </w:r>
          </w:p>
        </w:tc>
        <w:tc>
          <w:tcPr>
            <w:tcW w:w="430" w:type="dxa"/>
            <w:tcBorders>
              <w:top w:val="nil"/>
              <w:left w:val="nil"/>
              <w:right w:val="nil"/>
            </w:tcBorders>
          </w:tcPr>
          <w:p>
            <w:pPr>
              <w:pStyle w:val="TableParagraph"/>
              <w:spacing w:before="2"/>
              <w:rPr>
                <w:rFonts w:ascii="Arial"/>
                <w:sz w:val="20"/>
              </w:rPr>
            </w:pPr>
          </w:p>
          <w:p>
            <w:pPr>
              <w:pStyle w:val="TableParagraph"/>
              <w:ind w:left="93"/>
              <w:rPr>
                <w:rFonts w:ascii="Arial"/>
                <w:sz w:val="14"/>
              </w:rPr>
            </w:pPr>
            <w:r>
              <w:rPr>
                <w:rFonts w:ascii="Arial"/>
                <w:w w:val="90"/>
                <w:sz w:val="14"/>
              </w:rPr>
              <w:t>0.99</w:t>
            </w:r>
          </w:p>
        </w:tc>
        <w:tc>
          <w:tcPr>
            <w:tcW w:w="1039" w:type="dxa"/>
            <w:tcBorders>
              <w:top w:val="nil"/>
              <w:left w:val="nil"/>
              <w:right w:val="nil"/>
            </w:tcBorders>
          </w:tcPr>
          <w:p>
            <w:pPr>
              <w:pStyle w:val="TableParagraph"/>
              <w:spacing w:line="160" w:lineRule="exact" w:before="73"/>
              <w:ind w:left="85"/>
              <w:rPr>
                <w:rFonts w:ascii="Arial" w:hAnsi="Arial"/>
                <w:sz w:val="14"/>
              </w:rPr>
            </w:pPr>
            <w:r>
              <w:rPr>
                <w:rFonts w:ascii="Arial" w:hAnsi="Arial"/>
                <w:w w:val="95"/>
                <w:sz w:val="14"/>
              </w:rPr>
              <w:t>0.59±0.18</w:t>
            </w:r>
          </w:p>
          <w:p>
            <w:pPr>
              <w:pStyle w:val="TableParagraph"/>
              <w:spacing w:line="160" w:lineRule="exact"/>
              <w:ind w:left="85"/>
              <w:rPr>
                <w:rFonts w:ascii="Arial"/>
                <w:sz w:val="14"/>
              </w:rPr>
            </w:pPr>
            <w:r>
              <w:rPr>
                <w:rFonts w:ascii="Arial"/>
                <w:w w:val="90"/>
                <w:sz w:val="14"/>
              </w:rPr>
              <w:t>mmol/L</w:t>
            </w:r>
          </w:p>
        </w:tc>
        <w:tc>
          <w:tcPr>
            <w:tcW w:w="1044" w:type="dxa"/>
            <w:tcBorders>
              <w:top w:val="nil"/>
              <w:left w:val="nil"/>
              <w:right w:val="nil"/>
            </w:tcBorders>
          </w:tcPr>
          <w:p>
            <w:pPr>
              <w:pStyle w:val="TableParagraph"/>
              <w:spacing w:line="160" w:lineRule="exact" w:before="73"/>
              <w:ind w:left="93"/>
              <w:rPr>
                <w:rFonts w:ascii="Arial" w:hAnsi="Arial"/>
                <w:sz w:val="14"/>
              </w:rPr>
            </w:pPr>
            <w:r>
              <w:rPr>
                <w:rFonts w:ascii="Arial" w:hAnsi="Arial"/>
                <w:w w:val="95"/>
                <w:sz w:val="14"/>
              </w:rPr>
              <w:t>0.77±0.33</w:t>
            </w:r>
          </w:p>
          <w:p>
            <w:pPr>
              <w:pStyle w:val="TableParagraph"/>
              <w:spacing w:line="160" w:lineRule="exact"/>
              <w:ind w:left="93"/>
              <w:rPr>
                <w:rFonts w:ascii="Arial"/>
                <w:sz w:val="14"/>
              </w:rPr>
            </w:pPr>
            <w:r>
              <w:rPr>
                <w:rFonts w:ascii="Arial"/>
                <w:w w:val="90"/>
                <w:sz w:val="14"/>
              </w:rPr>
              <w:t>mmol/L</w:t>
            </w:r>
          </w:p>
        </w:tc>
        <w:tc>
          <w:tcPr>
            <w:tcW w:w="430" w:type="dxa"/>
            <w:tcBorders>
              <w:top w:val="nil"/>
              <w:left w:val="nil"/>
              <w:right w:val="nil"/>
            </w:tcBorders>
          </w:tcPr>
          <w:p>
            <w:pPr>
              <w:pStyle w:val="TableParagraph"/>
              <w:spacing w:before="2"/>
              <w:rPr>
                <w:rFonts w:ascii="Arial"/>
                <w:sz w:val="20"/>
              </w:rPr>
            </w:pPr>
          </w:p>
          <w:p>
            <w:pPr>
              <w:pStyle w:val="TableParagraph"/>
              <w:ind w:left="91"/>
              <w:rPr>
                <w:rFonts w:ascii="Arial"/>
                <w:sz w:val="14"/>
              </w:rPr>
            </w:pPr>
            <w:r>
              <w:rPr>
                <w:rFonts w:ascii="Arial"/>
                <w:w w:val="90"/>
                <w:sz w:val="14"/>
              </w:rPr>
              <w:t>0.2</w:t>
            </w:r>
          </w:p>
        </w:tc>
        <w:tc>
          <w:tcPr>
            <w:tcW w:w="1042" w:type="dxa"/>
            <w:tcBorders>
              <w:top w:val="nil"/>
              <w:left w:val="nil"/>
              <w:right w:val="nil"/>
            </w:tcBorders>
          </w:tcPr>
          <w:p>
            <w:pPr>
              <w:pStyle w:val="TableParagraph"/>
              <w:spacing w:line="160" w:lineRule="exact" w:before="73"/>
              <w:ind w:left="88"/>
              <w:rPr>
                <w:rFonts w:ascii="Arial" w:hAnsi="Arial"/>
                <w:sz w:val="14"/>
              </w:rPr>
            </w:pPr>
            <w:r>
              <w:rPr>
                <w:rFonts w:ascii="Arial" w:hAnsi="Arial"/>
                <w:w w:val="95"/>
                <w:sz w:val="14"/>
              </w:rPr>
              <w:t>0.51±0.23</w:t>
            </w:r>
          </w:p>
          <w:p>
            <w:pPr>
              <w:pStyle w:val="TableParagraph"/>
              <w:spacing w:line="160" w:lineRule="exact"/>
              <w:ind w:left="88"/>
              <w:rPr>
                <w:rFonts w:ascii="Arial"/>
                <w:sz w:val="14"/>
              </w:rPr>
            </w:pPr>
            <w:r>
              <w:rPr>
                <w:rFonts w:ascii="Arial"/>
                <w:w w:val="90"/>
                <w:sz w:val="14"/>
              </w:rPr>
              <w:t>mmol/L</w:t>
            </w:r>
          </w:p>
        </w:tc>
        <w:tc>
          <w:tcPr>
            <w:tcW w:w="1066" w:type="dxa"/>
            <w:tcBorders>
              <w:top w:val="nil"/>
              <w:left w:val="nil"/>
              <w:right w:val="nil"/>
            </w:tcBorders>
          </w:tcPr>
          <w:p>
            <w:pPr>
              <w:pStyle w:val="TableParagraph"/>
              <w:spacing w:line="160" w:lineRule="exact" w:before="73"/>
              <w:ind w:left="93"/>
              <w:rPr>
                <w:rFonts w:ascii="Arial" w:hAnsi="Arial"/>
                <w:sz w:val="14"/>
              </w:rPr>
            </w:pPr>
            <w:r>
              <w:rPr>
                <w:rFonts w:ascii="Arial" w:hAnsi="Arial"/>
                <w:w w:val="95"/>
                <w:sz w:val="14"/>
              </w:rPr>
              <w:t>0.68±0.29</w:t>
            </w:r>
          </w:p>
          <w:p>
            <w:pPr>
              <w:pStyle w:val="TableParagraph"/>
              <w:spacing w:line="160" w:lineRule="exact"/>
              <w:ind w:left="93"/>
              <w:rPr>
                <w:rFonts w:ascii="Arial"/>
                <w:sz w:val="14"/>
              </w:rPr>
            </w:pPr>
            <w:r>
              <w:rPr>
                <w:rFonts w:ascii="Arial"/>
                <w:w w:val="90"/>
                <w:sz w:val="14"/>
              </w:rPr>
              <w:t>mmol/L</w:t>
            </w:r>
          </w:p>
        </w:tc>
        <w:tc>
          <w:tcPr>
            <w:tcW w:w="408" w:type="dxa"/>
            <w:tcBorders>
              <w:top w:val="nil"/>
              <w:left w:val="nil"/>
              <w:right w:val="nil"/>
            </w:tcBorders>
          </w:tcPr>
          <w:p>
            <w:pPr>
              <w:pStyle w:val="TableParagraph"/>
              <w:spacing w:before="2"/>
              <w:rPr>
                <w:rFonts w:ascii="Arial"/>
                <w:sz w:val="20"/>
              </w:rPr>
            </w:pPr>
          </w:p>
          <w:p>
            <w:pPr>
              <w:pStyle w:val="TableParagraph"/>
              <w:ind w:left="38" w:right="84"/>
              <w:jc w:val="center"/>
              <w:rPr>
                <w:rFonts w:ascii="Arial"/>
                <w:sz w:val="14"/>
              </w:rPr>
            </w:pPr>
            <w:r>
              <w:rPr>
                <w:rFonts w:ascii="Arial"/>
                <w:w w:val="90"/>
                <w:sz w:val="14"/>
              </w:rPr>
              <w:t>0.14</w:t>
            </w:r>
          </w:p>
        </w:tc>
        <w:tc>
          <w:tcPr>
            <w:tcW w:w="674" w:type="dxa"/>
            <w:tcBorders>
              <w:top w:val="nil"/>
              <w:left w:val="nil"/>
              <w:right w:val="nil"/>
            </w:tcBorders>
          </w:tcPr>
          <w:p>
            <w:pPr>
              <w:pStyle w:val="TableParagraph"/>
              <w:spacing w:line="160" w:lineRule="exact" w:before="73"/>
              <w:ind w:left="88"/>
              <w:rPr>
                <w:rFonts w:ascii="Arial"/>
                <w:sz w:val="14"/>
              </w:rPr>
            </w:pPr>
            <w:r>
              <w:rPr>
                <w:rFonts w:ascii="Arial"/>
                <w:w w:val="90"/>
                <w:sz w:val="14"/>
              </w:rPr>
              <w:t>(0.1-1.4</w:t>
            </w:r>
          </w:p>
          <w:p>
            <w:pPr>
              <w:pStyle w:val="TableParagraph"/>
              <w:spacing w:line="160" w:lineRule="exact"/>
              <w:ind w:left="88"/>
              <w:rPr>
                <w:rFonts w:ascii="Arial"/>
                <w:sz w:val="14"/>
              </w:rPr>
            </w:pPr>
            <w:r>
              <w:rPr>
                <w:rFonts w:ascii="Arial"/>
                <w:w w:val="90"/>
                <w:sz w:val="14"/>
              </w:rPr>
              <w:t>mmol/L)</w:t>
            </w:r>
          </w:p>
        </w:tc>
      </w:tr>
    </w:tbl>
    <w:p>
      <w:pPr>
        <w:spacing w:after="0" w:line="160" w:lineRule="exact"/>
        <w:rPr>
          <w:rFonts w:ascii="Arial"/>
          <w:sz w:val="14"/>
        </w:rPr>
        <w:sectPr>
          <w:pgSz w:w="12240" w:h="15840"/>
          <w:pgMar w:header="0" w:footer="2071" w:top="1500" w:bottom="2320" w:left="1680" w:right="1340"/>
        </w:sectPr>
      </w:pPr>
    </w:p>
    <w:p>
      <w:pPr>
        <w:pStyle w:val="BodyText"/>
        <w:spacing w:before="9"/>
        <w:rPr>
          <w:rFonts w:ascii="Arial"/>
          <w:sz w:val="28"/>
        </w:rPr>
      </w:pPr>
    </w:p>
    <w:p>
      <w:pPr>
        <w:pStyle w:val="Heading1"/>
      </w:pPr>
      <w:r>
        <w:rPr/>
        <w:pict>
          <v:group style="position:absolute;margin-left:90.758003pt;margin-top:20.530283pt;width:447.8pt;height:4.350pt;mso-position-horizontal-relative:page;mso-position-vertical-relative:paragraph;z-index:1600;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56" w:id="86"/>
      <w:bookmarkEnd w:id="86"/>
      <w:r>
        <w:rPr>
          <w:b w:val="0"/>
        </w:rPr>
      </w:r>
      <w:r>
        <w:rPr/>
        <w:t>CAPITULO VIII</w:t>
      </w:r>
    </w:p>
    <w:p>
      <w:pPr>
        <w:pStyle w:val="BodyText"/>
        <w:rPr>
          <w:b/>
          <w:sz w:val="15"/>
        </w:rPr>
      </w:pPr>
    </w:p>
    <w:p>
      <w:pPr>
        <w:pStyle w:val="Heading2"/>
        <w:spacing w:before="69"/>
        <w:jc w:val="both"/>
      </w:pPr>
      <w:bookmarkStart w:name="_bookmark57" w:id="87"/>
      <w:bookmarkEnd w:id="87"/>
      <w:r>
        <w:rPr>
          <w:b w:val="0"/>
        </w:rPr>
      </w:r>
      <w:r>
        <w:rPr/>
        <w:t>DISCUSIÓN GENERAL</w:t>
      </w:r>
    </w:p>
    <w:p>
      <w:pPr>
        <w:pStyle w:val="BodyText"/>
        <w:rPr>
          <w:b/>
        </w:rPr>
      </w:pPr>
    </w:p>
    <w:p>
      <w:pPr>
        <w:pStyle w:val="BodyText"/>
        <w:spacing w:before="7"/>
        <w:rPr>
          <w:b/>
          <w:sz w:val="29"/>
        </w:rPr>
      </w:pPr>
    </w:p>
    <w:p>
      <w:pPr>
        <w:pStyle w:val="BodyText"/>
        <w:spacing w:line="480" w:lineRule="auto"/>
        <w:ind w:left="172" w:right="163"/>
        <w:jc w:val="both"/>
      </w:pPr>
      <w:r>
        <w:rPr/>
        <w:t>El tratamiento actual de </w:t>
      </w:r>
      <w:r>
        <w:rPr>
          <w:spacing w:val="-5"/>
        </w:rPr>
        <w:t>la </w:t>
      </w:r>
      <w:r>
        <w:rPr/>
        <w:t>epilepsia en perros es limitado en términos de eficacia y seguridad tanto en monoterapia como politerapia (Radulovic et </w:t>
      </w:r>
      <w:r>
        <w:rPr>
          <w:spacing w:val="-3"/>
        </w:rPr>
        <w:t>al. </w:t>
      </w:r>
      <w:r>
        <w:rPr>
          <w:spacing w:val="2"/>
        </w:rPr>
        <w:t>1995; </w:t>
      </w:r>
      <w:r>
        <w:rPr/>
        <w:t>Mattson, 1992). Actualmente aún </w:t>
      </w:r>
      <w:r>
        <w:rPr>
          <w:spacing w:val="-3"/>
        </w:rPr>
        <w:t>no </w:t>
      </w:r>
      <w:r>
        <w:rPr/>
        <w:t>se </w:t>
      </w:r>
      <w:r>
        <w:rPr>
          <w:spacing w:val="-3"/>
        </w:rPr>
        <w:t>ha </w:t>
      </w:r>
      <w:r>
        <w:rPr/>
        <w:t>demostrado </w:t>
      </w:r>
      <w:r>
        <w:rPr>
          <w:spacing w:val="-3"/>
        </w:rPr>
        <w:t>la </w:t>
      </w:r>
      <w:r>
        <w:rPr/>
        <w:t>función de muchos antiepilépticos, existen pocos ensayos clínicos publicados en perros (Govendir et </w:t>
      </w:r>
      <w:r>
        <w:rPr>
          <w:spacing w:val="-3"/>
        </w:rPr>
        <w:t>al. </w:t>
      </w:r>
      <w:r>
        <w:rPr/>
        <w:t>2005) y muchos de los utilizados como tratamiento convencional tienen estrechos márgenes de seguridad así como efectos secundarios severos, </w:t>
      </w:r>
      <w:r>
        <w:rPr>
          <w:spacing w:val="-5"/>
        </w:rPr>
        <w:t>la </w:t>
      </w:r>
      <w:r>
        <w:rPr/>
        <w:t>farmacocinética desfavorable; en donde existe un metabolismo demasiado rápido y adicionalmente metabolismo hepático inductor de enzimas, contribuye a interacciones farmacológicas que pueden complicar </w:t>
      </w:r>
      <w:r>
        <w:rPr>
          <w:spacing w:val="-3"/>
        </w:rPr>
        <w:t>la </w:t>
      </w:r>
      <w:r>
        <w:rPr/>
        <w:t>terapia cuando los regímenes multifármacos son necesarios para el control efectivo de convulsiones (Radulovic et </w:t>
      </w:r>
      <w:r>
        <w:rPr>
          <w:spacing w:val="-3"/>
        </w:rPr>
        <w:t>al. </w:t>
      </w:r>
      <w:r>
        <w:rPr/>
        <w:t>1995; Levy,</w:t>
      </w:r>
      <w:r>
        <w:rPr>
          <w:spacing w:val="-1"/>
        </w:rPr>
        <w:t> </w:t>
      </w:r>
      <w:r>
        <w:rPr/>
        <w:t>1989).</w:t>
      </w:r>
    </w:p>
    <w:p>
      <w:pPr>
        <w:pStyle w:val="BodyText"/>
        <w:spacing w:line="480" w:lineRule="auto" w:before="212"/>
        <w:ind w:left="172" w:right="170"/>
        <w:jc w:val="both"/>
      </w:pPr>
      <w:r>
        <w:rPr/>
        <w:t>La semivida de eliminación corta, requiere una dosificación frecuente (Levy, 1989). Por lo tanto, las propiedades farmacocinéticas son una consideración importante en la selección de y el uso de un fármaco antiepiléptico.</w:t>
      </w:r>
    </w:p>
    <w:p>
      <w:pPr>
        <w:pStyle w:val="BodyText"/>
        <w:spacing w:line="480" w:lineRule="auto" w:before="212"/>
        <w:ind w:left="172" w:right="168"/>
        <w:jc w:val="both"/>
      </w:pPr>
      <w:r>
        <w:rPr/>
        <w:t>Idealmente, los nuevos fármacos antiepilépticos deberían cumplir con los siguientes requisitos: contar con una farmacocinética lineal, no unirse a proteínas, no metabolizarse ampliamente; no inducir o inhibir las enzimas microsomales    hepáticas que metabolizan el</w:t>
      </w:r>
    </w:p>
    <w:p>
      <w:pPr>
        <w:spacing w:after="0" w:line="480" w:lineRule="auto"/>
        <w:jc w:val="both"/>
        <w:sectPr>
          <w:pgSz w:w="12240" w:h="15840"/>
          <w:pgMar w:header="0" w:footer="2071" w:top="1500" w:bottom="2320" w:left="1700" w:right="1360"/>
        </w:sectPr>
      </w:pPr>
    </w:p>
    <w:p>
      <w:pPr>
        <w:pStyle w:val="BodyText"/>
        <w:spacing w:before="7"/>
        <w:rPr>
          <w:sz w:val="20"/>
        </w:rPr>
      </w:pPr>
    </w:p>
    <w:p>
      <w:pPr>
        <w:pStyle w:val="BodyText"/>
        <w:spacing w:line="480" w:lineRule="auto" w:before="69"/>
        <w:ind w:left="152" w:right="104"/>
        <w:jc w:val="both"/>
      </w:pPr>
      <w:r>
        <w:rPr/>
        <w:t>fármaco y no presentar interacciones con otros fármacos (Radulovic et al. 1995; Hidalgo y cañadillas, 2004).</w:t>
      </w:r>
    </w:p>
    <w:p>
      <w:pPr>
        <w:pStyle w:val="BodyText"/>
        <w:spacing w:line="480" w:lineRule="auto" w:before="212"/>
        <w:ind w:left="152" w:right="102"/>
        <w:jc w:val="both"/>
      </w:pPr>
      <w:r>
        <w:rPr/>
        <w:t>La gabapentina, un análogo del GABA, presenta propiedades anticonvulsivas en diversos modelos animales. Dentro de sus características principales </w:t>
      </w:r>
      <w:r>
        <w:rPr>
          <w:spacing w:val="-3"/>
        </w:rPr>
        <w:t>no </w:t>
      </w:r>
      <w:r>
        <w:rPr/>
        <w:t>se une a proteínas, </w:t>
      </w:r>
      <w:r>
        <w:rPr>
          <w:spacing w:val="-3"/>
        </w:rPr>
        <w:t>no </w:t>
      </w:r>
      <w:r>
        <w:rPr/>
        <w:t>induce o inhibe las enzimas microsomales hepáticas y no interactúa con otros fármacos entre ellos </w:t>
      </w:r>
      <w:r>
        <w:rPr>
          <w:spacing w:val="-3"/>
        </w:rPr>
        <w:t>la </w:t>
      </w:r>
      <w:r>
        <w:rPr/>
        <w:t>fenitoína, fenobarbital, ácido valproico y carbamazepina (Hooper </w:t>
      </w:r>
      <w:r>
        <w:rPr>
          <w:spacing w:val="-3"/>
        </w:rPr>
        <w:t>et al. </w:t>
      </w:r>
      <w:r>
        <w:rPr/>
        <w:t>1991). Su excreción en esta especie es predominantemente renal y </w:t>
      </w:r>
      <w:r>
        <w:rPr>
          <w:spacing w:val="-3"/>
        </w:rPr>
        <w:t>solo </w:t>
      </w:r>
      <w:r>
        <w:rPr/>
        <w:t>el 0.3%-0.8% de </w:t>
      </w:r>
      <w:r>
        <w:rPr>
          <w:spacing w:val="-5"/>
        </w:rPr>
        <w:t>la </w:t>
      </w:r>
      <w:r>
        <w:rPr/>
        <w:t>dosis es metabolizada a N-methylgabapentina (Radulovic et </w:t>
      </w:r>
      <w:r>
        <w:rPr>
          <w:spacing w:val="-4"/>
        </w:rPr>
        <w:t>al. </w:t>
      </w:r>
      <w:r>
        <w:rPr/>
        <w:t>1995). Por </w:t>
      </w:r>
      <w:r>
        <w:rPr>
          <w:spacing w:val="-5"/>
        </w:rPr>
        <w:t>lo </w:t>
      </w:r>
      <w:r>
        <w:rPr/>
        <w:t>tanto, </w:t>
      </w:r>
      <w:r>
        <w:rPr>
          <w:spacing w:val="-5"/>
        </w:rPr>
        <w:t>la </w:t>
      </w:r>
      <w:r>
        <w:rPr/>
        <w:t>gabapentina presenta un perfil farmacocinético favorable. En seres humanos </w:t>
      </w:r>
      <w:r>
        <w:rPr>
          <w:spacing w:val="-4"/>
        </w:rPr>
        <w:t>la</w:t>
      </w:r>
      <w:r>
        <w:rPr>
          <w:spacing w:val="52"/>
        </w:rPr>
        <w:t> </w:t>
      </w:r>
      <w:r>
        <w:rPr/>
        <w:t>gabapentina </w:t>
      </w:r>
      <w:r>
        <w:rPr>
          <w:spacing w:val="-3"/>
        </w:rPr>
        <w:t>fue </w:t>
      </w:r>
      <w:r>
        <w:rPr/>
        <w:t>aprobada por el FDA (food and drug administration) de Estados Unidos como un agente coadyuvante para el tratamiento de </w:t>
      </w:r>
      <w:r>
        <w:rPr>
          <w:spacing w:val="-3"/>
        </w:rPr>
        <w:t>las </w:t>
      </w:r>
      <w:r>
        <w:rPr/>
        <w:t>crisis focales con o sin generalización secundaria, en pacientes mayores de 12 años de edad y para el tratamiento de convulsiones focales; como un agente coadyuvante en varios ensayos clínicos doble ciego y controlados con placebo, también se </w:t>
      </w:r>
      <w:r>
        <w:rPr>
          <w:spacing w:val="-3"/>
        </w:rPr>
        <w:t>ha </w:t>
      </w:r>
      <w:r>
        <w:rPr/>
        <w:t>comprobado su eficacia en estudios control como monoterapia los cuales han documentado su eficacia y seguridad considerable en aproximadamente 2 millones de exposiciones (Morris,</w:t>
      </w:r>
      <w:r>
        <w:rPr>
          <w:spacing w:val="-13"/>
        </w:rPr>
        <w:t> </w:t>
      </w:r>
      <w:r>
        <w:rPr/>
        <w:t>1999).</w:t>
      </w:r>
    </w:p>
    <w:p>
      <w:pPr>
        <w:pStyle w:val="BodyText"/>
        <w:spacing w:line="480" w:lineRule="auto" w:before="212"/>
        <w:ind w:left="152" w:right="103"/>
        <w:jc w:val="both"/>
      </w:pPr>
      <w:r>
        <w:rPr/>
        <w:t>En este estudio se observa la eficacia de la gabapentina oral como monoterapia en perros de raza pequeña con epilepsia idiopática. Considerando que aunque la gabapentina tiene un corto período medio de vida, y requiere dosificarse al menos 2 o 3 veces al día, esta reportado  que  presenta  muy  pocos  efectos  adversos  en  perros  y  así  lo   comprobamos</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04"/>
        <w:jc w:val="both"/>
      </w:pPr>
      <w:r>
        <w:rPr/>
        <w:t>(Boothe, 1998; Podell, 1998). Dos estudios han examinado el uso de gabapentina en perros con epilepsia refractaria, el primero incluye 11 perros a los cuales se les administró una dosis de 10 mg/kg tres veces al día en adición a fenobarbital y bromuro de potasio observándose una respuesta positiva en 6 de 11 perros con una reducción mayor al 50% en la frecuencia de convulsiones. El segundo estudio evaluó 17 perros con epilepsia refractaria a los cuales se les administró una dosis de 35-50 mg/kg/día dividido en dos o tres tomas y conjuntamente a fenobarbital y bromuro de potasio. En este estudio no hubo diminución significativa en el número de convulsiones, sin embargo en tres de ellos se resolvieron las convulsiones durante la medicación. Los efectos adversos reportados en ambos estudios fueron sedación y ataxia (Platt et al. 2006; Govendir et al, 2005).</w:t>
      </w:r>
    </w:p>
    <w:p>
      <w:pPr>
        <w:pStyle w:val="BodyText"/>
        <w:spacing w:line="480" w:lineRule="auto" w:before="207"/>
        <w:ind w:left="152" w:right="100"/>
        <w:jc w:val="both"/>
      </w:pPr>
      <w:r>
        <w:rPr/>
        <w:t>En perros con epilepsia idiopática usualmente </w:t>
      </w:r>
      <w:r>
        <w:rPr>
          <w:spacing w:val="-3"/>
        </w:rPr>
        <w:t>la </w:t>
      </w:r>
      <w:r>
        <w:rPr/>
        <w:t>edad de presentación de </w:t>
      </w:r>
      <w:r>
        <w:rPr>
          <w:spacing w:val="-3"/>
        </w:rPr>
        <w:t>la </w:t>
      </w:r>
      <w:r>
        <w:rPr/>
        <w:t>primera convulsión ocurre entre 1-5 años y más comúnmente entre 1 y 3 años (Holliday, 1980; Heynold et </w:t>
      </w:r>
      <w:r>
        <w:rPr>
          <w:spacing w:val="-4"/>
        </w:rPr>
        <w:t>al, </w:t>
      </w:r>
      <w:r>
        <w:rPr/>
        <w:t>1997). En nuestro estudio observamos que </w:t>
      </w:r>
      <w:r>
        <w:rPr>
          <w:spacing w:val="-5"/>
        </w:rPr>
        <w:t>la </w:t>
      </w:r>
      <w:r>
        <w:rPr/>
        <w:t>edad de presentación del padecimiento </w:t>
      </w:r>
      <w:r>
        <w:rPr>
          <w:spacing w:val="-3"/>
        </w:rPr>
        <w:t>fue </w:t>
      </w:r>
      <w:r>
        <w:rPr/>
        <w:t>en promedio de 2,5 años de edad </w:t>
      </w:r>
      <w:r>
        <w:rPr>
          <w:spacing w:val="-5"/>
        </w:rPr>
        <w:t>y, la </w:t>
      </w:r>
      <w:r>
        <w:rPr/>
        <w:t>edad al diagnóstico promedio </w:t>
      </w:r>
      <w:r>
        <w:rPr>
          <w:spacing w:val="-3"/>
        </w:rPr>
        <w:t>fue  </w:t>
      </w:r>
      <w:r>
        <w:rPr/>
        <w:t>de 3,9 años, </w:t>
      </w:r>
      <w:r>
        <w:rPr>
          <w:spacing w:val="-4"/>
        </w:rPr>
        <w:t>lo </w:t>
      </w:r>
      <w:r>
        <w:rPr/>
        <w:t>que </w:t>
      </w:r>
      <w:r>
        <w:rPr>
          <w:spacing w:val="-2"/>
        </w:rPr>
        <w:t>indica </w:t>
      </w:r>
      <w:r>
        <w:rPr/>
        <w:t>que los pacientes tenían al menos 1,4 años de evolución de </w:t>
      </w:r>
      <w:r>
        <w:rPr>
          <w:spacing w:val="-3"/>
        </w:rPr>
        <w:t>la </w:t>
      </w:r>
      <w:r>
        <w:rPr/>
        <w:t>enfermedad. Esto coincide según Monteiro </w:t>
      </w:r>
      <w:r>
        <w:rPr>
          <w:spacing w:val="-3"/>
        </w:rPr>
        <w:t>et </w:t>
      </w:r>
      <w:r>
        <w:rPr>
          <w:spacing w:val="-4"/>
        </w:rPr>
        <w:t>al. </w:t>
      </w:r>
      <w:r>
        <w:rPr/>
        <w:t>2012 donde </w:t>
      </w:r>
      <w:r>
        <w:rPr>
          <w:spacing w:val="-5"/>
        </w:rPr>
        <w:t>la </w:t>
      </w:r>
      <w:r>
        <w:rPr/>
        <w:t>edad media de diagnóstico fue de 4 años. Las razas pequeñas fueron las </w:t>
      </w:r>
      <w:r>
        <w:rPr>
          <w:spacing w:val="-3"/>
        </w:rPr>
        <w:t>más </w:t>
      </w:r>
      <w:r>
        <w:rPr/>
        <w:t>frecuentemente afectadas con 63,30% de los pacientes, razas medianas 6.7% y las razas grandes 30%, relacionado con el factor económico social de México. Siendo los poodles y maltes los más frecuentemente presentados  a  consulta.  Los  machos  fueron  predominantemente  afectados  (60%  de</w:t>
      </w:r>
      <w:r>
        <w:rPr>
          <w:spacing w:val="17"/>
        </w:rPr>
        <w:t> </w:t>
      </w:r>
      <w:r>
        <w:rPr/>
        <w:t>los</w:t>
      </w:r>
    </w:p>
    <w:p>
      <w:pPr>
        <w:pStyle w:val="BodyText"/>
        <w:spacing w:before="10"/>
        <w:ind w:left="152"/>
        <w:jc w:val="both"/>
      </w:pPr>
      <w:r>
        <w:rPr/>
        <w:t>casos) siendo esto descrito por la literatura y algunos estudios indican que las  proporciones</w:t>
      </w:r>
    </w:p>
    <w:p>
      <w:pPr>
        <w:spacing w:after="0"/>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117"/>
        <w:jc w:val="both"/>
      </w:pPr>
      <w:r>
        <w:rPr/>
        <w:t>entre machos y hembras es de 3.5:1 y hasta 5:1.8 (Knowles, 1998; Heynold et al, 1997; Thomas, 2000).</w:t>
      </w:r>
    </w:p>
    <w:p>
      <w:pPr>
        <w:pStyle w:val="BodyText"/>
        <w:spacing w:line="480" w:lineRule="auto" w:before="212"/>
        <w:ind w:left="152" w:right="103"/>
        <w:jc w:val="both"/>
      </w:pPr>
      <w:r>
        <w:rPr/>
        <w:t>En </w:t>
      </w:r>
      <w:r>
        <w:rPr>
          <w:spacing w:val="-5"/>
        </w:rPr>
        <w:t>lo </w:t>
      </w:r>
      <w:r>
        <w:rPr/>
        <w:t>referente a </w:t>
      </w:r>
      <w:r>
        <w:rPr>
          <w:spacing w:val="-3"/>
        </w:rPr>
        <w:t>la </w:t>
      </w:r>
      <w:r>
        <w:rPr/>
        <w:t>frecuencia de convulsiones inicial y al final del estudio se presentó una diminución considerable en los tres grupos de tratamiento después de recibir </w:t>
      </w:r>
      <w:r>
        <w:rPr>
          <w:spacing w:val="-5"/>
        </w:rPr>
        <w:t>la </w:t>
      </w:r>
      <w:r>
        <w:rPr/>
        <w:t>terapia; en  el grupo I (80%) de los casos, en el grupo II (60%) y en el grupo III (80%). Esto es &gt; a 50% de reducción de las crisis convulsivas por </w:t>
      </w:r>
      <w:r>
        <w:rPr>
          <w:spacing w:val="-4"/>
        </w:rPr>
        <w:t>mes </w:t>
      </w:r>
      <w:r>
        <w:rPr/>
        <w:t>sin presentar intoxicación por el fármaco </w:t>
      </w:r>
      <w:r>
        <w:rPr>
          <w:spacing w:val="-5"/>
        </w:rPr>
        <w:t>lo </w:t>
      </w:r>
      <w:r>
        <w:rPr/>
        <w:t>cual es un control ideal para un paciente que padece epilepsia (Fambach 1984, Fenner  1986) considerando que en el grupo I </w:t>
      </w:r>
      <w:r>
        <w:rPr>
          <w:spacing w:val="-3"/>
        </w:rPr>
        <w:t>hubo </w:t>
      </w:r>
      <w:r>
        <w:rPr/>
        <w:t>dos pacientes un Rottweiller y un Mestizo de talla grande tabla I, los cuales presentaron estatus epiléptico, posiblemente relacionado con el factor perros de talla grande </w:t>
      </w:r>
      <w:r>
        <w:rPr>
          <w:spacing w:val="-5"/>
        </w:rPr>
        <w:t>lo </w:t>
      </w:r>
      <w:r>
        <w:rPr/>
        <w:t>cual es sabido son difíciles de controlar con medicación (Holliday et </w:t>
      </w:r>
      <w:r>
        <w:rPr>
          <w:spacing w:val="-3"/>
        </w:rPr>
        <w:t>al. </w:t>
      </w:r>
      <w:r>
        <w:rPr/>
        <w:t>1970). Algunas razas en especial Pastor Alemán, Setter Irlandés y </w:t>
      </w:r>
      <w:r>
        <w:rPr>
          <w:spacing w:val="4"/>
        </w:rPr>
        <w:t>San </w:t>
      </w:r>
      <w:r>
        <w:rPr/>
        <w:t>Bernardo frecuentemente tienen convulsiones en racimo y dificultad para su control </w:t>
      </w:r>
      <w:r>
        <w:rPr>
          <w:spacing w:val="2"/>
        </w:rPr>
        <w:t>aún </w:t>
      </w:r>
      <w:r>
        <w:rPr/>
        <w:t>con medicación (De Lahunta, 2009; Jaggy y Bernardini,</w:t>
      </w:r>
      <w:r>
        <w:rPr>
          <w:spacing w:val="-18"/>
        </w:rPr>
        <w:t> </w:t>
      </w:r>
      <w:r>
        <w:rPr/>
        <w:t>1998).</w:t>
      </w:r>
    </w:p>
    <w:p>
      <w:pPr>
        <w:pStyle w:val="BodyText"/>
        <w:spacing w:line="480" w:lineRule="auto" w:before="212"/>
        <w:ind w:left="152" w:right="104"/>
        <w:jc w:val="both"/>
      </w:pPr>
      <w:r>
        <w:rPr/>
        <w:t>En el grupo II un cocker spaniel solo redujo en un 50% la frecuencia, otro paciente un san Bernardo presento reducción de solo 25% y un fox terrier del 33% por lo cual no tuvieron una reducción aceptable. En un paciente pug se observó un incremento a 13 convulsiones dentro del primer mes de tratamiento. Este número de pacientes que no tuvieron un control adecuado corresponden al 20-40% en cada grupo lo cual coincide con el 20-50% reportado de pacientes refractarios al tratamiento con fenobarbital (Podell and Fenner 1993). Cabe mencionar  que  en  este  grupo  no  hubo  pacientes con  estatus epiléptico.  Se  observó  un</w:t>
      </w:r>
    </w:p>
    <w:p>
      <w:pPr>
        <w:spacing w:after="0" w:line="480" w:lineRule="auto"/>
        <w:jc w:val="both"/>
        <w:sectPr>
          <w:pgSz w:w="12240" w:h="15840"/>
          <w:pgMar w:header="0" w:footer="2071" w:top="1500" w:bottom="2320" w:left="1720" w:right="1420"/>
        </w:sectPr>
      </w:pPr>
    </w:p>
    <w:p>
      <w:pPr>
        <w:pStyle w:val="BodyText"/>
        <w:spacing w:before="7"/>
        <w:rPr>
          <w:sz w:val="20"/>
        </w:rPr>
      </w:pPr>
    </w:p>
    <w:p>
      <w:pPr>
        <w:pStyle w:val="BodyText"/>
        <w:spacing w:line="480" w:lineRule="auto" w:before="69"/>
        <w:ind w:left="152" w:right="98"/>
        <w:jc w:val="both"/>
      </w:pPr>
      <w:r>
        <w:rPr/>
        <w:t>paciente San Bernardo el de menor respuesta positiva lo cual es una raza de difícil control según la literatura.</w:t>
      </w:r>
    </w:p>
    <w:p>
      <w:pPr>
        <w:pStyle w:val="BodyText"/>
        <w:spacing w:line="480" w:lineRule="auto" w:before="212"/>
        <w:ind w:left="152" w:right="102"/>
        <w:jc w:val="both"/>
      </w:pPr>
      <w:r>
        <w:rPr/>
        <w:t>La eficacia de </w:t>
      </w:r>
      <w:r>
        <w:rPr>
          <w:spacing w:val="-5"/>
        </w:rPr>
        <w:t>la </w:t>
      </w:r>
      <w:r>
        <w:rPr/>
        <w:t>gabapentina </w:t>
      </w:r>
      <w:r>
        <w:rPr>
          <w:spacing w:val="-3"/>
        </w:rPr>
        <w:t>fue </w:t>
      </w:r>
      <w:r>
        <w:rPr/>
        <w:t>comparable a </w:t>
      </w:r>
      <w:r>
        <w:rPr>
          <w:spacing w:val="-5"/>
        </w:rPr>
        <w:t>la </w:t>
      </w:r>
      <w:r>
        <w:rPr/>
        <w:t>de fenobarbital este último resultando una efectividad esperada del 60-80% (Schwartz-Porsche et </w:t>
      </w:r>
      <w:r>
        <w:rPr>
          <w:spacing w:val="-4"/>
        </w:rPr>
        <w:t>al.</w:t>
      </w:r>
      <w:r>
        <w:rPr>
          <w:spacing w:val="52"/>
        </w:rPr>
        <w:t> </w:t>
      </w:r>
      <w:r>
        <w:rPr/>
        <w:t>1985). Gabapentina es recomendada en dosis de 10 mg/kg de peso corporal por </w:t>
      </w:r>
      <w:r>
        <w:rPr>
          <w:spacing w:val="-4"/>
        </w:rPr>
        <w:t>vía </w:t>
      </w:r>
      <w:r>
        <w:rPr/>
        <w:t>oral cada 8 horas. Se sospecha que el rango terapéutico para los perros es de 4 to 16 mg/L (Bazil, 2002, Dewey et </w:t>
      </w:r>
      <w:r>
        <w:rPr>
          <w:spacing w:val="-3"/>
        </w:rPr>
        <w:t>al.  </w:t>
      </w:r>
      <w:r>
        <w:rPr/>
        <w:t>2004). En nuestro estudio encontramos que </w:t>
      </w:r>
      <w:r>
        <w:rPr>
          <w:spacing w:val="-3"/>
        </w:rPr>
        <w:t>no </w:t>
      </w:r>
      <w:r>
        <w:rPr/>
        <w:t>existe diferencia estadística significativa entre el rango de dosis 30 mg/kg/día y 60 mg/kg/día de gabapentina sin embargo se observaron más pacientes con evolución desfavorable en el segundo grupo. Esto podría  estar relacionado primeramente con el número de perros de raza pequeña en el grupo I y en segundo lugar con </w:t>
      </w:r>
      <w:r>
        <w:rPr>
          <w:spacing w:val="-5"/>
        </w:rPr>
        <w:t>la </w:t>
      </w:r>
      <w:r>
        <w:rPr/>
        <w:t>farmacocinética lineal de </w:t>
      </w:r>
      <w:r>
        <w:rPr>
          <w:spacing w:val="-3"/>
        </w:rPr>
        <w:t>la </w:t>
      </w:r>
      <w:r>
        <w:rPr/>
        <w:t>gabapentina; en seres humanos posee una cinética lineal hasta </w:t>
      </w:r>
      <w:r>
        <w:rPr>
          <w:spacing w:val="-5"/>
        </w:rPr>
        <w:t>la </w:t>
      </w:r>
      <w:r>
        <w:rPr/>
        <w:t>dosis </w:t>
      </w:r>
      <w:r>
        <w:rPr>
          <w:spacing w:val="-3"/>
        </w:rPr>
        <w:t>media </w:t>
      </w:r>
      <w:r>
        <w:rPr/>
        <w:t>de 1.800 </w:t>
      </w:r>
      <w:r>
        <w:rPr>
          <w:spacing w:val="-3"/>
        </w:rPr>
        <w:t>mg/día. </w:t>
      </w:r>
      <w:r>
        <w:rPr/>
        <w:t>A partir de esa cifra, </w:t>
      </w:r>
      <w:r>
        <w:rPr>
          <w:spacing w:val="-3"/>
        </w:rPr>
        <w:t>las </w:t>
      </w:r>
      <w:r>
        <w:rPr/>
        <w:t>concentraciones séricas son inferiores a </w:t>
      </w:r>
      <w:r>
        <w:rPr>
          <w:spacing w:val="-4"/>
        </w:rPr>
        <w:t>las </w:t>
      </w:r>
      <w:r>
        <w:rPr/>
        <w:t>esperadas, pues disminuye </w:t>
      </w:r>
      <w:r>
        <w:rPr>
          <w:spacing w:val="-3"/>
        </w:rPr>
        <w:t>la </w:t>
      </w:r>
      <w:r>
        <w:rPr/>
        <w:t>cantidad absorbida a </w:t>
      </w:r>
      <w:r>
        <w:rPr>
          <w:spacing w:val="-3"/>
        </w:rPr>
        <w:t>la </w:t>
      </w:r>
      <w:r>
        <w:rPr/>
        <w:t>cantidad administrada y desciende su biodisponibilidad, del 60-70% con menos de 1.800 mg/día al 35% con </w:t>
      </w:r>
      <w:r>
        <w:rPr>
          <w:spacing w:val="-3"/>
        </w:rPr>
        <w:t>más </w:t>
      </w:r>
      <w:r>
        <w:rPr/>
        <w:t>de 3.600 mg/día. Esta peculiaridad se debe a que el mecanismo de transporte digestivo es saturable (Sivenius et </w:t>
      </w:r>
      <w:r>
        <w:rPr>
          <w:spacing w:val="-4"/>
        </w:rPr>
        <w:t>al. </w:t>
      </w:r>
      <w:r>
        <w:rPr/>
        <w:t>1991). Este transportador es también el encargado del paso de </w:t>
      </w:r>
      <w:r>
        <w:rPr>
          <w:spacing w:val="-5"/>
        </w:rPr>
        <w:t>la </w:t>
      </w:r>
      <w:r>
        <w:rPr/>
        <w:t>gabapentina a través de </w:t>
      </w:r>
      <w:r>
        <w:rPr>
          <w:spacing w:val="-3"/>
        </w:rPr>
        <w:t>la </w:t>
      </w:r>
      <w:r>
        <w:rPr/>
        <w:t>barrera hematoencéfalica, y de aminoácidos como </w:t>
      </w:r>
      <w:r>
        <w:rPr>
          <w:spacing w:val="-3"/>
        </w:rPr>
        <w:t>la </w:t>
      </w:r>
      <w:r>
        <w:rPr/>
        <w:t>L-leucina, L-isoleucina, L-valina, L-fenilalanina en </w:t>
      </w:r>
      <w:r>
        <w:rPr>
          <w:spacing w:val="-3"/>
        </w:rPr>
        <w:t>la </w:t>
      </w:r>
      <w:r>
        <w:rPr/>
        <w:t>pared intestinal, este hecho implica </w:t>
      </w:r>
      <w:r>
        <w:rPr>
          <w:spacing w:val="-3"/>
        </w:rPr>
        <w:t>la </w:t>
      </w:r>
      <w:r>
        <w:rPr/>
        <w:t>necesidad de incrementar </w:t>
      </w:r>
      <w:r>
        <w:rPr>
          <w:spacing w:val="-3"/>
        </w:rPr>
        <w:t>la </w:t>
      </w:r>
      <w:r>
        <w:rPr/>
        <w:t>dosis para conseguir el efecto terapeútico</w:t>
      </w:r>
      <w:r>
        <w:rPr>
          <w:spacing w:val="47"/>
        </w:rPr>
        <w:t> </w:t>
      </w:r>
      <w:r>
        <w:rPr/>
        <w:t>esperado</w:t>
      </w:r>
      <w:r>
        <w:rPr>
          <w:spacing w:val="47"/>
        </w:rPr>
        <w:t> </w:t>
      </w:r>
      <w:r>
        <w:rPr/>
        <w:t>(Anhut</w:t>
      </w:r>
      <w:r>
        <w:rPr>
          <w:spacing w:val="48"/>
        </w:rPr>
        <w:t> </w:t>
      </w:r>
      <w:r>
        <w:rPr/>
        <w:t>et</w:t>
      </w:r>
      <w:r>
        <w:rPr>
          <w:spacing w:val="48"/>
        </w:rPr>
        <w:t> </w:t>
      </w:r>
      <w:r>
        <w:rPr>
          <w:spacing w:val="-4"/>
        </w:rPr>
        <w:t>al.</w:t>
      </w:r>
      <w:r>
        <w:rPr>
          <w:spacing w:val="45"/>
        </w:rPr>
        <w:t> </w:t>
      </w:r>
      <w:r>
        <w:rPr/>
        <w:t>1994).</w:t>
      </w:r>
      <w:r>
        <w:rPr>
          <w:spacing w:val="46"/>
        </w:rPr>
        <w:t> </w:t>
      </w:r>
      <w:r>
        <w:rPr/>
        <w:t>En</w:t>
      </w:r>
      <w:r>
        <w:rPr>
          <w:spacing w:val="43"/>
        </w:rPr>
        <w:t> </w:t>
      </w:r>
      <w:r>
        <w:rPr/>
        <w:t>los</w:t>
      </w:r>
      <w:r>
        <w:rPr>
          <w:spacing w:val="41"/>
        </w:rPr>
        <w:t> </w:t>
      </w:r>
      <w:r>
        <w:rPr/>
        <w:t>perros</w:t>
      </w:r>
      <w:r>
        <w:rPr>
          <w:spacing w:val="46"/>
        </w:rPr>
        <w:t> </w:t>
      </w:r>
      <w:r>
        <w:rPr>
          <w:spacing w:val="-5"/>
        </w:rPr>
        <w:t>la</w:t>
      </w:r>
      <w:r>
        <w:rPr>
          <w:spacing w:val="47"/>
        </w:rPr>
        <w:t> </w:t>
      </w:r>
      <w:r>
        <w:rPr/>
        <w:t>farmacocinética</w:t>
      </w:r>
      <w:r>
        <w:rPr>
          <w:spacing w:val="47"/>
        </w:rPr>
        <w:t> </w:t>
      </w:r>
      <w:r>
        <w:rPr/>
        <w:t>se</w:t>
      </w:r>
      <w:r>
        <w:rPr>
          <w:spacing w:val="47"/>
        </w:rPr>
        <w:t> </w:t>
      </w:r>
      <w:r>
        <w:rPr/>
        <w:t>mantiene</w:t>
      </w:r>
    </w:p>
    <w:p>
      <w:pPr>
        <w:pStyle w:val="BodyText"/>
        <w:spacing w:before="10"/>
        <w:ind w:left="152"/>
        <w:jc w:val="both"/>
      </w:pPr>
      <w:r>
        <w:rPr/>
        <w:t>lineal en el intervalo de dosificación de 4-500 mg/kg (Radulovic et </w:t>
      </w:r>
      <w:r>
        <w:rPr>
          <w:spacing w:val="-3"/>
        </w:rPr>
        <w:t>al. </w:t>
      </w:r>
      <w:r>
        <w:rPr/>
        <w:t>1995) por </w:t>
      </w:r>
      <w:r>
        <w:rPr>
          <w:spacing w:val="-5"/>
        </w:rPr>
        <w:t>lo </w:t>
      </w:r>
      <w:r>
        <w:rPr/>
        <w:t>tanto</w:t>
      </w:r>
      <w:r>
        <w:rPr>
          <w:spacing w:val="50"/>
        </w:rPr>
        <w:t> </w:t>
      </w:r>
      <w:r>
        <w:rPr/>
        <w:t>en</w:t>
      </w:r>
    </w:p>
    <w:p>
      <w:pPr>
        <w:spacing w:after="0"/>
        <w:jc w:val="both"/>
        <w:sectPr>
          <w:footerReference w:type="default" r:id="rId41"/>
          <w:pgSz w:w="12240" w:h="15840"/>
          <w:pgMar w:footer="2131" w:header="0" w:top="1500" w:bottom="2320" w:left="1720" w:right="1420"/>
        </w:sectPr>
      </w:pPr>
    </w:p>
    <w:p>
      <w:pPr>
        <w:pStyle w:val="BodyText"/>
        <w:spacing w:before="7"/>
        <w:rPr>
          <w:sz w:val="20"/>
        </w:rPr>
      </w:pPr>
    </w:p>
    <w:p>
      <w:pPr>
        <w:pStyle w:val="BodyText"/>
        <w:spacing w:line="480" w:lineRule="auto" w:before="69"/>
        <w:ind w:left="152" w:right="115"/>
        <w:jc w:val="both"/>
      </w:pPr>
      <w:r>
        <w:rPr/>
        <w:t>estos pacientes sería interesante realizar un aumento de la dosis y observar la respuesta terapéutica, porque además esta saturabilidad del transportador permite evitar la toxicidad añadida ante una ingesta masiva del fármaco (Hidalgo-Cañadillas, 2004).</w:t>
      </w:r>
    </w:p>
    <w:p>
      <w:pPr>
        <w:pStyle w:val="BodyText"/>
        <w:spacing w:line="480" w:lineRule="auto" w:before="212"/>
        <w:ind w:left="152" w:right="104"/>
        <w:jc w:val="both"/>
      </w:pPr>
      <w:r>
        <w:rPr/>
        <w:t>Las importantes interacciones de antiepilépticos que se observan con frecuencia en </w:t>
      </w:r>
      <w:r>
        <w:rPr>
          <w:spacing w:val="-3"/>
        </w:rPr>
        <w:t>la </w:t>
      </w:r>
      <w:r>
        <w:rPr/>
        <w:t>práctica clínica se pueden anticipar con el conocimiento de los mecanismos subyacentes. Siempre que sea posible estas interacciones se deben prevenir al evitar el uso innecesario</w:t>
      </w:r>
      <w:r>
        <w:rPr>
          <w:spacing w:val="-36"/>
        </w:rPr>
        <w:t> </w:t>
      </w:r>
      <w:r>
        <w:rPr>
          <w:spacing w:val="3"/>
        </w:rPr>
        <w:t>de </w:t>
      </w:r>
      <w:r>
        <w:rPr>
          <w:spacing w:val="-3"/>
        </w:rPr>
        <w:t>la </w:t>
      </w:r>
      <w:r>
        <w:rPr/>
        <w:t>politerapia y seleccionar drogas concomitantes que sean menos propensas a interactuar.  </w:t>
      </w:r>
      <w:r>
        <w:rPr>
          <w:spacing w:val="2"/>
        </w:rPr>
        <w:t>Si </w:t>
      </w:r>
      <w:r>
        <w:rPr/>
        <w:t>el uso de fármacos que podrían interaccionar </w:t>
      </w:r>
      <w:r>
        <w:rPr>
          <w:spacing w:val="-3"/>
        </w:rPr>
        <w:t>no </w:t>
      </w:r>
      <w:r>
        <w:rPr/>
        <w:t>se puede evitar </w:t>
      </w:r>
      <w:r>
        <w:rPr>
          <w:spacing w:val="-3"/>
        </w:rPr>
        <w:t>las  </w:t>
      </w:r>
      <w:r>
        <w:rPr/>
        <w:t>consecuencias clínicas adversas pueden minimizarse según corresponda por </w:t>
      </w:r>
      <w:r>
        <w:rPr>
          <w:spacing w:val="-4"/>
        </w:rPr>
        <w:t>medio </w:t>
      </w:r>
      <w:r>
        <w:rPr/>
        <w:t>de los ajustes de dosis individualizadas guiadas por una cuidadosa monitorización de </w:t>
      </w:r>
      <w:r>
        <w:rPr>
          <w:spacing w:val="-3"/>
        </w:rPr>
        <w:t>la </w:t>
      </w:r>
      <w:r>
        <w:rPr/>
        <w:t>respuesta clínica y medición de las concentraciones séricas del fármaco (Perucca et </w:t>
      </w:r>
      <w:r>
        <w:rPr>
          <w:spacing w:val="-4"/>
        </w:rPr>
        <w:t>al. </w:t>
      </w:r>
      <w:r>
        <w:rPr/>
        <w:t>2005). Basado en esto consideramos que gabapentina es un fármaco de elección para el tratamiento a largo plazo como monoterapia en pacientes de reciente</w:t>
      </w:r>
      <w:r>
        <w:rPr>
          <w:spacing w:val="-18"/>
        </w:rPr>
        <w:t> </w:t>
      </w:r>
      <w:r>
        <w:rPr/>
        <w:t>diagnóstico.</w:t>
      </w:r>
    </w:p>
    <w:p>
      <w:pPr>
        <w:pStyle w:val="BodyText"/>
        <w:spacing w:line="480" w:lineRule="auto" w:before="212"/>
        <w:ind w:left="152" w:right="105"/>
        <w:jc w:val="both"/>
      </w:pPr>
      <w:r>
        <w:rPr/>
        <w:t>Según Dewey (2006) y Platt </w:t>
      </w:r>
      <w:r>
        <w:rPr>
          <w:spacing w:val="-3"/>
        </w:rPr>
        <w:t>et </w:t>
      </w:r>
      <w:r>
        <w:rPr/>
        <w:t>al (2006) corroboramos </w:t>
      </w:r>
      <w:r>
        <w:rPr>
          <w:spacing w:val="-3"/>
        </w:rPr>
        <w:t>la </w:t>
      </w:r>
      <w:r>
        <w:rPr/>
        <w:t>presencia de sedación leve como único efecto adverso clínico en perros siendo bien tolerada en todos los casos y resuelto en las primeras dos semanas de </w:t>
      </w:r>
      <w:r>
        <w:rPr>
          <w:spacing w:val="-3"/>
        </w:rPr>
        <w:t>inicio </w:t>
      </w:r>
      <w:r>
        <w:rPr/>
        <w:t>del tratamiento, </w:t>
      </w:r>
      <w:r>
        <w:rPr>
          <w:spacing w:val="-5"/>
        </w:rPr>
        <w:t>lo </w:t>
      </w:r>
      <w:r>
        <w:rPr/>
        <w:t>que coincide con los seres humanos donde los efectos secundarios más frecuentes son somnolencia, sedación leve, náuseas, vómitos, mareo, irritabilidad, fatiga y ganancia de peso </w:t>
      </w:r>
      <w:r>
        <w:rPr>
          <w:spacing w:val="-5"/>
        </w:rPr>
        <w:t>lo </w:t>
      </w:r>
      <w:r>
        <w:rPr/>
        <w:t>cual usualmente  también  resuelve en </w:t>
      </w:r>
      <w:r>
        <w:rPr>
          <w:spacing w:val="-3"/>
        </w:rPr>
        <w:t>la </w:t>
      </w:r>
      <w:r>
        <w:rPr/>
        <w:t>primeras semanas de iniciado el tratamiento (Letterman and  Markowitz, 1999;  La  Roche  y  Helmers,  2004).  Dewey  (2006)  refiere  </w:t>
      </w:r>
      <w:r>
        <w:rPr>
          <w:spacing w:val="-3"/>
        </w:rPr>
        <w:t>la  </w:t>
      </w:r>
      <w:r>
        <w:rPr/>
        <w:t>presencia  de  polifagia </w:t>
      </w:r>
      <w:r>
        <w:rPr>
          <w:spacing w:val="8"/>
        </w:rPr>
        <w:t> </w:t>
      </w:r>
      <w:r>
        <w:rPr/>
        <w:t>y</w:t>
      </w:r>
    </w:p>
    <w:p>
      <w:pPr>
        <w:spacing w:after="0" w:line="480" w:lineRule="auto"/>
        <w:jc w:val="both"/>
        <w:sectPr>
          <w:footerReference w:type="default" r:id="rId42"/>
          <w:pgSz w:w="12240" w:h="15840"/>
          <w:pgMar w:footer="2131" w:header="0" w:top="1500" w:bottom="2320" w:left="1720" w:right="1420"/>
          <w:pgNumType w:start="101"/>
        </w:sectPr>
      </w:pPr>
    </w:p>
    <w:p>
      <w:pPr>
        <w:pStyle w:val="BodyText"/>
        <w:spacing w:before="7"/>
        <w:rPr>
          <w:sz w:val="20"/>
        </w:rPr>
      </w:pPr>
    </w:p>
    <w:p>
      <w:pPr>
        <w:pStyle w:val="BodyText"/>
        <w:spacing w:line="480" w:lineRule="auto" w:before="69"/>
        <w:ind w:left="152" w:right="103"/>
        <w:jc w:val="both"/>
      </w:pPr>
      <w:r>
        <w:rPr/>
        <w:t>aumento de peso relacionado con </w:t>
      </w:r>
      <w:r>
        <w:rPr>
          <w:spacing w:val="-5"/>
        </w:rPr>
        <w:t>la </w:t>
      </w:r>
      <w:r>
        <w:rPr/>
        <w:t>medicación </w:t>
      </w:r>
      <w:r>
        <w:rPr>
          <w:spacing w:val="-5"/>
        </w:rPr>
        <w:t>lo </w:t>
      </w:r>
      <w:r>
        <w:rPr/>
        <w:t>cual </w:t>
      </w:r>
      <w:r>
        <w:rPr>
          <w:spacing w:val="-3"/>
        </w:rPr>
        <w:t>no </w:t>
      </w:r>
      <w:r>
        <w:rPr/>
        <w:t>ocurrió en nuestro caso. La presencia inicial de ataxia de miembros pélvicos demostrada por Govendir (2005) </w:t>
      </w:r>
      <w:r>
        <w:rPr>
          <w:spacing w:val="-3"/>
        </w:rPr>
        <w:t>no fue </w:t>
      </w:r>
      <w:r>
        <w:rPr/>
        <w:t>presentada, probablemente porque en nuestro caso se utilizo como monoterapia y </w:t>
      </w:r>
      <w:r>
        <w:rPr>
          <w:spacing w:val="2"/>
        </w:rPr>
        <w:t>tal </w:t>
      </w:r>
      <w:r>
        <w:rPr/>
        <w:t>vez este efecto adverso </w:t>
      </w:r>
      <w:r>
        <w:rPr>
          <w:spacing w:val="-3"/>
        </w:rPr>
        <w:t>fue </w:t>
      </w:r>
      <w:r>
        <w:rPr/>
        <w:t>resultado de </w:t>
      </w:r>
      <w:r>
        <w:rPr>
          <w:spacing w:val="-5"/>
        </w:rPr>
        <w:t>la </w:t>
      </w:r>
      <w:r>
        <w:rPr/>
        <w:t>combinación de fenobarbital y bromuro de potasio. Un caso de hiperexitabilidad paradójica fue observado en un paciente del grupo III </w:t>
      </w:r>
      <w:r>
        <w:rPr>
          <w:spacing w:val="-5"/>
        </w:rPr>
        <w:t>lo </w:t>
      </w:r>
      <w:r>
        <w:rPr/>
        <w:t>cual  es un efecto adverso ocasionalmente esperado del fenobarbital (Thomas,</w:t>
      </w:r>
      <w:r>
        <w:rPr>
          <w:spacing w:val="-20"/>
        </w:rPr>
        <w:t> </w:t>
      </w:r>
      <w:r>
        <w:rPr/>
        <w:t>2010).</w:t>
      </w:r>
    </w:p>
    <w:p>
      <w:pPr>
        <w:pStyle w:val="BodyText"/>
        <w:spacing w:line="480" w:lineRule="auto" w:before="212"/>
        <w:ind w:left="152" w:right="108" w:firstLine="57"/>
        <w:jc w:val="both"/>
      </w:pPr>
      <w:r>
        <w:rPr/>
        <w:t>No se encontraron cambios por patología clínica en los grupos medicados con gabapentina que fueran de importancia para el paciente al menos durante tres </w:t>
      </w:r>
      <w:r>
        <w:rPr>
          <w:spacing w:val="-3"/>
        </w:rPr>
        <w:t>meses </w:t>
      </w:r>
      <w:r>
        <w:rPr/>
        <w:t>a pesar de que </w:t>
      </w:r>
      <w:r>
        <w:rPr>
          <w:spacing w:val="-3"/>
        </w:rPr>
        <w:t>la</w:t>
      </w:r>
      <w:r>
        <w:rPr>
          <w:spacing w:val="54"/>
        </w:rPr>
        <w:t> </w:t>
      </w:r>
      <w:r>
        <w:rPr/>
        <w:t>gabapentina en perros se excreta por </w:t>
      </w:r>
      <w:r>
        <w:rPr>
          <w:spacing w:val="-4"/>
        </w:rPr>
        <w:t>vía </w:t>
      </w:r>
      <w:r>
        <w:rPr/>
        <w:t>urinaria y tiene cierto metabolismo hepático </w:t>
      </w:r>
      <w:r>
        <w:rPr>
          <w:spacing w:val="-5"/>
        </w:rPr>
        <w:t>ya </w:t>
      </w:r>
      <w:r>
        <w:rPr/>
        <w:t>que es metabolizada a N-methylgabapentina (Radulovic et </w:t>
      </w:r>
      <w:r>
        <w:rPr>
          <w:spacing w:val="-4"/>
        </w:rPr>
        <w:t>al. </w:t>
      </w:r>
      <w:r>
        <w:rPr/>
        <w:t>1995). Solamente un incremento de 122.43 puntos sobre el nivel basal de </w:t>
      </w:r>
      <w:r>
        <w:rPr>
          <w:spacing w:val="-3"/>
        </w:rPr>
        <w:t>la </w:t>
      </w:r>
      <w:r>
        <w:rPr/>
        <w:t>fosfatasa alcalina en el caso de fenobarbital fue encontrado (Dayrell-Hart </w:t>
      </w:r>
      <w:r>
        <w:rPr>
          <w:spacing w:val="-3"/>
        </w:rPr>
        <w:t>et </w:t>
      </w:r>
      <w:r>
        <w:rPr>
          <w:spacing w:val="-4"/>
        </w:rPr>
        <w:t>al. </w:t>
      </w:r>
      <w:r>
        <w:rPr/>
        <w:t>1991).</w:t>
      </w:r>
    </w:p>
    <w:p>
      <w:pPr>
        <w:pStyle w:val="BodyText"/>
        <w:spacing w:line="480" w:lineRule="auto" w:before="212"/>
        <w:ind w:left="152" w:right="107"/>
        <w:jc w:val="both"/>
      </w:pPr>
      <w:r>
        <w:rPr/>
        <w:t>Los 7 pacientes que continuaron con un seguimiento de 2 años han manifestado un control adecuado sin efectos adversos clínicos indeseables coincidimos que </w:t>
      </w:r>
      <w:r>
        <w:rPr>
          <w:spacing w:val="-3"/>
        </w:rPr>
        <w:t>la </w:t>
      </w:r>
      <w:r>
        <w:rPr/>
        <w:t>prolongada exposición estable a </w:t>
      </w:r>
      <w:r>
        <w:rPr>
          <w:spacing w:val="-3"/>
        </w:rPr>
        <w:t>la </w:t>
      </w:r>
      <w:r>
        <w:rPr/>
        <w:t>gabapentina puede proporcionar beneficios clínicos, como  una mayor eficacia, </w:t>
      </w:r>
      <w:r>
        <w:rPr>
          <w:spacing w:val="-5"/>
        </w:rPr>
        <w:t>la </w:t>
      </w:r>
      <w:r>
        <w:rPr/>
        <w:t>duración prolongada de </w:t>
      </w:r>
      <w:r>
        <w:rPr>
          <w:spacing w:val="-3"/>
        </w:rPr>
        <w:t>la </w:t>
      </w:r>
      <w:r>
        <w:rPr/>
        <w:t>acción, y una incidencia reducida de efectos adversos relacionados con niveles pico del fármaco (Stevenson et </w:t>
      </w:r>
      <w:r>
        <w:rPr>
          <w:spacing w:val="-3"/>
        </w:rPr>
        <w:t>al. </w:t>
      </w:r>
      <w:r>
        <w:rPr/>
        <w:t>1997, Kriel et </w:t>
      </w:r>
      <w:r>
        <w:rPr>
          <w:spacing w:val="-4"/>
        </w:rPr>
        <w:t>al.</w:t>
      </w:r>
      <w:r>
        <w:rPr>
          <w:spacing w:val="52"/>
        </w:rPr>
        <w:t> </w:t>
      </w:r>
      <w:r>
        <w:rPr/>
        <w:t>1997, Cundy et </w:t>
      </w:r>
      <w:r>
        <w:rPr>
          <w:spacing w:val="-3"/>
        </w:rPr>
        <w:t>al. </w:t>
      </w:r>
      <w:r>
        <w:rPr/>
        <w:t>2004). Se requiere que administración de gabapentina sea tres veces al día para obtener una exposición estable y ser   </w:t>
      </w:r>
      <w:r>
        <w:rPr>
          <w:spacing w:val="28"/>
        </w:rPr>
        <w:t> </w:t>
      </w:r>
      <w:r>
        <w:rPr/>
        <w:t>efectiva, este corto intervalo de dosificación</w:t>
      </w:r>
    </w:p>
    <w:p>
      <w:pPr>
        <w:spacing w:after="0" w:line="480" w:lineRule="auto"/>
        <w:jc w:val="both"/>
        <w:sectPr>
          <w:pgSz w:w="12240" w:h="15840"/>
          <w:pgMar w:header="0" w:footer="2131" w:top="1500" w:bottom="2320" w:left="1720" w:right="1420"/>
        </w:sectPr>
      </w:pPr>
    </w:p>
    <w:p>
      <w:pPr>
        <w:pStyle w:val="BodyText"/>
        <w:spacing w:before="7"/>
        <w:rPr>
          <w:sz w:val="20"/>
        </w:rPr>
      </w:pPr>
    </w:p>
    <w:p>
      <w:pPr>
        <w:pStyle w:val="BodyText"/>
        <w:spacing w:line="480" w:lineRule="auto" w:before="69"/>
        <w:ind w:left="152" w:right="112"/>
        <w:jc w:val="both"/>
      </w:pPr>
      <w:r>
        <w:rPr/>
        <w:t>es complicado para los propietarios lo cual se puede resolver con la formulación de una tableta de liberación prolongada (Rhee et al. 2008).</w:t>
      </w:r>
    </w:p>
    <w:p>
      <w:pPr>
        <w:pStyle w:val="BodyText"/>
        <w:spacing w:line="480" w:lineRule="auto" w:before="212"/>
        <w:ind w:left="152" w:right="99"/>
        <w:jc w:val="both"/>
      </w:pPr>
      <w:r>
        <w:rPr/>
        <w:t>Pudimos demostrar que a diferencia de la terapia convencional de primera elección con fenobarbital que es un fármaco de uso controlado y que además presenta muchos efectos adversos como poliuria, polidipsia, polifagia, sedación, ataxia, elevaciones de enzimas microsomales hepáticas y hepatotoxicidad con concentraciones séricas arriba de 35 µg /ml (Dayrell-Hart et al. 1991), la gabapentina es un fármaco con pocos o nulos efectos adversos</w:t>
      </w:r>
    </w:p>
    <w:p>
      <w:pPr>
        <w:pStyle w:val="BodyText"/>
        <w:spacing w:line="480" w:lineRule="auto" w:before="207"/>
        <w:ind w:left="152" w:right="98"/>
        <w:jc w:val="both"/>
      </w:pPr>
      <w:r>
        <w:rPr/>
        <w:t>En un estudio por Chang and Mellor (2006), demostraron que desde la perspectiva del propietario, la calidad de vida del perro, frecuencia de las crisis aceptable y efectos secundarios aceptables de los antiepilépticos fueron las tres mayores preocupaciones para los dueños, la preocupación por el costo del control de las convulsiones y el impacto del cuidado de un perro epiléptico así como la influencia en su estilo de vida fueron significativamente menos preocupantes. Además los dueños manifestaron que el hecho de estar medicando al perro continuamente no sería un problema. Por lo cual debemos considerar a la gabapentina como una excelente opción como monoterapia ya que tiene pocos efectos adversos, un bajo costo para los casos de razas pequeñas y carece de restricciones para su venta.</w:t>
      </w:r>
    </w:p>
    <w:p>
      <w:pPr>
        <w:spacing w:after="0" w:line="480" w:lineRule="auto"/>
        <w:jc w:val="both"/>
        <w:sectPr>
          <w:pgSz w:w="12240" w:h="15840"/>
          <w:pgMar w:header="0" w:footer="2131" w:top="1500" w:bottom="2320" w:left="1720" w:right="1420"/>
        </w:sectPr>
      </w:pPr>
    </w:p>
    <w:p>
      <w:pPr>
        <w:pStyle w:val="BodyText"/>
        <w:spacing w:before="9"/>
        <w:rPr>
          <w:sz w:val="28"/>
        </w:rPr>
      </w:pPr>
    </w:p>
    <w:p>
      <w:pPr>
        <w:pStyle w:val="Heading1"/>
        <w:ind w:right="163"/>
      </w:pPr>
      <w:r>
        <w:rPr/>
        <w:pict>
          <v:group style="position:absolute;margin-left:90.758003pt;margin-top:20.530283pt;width:447.8pt;height:4.350pt;mso-position-horizontal-relative:page;mso-position-vertical-relative:paragraph;z-index:1624;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58" w:id="88"/>
      <w:bookmarkEnd w:id="88"/>
      <w:r>
        <w:rPr>
          <w:b w:val="0"/>
        </w:rPr>
      </w:r>
      <w:r>
        <w:rPr/>
        <w:t>CAPITULO IX</w:t>
      </w:r>
    </w:p>
    <w:p>
      <w:pPr>
        <w:pStyle w:val="BodyText"/>
        <w:rPr>
          <w:b/>
          <w:sz w:val="20"/>
        </w:rPr>
      </w:pPr>
    </w:p>
    <w:p>
      <w:pPr>
        <w:pStyle w:val="BodyText"/>
        <w:rPr>
          <w:b/>
          <w:sz w:val="20"/>
        </w:rPr>
      </w:pPr>
    </w:p>
    <w:p>
      <w:pPr>
        <w:pStyle w:val="BodyText"/>
        <w:spacing w:before="4"/>
        <w:rPr>
          <w:b/>
          <w:sz w:val="23"/>
        </w:rPr>
      </w:pPr>
    </w:p>
    <w:p>
      <w:pPr>
        <w:pStyle w:val="Heading2"/>
        <w:spacing w:before="70"/>
        <w:jc w:val="both"/>
      </w:pPr>
      <w:bookmarkStart w:name="_bookmark59" w:id="89"/>
      <w:bookmarkEnd w:id="89"/>
      <w:r>
        <w:rPr>
          <w:b w:val="0"/>
        </w:rPr>
      </w:r>
      <w:r>
        <w:rPr/>
        <w:t>CONCLUSIONES</w:t>
      </w:r>
    </w:p>
    <w:p>
      <w:pPr>
        <w:pStyle w:val="BodyText"/>
        <w:rPr>
          <w:b/>
        </w:rPr>
      </w:pPr>
    </w:p>
    <w:p>
      <w:pPr>
        <w:pStyle w:val="BodyText"/>
        <w:spacing w:before="7"/>
        <w:rPr>
          <w:b/>
          <w:sz w:val="29"/>
        </w:rPr>
      </w:pPr>
    </w:p>
    <w:p>
      <w:pPr>
        <w:pStyle w:val="BodyText"/>
        <w:spacing w:line="480" w:lineRule="auto"/>
        <w:ind w:left="172" w:right="160"/>
        <w:jc w:val="both"/>
      </w:pPr>
      <w:r>
        <w:rPr/>
        <w:t>De los resultados obtenidos y en las condiciones determinadas en nuestro estudio, del tratamiento con gabapentina para el control de epilepsia idiopática en perros, podemos concluir lo siguiente:</w:t>
      </w:r>
    </w:p>
    <w:p>
      <w:pPr>
        <w:pStyle w:val="BodyText"/>
      </w:pPr>
    </w:p>
    <w:p>
      <w:pPr>
        <w:pStyle w:val="BodyText"/>
      </w:pPr>
    </w:p>
    <w:p>
      <w:pPr>
        <w:pStyle w:val="BodyText"/>
        <w:spacing w:line="480" w:lineRule="auto" w:before="179"/>
        <w:ind w:left="172" w:right="171"/>
        <w:jc w:val="both"/>
      </w:pPr>
      <w:r>
        <w:rPr/>
        <w:t>1.- La gabapentina es efectiva y segura como monoterapia anticonvulsiva con mínimos efectos adversos a corto y mediano plazo con respecto a la terapia convencional. Teniendo la ventaja de carecer de restricciones para su venta.</w:t>
      </w:r>
    </w:p>
    <w:p>
      <w:pPr>
        <w:pStyle w:val="BodyText"/>
      </w:pPr>
    </w:p>
    <w:p>
      <w:pPr>
        <w:pStyle w:val="BodyText"/>
      </w:pPr>
    </w:p>
    <w:p>
      <w:pPr>
        <w:pStyle w:val="BodyText"/>
        <w:spacing w:before="6"/>
        <w:rPr>
          <w:sz w:val="35"/>
        </w:rPr>
      </w:pPr>
    </w:p>
    <w:p>
      <w:pPr>
        <w:pStyle w:val="BodyText"/>
        <w:spacing w:line="480" w:lineRule="auto"/>
        <w:ind w:left="172" w:right="174"/>
        <w:jc w:val="both"/>
      </w:pPr>
      <w:r>
        <w:rPr/>
        <w:t>2.- La desventaja de la utilización de gabapentina indudablemente es el corto intervalo de dosificación así como la dosificación en perros de talla grande.</w:t>
      </w:r>
    </w:p>
    <w:p>
      <w:pPr>
        <w:spacing w:after="0" w:line="480" w:lineRule="auto"/>
        <w:jc w:val="both"/>
        <w:sectPr>
          <w:pgSz w:w="12240" w:h="15840"/>
          <w:pgMar w:header="0" w:footer="2131" w:top="1500" w:bottom="2320" w:left="1700" w:right="1360"/>
        </w:sectPr>
      </w:pPr>
    </w:p>
    <w:p>
      <w:pPr>
        <w:pStyle w:val="BodyText"/>
        <w:spacing w:before="8"/>
        <w:rPr>
          <w:sz w:val="21"/>
        </w:rPr>
      </w:pPr>
    </w:p>
    <w:p>
      <w:pPr>
        <w:pStyle w:val="Heading1"/>
        <w:ind w:right="165"/>
      </w:pPr>
      <w:r>
        <w:rPr/>
        <w:pict>
          <v:group style="position:absolute;margin-left:90.758003pt;margin-top:20.5303pt;width:447.8pt;height:4.350pt;mso-position-horizontal-relative:page;mso-position-vertical-relative:paragraph;z-index:1648;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60" w:id="90"/>
      <w:bookmarkEnd w:id="90"/>
      <w:r>
        <w:rPr>
          <w:b w:val="0"/>
        </w:rPr>
      </w:r>
      <w:r>
        <w:rPr/>
        <w:t>CAPITULO X</w:t>
      </w:r>
    </w:p>
    <w:p>
      <w:pPr>
        <w:pStyle w:val="BodyText"/>
        <w:rPr>
          <w:b/>
          <w:sz w:val="15"/>
        </w:rPr>
      </w:pPr>
    </w:p>
    <w:p>
      <w:pPr>
        <w:pStyle w:val="Heading2"/>
        <w:spacing w:before="69"/>
        <w:jc w:val="both"/>
      </w:pPr>
      <w:bookmarkStart w:name="_bookmark61" w:id="91"/>
      <w:bookmarkEnd w:id="91"/>
      <w:r>
        <w:rPr>
          <w:b w:val="0"/>
        </w:rPr>
      </w:r>
      <w:r>
        <w:rPr/>
        <w:t>SUGERENCIAS</w:t>
      </w:r>
    </w:p>
    <w:p>
      <w:pPr>
        <w:pStyle w:val="BodyText"/>
        <w:rPr>
          <w:b/>
        </w:rPr>
      </w:pPr>
    </w:p>
    <w:p>
      <w:pPr>
        <w:pStyle w:val="BodyText"/>
        <w:rPr>
          <w:b/>
        </w:rPr>
      </w:pPr>
    </w:p>
    <w:p>
      <w:pPr>
        <w:pStyle w:val="BodyText"/>
        <w:spacing w:before="5"/>
        <w:rPr>
          <w:b/>
          <w:sz w:val="26"/>
        </w:rPr>
      </w:pPr>
    </w:p>
    <w:p>
      <w:pPr>
        <w:pStyle w:val="BodyText"/>
        <w:spacing w:line="480" w:lineRule="auto" w:before="1"/>
        <w:ind w:left="172" w:right="170"/>
        <w:jc w:val="both"/>
      </w:pPr>
      <w:r>
        <w:rPr/>
        <w:t>1.- Se sugiere tipificar el procedimiento adecuado para la medición de niveles séricos de la gabapentina por cromatografía de líquidos de alta resolución con la finalidad de correlacionar niveles terapéuticos y plasmáticos.</w:t>
      </w:r>
    </w:p>
    <w:p>
      <w:pPr>
        <w:pStyle w:val="BodyText"/>
      </w:pPr>
    </w:p>
    <w:p>
      <w:pPr>
        <w:pStyle w:val="BodyText"/>
      </w:pPr>
    </w:p>
    <w:p>
      <w:pPr>
        <w:pStyle w:val="BodyText"/>
        <w:spacing w:before="6"/>
        <w:rPr>
          <w:sz w:val="35"/>
        </w:rPr>
      </w:pPr>
    </w:p>
    <w:p>
      <w:pPr>
        <w:pStyle w:val="BodyText"/>
        <w:spacing w:line="480" w:lineRule="auto" w:before="1"/>
        <w:ind w:left="172" w:right="166"/>
        <w:jc w:val="both"/>
      </w:pPr>
      <w:r>
        <w:rPr/>
        <w:t>2.-Continuar realizando estudios aumentando la dosis de gabapentina para observar efectos terapéuticos.</w:t>
      </w:r>
    </w:p>
    <w:p>
      <w:pPr>
        <w:pStyle w:val="BodyText"/>
      </w:pPr>
    </w:p>
    <w:p>
      <w:pPr>
        <w:pStyle w:val="BodyText"/>
      </w:pPr>
    </w:p>
    <w:p>
      <w:pPr>
        <w:pStyle w:val="BodyText"/>
        <w:spacing w:before="6"/>
        <w:rPr>
          <w:sz w:val="35"/>
        </w:rPr>
      </w:pPr>
    </w:p>
    <w:p>
      <w:pPr>
        <w:pStyle w:val="BodyText"/>
        <w:spacing w:line="480" w:lineRule="auto"/>
        <w:ind w:left="172" w:right="175"/>
        <w:jc w:val="both"/>
      </w:pPr>
      <w:r>
        <w:rPr/>
        <w:t>3.- Continuar realizando estudios utilizando gabapentina como monoterapia en perros de talla grande para valorar su efectividad.</w:t>
      </w:r>
    </w:p>
    <w:p>
      <w:pPr>
        <w:pStyle w:val="BodyText"/>
      </w:pPr>
    </w:p>
    <w:p>
      <w:pPr>
        <w:pStyle w:val="BodyText"/>
      </w:pPr>
    </w:p>
    <w:p>
      <w:pPr>
        <w:pStyle w:val="BodyText"/>
        <w:spacing w:before="6"/>
        <w:rPr>
          <w:sz w:val="35"/>
        </w:rPr>
      </w:pPr>
    </w:p>
    <w:p>
      <w:pPr>
        <w:pStyle w:val="BodyText"/>
        <w:spacing w:line="480" w:lineRule="auto"/>
        <w:ind w:left="172" w:right="172"/>
        <w:jc w:val="both"/>
      </w:pPr>
      <w:r>
        <w:rPr/>
        <w:t>4.- Realizar estudios para el manejo de epilepsia idiopática con gabapentina por un mayor período de tiempo para observar y valorar efectos a largo plazo.</w:t>
      </w:r>
    </w:p>
    <w:p>
      <w:pPr>
        <w:spacing w:after="0" w:line="480" w:lineRule="auto"/>
        <w:jc w:val="both"/>
        <w:sectPr>
          <w:pgSz w:w="12240" w:h="15840"/>
          <w:pgMar w:header="0" w:footer="2131" w:top="1500" w:bottom="2320" w:left="1700" w:right="1360"/>
        </w:sectPr>
      </w:pPr>
    </w:p>
    <w:p>
      <w:pPr>
        <w:pStyle w:val="BodyText"/>
        <w:spacing w:before="9"/>
        <w:rPr>
          <w:sz w:val="28"/>
        </w:rPr>
      </w:pPr>
    </w:p>
    <w:p>
      <w:pPr>
        <w:pStyle w:val="Heading1"/>
      </w:pPr>
      <w:r>
        <w:rPr/>
        <w:pict>
          <v:group style="position:absolute;margin-left:90.758003pt;margin-top:20.530283pt;width:447.8pt;height:4.350pt;mso-position-horizontal-relative:page;mso-position-vertical-relative:paragraph;z-index:1672;mso-wrap-distance-left:0;mso-wrap-distance-right:0" coordorigin="1815,411" coordsize="8956,87">
            <v:line style="position:absolute" from="1844,490" to="10742,490" stroked="true" strokeweight=".72pt" strokecolor="#000000"/>
            <v:line style="position:absolute" from="1844,440" to="10742,440" stroked="true" strokeweight="2.88pt" strokecolor="#000000"/>
            <w10:wrap type="topAndBottom"/>
          </v:group>
        </w:pict>
      </w:r>
      <w:bookmarkStart w:name="_bookmark62" w:id="92"/>
      <w:bookmarkEnd w:id="92"/>
      <w:r>
        <w:rPr>
          <w:b w:val="0"/>
        </w:rPr>
      </w:r>
      <w:r>
        <w:rPr/>
        <w:t>CAPITULO XI</w:t>
      </w:r>
    </w:p>
    <w:p>
      <w:pPr>
        <w:pStyle w:val="BodyText"/>
        <w:rPr>
          <w:b/>
          <w:sz w:val="15"/>
        </w:rPr>
      </w:pPr>
    </w:p>
    <w:p>
      <w:pPr>
        <w:pStyle w:val="Heading2"/>
        <w:spacing w:before="69"/>
      </w:pPr>
      <w:bookmarkStart w:name="_bookmark63" w:id="93"/>
      <w:bookmarkEnd w:id="93"/>
      <w:r>
        <w:rPr>
          <w:b w:val="0"/>
        </w:rPr>
      </w:r>
      <w:r>
        <w:rPr/>
        <w:t>REFERENCIAS BIBLIOGRÁFICAS</w:t>
      </w:r>
    </w:p>
    <w:p>
      <w:pPr>
        <w:pStyle w:val="BodyText"/>
        <w:rPr>
          <w:b/>
        </w:rPr>
      </w:pPr>
    </w:p>
    <w:p>
      <w:pPr>
        <w:pStyle w:val="BodyText"/>
        <w:rPr>
          <w:b/>
        </w:rPr>
      </w:pPr>
    </w:p>
    <w:p>
      <w:pPr>
        <w:pStyle w:val="BodyText"/>
        <w:spacing w:before="1"/>
        <w:rPr>
          <w:b/>
          <w:sz w:val="26"/>
        </w:rPr>
      </w:pPr>
    </w:p>
    <w:p>
      <w:pPr>
        <w:pStyle w:val="ListParagraph"/>
        <w:numPr>
          <w:ilvl w:val="0"/>
          <w:numId w:val="20"/>
        </w:numPr>
        <w:tabs>
          <w:tab w:pos="879" w:val="left" w:leader="none"/>
        </w:tabs>
        <w:spacing w:line="480" w:lineRule="auto" w:before="0" w:after="0"/>
        <w:ind w:left="893" w:right="180" w:hanging="360"/>
        <w:jc w:val="both"/>
        <w:rPr>
          <w:sz w:val="24"/>
        </w:rPr>
      </w:pPr>
      <w:r>
        <w:rPr>
          <w:sz w:val="24"/>
        </w:rPr>
        <w:t>Acharya, M.M., Hattiangady, B., Shetty, K.A., 2008. Progress </w:t>
      </w:r>
      <w:r>
        <w:rPr>
          <w:spacing w:val="-3"/>
          <w:sz w:val="24"/>
        </w:rPr>
        <w:t>in </w:t>
      </w:r>
      <w:r>
        <w:rPr>
          <w:sz w:val="24"/>
        </w:rPr>
        <w:t>neuroprotective strategies for preventing epilepsy. Progress </w:t>
      </w:r>
      <w:r>
        <w:rPr>
          <w:spacing w:val="-3"/>
          <w:sz w:val="24"/>
        </w:rPr>
        <w:t>in </w:t>
      </w:r>
      <w:r>
        <w:rPr>
          <w:sz w:val="24"/>
        </w:rPr>
        <w:t>Neurobiology 84,</w:t>
      </w:r>
      <w:r>
        <w:rPr>
          <w:spacing w:val="-14"/>
          <w:sz w:val="24"/>
        </w:rPr>
        <w:t> </w:t>
      </w:r>
      <w:r>
        <w:rPr>
          <w:sz w:val="24"/>
        </w:rPr>
        <w:t>363–404.</w:t>
      </w:r>
    </w:p>
    <w:p>
      <w:pPr>
        <w:pStyle w:val="ListParagraph"/>
        <w:numPr>
          <w:ilvl w:val="0"/>
          <w:numId w:val="20"/>
        </w:numPr>
        <w:tabs>
          <w:tab w:pos="879" w:val="left" w:leader="none"/>
        </w:tabs>
        <w:spacing w:line="480" w:lineRule="auto" w:before="212" w:after="0"/>
        <w:ind w:left="893" w:right="180" w:hanging="360"/>
        <w:jc w:val="both"/>
        <w:rPr>
          <w:sz w:val="24"/>
        </w:rPr>
      </w:pPr>
      <w:r>
        <w:rPr>
          <w:sz w:val="24"/>
        </w:rPr>
        <w:t>Adams, R.D., Victor, M., Ropper, A.H., 1997. Epilepsy and other seizure disorders, In: Principles of Neurology. New York, McGraw-Hill, pp</w:t>
      </w:r>
      <w:r>
        <w:rPr>
          <w:spacing w:val="-21"/>
          <w:sz w:val="24"/>
        </w:rPr>
        <w:t> </w:t>
      </w:r>
      <w:r>
        <w:rPr>
          <w:sz w:val="24"/>
        </w:rPr>
        <w:t>313-343</w:t>
      </w:r>
    </w:p>
    <w:p>
      <w:pPr>
        <w:pStyle w:val="ListParagraph"/>
        <w:numPr>
          <w:ilvl w:val="0"/>
          <w:numId w:val="20"/>
        </w:numPr>
        <w:tabs>
          <w:tab w:pos="879" w:val="left" w:leader="none"/>
        </w:tabs>
        <w:spacing w:line="480" w:lineRule="auto" w:before="207" w:after="0"/>
        <w:ind w:left="893" w:right="171" w:hanging="360"/>
        <w:jc w:val="both"/>
        <w:rPr>
          <w:sz w:val="24"/>
        </w:rPr>
      </w:pPr>
      <w:r>
        <w:rPr>
          <w:sz w:val="24"/>
        </w:rPr>
        <w:t>Akula, K.K., Dhir, A., Kulkarni, S.K., 2009. Effect of various antiepileptic drugs in a pentylenetetrazol-induced seizure model </w:t>
      </w:r>
      <w:r>
        <w:rPr>
          <w:spacing w:val="-3"/>
          <w:sz w:val="24"/>
        </w:rPr>
        <w:t>in </w:t>
      </w:r>
      <w:r>
        <w:rPr>
          <w:sz w:val="24"/>
        </w:rPr>
        <w:t>mice. Methods &amp; Findings in Experimental &amp; Clinical Pharmacology 31,</w:t>
      </w:r>
      <w:r>
        <w:rPr>
          <w:spacing w:val="-18"/>
          <w:sz w:val="24"/>
        </w:rPr>
        <w:t> </w:t>
      </w:r>
      <w:r>
        <w:rPr>
          <w:sz w:val="24"/>
        </w:rPr>
        <w:t>423–432.</w:t>
      </w:r>
    </w:p>
    <w:p>
      <w:pPr>
        <w:pStyle w:val="ListParagraph"/>
        <w:numPr>
          <w:ilvl w:val="0"/>
          <w:numId w:val="20"/>
        </w:numPr>
        <w:tabs>
          <w:tab w:pos="879" w:val="left" w:leader="none"/>
        </w:tabs>
        <w:spacing w:line="480" w:lineRule="auto" w:before="212" w:after="0"/>
        <w:ind w:left="893" w:right="164" w:hanging="360"/>
        <w:jc w:val="both"/>
        <w:rPr>
          <w:sz w:val="24"/>
        </w:rPr>
      </w:pPr>
      <w:r>
        <w:rPr>
          <w:sz w:val="24"/>
        </w:rPr>
        <w:t>Alsaadi, T.M., Shatzel, A., Marquez, A.V., 2005. Clinical experience </w:t>
      </w:r>
      <w:r>
        <w:rPr>
          <w:spacing w:val="4"/>
          <w:sz w:val="24"/>
        </w:rPr>
        <w:t>of </w:t>
      </w:r>
      <w:r>
        <w:rPr>
          <w:sz w:val="24"/>
        </w:rPr>
        <w:t>levetiracetam monotherapy for adults with epilepsy: 1-year follow-up study. Seizure 14,</w:t>
      </w:r>
      <w:r>
        <w:rPr>
          <w:spacing w:val="-1"/>
          <w:sz w:val="24"/>
        </w:rPr>
        <w:t> </w:t>
      </w:r>
      <w:r>
        <w:rPr>
          <w:sz w:val="24"/>
        </w:rPr>
        <w:t>139–142.</w:t>
      </w:r>
    </w:p>
    <w:p>
      <w:pPr>
        <w:pStyle w:val="ListParagraph"/>
        <w:numPr>
          <w:ilvl w:val="0"/>
          <w:numId w:val="20"/>
        </w:numPr>
        <w:tabs>
          <w:tab w:pos="879" w:val="left" w:leader="none"/>
        </w:tabs>
        <w:spacing w:line="480" w:lineRule="auto" w:before="212" w:after="0"/>
        <w:ind w:left="893" w:right="173" w:hanging="360"/>
        <w:jc w:val="both"/>
        <w:rPr>
          <w:sz w:val="24"/>
        </w:rPr>
      </w:pPr>
      <w:r>
        <w:rPr>
          <w:sz w:val="24"/>
        </w:rPr>
        <w:t>Andrews, C.O., Fischer, J.H., 1994. Gabapentin: a new agent for the management </w:t>
      </w:r>
      <w:r>
        <w:rPr>
          <w:spacing w:val="4"/>
          <w:sz w:val="24"/>
        </w:rPr>
        <w:t>of </w:t>
      </w:r>
      <w:r>
        <w:rPr>
          <w:sz w:val="24"/>
        </w:rPr>
        <w:t>epilepsy. Ann Pharmacother 28,</w:t>
      </w:r>
      <w:r>
        <w:rPr>
          <w:spacing w:val="-10"/>
          <w:sz w:val="24"/>
        </w:rPr>
        <w:t> </w:t>
      </w:r>
      <w:r>
        <w:rPr>
          <w:sz w:val="24"/>
        </w:rPr>
        <w:t>1188-1196.</w:t>
      </w:r>
    </w:p>
    <w:p>
      <w:pPr>
        <w:pStyle w:val="ListParagraph"/>
        <w:numPr>
          <w:ilvl w:val="0"/>
          <w:numId w:val="20"/>
        </w:numPr>
        <w:tabs>
          <w:tab w:pos="879" w:val="left" w:leader="none"/>
        </w:tabs>
        <w:spacing w:line="480" w:lineRule="auto" w:before="207" w:after="0"/>
        <w:ind w:left="893" w:right="174" w:hanging="360"/>
        <w:jc w:val="both"/>
        <w:rPr>
          <w:sz w:val="24"/>
        </w:rPr>
      </w:pPr>
      <w:r>
        <w:rPr>
          <w:sz w:val="24"/>
        </w:rPr>
        <w:t>Anhut, H., Ashman, P., Feuerstein, T.J., 1994. Gabapentin (Neurontin) as add </w:t>
      </w:r>
      <w:r>
        <w:rPr>
          <w:spacing w:val="4"/>
          <w:sz w:val="24"/>
        </w:rPr>
        <w:t>on </w:t>
      </w:r>
      <w:r>
        <w:rPr>
          <w:sz w:val="24"/>
        </w:rPr>
        <w:t>therapy </w:t>
      </w:r>
      <w:r>
        <w:rPr>
          <w:spacing w:val="-3"/>
          <w:sz w:val="24"/>
        </w:rPr>
        <w:t>in </w:t>
      </w:r>
      <w:r>
        <w:rPr>
          <w:sz w:val="24"/>
        </w:rPr>
        <w:t>patients with parcial seizures: a double-blind, placebo-controlled study. Epilepsy 35,</w:t>
      </w:r>
      <w:r>
        <w:rPr>
          <w:spacing w:val="-6"/>
          <w:sz w:val="24"/>
        </w:rPr>
        <w:t> </w:t>
      </w:r>
      <w:r>
        <w:rPr>
          <w:sz w:val="24"/>
        </w:rPr>
        <w:t>795-801.</w:t>
      </w:r>
    </w:p>
    <w:p>
      <w:pPr>
        <w:spacing w:after="0" w:line="480" w:lineRule="auto"/>
        <w:jc w:val="both"/>
        <w:rPr>
          <w:sz w:val="24"/>
        </w:rPr>
        <w:sectPr>
          <w:pgSz w:w="12240" w:h="15840"/>
          <w:pgMar w:header="0" w:footer="2131" w:top="1500" w:bottom="2320" w:left="1700" w:right="1360"/>
        </w:sectPr>
      </w:pPr>
    </w:p>
    <w:p>
      <w:pPr>
        <w:pStyle w:val="BodyText"/>
        <w:spacing w:before="7"/>
        <w:rPr>
          <w:sz w:val="20"/>
        </w:rPr>
      </w:pPr>
    </w:p>
    <w:p>
      <w:pPr>
        <w:pStyle w:val="ListParagraph"/>
        <w:numPr>
          <w:ilvl w:val="0"/>
          <w:numId w:val="20"/>
        </w:numPr>
        <w:tabs>
          <w:tab w:pos="859" w:val="left" w:leader="none"/>
        </w:tabs>
        <w:spacing w:line="480" w:lineRule="auto" w:before="69" w:after="0"/>
        <w:ind w:left="873" w:right="104" w:hanging="360"/>
        <w:jc w:val="both"/>
        <w:rPr>
          <w:sz w:val="24"/>
        </w:rPr>
      </w:pPr>
      <w:r>
        <w:rPr>
          <w:sz w:val="24"/>
        </w:rPr>
        <w:t>Badawy, B.A.R., Harvey, S.A., Macdonell, L.A.R., 2009. Cortical hyperexcitability and epileptogenesis: Understanding the mechanisms </w:t>
      </w:r>
      <w:r>
        <w:rPr>
          <w:spacing w:val="4"/>
          <w:sz w:val="24"/>
        </w:rPr>
        <w:t>of </w:t>
      </w:r>
      <w:r>
        <w:rPr>
          <w:sz w:val="24"/>
        </w:rPr>
        <w:t>epilepsy –part 1. Journal </w:t>
      </w:r>
      <w:r>
        <w:rPr>
          <w:spacing w:val="4"/>
          <w:sz w:val="24"/>
        </w:rPr>
        <w:t>of </w:t>
      </w:r>
      <w:r>
        <w:rPr>
          <w:sz w:val="24"/>
        </w:rPr>
        <w:t>Clinical Neuroscience 16,</w:t>
      </w:r>
      <w:r>
        <w:rPr>
          <w:spacing w:val="-12"/>
          <w:sz w:val="24"/>
        </w:rPr>
        <w:t> </w:t>
      </w:r>
      <w:r>
        <w:rPr>
          <w:sz w:val="24"/>
        </w:rPr>
        <w:t>355-365.</w:t>
      </w:r>
    </w:p>
    <w:p>
      <w:pPr>
        <w:pStyle w:val="ListParagraph"/>
        <w:numPr>
          <w:ilvl w:val="0"/>
          <w:numId w:val="20"/>
        </w:numPr>
        <w:tabs>
          <w:tab w:pos="859" w:val="left" w:leader="none"/>
        </w:tabs>
        <w:spacing w:line="480" w:lineRule="auto" w:before="212" w:after="0"/>
        <w:ind w:left="873" w:right="122" w:hanging="360"/>
        <w:jc w:val="both"/>
        <w:rPr>
          <w:sz w:val="24"/>
        </w:rPr>
      </w:pPr>
      <w:r>
        <w:rPr>
          <w:sz w:val="24"/>
        </w:rPr>
        <w:t>Bagley, R.S, Harrington, M.L, Moore, M.P., 1996. Surgical treatments for seizure: Adaptability for dogs. Veterinary Clinics </w:t>
      </w:r>
      <w:r>
        <w:rPr>
          <w:spacing w:val="4"/>
          <w:sz w:val="24"/>
        </w:rPr>
        <w:t>of </w:t>
      </w:r>
      <w:r>
        <w:rPr>
          <w:sz w:val="24"/>
        </w:rPr>
        <w:t>North America (Small Animal</w:t>
      </w:r>
      <w:r>
        <w:rPr>
          <w:spacing w:val="-32"/>
          <w:sz w:val="24"/>
        </w:rPr>
        <w:t> </w:t>
      </w:r>
      <w:r>
        <w:rPr>
          <w:sz w:val="24"/>
        </w:rPr>
        <w:t>Practice) 26,</w:t>
      </w:r>
      <w:r>
        <w:rPr>
          <w:spacing w:val="4"/>
          <w:sz w:val="24"/>
        </w:rPr>
        <w:t> </w:t>
      </w:r>
      <w:r>
        <w:rPr>
          <w:sz w:val="24"/>
        </w:rPr>
        <w:t>827-842</w:t>
      </w:r>
    </w:p>
    <w:p>
      <w:pPr>
        <w:pStyle w:val="ListParagraph"/>
        <w:numPr>
          <w:ilvl w:val="0"/>
          <w:numId w:val="20"/>
        </w:numPr>
        <w:tabs>
          <w:tab w:pos="859" w:val="left" w:leader="none"/>
        </w:tabs>
        <w:spacing w:line="240" w:lineRule="auto" w:before="207" w:after="0"/>
        <w:ind w:left="858" w:right="0" w:hanging="345"/>
        <w:jc w:val="left"/>
        <w:rPr>
          <w:sz w:val="24"/>
        </w:rPr>
      </w:pPr>
      <w:r>
        <w:rPr>
          <w:sz w:val="24"/>
        </w:rPr>
        <w:t>Bagley,  S.R.,  2005.  In textbook: Fundamentals  of veterinary clinical   </w:t>
      </w:r>
      <w:r>
        <w:rPr>
          <w:spacing w:val="24"/>
          <w:sz w:val="24"/>
        </w:rPr>
        <w:t> </w:t>
      </w:r>
      <w:r>
        <w:rPr>
          <w:sz w:val="24"/>
        </w:rPr>
        <w:t>neurology.</w:t>
      </w:r>
    </w:p>
    <w:p>
      <w:pPr>
        <w:pStyle w:val="BodyText"/>
      </w:pPr>
    </w:p>
    <w:p>
      <w:pPr>
        <w:pStyle w:val="BodyText"/>
        <w:ind w:left="873" w:right="98"/>
      </w:pPr>
      <w:r>
        <w:rPr/>
        <w:t>Blackwell publishing, first edition. United States, cap. 17. pp 374-375.</w:t>
      </w:r>
    </w:p>
    <w:p>
      <w:pPr>
        <w:pStyle w:val="BodyText"/>
      </w:pPr>
    </w:p>
    <w:p>
      <w:pPr>
        <w:pStyle w:val="ListParagraph"/>
        <w:numPr>
          <w:ilvl w:val="0"/>
          <w:numId w:val="20"/>
        </w:numPr>
        <w:tabs>
          <w:tab w:pos="859" w:val="left" w:leader="none"/>
        </w:tabs>
        <w:spacing w:line="480" w:lineRule="auto" w:before="201" w:after="0"/>
        <w:ind w:left="873" w:right="110" w:hanging="360"/>
        <w:jc w:val="both"/>
        <w:rPr>
          <w:sz w:val="24"/>
        </w:rPr>
      </w:pPr>
      <w:r>
        <w:rPr>
          <w:sz w:val="24"/>
        </w:rPr>
        <w:t>Bailey, K.S., Dewey, C.W., 2009. The seizuring cat: diagnostic </w:t>
      </w:r>
      <w:r>
        <w:rPr>
          <w:spacing w:val="2"/>
          <w:sz w:val="24"/>
        </w:rPr>
        <w:t>work-up </w:t>
      </w:r>
      <w:r>
        <w:rPr>
          <w:sz w:val="24"/>
        </w:rPr>
        <w:t>and therapy. Journal feline medical surgery 11,</w:t>
      </w:r>
      <w:r>
        <w:rPr>
          <w:spacing w:val="-12"/>
          <w:sz w:val="24"/>
        </w:rPr>
        <w:t> </w:t>
      </w:r>
      <w:r>
        <w:rPr>
          <w:sz w:val="24"/>
        </w:rPr>
        <w:t>385-394.</w:t>
      </w:r>
    </w:p>
    <w:p>
      <w:pPr>
        <w:pStyle w:val="ListParagraph"/>
        <w:numPr>
          <w:ilvl w:val="0"/>
          <w:numId w:val="20"/>
        </w:numPr>
        <w:tabs>
          <w:tab w:pos="921" w:val="left" w:leader="none"/>
        </w:tabs>
        <w:spacing w:line="240" w:lineRule="auto" w:before="207" w:after="0"/>
        <w:ind w:left="921" w:right="0" w:hanging="408"/>
        <w:jc w:val="left"/>
        <w:rPr>
          <w:sz w:val="24"/>
        </w:rPr>
      </w:pPr>
      <w:r>
        <w:rPr>
          <w:spacing w:val="-3"/>
          <w:sz w:val="24"/>
        </w:rPr>
        <w:t>Bazil, </w:t>
      </w:r>
      <w:r>
        <w:rPr>
          <w:sz w:val="24"/>
        </w:rPr>
        <w:t>C.W., 2002. New antiepileptic drugs. Neurologist 8,</w:t>
      </w:r>
      <w:r>
        <w:rPr>
          <w:spacing w:val="2"/>
          <w:sz w:val="24"/>
        </w:rPr>
        <w:t> </w:t>
      </w:r>
      <w:r>
        <w:rPr>
          <w:sz w:val="24"/>
        </w:rPr>
        <w:t>71–81.</w:t>
      </w:r>
    </w:p>
    <w:p>
      <w:pPr>
        <w:pStyle w:val="BodyText"/>
      </w:pPr>
    </w:p>
    <w:p>
      <w:pPr>
        <w:pStyle w:val="ListParagraph"/>
        <w:numPr>
          <w:ilvl w:val="0"/>
          <w:numId w:val="20"/>
        </w:numPr>
        <w:tabs>
          <w:tab w:pos="917" w:val="left" w:leader="none"/>
        </w:tabs>
        <w:spacing w:line="480" w:lineRule="auto" w:before="201" w:after="0"/>
        <w:ind w:left="873" w:right="111" w:hanging="360"/>
        <w:jc w:val="both"/>
        <w:rPr>
          <w:sz w:val="24"/>
        </w:rPr>
      </w:pPr>
      <w:r>
        <w:rPr>
          <w:sz w:val="24"/>
        </w:rPr>
        <w:t>Beleza, P., 2009. Refractory epilepsy; a clinically oriented review. European Neurology 62,</w:t>
      </w:r>
      <w:r>
        <w:rPr>
          <w:spacing w:val="-2"/>
          <w:sz w:val="24"/>
        </w:rPr>
        <w:t> </w:t>
      </w:r>
      <w:r>
        <w:rPr>
          <w:sz w:val="24"/>
        </w:rPr>
        <w:t>65–71.</w:t>
      </w:r>
    </w:p>
    <w:p>
      <w:pPr>
        <w:pStyle w:val="ListParagraph"/>
        <w:numPr>
          <w:ilvl w:val="0"/>
          <w:numId w:val="20"/>
        </w:numPr>
        <w:tabs>
          <w:tab w:pos="917" w:val="left" w:leader="none"/>
        </w:tabs>
        <w:spacing w:line="480" w:lineRule="auto" w:before="212" w:after="0"/>
        <w:ind w:left="873" w:right="103" w:hanging="360"/>
        <w:jc w:val="both"/>
        <w:rPr>
          <w:sz w:val="24"/>
        </w:rPr>
      </w:pPr>
      <w:r>
        <w:rPr>
          <w:sz w:val="24"/>
        </w:rPr>
        <w:t>Berendt, M., 2007. Epilepsy. In: Vite CH, Braund KG (Eds). Braund’s Clinical neurology </w:t>
      </w:r>
      <w:r>
        <w:rPr>
          <w:spacing w:val="-3"/>
          <w:sz w:val="24"/>
        </w:rPr>
        <w:t>in </w:t>
      </w:r>
      <w:r>
        <w:rPr>
          <w:sz w:val="24"/>
        </w:rPr>
        <w:t>small animals: localization, diagnosis and treatment. Veterinary Information Service, Cornell University, Available at </w:t>
      </w:r>
      <w:hyperlink r:id="rId43">
        <w:r>
          <w:rPr>
            <w:sz w:val="24"/>
          </w:rPr>
          <w:t>www.</w:t>
        </w:r>
      </w:hyperlink>
      <w:r>
        <w:rPr>
          <w:spacing w:val="-31"/>
          <w:sz w:val="24"/>
        </w:rPr>
        <w:t> </w:t>
      </w:r>
      <w:r>
        <w:rPr>
          <w:sz w:val="24"/>
        </w:rPr>
        <w:t>ivis.org.</w:t>
      </w:r>
    </w:p>
    <w:p>
      <w:pPr>
        <w:pStyle w:val="ListParagraph"/>
        <w:numPr>
          <w:ilvl w:val="0"/>
          <w:numId w:val="20"/>
        </w:numPr>
        <w:tabs>
          <w:tab w:pos="917" w:val="left" w:leader="none"/>
        </w:tabs>
        <w:spacing w:line="240" w:lineRule="auto" w:before="207" w:after="0"/>
        <w:ind w:left="916" w:right="0" w:hanging="403"/>
        <w:jc w:val="left"/>
        <w:rPr>
          <w:sz w:val="24"/>
        </w:rPr>
      </w:pPr>
      <w:r>
        <w:rPr>
          <w:sz w:val="24"/>
        </w:rPr>
        <w:t>Berendt,</w:t>
      </w:r>
      <w:r>
        <w:rPr>
          <w:spacing w:val="28"/>
          <w:sz w:val="24"/>
        </w:rPr>
        <w:t> </w:t>
      </w:r>
      <w:r>
        <w:rPr>
          <w:sz w:val="24"/>
        </w:rPr>
        <w:t>M.,</w:t>
      </w:r>
      <w:r>
        <w:rPr>
          <w:spacing w:val="23"/>
          <w:sz w:val="24"/>
        </w:rPr>
        <w:t> </w:t>
      </w:r>
      <w:r>
        <w:rPr>
          <w:sz w:val="24"/>
        </w:rPr>
        <w:t>Edal,</w:t>
      </w:r>
      <w:r>
        <w:rPr>
          <w:spacing w:val="28"/>
          <w:sz w:val="24"/>
        </w:rPr>
        <w:t> </w:t>
      </w:r>
      <w:r>
        <w:rPr>
          <w:sz w:val="24"/>
        </w:rPr>
        <w:t>G.H.,</w:t>
      </w:r>
      <w:r>
        <w:rPr>
          <w:spacing w:val="28"/>
          <w:sz w:val="24"/>
        </w:rPr>
        <w:t> </w:t>
      </w:r>
      <w:r>
        <w:rPr>
          <w:sz w:val="24"/>
        </w:rPr>
        <w:t>Alving,</w:t>
      </w:r>
      <w:r>
        <w:rPr>
          <w:spacing w:val="28"/>
          <w:sz w:val="24"/>
        </w:rPr>
        <w:t> </w:t>
      </w:r>
      <w:r>
        <w:rPr>
          <w:sz w:val="24"/>
        </w:rPr>
        <w:t>J.,</w:t>
      </w:r>
      <w:r>
        <w:rPr>
          <w:spacing w:val="28"/>
          <w:sz w:val="24"/>
        </w:rPr>
        <w:t> </w:t>
      </w:r>
      <w:r>
        <w:rPr>
          <w:sz w:val="24"/>
        </w:rPr>
        <w:t>2004.</w:t>
      </w:r>
      <w:r>
        <w:rPr>
          <w:spacing w:val="28"/>
          <w:sz w:val="24"/>
        </w:rPr>
        <w:t> </w:t>
      </w:r>
      <w:r>
        <w:rPr>
          <w:sz w:val="24"/>
        </w:rPr>
        <w:t>Characteristics</w:t>
      </w:r>
      <w:r>
        <w:rPr>
          <w:spacing w:val="23"/>
          <w:sz w:val="24"/>
        </w:rPr>
        <w:t> </w:t>
      </w:r>
      <w:r>
        <w:rPr>
          <w:sz w:val="24"/>
        </w:rPr>
        <w:t>and</w:t>
      </w:r>
      <w:r>
        <w:rPr>
          <w:spacing w:val="25"/>
          <w:sz w:val="24"/>
        </w:rPr>
        <w:t> </w:t>
      </w:r>
      <w:r>
        <w:rPr>
          <w:sz w:val="24"/>
        </w:rPr>
        <w:t>phenomenology</w:t>
      </w:r>
      <w:r>
        <w:rPr>
          <w:spacing w:val="16"/>
          <w:sz w:val="24"/>
        </w:rPr>
        <w:t> </w:t>
      </w:r>
      <w:r>
        <w:rPr>
          <w:spacing w:val="4"/>
          <w:sz w:val="24"/>
        </w:rPr>
        <w:t>of</w:t>
      </w:r>
    </w:p>
    <w:p>
      <w:pPr>
        <w:pStyle w:val="BodyText"/>
        <w:spacing w:line="550" w:lineRule="atLeast" w:before="2"/>
        <w:ind w:left="873" w:right="98"/>
      </w:pPr>
      <w:r>
        <w:rPr/>
        <w:t>epileptic partial seizures in dogs: Similarities with human seizure semiology. Epilepsy Research 60, 167-173.</w:t>
      </w:r>
    </w:p>
    <w:p>
      <w:pPr>
        <w:spacing w:after="0" w:line="550" w:lineRule="atLeast"/>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240" w:lineRule="auto" w:before="69" w:after="0"/>
        <w:ind w:left="916" w:right="0" w:hanging="403"/>
        <w:jc w:val="left"/>
        <w:rPr>
          <w:sz w:val="24"/>
        </w:rPr>
      </w:pPr>
      <w:r>
        <w:rPr>
          <w:sz w:val="24"/>
        </w:rPr>
        <w:t>Bernard, C., Anderson, A., Becker, A., Poolos, N., Beck, H. &amp; Johnston, D., </w:t>
      </w:r>
      <w:r>
        <w:rPr>
          <w:spacing w:val="36"/>
          <w:sz w:val="24"/>
        </w:rPr>
        <w:t> </w:t>
      </w:r>
      <w:r>
        <w:rPr>
          <w:sz w:val="24"/>
        </w:rPr>
        <w:t>2004.</w:t>
      </w:r>
    </w:p>
    <w:p>
      <w:pPr>
        <w:pStyle w:val="BodyText"/>
      </w:pPr>
    </w:p>
    <w:p>
      <w:pPr>
        <w:pStyle w:val="BodyText"/>
        <w:ind w:left="873" w:right="98"/>
      </w:pPr>
      <w:r>
        <w:rPr/>
        <w:t>Acquired dentritic channelopathy in temporal lobe epilepsy. Science 305, 532-535</w:t>
      </w:r>
    </w:p>
    <w:p>
      <w:pPr>
        <w:pStyle w:val="BodyText"/>
      </w:pPr>
    </w:p>
    <w:p>
      <w:pPr>
        <w:pStyle w:val="ListParagraph"/>
        <w:numPr>
          <w:ilvl w:val="0"/>
          <w:numId w:val="20"/>
        </w:numPr>
        <w:tabs>
          <w:tab w:pos="917" w:val="left" w:leader="none"/>
        </w:tabs>
        <w:spacing w:line="480" w:lineRule="auto" w:before="201" w:after="0"/>
        <w:ind w:left="873" w:right="106" w:hanging="360"/>
        <w:jc w:val="both"/>
        <w:rPr>
          <w:sz w:val="24"/>
        </w:rPr>
      </w:pPr>
      <w:r>
        <w:rPr>
          <w:sz w:val="24"/>
        </w:rPr>
        <w:t>Bielfelt, S.W., </w:t>
      </w:r>
      <w:r>
        <w:rPr>
          <w:spacing w:val="-3"/>
          <w:sz w:val="24"/>
        </w:rPr>
        <w:t>Redman, </w:t>
      </w:r>
      <w:r>
        <w:rPr>
          <w:sz w:val="24"/>
        </w:rPr>
        <w:t>H.C., MacClean, R.O., 1971. </w:t>
      </w:r>
      <w:r>
        <w:rPr>
          <w:spacing w:val="-3"/>
          <w:sz w:val="24"/>
        </w:rPr>
        <w:t>Sire </w:t>
      </w:r>
      <w:r>
        <w:rPr>
          <w:sz w:val="24"/>
        </w:rPr>
        <w:t>and sex related differences </w:t>
      </w:r>
      <w:r>
        <w:rPr>
          <w:spacing w:val="-3"/>
          <w:sz w:val="24"/>
        </w:rPr>
        <w:t>in </w:t>
      </w:r>
      <w:r>
        <w:rPr>
          <w:sz w:val="24"/>
        </w:rPr>
        <w:t>rates of epileptiform seizures </w:t>
      </w:r>
      <w:r>
        <w:rPr>
          <w:spacing w:val="-3"/>
          <w:sz w:val="24"/>
        </w:rPr>
        <w:t>in </w:t>
      </w:r>
      <w:r>
        <w:rPr>
          <w:sz w:val="24"/>
        </w:rPr>
        <w:t>a purebred beagle dog colony. American Journal </w:t>
      </w:r>
      <w:r>
        <w:rPr>
          <w:spacing w:val="4"/>
          <w:sz w:val="24"/>
        </w:rPr>
        <w:t>of </w:t>
      </w:r>
      <w:r>
        <w:rPr>
          <w:sz w:val="24"/>
        </w:rPr>
        <w:t>Veterinary Research 32,</w:t>
      </w:r>
      <w:r>
        <w:rPr>
          <w:spacing w:val="-25"/>
          <w:sz w:val="24"/>
        </w:rPr>
        <w:t> </w:t>
      </w:r>
      <w:r>
        <w:rPr>
          <w:sz w:val="24"/>
        </w:rPr>
        <w:t>2039-2048.</w:t>
      </w:r>
    </w:p>
    <w:p>
      <w:pPr>
        <w:pStyle w:val="ListParagraph"/>
        <w:numPr>
          <w:ilvl w:val="0"/>
          <w:numId w:val="20"/>
        </w:numPr>
        <w:tabs>
          <w:tab w:pos="917" w:val="left" w:leader="none"/>
        </w:tabs>
        <w:spacing w:line="480" w:lineRule="auto" w:before="207" w:after="0"/>
        <w:ind w:left="873" w:right="116" w:hanging="360"/>
        <w:jc w:val="both"/>
        <w:rPr>
          <w:sz w:val="24"/>
        </w:rPr>
      </w:pPr>
      <w:r>
        <w:rPr>
          <w:sz w:val="24"/>
        </w:rPr>
        <w:t>Blume, W.T., 1993. Motor cortex: anatomy, physiology and epileptogenesis. </w:t>
      </w:r>
      <w:r>
        <w:rPr>
          <w:spacing w:val="3"/>
          <w:sz w:val="24"/>
        </w:rPr>
        <w:t>In </w:t>
      </w:r>
      <w:r>
        <w:rPr>
          <w:sz w:val="24"/>
        </w:rPr>
        <w:t>Wylhe E, (ed). The Treatment of Epilepsy: Principles and Practices Philadelphia, Lea &amp; Feblger, pp</w:t>
      </w:r>
      <w:r>
        <w:rPr>
          <w:spacing w:val="-4"/>
          <w:sz w:val="24"/>
        </w:rPr>
        <w:t> </w:t>
      </w:r>
      <w:r>
        <w:rPr>
          <w:sz w:val="24"/>
        </w:rPr>
        <w:t>16-25.</w:t>
      </w:r>
    </w:p>
    <w:p>
      <w:pPr>
        <w:pStyle w:val="ListParagraph"/>
        <w:numPr>
          <w:ilvl w:val="0"/>
          <w:numId w:val="20"/>
        </w:numPr>
        <w:tabs>
          <w:tab w:pos="917" w:val="left" w:leader="none"/>
        </w:tabs>
        <w:spacing w:line="480" w:lineRule="auto" w:before="212" w:after="0"/>
        <w:ind w:left="873" w:right="115" w:hanging="360"/>
        <w:jc w:val="both"/>
        <w:rPr>
          <w:sz w:val="24"/>
        </w:rPr>
      </w:pPr>
      <w:r>
        <w:rPr>
          <w:sz w:val="24"/>
        </w:rPr>
        <w:t>Boericke, W., 2001. Pocket Manual </w:t>
      </w:r>
      <w:r>
        <w:rPr>
          <w:spacing w:val="4"/>
          <w:sz w:val="24"/>
        </w:rPr>
        <w:t>of </w:t>
      </w:r>
      <w:r>
        <w:rPr>
          <w:sz w:val="24"/>
        </w:rPr>
        <w:t>Homeopathic Materia Medica. Karolbagh Road, New Delhi, India: Indian Books and Periodical</w:t>
      </w:r>
      <w:r>
        <w:rPr>
          <w:spacing w:val="-36"/>
          <w:sz w:val="24"/>
        </w:rPr>
        <w:t> </w:t>
      </w:r>
      <w:r>
        <w:rPr>
          <w:sz w:val="24"/>
        </w:rPr>
        <w:t>Publishers.</w:t>
      </w:r>
    </w:p>
    <w:p>
      <w:pPr>
        <w:pStyle w:val="ListParagraph"/>
        <w:numPr>
          <w:ilvl w:val="0"/>
          <w:numId w:val="20"/>
        </w:numPr>
        <w:tabs>
          <w:tab w:pos="917" w:val="left" w:leader="none"/>
        </w:tabs>
        <w:spacing w:line="480" w:lineRule="auto" w:before="207" w:after="0"/>
        <w:ind w:left="873" w:right="111" w:hanging="360"/>
        <w:jc w:val="both"/>
        <w:rPr>
          <w:sz w:val="24"/>
        </w:rPr>
      </w:pPr>
      <w:r>
        <w:rPr>
          <w:sz w:val="24"/>
        </w:rPr>
        <w:t>Bollinger-Schtmitz, K., Kline, K., 2000. An overview </w:t>
      </w:r>
      <w:r>
        <w:rPr>
          <w:spacing w:val="4"/>
          <w:sz w:val="24"/>
        </w:rPr>
        <w:t>of </w:t>
      </w:r>
      <w:r>
        <w:rPr>
          <w:sz w:val="24"/>
        </w:rPr>
        <w:t>canine idiopathic epilepsy for the small animal practitioner. Iowa: Iowa State Univers Veterinary 62,</w:t>
      </w:r>
      <w:r>
        <w:rPr>
          <w:spacing w:val="-21"/>
          <w:sz w:val="24"/>
        </w:rPr>
        <w:t> </w:t>
      </w:r>
      <w:r>
        <w:rPr>
          <w:sz w:val="24"/>
        </w:rPr>
        <w:t>23-29.</w:t>
      </w:r>
    </w:p>
    <w:p>
      <w:pPr>
        <w:pStyle w:val="ListParagraph"/>
        <w:numPr>
          <w:ilvl w:val="0"/>
          <w:numId w:val="20"/>
        </w:numPr>
        <w:tabs>
          <w:tab w:pos="917" w:val="left" w:leader="none"/>
        </w:tabs>
        <w:spacing w:line="480" w:lineRule="auto" w:before="212" w:after="0"/>
        <w:ind w:left="873" w:right="113" w:hanging="360"/>
        <w:jc w:val="both"/>
        <w:rPr>
          <w:sz w:val="24"/>
        </w:rPr>
      </w:pPr>
      <w:r>
        <w:rPr>
          <w:sz w:val="24"/>
        </w:rPr>
        <w:t>Boothe, D.M., 1998. Anticonvulsant therapy </w:t>
      </w:r>
      <w:r>
        <w:rPr>
          <w:spacing w:val="-3"/>
          <w:sz w:val="24"/>
        </w:rPr>
        <w:t>in </w:t>
      </w:r>
      <w:r>
        <w:rPr>
          <w:sz w:val="24"/>
        </w:rPr>
        <w:t>small animals. Veterinary Clinics </w:t>
      </w:r>
      <w:r>
        <w:rPr>
          <w:spacing w:val="4"/>
          <w:sz w:val="24"/>
        </w:rPr>
        <w:t>of </w:t>
      </w:r>
      <w:r>
        <w:rPr>
          <w:sz w:val="24"/>
        </w:rPr>
        <w:t>North America 28,</w:t>
      </w:r>
      <w:r>
        <w:rPr>
          <w:spacing w:val="-3"/>
          <w:sz w:val="24"/>
        </w:rPr>
        <w:t> </w:t>
      </w:r>
      <w:r>
        <w:rPr>
          <w:sz w:val="24"/>
        </w:rPr>
        <w:t>411–48.</w:t>
      </w:r>
    </w:p>
    <w:p>
      <w:pPr>
        <w:pStyle w:val="ListParagraph"/>
        <w:numPr>
          <w:ilvl w:val="0"/>
          <w:numId w:val="20"/>
        </w:numPr>
        <w:tabs>
          <w:tab w:pos="917" w:val="left" w:leader="none"/>
        </w:tabs>
        <w:spacing w:line="480" w:lineRule="auto" w:before="212" w:after="0"/>
        <w:ind w:left="873" w:right="112" w:hanging="360"/>
        <w:jc w:val="both"/>
        <w:rPr>
          <w:sz w:val="24"/>
        </w:rPr>
      </w:pPr>
      <w:r>
        <w:rPr>
          <w:sz w:val="24"/>
        </w:rPr>
        <w:t>Boothe, D.M., Dewey, C., Slater, M., 2002. Comparison </w:t>
      </w:r>
      <w:r>
        <w:rPr>
          <w:spacing w:val="4"/>
          <w:sz w:val="24"/>
        </w:rPr>
        <w:t>of </w:t>
      </w:r>
      <w:r>
        <w:rPr>
          <w:sz w:val="24"/>
        </w:rPr>
        <w:t>phenobarbital and bromide as first choice anticonvulsant therapy </w:t>
      </w:r>
      <w:r>
        <w:rPr>
          <w:spacing w:val="-3"/>
          <w:sz w:val="24"/>
        </w:rPr>
        <w:t>in </w:t>
      </w:r>
      <w:r>
        <w:rPr>
          <w:sz w:val="24"/>
        </w:rPr>
        <w:t>the canine epileptic. Journal Veterinary Internal Medicine 16,</w:t>
      </w:r>
      <w:r>
        <w:rPr>
          <w:spacing w:val="-12"/>
          <w:sz w:val="24"/>
        </w:rPr>
        <w:t> </w:t>
      </w:r>
      <w:r>
        <w:rPr>
          <w:sz w:val="24"/>
        </w:rPr>
        <w:t>369.</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17" w:hanging="360"/>
        <w:jc w:val="both"/>
        <w:rPr>
          <w:sz w:val="24"/>
        </w:rPr>
      </w:pPr>
      <w:r>
        <w:rPr>
          <w:sz w:val="24"/>
        </w:rPr>
        <w:t>Boothe, D.M., Perkins, J., 2008. Disposition and safety </w:t>
      </w:r>
      <w:r>
        <w:rPr>
          <w:spacing w:val="4"/>
          <w:sz w:val="24"/>
        </w:rPr>
        <w:t>of </w:t>
      </w:r>
      <w:r>
        <w:rPr>
          <w:sz w:val="24"/>
        </w:rPr>
        <w:t>zonisamide after intravenous and oral single dose and oral multiple dosing </w:t>
      </w:r>
      <w:r>
        <w:rPr>
          <w:spacing w:val="-3"/>
          <w:sz w:val="24"/>
        </w:rPr>
        <w:t>in </w:t>
      </w:r>
      <w:r>
        <w:rPr>
          <w:sz w:val="24"/>
        </w:rPr>
        <w:t>normal hound dogs. Journal of Pharmacology and Therapeutics 31,</w:t>
      </w:r>
      <w:r>
        <w:rPr>
          <w:spacing w:val="-14"/>
          <w:sz w:val="24"/>
        </w:rPr>
        <w:t> </w:t>
      </w:r>
      <w:r>
        <w:rPr>
          <w:sz w:val="24"/>
        </w:rPr>
        <w:t>544-553.</w:t>
      </w:r>
    </w:p>
    <w:p>
      <w:pPr>
        <w:pStyle w:val="ListParagraph"/>
        <w:numPr>
          <w:ilvl w:val="0"/>
          <w:numId w:val="20"/>
        </w:numPr>
        <w:tabs>
          <w:tab w:pos="917" w:val="left" w:leader="none"/>
        </w:tabs>
        <w:spacing w:line="480" w:lineRule="auto" w:before="212" w:after="0"/>
        <w:ind w:left="873" w:right="114" w:hanging="360"/>
        <w:jc w:val="both"/>
        <w:rPr>
          <w:sz w:val="24"/>
        </w:rPr>
      </w:pPr>
      <w:r>
        <w:rPr>
          <w:sz w:val="24"/>
        </w:rPr>
        <w:t>Boothe, M.D., 2001. Anticonvulsants and other neurologic therapies </w:t>
      </w:r>
      <w:r>
        <w:rPr>
          <w:spacing w:val="-3"/>
          <w:sz w:val="24"/>
        </w:rPr>
        <w:t>in </w:t>
      </w:r>
      <w:r>
        <w:rPr>
          <w:sz w:val="24"/>
        </w:rPr>
        <w:t>small animals In: Small animal clinical pharmacology and therapeutics, WB Saunders, Philadelphia, pp.</w:t>
      </w:r>
      <w:r>
        <w:rPr>
          <w:spacing w:val="-5"/>
          <w:sz w:val="24"/>
        </w:rPr>
        <w:t> </w:t>
      </w:r>
      <w:r>
        <w:rPr>
          <w:sz w:val="24"/>
        </w:rPr>
        <w:t>431–456.</w:t>
      </w:r>
    </w:p>
    <w:p>
      <w:pPr>
        <w:pStyle w:val="ListParagraph"/>
        <w:numPr>
          <w:ilvl w:val="0"/>
          <w:numId w:val="20"/>
        </w:numPr>
        <w:tabs>
          <w:tab w:pos="917" w:val="left" w:leader="none"/>
        </w:tabs>
        <w:spacing w:line="480" w:lineRule="auto" w:before="207" w:after="0"/>
        <w:ind w:left="873" w:right="121" w:hanging="360"/>
        <w:jc w:val="both"/>
        <w:rPr>
          <w:sz w:val="24"/>
        </w:rPr>
      </w:pPr>
      <w:r>
        <w:rPr>
          <w:sz w:val="24"/>
        </w:rPr>
        <w:t>Brodie, J.M., Dichter, A.M., 1996. Antiepileptic drugs. Journal New England Medicine 334, 168-175</w:t>
      </w:r>
    </w:p>
    <w:p>
      <w:pPr>
        <w:pStyle w:val="ListParagraph"/>
        <w:numPr>
          <w:ilvl w:val="0"/>
          <w:numId w:val="20"/>
        </w:numPr>
        <w:tabs>
          <w:tab w:pos="917" w:val="left" w:leader="none"/>
        </w:tabs>
        <w:spacing w:line="240" w:lineRule="auto" w:before="212" w:after="0"/>
        <w:ind w:left="916" w:right="0" w:hanging="403"/>
        <w:jc w:val="left"/>
        <w:rPr>
          <w:sz w:val="24"/>
        </w:rPr>
      </w:pPr>
      <w:r>
        <w:rPr>
          <w:sz w:val="24"/>
        </w:rPr>
        <w:t>Brodie, M.J., Chadwick, D.W., Anhunt, H., Otte, A., Messmer, S., Maton, S.,</w:t>
      </w:r>
      <w:r>
        <w:rPr>
          <w:spacing w:val="-3"/>
          <w:sz w:val="24"/>
        </w:rPr>
        <w:t> </w:t>
      </w:r>
      <w:r>
        <w:rPr>
          <w:sz w:val="24"/>
        </w:rPr>
        <w:t>2002.</w:t>
      </w:r>
    </w:p>
    <w:p>
      <w:pPr>
        <w:pStyle w:val="BodyText"/>
      </w:pPr>
    </w:p>
    <w:p>
      <w:pPr>
        <w:pStyle w:val="BodyText"/>
        <w:spacing w:line="480" w:lineRule="auto"/>
        <w:ind w:left="873" w:right="98"/>
      </w:pPr>
      <w:r>
        <w:rPr/>
        <w:t>Gabapentin versus Lamotrigine monotherapy: A double-blind comparison in newly diagnosed epilepsy. Epilepsia 43, 993-1000.</w:t>
      </w:r>
    </w:p>
    <w:p>
      <w:pPr>
        <w:pStyle w:val="ListParagraph"/>
        <w:numPr>
          <w:ilvl w:val="0"/>
          <w:numId w:val="20"/>
        </w:numPr>
        <w:tabs>
          <w:tab w:pos="917" w:val="left" w:leader="none"/>
        </w:tabs>
        <w:spacing w:line="480" w:lineRule="auto" w:before="207" w:after="0"/>
        <w:ind w:left="873" w:right="126" w:hanging="360"/>
        <w:jc w:val="both"/>
        <w:rPr>
          <w:sz w:val="24"/>
        </w:rPr>
      </w:pPr>
      <w:r>
        <w:rPr>
          <w:sz w:val="24"/>
        </w:rPr>
        <w:t>Bunch, S.E., 1983. Anticonvulsant drug therapy </w:t>
      </w:r>
      <w:r>
        <w:rPr>
          <w:spacing w:val="-3"/>
          <w:sz w:val="24"/>
        </w:rPr>
        <w:t>in </w:t>
      </w:r>
      <w:r>
        <w:rPr>
          <w:sz w:val="24"/>
        </w:rPr>
        <w:t>companion animals. Current Veterinary Therapy VIII. Philadelphia, PA, WB Saunders. pp.</w:t>
      </w:r>
      <w:r>
        <w:rPr>
          <w:spacing w:val="-19"/>
          <w:sz w:val="24"/>
        </w:rPr>
        <w:t> </w:t>
      </w:r>
      <w:r>
        <w:rPr>
          <w:sz w:val="24"/>
        </w:rPr>
        <w:t>746-754.</w:t>
      </w:r>
    </w:p>
    <w:p>
      <w:pPr>
        <w:pStyle w:val="ListParagraph"/>
        <w:numPr>
          <w:ilvl w:val="0"/>
          <w:numId w:val="20"/>
        </w:numPr>
        <w:tabs>
          <w:tab w:pos="917" w:val="left" w:leader="none"/>
        </w:tabs>
        <w:spacing w:line="480" w:lineRule="auto" w:before="212" w:after="0"/>
        <w:ind w:left="873" w:right="116" w:hanging="360"/>
        <w:jc w:val="both"/>
        <w:rPr>
          <w:sz w:val="24"/>
        </w:rPr>
      </w:pPr>
      <w:r>
        <w:rPr>
          <w:sz w:val="24"/>
        </w:rPr>
        <w:t>Carroll, L.G., Hartsfield, M.S., Champney, H.T., Geller, C.S., Martinez, A.E., Haley, L.E., 2005. Effect of medetomidine and its antagonism with atipamezole on stress-related hormones, metabolites, physiologic responses, sedation, and mechanical threshold </w:t>
      </w:r>
      <w:r>
        <w:rPr>
          <w:spacing w:val="-3"/>
          <w:sz w:val="24"/>
        </w:rPr>
        <w:t>in </w:t>
      </w:r>
      <w:r>
        <w:rPr>
          <w:sz w:val="24"/>
        </w:rPr>
        <w:t>goats. Veterinary Anesthesia and Analgesia 32,</w:t>
      </w:r>
      <w:r>
        <w:rPr>
          <w:spacing w:val="-13"/>
          <w:sz w:val="24"/>
        </w:rPr>
        <w:t> </w:t>
      </w:r>
      <w:r>
        <w:rPr>
          <w:sz w:val="24"/>
        </w:rPr>
        <w:t>147-157.</w:t>
      </w:r>
    </w:p>
    <w:p>
      <w:pPr>
        <w:pStyle w:val="ListParagraph"/>
        <w:numPr>
          <w:ilvl w:val="0"/>
          <w:numId w:val="20"/>
        </w:numPr>
        <w:tabs>
          <w:tab w:pos="917" w:val="left" w:leader="none"/>
        </w:tabs>
        <w:spacing w:line="240" w:lineRule="auto" w:before="212" w:after="0"/>
        <w:ind w:left="916" w:right="0" w:hanging="403"/>
        <w:jc w:val="left"/>
        <w:rPr>
          <w:sz w:val="24"/>
        </w:rPr>
      </w:pPr>
      <w:r>
        <w:rPr>
          <w:sz w:val="24"/>
        </w:rPr>
        <w:t>Catterall,  W.A., 2000.    </w:t>
      </w:r>
      <w:r>
        <w:rPr>
          <w:spacing w:val="9"/>
          <w:sz w:val="24"/>
        </w:rPr>
        <w:t> </w:t>
      </w:r>
      <w:r>
        <w:rPr>
          <w:sz w:val="24"/>
        </w:rPr>
        <w:t>Structure and regulation of voltage-gated Ca2 + channels.</w:t>
      </w:r>
    </w:p>
    <w:p>
      <w:pPr>
        <w:pStyle w:val="BodyText"/>
      </w:pPr>
    </w:p>
    <w:p>
      <w:pPr>
        <w:pStyle w:val="BodyText"/>
        <w:ind w:left="873" w:right="98"/>
      </w:pPr>
      <w:r>
        <w:rPr/>
        <w:t>Annu. Rev. Cell Dev. Biol. 16, 521–555.</w:t>
      </w:r>
    </w:p>
    <w:p>
      <w:pPr>
        <w:spacing w:after="0"/>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21" w:val="left" w:leader="none"/>
        </w:tabs>
        <w:spacing w:line="240" w:lineRule="auto" w:before="69" w:after="0"/>
        <w:ind w:left="921" w:right="0" w:hanging="408"/>
        <w:jc w:val="left"/>
        <w:rPr>
          <w:sz w:val="24"/>
        </w:rPr>
      </w:pPr>
      <w:r>
        <w:rPr>
          <w:sz w:val="24"/>
        </w:rPr>
        <w:t>Center, S., 1986. Seizures </w:t>
      </w:r>
      <w:r>
        <w:rPr>
          <w:spacing w:val="-3"/>
          <w:sz w:val="24"/>
        </w:rPr>
        <w:t>in </w:t>
      </w:r>
      <w:r>
        <w:rPr>
          <w:sz w:val="24"/>
        </w:rPr>
        <w:t>dog and cat. Kal Kan Forum 5,</w:t>
      </w:r>
      <w:r>
        <w:rPr>
          <w:spacing w:val="-5"/>
          <w:sz w:val="24"/>
        </w:rPr>
        <w:t> </w:t>
      </w:r>
      <w:r>
        <w:rPr>
          <w:sz w:val="24"/>
        </w:rPr>
        <w:t>11-18.</w:t>
      </w:r>
    </w:p>
    <w:p>
      <w:pPr>
        <w:pStyle w:val="BodyText"/>
      </w:pPr>
    </w:p>
    <w:p>
      <w:pPr>
        <w:pStyle w:val="ListParagraph"/>
        <w:numPr>
          <w:ilvl w:val="0"/>
          <w:numId w:val="20"/>
        </w:numPr>
        <w:tabs>
          <w:tab w:pos="917" w:val="left" w:leader="none"/>
        </w:tabs>
        <w:spacing w:line="480" w:lineRule="auto" w:before="202" w:after="0"/>
        <w:ind w:left="873" w:right="112" w:hanging="360"/>
        <w:jc w:val="both"/>
        <w:rPr>
          <w:sz w:val="24"/>
        </w:rPr>
      </w:pPr>
      <w:r>
        <w:rPr>
          <w:sz w:val="24"/>
        </w:rPr>
        <w:t>Chang, Y., Mellor, J.D., Anderson, J.T., 2006. Idiopathic epilepsy </w:t>
      </w:r>
      <w:r>
        <w:rPr>
          <w:spacing w:val="-3"/>
          <w:sz w:val="24"/>
        </w:rPr>
        <w:t>in </w:t>
      </w:r>
      <w:r>
        <w:rPr>
          <w:sz w:val="24"/>
        </w:rPr>
        <w:t>dogs: owners´ perspectives on management with phenobarbitone and/or potassium bromide. Journal of Small Animal Practice 47,</w:t>
      </w:r>
      <w:r>
        <w:rPr>
          <w:spacing w:val="-11"/>
          <w:sz w:val="24"/>
        </w:rPr>
        <w:t> </w:t>
      </w:r>
      <w:r>
        <w:rPr>
          <w:sz w:val="24"/>
        </w:rPr>
        <w:t>574-581.</w:t>
      </w:r>
    </w:p>
    <w:p>
      <w:pPr>
        <w:pStyle w:val="ListParagraph"/>
        <w:numPr>
          <w:ilvl w:val="0"/>
          <w:numId w:val="20"/>
        </w:numPr>
        <w:tabs>
          <w:tab w:pos="917" w:val="left" w:leader="none"/>
        </w:tabs>
        <w:spacing w:line="480" w:lineRule="auto" w:before="207" w:after="0"/>
        <w:ind w:left="873" w:right="109" w:hanging="360"/>
        <w:jc w:val="both"/>
        <w:rPr>
          <w:sz w:val="24"/>
        </w:rPr>
      </w:pPr>
      <w:r>
        <w:rPr>
          <w:sz w:val="24"/>
        </w:rPr>
        <w:t>Chapman, A.G., 2000. Glutamate and epilepsy. Journal </w:t>
      </w:r>
      <w:r>
        <w:rPr>
          <w:spacing w:val="4"/>
          <w:sz w:val="24"/>
        </w:rPr>
        <w:t>of </w:t>
      </w:r>
      <w:r>
        <w:rPr>
          <w:sz w:val="24"/>
        </w:rPr>
        <w:t>Nutrition 130, 1043S– 1045S.</w:t>
      </w:r>
    </w:p>
    <w:p>
      <w:pPr>
        <w:pStyle w:val="ListParagraph"/>
        <w:numPr>
          <w:ilvl w:val="0"/>
          <w:numId w:val="20"/>
        </w:numPr>
        <w:tabs>
          <w:tab w:pos="917" w:val="left" w:leader="none"/>
        </w:tabs>
        <w:spacing w:line="480" w:lineRule="auto" w:before="212" w:after="0"/>
        <w:ind w:left="873" w:right="101" w:hanging="360"/>
        <w:jc w:val="both"/>
        <w:rPr>
          <w:sz w:val="24"/>
        </w:rPr>
      </w:pPr>
      <w:r>
        <w:rPr>
          <w:sz w:val="24"/>
        </w:rPr>
        <w:t>Chrisman, C.L., 1995. Seizures, </w:t>
      </w:r>
      <w:r>
        <w:rPr>
          <w:spacing w:val="-3"/>
          <w:sz w:val="24"/>
        </w:rPr>
        <w:t>in </w:t>
      </w:r>
      <w:r>
        <w:rPr>
          <w:sz w:val="24"/>
        </w:rPr>
        <w:t>Ettinger S J, Feldman EC (eds): Textbook of Veterinary Internal Medicine, </w:t>
      </w:r>
      <w:r>
        <w:rPr>
          <w:spacing w:val="2"/>
          <w:sz w:val="24"/>
        </w:rPr>
        <w:t>Vol </w:t>
      </w:r>
      <w:r>
        <w:rPr>
          <w:sz w:val="24"/>
        </w:rPr>
        <w:t>1. (Ed 4). Philadelphia, PA, Saunders, pp </w:t>
      </w:r>
      <w:r>
        <w:rPr>
          <w:spacing w:val="3"/>
          <w:sz w:val="24"/>
        </w:rPr>
        <w:t>152- </w:t>
      </w:r>
      <w:r>
        <w:rPr>
          <w:sz w:val="24"/>
        </w:rPr>
        <w:t>157.</w:t>
      </w:r>
    </w:p>
    <w:p>
      <w:pPr>
        <w:pStyle w:val="ListParagraph"/>
        <w:numPr>
          <w:ilvl w:val="0"/>
          <w:numId w:val="20"/>
        </w:numPr>
        <w:tabs>
          <w:tab w:pos="917" w:val="left" w:leader="none"/>
        </w:tabs>
        <w:spacing w:line="480" w:lineRule="auto" w:before="207" w:after="0"/>
        <w:ind w:left="873" w:right="109" w:hanging="360"/>
        <w:jc w:val="both"/>
        <w:rPr>
          <w:sz w:val="24"/>
        </w:rPr>
      </w:pPr>
      <w:r>
        <w:rPr>
          <w:sz w:val="24"/>
        </w:rPr>
        <w:t>Chung, Y.J., Hwang, Y.C., Chae, S.J., </w:t>
      </w:r>
      <w:r>
        <w:rPr>
          <w:spacing w:val="-3"/>
          <w:sz w:val="24"/>
        </w:rPr>
        <w:t>Ahn, </w:t>
      </w:r>
      <w:r>
        <w:rPr>
          <w:sz w:val="24"/>
        </w:rPr>
        <w:t>O.J., </w:t>
      </w:r>
      <w:r>
        <w:rPr>
          <w:spacing w:val="-3"/>
          <w:sz w:val="24"/>
        </w:rPr>
        <w:t>Kim, </w:t>
      </w:r>
      <w:r>
        <w:rPr>
          <w:sz w:val="24"/>
        </w:rPr>
        <w:t>H.T., Seo, W.K., Lee, Y.S., Youn, Y.H., 2012. Zonisamide monotherapy for idiopathic epilepsy </w:t>
      </w:r>
      <w:r>
        <w:rPr>
          <w:spacing w:val="-3"/>
          <w:sz w:val="24"/>
        </w:rPr>
        <w:t>in </w:t>
      </w:r>
      <w:r>
        <w:rPr>
          <w:sz w:val="24"/>
        </w:rPr>
        <w:t>dogs. New Zealand Veterinary Journal 60,</w:t>
      </w:r>
      <w:r>
        <w:rPr>
          <w:spacing w:val="-10"/>
          <w:sz w:val="24"/>
        </w:rPr>
        <w:t> </w:t>
      </w:r>
      <w:r>
        <w:rPr>
          <w:sz w:val="24"/>
        </w:rPr>
        <w:t>357-359.</w:t>
      </w:r>
    </w:p>
    <w:p>
      <w:pPr>
        <w:pStyle w:val="ListParagraph"/>
        <w:numPr>
          <w:ilvl w:val="0"/>
          <w:numId w:val="20"/>
        </w:numPr>
        <w:tabs>
          <w:tab w:pos="917" w:val="left" w:leader="none"/>
        </w:tabs>
        <w:spacing w:line="480" w:lineRule="auto" w:before="212" w:after="0"/>
        <w:ind w:left="873" w:right="106" w:hanging="360"/>
        <w:jc w:val="both"/>
        <w:rPr>
          <w:sz w:val="24"/>
        </w:rPr>
      </w:pPr>
      <w:r>
        <w:rPr>
          <w:sz w:val="24"/>
        </w:rPr>
        <w:t>Conners, B.W., 1998. Neocortlcal anatomy and physiology. In Engel J, Pedley TA, (ed). Epilepsy: A Comprehensive Textbook. Vol 1. Philadelphia. New York, Lippincott-Raven, pp</w:t>
      </w:r>
      <w:r>
        <w:rPr>
          <w:spacing w:val="-3"/>
          <w:sz w:val="24"/>
        </w:rPr>
        <w:t> </w:t>
      </w:r>
      <w:r>
        <w:rPr>
          <w:sz w:val="24"/>
        </w:rPr>
        <w:t>307-322</w:t>
      </w:r>
    </w:p>
    <w:p>
      <w:pPr>
        <w:pStyle w:val="ListParagraph"/>
        <w:numPr>
          <w:ilvl w:val="0"/>
          <w:numId w:val="20"/>
        </w:numPr>
        <w:tabs>
          <w:tab w:pos="917" w:val="left" w:leader="none"/>
        </w:tabs>
        <w:spacing w:line="480" w:lineRule="auto" w:before="212" w:after="0"/>
        <w:ind w:left="873" w:right="110" w:hanging="360"/>
        <w:jc w:val="both"/>
        <w:rPr>
          <w:sz w:val="24"/>
        </w:rPr>
      </w:pPr>
      <w:r>
        <w:rPr>
          <w:sz w:val="24"/>
        </w:rPr>
        <w:t>Court, M.H., Greenblatt, D.J., 1992. Pharmacokinetics and preliminary  observations of behavioral changes following administration of midazolam </w:t>
      </w:r>
      <w:r>
        <w:rPr>
          <w:spacing w:val="2"/>
          <w:sz w:val="24"/>
        </w:rPr>
        <w:t>to </w:t>
      </w:r>
      <w:r>
        <w:rPr>
          <w:sz w:val="24"/>
        </w:rPr>
        <w:t>dogs. Journal Veterinary Pharmacology Therapy 15,</w:t>
      </w:r>
      <w:r>
        <w:rPr>
          <w:spacing w:val="-14"/>
          <w:sz w:val="24"/>
        </w:rPr>
        <w:t> </w:t>
      </w:r>
      <w:r>
        <w:rPr>
          <w:sz w:val="24"/>
        </w:rPr>
        <w:t>343-350.</w:t>
      </w:r>
    </w:p>
    <w:p>
      <w:pPr>
        <w:spacing w:after="0" w:line="480" w:lineRule="auto"/>
        <w:jc w:val="both"/>
        <w:rPr>
          <w:sz w:val="24"/>
        </w:rPr>
        <w:sectPr>
          <w:footerReference w:type="default" r:id="rId44"/>
          <w:pgSz w:w="12240" w:h="15840"/>
          <w:pgMar w:footer="2131" w:header="0"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06" w:hanging="360"/>
        <w:jc w:val="both"/>
        <w:rPr>
          <w:sz w:val="24"/>
        </w:rPr>
      </w:pPr>
      <w:r>
        <w:rPr>
          <w:sz w:val="24"/>
        </w:rPr>
        <w:t>Croft, P.G., 1965. Fits </w:t>
      </w:r>
      <w:r>
        <w:rPr>
          <w:spacing w:val="-3"/>
          <w:sz w:val="24"/>
        </w:rPr>
        <w:t>in </w:t>
      </w:r>
      <w:r>
        <w:rPr>
          <w:sz w:val="24"/>
        </w:rPr>
        <w:t>dogs: a survey </w:t>
      </w:r>
      <w:r>
        <w:rPr>
          <w:spacing w:val="4"/>
          <w:sz w:val="24"/>
        </w:rPr>
        <w:t>of </w:t>
      </w:r>
      <w:r>
        <w:rPr>
          <w:sz w:val="24"/>
        </w:rPr>
        <w:t>260 cases. Veterinary record 77, </w:t>
      </w:r>
      <w:r>
        <w:rPr>
          <w:spacing w:val="3"/>
          <w:sz w:val="24"/>
        </w:rPr>
        <w:t>438- </w:t>
      </w:r>
      <w:r>
        <w:rPr>
          <w:sz w:val="24"/>
        </w:rPr>
        <w:t>445.</w:t>
      </w:r>
    </w:p>
    <w:p>
      <w:pPr>
        <w:pStyle w:val="ListParagraph"/>
        <w:numPr>
          <w:ilvl w:val="0"/>
          <w:numId w:val="20"/>
        </w:numPr>
        <w:tabs>
          <w:tab w:pos="917" w:val="left" w:leader="none"/>
        </w:tabs>
        <w:spacing w:line="480" w:lineRule="auto" w:before="212" w:after="0"/>
        <w:ind w:left="873" w:right="115" w:hanging="360"/>
        <w:jc w:val="both"/>
        <w:rPr>
          <w:sz w:val="24"/>
        </w:rPr>
      </w:pPr>
      <w:r>
        <w:rPr>
          <w:sz w:val="24"/>
        </w:rPr>
        <w:t>Cross, D.J., Cavazos, J.E., 2007. "The Role of Sprouting and Plasticity in Epileptogenesis  and  Behavior." In: Behavioral Aspects of Epilepsy.  S. </w:t>
      </w:r>
      <w:r>
        <w:rPr>
          <w:spacing w:val="21"/>
          <w:sz w:val="24"/>
        </w:rPr>
        <w:t> </w:t>
      </w:r>
      <w:r>
        <w:rPr>
          <w:sz w:val="24"/>
        </w:rPr>
        <w:t>Schachter,</w:t>
      </w:r>
    </w:p>
    <w:p>
      <w:pPr>
        <w:pStyle w:val="BodyText"/>
        <w:spacing w:before="10"/>
        <w:ind w:left="873" w:right="98"/>
      </w:pPr>
      <w:r>
        <w:rPr/>
        <w:t>G.L. Holmes, D.G. Trenite (eds). Demos Medical Publishing, pp. 51-57.</w:t>
      </w:r>
    </w:p>
    <w:p>
      <w:pPr>
        <w:pStyle w:val="BodyText"/>
      </w:pPr>
    </w:p>
    <w:p>
      <w:pPr>
        <w:pStyle w:val="ListParagraph"/>
        <w:numPr>
          <w:ilvl w:val="0"/>
          <w:numId w:val="20"/>
        </w:numPr>
        <w:tabs>
          <w:tab w:pos="917" w:val="left" w:leader="none"/>
        </w:tabs>
        <w:spacing w:line="480" w:lineRule="auto" w:before="197" w:after="0"/>
        <w:ind w:left="873" w:right="109" w:hanging="360"/>
        <w:jc w:val="both"/>
        <w:rPr>
          <w:sz w:val="24"/>
        </w:rPr>
      </w:pPr>
      <w:r>
        <w:rPr>
          <w:sz w:val="24"/>
        </w:rPr>
        <w:t>Cundy, </w:t>
      </w:r>
      <w:r>
        <w:rPr>
          <w:spacing w:val="-3"/>
          <w:sz w:val="24"/>
        </w:rPr>
        <w:t>K. </w:t>
      </w:r>
      <w:r>
        <w:rPr>
          <w:sz w:val="24"/>
        </w:rPr>
        <w:t>C., Branch, R., Chernov-Rogan, T., Dias, T., Estrada, T., </w:t>
      </w:r>
      <w:r>
        <w:rPr>
          <w:spacing w:val="-3"/>
          <w:sz w:val="24"/>
        </w:rPr>
        <w:t>Hold, </w:t>
      </w:r>
      <w:r>
        <w:rPr>
          <w:sz w:val="24"/>
        </w:rPr>
        <w:t>K., Koller, K., </w:t>
      </w:r>
      <w:r>
        <w:rPr>
          <w:spacing w:val="-3"/>
          <w:sz w:val="24"/>
        </w:rPr>
        <w:t>Liu, </w:t>
      </w:r>
      <w:r>
        <w:rPr>
          <w:sz w:val="24"/>
        </w:rPr>
        <w:t>X., </w:t>
      </w:r>
      <w:r>
        <w:rPr>
          <w:spacing w:val="-3"/>
          <w:sz w:val="24"/>
        </w:rPr>
        <w:t>Mann, </w:t>
      </w:r>
      <w:r>
        <w:rPr>
          <w:sz w:val="24"/>
        </w:rPr>
        <w:t>A., Panuwat, M., Raillard, S. P., Upadhyay, S., Wu, Q. Q., Xiang, J. N., Yan, H., Zerangue, N., Zhou, C. X., Barrett, R. W., and Gallop, M. A., 2004. XP13512 [(+/-)-1-([(alpha-isobutanoyloxyethoxy)carbonyl] aminomethyl)-1-cyclohexane acetic acid], a novel gabapentin prodrug: I. Design, synthesis, enzymatic conversion </w:t>
      </w:r>
      <w:r>
        <w:rPr>
          <w:spacing w:val="2"/>
          <w:sz w:val="24"/>
        </w:rPr>
        <w:t>to </w:t>
      </w:r>
      <w:r>
        <w:rPr>
          <w:sz w:val="24"/>
        </w:rPr>
        <w:t>gabapentin, and transport </w:t>
      </w:r>
      <w:r>
        <w:rPr>
          <w:spacing w:val="-3"/>
          <w:sz w:val="24"/>
        </w:rPr>
        <w:t>by </w:t>
      </w:r>
      <w:r>
        <w:rPr>
          <w:sz w:val="24"/>
        </w:rPr>
        <w:t>intestinal solute transporters. Journal of Pharmacology 311,</w:t>
      </w:r>
      <w:r>
        <w:rPr>
          <w:spacing w:val="-13"/>
          <w:sz w:val="24"/>
        </w:rPr>
        <w:t> </w:t>
      </w:r>
      <w:r>
        <w:rPr>
          <w:sz w:val="24"/>
        </w:rPr>
        <w:t>315-323.</w:t>
      </w:r>
    </w:p>
    <w:p>
      <w:pPr>
        <w:pStyle w:val="ListParagraph"/>
        <w:numPr>
          <w:ilvl w:val="0"/>
          <w:numId w:val="20"/>
        </w:numPr>
        <w:tabs>
          <w:tab w:pos="917" w:val="left" w:leader="none"/>
        </w:tabs>
        <w:spacing w:line="480" w:lineRule="auto" w:before="212" w:after="0"/>
        <w:ind w:left="873" w:right="121" w:hanging="360"/>
        <w:jc w:val="both"/>
        <w:rPr>
          <w:sz w:val="24"/>
        </w:rPr>
      </w:pPr>
      <w:r>
        <w:rPr>
          <w:sz w:val="24"/>
        </w:rPr>
        <w:t>Cuninngham, J.C., Farnbach, G.C., 1988. Inheritance and idiopathic canine epilepsy. Journal </w:t>
      </w:r>
      <w:r>
        <w:rPr>
          <w:spacing w:val="4"/>
          <w:sz w:val="24"/>
        </w:rPr>
        <w:t>of </w:t>
      </w:r>
      <w:r>
        <w:rPr>
          <w:sz w:val="24"/>
        </w:rPr>
        <w:t>the American Animal Hospital Association 24,</w:t>
      </w:r>
      <w:r>
        <w:rPr>
          <w:spacing w:val="-35"/>
          <w:sz w:val="24"/>
        </w:rPr>
        <w:t> </w:t>
      </w:r>
      <w:r>
        <w:rPr>
          <w:sz w:val="24"/>
        </w:rPr>
        <w:t>421-424.</w:t>
      </w:r>
    </w:p>
    <w:p>
      <w:pPr>
        <w:pStyle w:val="ListParagraph"/>
        <w:numPr>
          <w:ilvl w:val="0"/>
          <w:numId w:val="20"/>
        </w:numPr>
        <w:tabs>
          <w:tab w:pos="917" w:val="left" w:leader="none"/>
        </w:tabs>
        <w:spacing w:line="480" w:lineRule="auto" w:before="207" w:after="0"/>
        <w:ind w:left="873" w:right="103" w:hanging="360"/>
        <w:jc w:val="both"/>
        <w:rPr>
          <w:sz w:val="24"/>
        </w:rPr>
      </w:pPr>
      <w:r>
        <w:rPr>
          <w:sz w:val="24"/>
        </w:rPr>
        <w:t>Dayrell-Hart, B., Steinberg, S.A., VanWinkle, T.J., 1991. Hepatotoxicity </w:t>
      </w:r>
      <w:r>
        <w:rPr>
          <w:spacing w:val="4"/>
          <w:sz w:val="24"/>
        </w:rPr>
        <w:t>of </w:t>
      </w:r>
      <w:r>
        <w:rPr>
          <w:sz w:val="24"/>
        </w:rPr>
        <w:t>Phenobarbital </w:t>
      </w:r>
      <w:r>
        <w:rPr>
          <w:spacing w:val="-3"/>
          <w:sz w:val="24"/>
        </w:rPr>
        <w:t>in </w:t>
      </w:r>
      <w:r>
        <w:rPr>
          <w:sz w:val="24"/>
        </w:rPr>
        <w:t>dogs: 18 cases (1985-1989). Journal American Veterinary Medical Association 199,</w:t>
      </w:r>
      <w:r>
        <w:rPr>
          <w:spacing w:val="-4"/>
          <w:sz w:val="24"/>
        </w:rPr>
        <w:t> </w:t>
      </w:r>
      <w:r>
        <w:rPr>
          <w:sz w:val="24"/>
        </w:rPr>
        <w:t>1060-1066.</w:t>
      </w:r>
    </w:p>
    <w:p>
      <w:pPr>
        <w:spacing w:after="0" w:line="480" w:lineRule="auto"/>
        <w:jc w:val="both"/>
        <w:rPr>
          <w:sz w:val="24"/>
        </w:rPr>
        <w:sectPr>
          <w:footerReference w:type="default" r:id="rId45"/>
          <w:pgSz w:w="12240" w:h="15840"/>
          <w:pgMar w:footer="2131" w:header="0" w:top="1500" w:bottom="2320" w:left="1720" w:right="1420"/>
          <w:pgNumType w:start="111"/>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12" w:hanging="360"/>
        <w:jc w:val="both"/>
        <w:rPr>
          <w:sz w:val="24"/>
        </w:rPr>
      </w:pPr>
      <w:r>
        <w:rPr>
          <w:sz w:val="24"/>
        </w:rPr>
        <w:t>Dayrell-Hart, B., </w:t>
      </w:r>
      <w:r>
        <w:rPr>
          <w:spacing w:val="-3"/>
          <w:sz w:val="24"/>
        </w:rPr>
        <w:t>Tiches, </w:t>
      </w:r>
      <w:r>
        <w:rPr>
          <w:sz w:val="24"/>
        </w:rPr>
        <w:t>D., Vite, C., 1996. Efficacy and safety of felbamate as an anticonvulsant </w:t>
      </w:r>
      <w:r>
        <w:rPr>
          <w:spacing w:val="-3"/>
          <w:sz w:val="24"/>
        </w:rPr>
        <w:t>in </w:t>
      </w:r>
      <w:r>
        <w:rPr>
          <w:sz w:val="24"/>
        </w:rPr>
        <w:t>dogs with refractory seizures. Journal </w:t>
      </w:r>
      <w:r>
        <w:rPr>
          <w:spacing w:val="4"/>
          <w:sz w:val="24"/>
        </w:rPr>
        <w:t>of </w:t>
      </w:r>
      <w:r>
        <w:rPr>
          <w:sz w:val="24"/>
        </w:rPr>
        <w:t>veterinary Internal Medicine 10,</w:t>
      </w:r>
      <w:r>
        <w:rPr>
          <w:spacing w:val="-3"/>
          <w:sz w:val="24"/>
        </w:rPr>
        <w:t> </w:t>
      </w:r>
      <w:r>
        <w:rPr>
          <w:sz w:val="24"/>
        </w:rPr>
        <w:t>174.</w:t>
      </w:r>
    </w:p>
    <w:p>
      <w:pPr>
        <w:pStyle w:val="ListParagraph"/>
        <w:numPr>
          <w:ilvl w:val="0"/>
          <w:numId w:val="20"/>
        </w:numPr>
        <w:tabs>
          <w:tab w:pos="917" w:val="left" w:leader="none"/>
        </w:tabs>
        <w:spacing w:line="480" w:lineRule="auto" w:before="212" w:after="0"/>
        <w:ind w:left="873" w:right="121" w:hanging="360"/>
        <w:jc w:val="both"/>
        <w:rPr>
          <w:sz w:val="24"/>
        </w:rPr>
      </w:pPr>
      <w:r>
        <w:rPr>
          <w:sz w:val="24"/>
        </w:rPr>
        <w:t>DeLahunta, A., Glass., E., Missouri, L., 2009. Veterinary Neuroanatomy and Clinical Neurology. 3 Ed. Philadelphia, W.B. Saunders El sevier pp.</w:t>
      </w:r>
      <w:r>
        <w:rPr>
          <w:spacing w:val="-18"/>
          <w:sz w:val="24"/>
        </w:rPr>
        <w:t> </w:t>
      </w:r>
      <w:r>
        <w:rPr>
          <w:sz w:val="24"/>
        </w:rPr>
        <w:t>454-475.</w:t>
      </w:r>
    </w:p>
    <w:p>
      <w:pPr>
        <w:pStyle w:val="ListParagraph"/>
        <w:numPr>
          <w:ilvl w:val="0"/>
          <w:numId w:val="20"/>
        </w:numPr>
        <w:tabs>
          <w:tab w:pos="917" w:val="left" w:leader="none"/>
        </w:tabs>
        <w:spacing w:line="480" w:lineRule="auto" w:before="207" w:after="0"/>
        <w:ind w:left="873" w:right="120" w:hanging="360"/>
        <w:jc w:val="both"/>
        <w:rPr>
          <w:sz w:val="24"/>
        </w:rPr>
      </w:pPr>
      <w:r>
        <w:rPr>
          <w:sz w:val="24"/>
        </w:rPr>
        <w:t>Devinsky, O., 1999. Patients with refractory seizures. Journal New England Medicine 340,</w:t>
      </w:r>
      <w:r>
        <w:rPr>
          <w:spacing w:val="-1"/>
          <w:sz w:val="24"/>
        </w:rPr>
        <w:t> </w:t>
      </w:r>
      <w:r>
        <w:rPr>
          <w:sz w:val="24"/>
        </w:rPr>
        <w:t>1565–1570.</w:t>
      </w:r>
    </w:p>
    <w:p>
      <w:pPr>
        <w:pStyle w:val="ListParagraph"/>
        <w:numPr>
          <w:ilvl w:val="0"/>
          <w:numId w:val="20"/>
        </w:numPr>
        <w:tabs>
          <w:tab w:pos="917" w:val="left" w:leader="none"/>
        </w:tabs>
        <w:spacing w:line="480" w:lineRule="auto" w:before="212" w:after="0"/>
        <w:ind w:left="873" w:right="104" w:hanging="360"/>
        <w:jc w:val="both"/>
        <w:rPr>
          <w:sz w:val="24"/>
        </w:rPr>
      </w:pPr>
      <w:r>
        <w:rPr>
          <w:sz w:val="24"/>
        </w:rPr>
        <w:t>Dewey, C.W., 2006. Anticonvulsant therapy </w:t>
      </w:r>
      <w:r>
        <w:rPr>
          <w:spacing w:val="-3"/>
          <w:sz w:val="24"/>
        </w:rPr>
        <w:t>in </w:t>
      </w:r>
      <w:r>
        <w:rPr>
          <w:sz w:val="24"/>
        </w:rPr>
        <w:t>dogs and cats. Veterinary Clínics </w:t>
      </w:r>
      <w:r>
        <w:rPr>
          <w:spacing w:val="4"/>
          <w:sz w:val="24"/>
        </w:rPr>
        <w:t>of </w:t>
      </w:r>
      <w:r>
        <w:rPr>
          <w:sz w:val="24"/>
        </w:rPr>
        <w:t>North America (Small Animal Practice) 36,</w:t>
      </w:r>
      <w:r>
        <w:rPr>
          <w:spacing w:val="-12"/>
          <w:sz w:val="24"/>
        </w:rPr>
        <w:t> </w:t>
      </w:r>
      <w:r>
        <w:rPr>
          <w:sz w:val="24"/>
        </w:rPr>
        <w:t>1107-1127.</w:t>
      </w:r>
    </w:p>
    <w:p>
      <w:pPr>
        <w:pStyle w:val="ListParagraph"/>
        <w:numPr>
          <w:ilvl w:val="0"/>
          <w:numId w:val="20"/>
        </w:numPr>
        <w:tabs>
          <w:tab w:pos="859" w:val="left" w:leader="none"/>
        </w:tabs>
        <w:spacing w:line="480" w:lineRule="auto" w:before="207" w:after="0"/>
        <w:ind w:left="873" w:right="112" w:hanging="360"/>
        <w:jc w:val="both"/>
        <w:rPr>
          <w:sz w:val="24"/>
        </w:rPr>
      </w:pPr>
      <w:r>
        <w:rPr>
          <w:sz w:val="24"/>
        </w:rPr>
        <w:t>Dewey, C.W., Barone, G., Smith K., 2004a. Alternative anticonvulsant drugs for dogs with seizure disorders. Veterinary Medicine 99,</w:t>
      </w:r>
      <w:r>
        <w:rPr>
          <w:spacing w:val="-17"/>
          <w:sz w:val="24"/>
        </w:rPr>
        <w:t> </w:t>
      </w:r>
      <w:r>
        <w:rPr>
          <w:sz w:val="24"/>
        </w:rPr>
        <w:t>786–793.</w:t>
      </w:r>
    </w:p>
    <w:p>
      <w:pPr>
        <w:pStyle w:val="ListParagraph"/>
        <w:numPr>
          <w:ilvl w:val="0"/>
          <w:numId w:val="20"/>
        </w:numPr>
        <w:tabs>
          <w:tab w:pos="859" w:val="left" w:leader="none"/>
        </w:tabs>
        <w:spacing w:line="480" w:lineRule="auto" w:before="212" w:after="0"/>
        <w:ind w:left="873" w:right="107" w:hanging="360"/>
        <w:jc w:val="both"/>
        <w:rPr>
          <w:sz w:val="24"/>
        </w:rPr>
      </w:pPr>
      <w:r>
        <w:rPr>
          <w:sz w:val="24"/>
        </w:rPr>
        <w:t>Dewey, C.W., Guiliano, R., Boothe, D.M., Berg, J.M., Kortz, G.D., Joseph, R.J., Budsberg, S.C., 2004b. Zonisamide therapy for refractory idiopathic epilepsy </w:t>
      </w:r>
      <w:r>
        <w:rPr>
          <w:spacing w:val="-3"/>
          <w:sz w:val="24"/>
        </w:rPr>
        <w:t>in </w:t>
      </w:r>
      <w:r>
        <w:rPr>
          <w:sz w:val="24"/>
        </w:rPr>
        <w:t>dogs. Journal of the American Animal Hospital Association 40,</w:t>
      </w:r>
      <w:r>
        <w:rPr>
          <w:spacing w:val="-21"/>
          <w:sz w:val="24"/>
        </w:rPr>
        <w:t> </w:t>
      </w:r>
      <w:r>
        <w:rPr>
          <w:sz w:val="24"/>
        </w:rPr>
        <w:t>285-291.</w:t>
      </w:r>
    </w:p>
    <w:p>
      <w:pPr>
        <w:pStyle w:val="BodyText"/>
      </w:pPr>
    </w:p>
    <w:p>
      <w:pPr>
        <w:pStyle w:val="BodyText"/>
      </w:pPr>
    </w:p>
    <w:p>
      <w:pPr>
        <w:pStyle w:val="BodyText"/>
        <w:spacing w:before="6"/>
        <w:rPr>
          <w:sz w:val="35"/>
        </w:rPr>
      </w:pPr>
    </w:p>
    <w:p>
      <w:pPr>
        <w:pStyle w:val="ListParagraph"/>
        <w:numPr>
          <w:ilvl w:val="0"/>
          <w:numId w:val="20"/>
        </w:numPr>
        <w:tabs>
          <w:tab w:pos="917" w:val="left" w:leader="none"/>
        </w:tabs>
        <w:spacing w:line="480" w:lineRule="auto" w:before="1" w:after="0"/>
        <w:ind w:left="873" w:right="113" w:hanging="360"/>
        <w:jc w:val="both"/>
        <w:rPr>
          <w:sz w:val="24"/>
        </w:rPr>
      </w:pPr>
      <w:r>
        <w:rPr>
          <w:sz w:val="24"/>
        </w:rPr>
        <w:t>Dewey, C.W., Ducote´, J.M., Coates, J.R., 1999. Intrarectally administered potassium bromide loading </w:t>
      </w:r>
      <w:r>
        <w:rPr>
          <w:spacing w:val="-3"/>
          <w:sz w:val="24"/>
        </w:rPr>
        <w:t>in </w:t>
      </w:r>
      <w:r>
        <w:rPr>
          <w:sz w:val="24"/>
        </w:rPr>
        <w:t>normal dogs.  Journal Veterinary Internal Medicine 13,</w:t>
      </w:r>
      <w:r>
        <w:rPr>
          <w:spacing w:val="6"/>
          <w:sz w:val="24"/>
        </w:rPr>
        <w:t> </w:t>
      </w:r>
      <w:r>
        <w:rPr>
          <w:spacing w:val="-3"/>
          <w:sz w:val="24"/>
        </w:rPr>
        <w:t>238.</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21" w:hanging="360"/>
        <w:jc w:val="both"/>
        <w:rPr>
          <w:sz w:val="24"/>
        </w:rPr>
      </w:pPr>
      <w:r>
        <w:rPr>
          <w:sz w:val="24"/>
        </w:rPr>
        <w:t>Dichter, A.M., Brodie, J.M., 1996. New Antiepileptic. Journal New England Medicine 334,</w:t>
      </w:r>
      <w:r>
        <w:rPr>
          <w:spacing w:val="-5"/>
          <w:sz w:val="24"/>
        </w:rPr>
        <w:t> </w:t>
      </w:r>
      <w:r>
        <w:rPr>
          <w:sz w:val="24"/>
        </w:rPr>
        <w:t>1583-1590.</w:t>
      </w:r>
    </w:p>
    <w:p>
      <w:pPr>
        <w:pStyle w:val="ListParagraph"/>
        <w:numPr>
          <w:ilvl w:val="0"/>
          <w:numId w:val="20"/>
        </w:numPr>
        <w:tabs>
          <w:tab w:pos="917" w:val="left" w:leader="none"/>
        </w:tabs>
        <w:spacing w:line="480" w:lineRule="auto" w:before="212" w:after="0"/>
        <w:ind w:left="873" w:right="108" w:hanging="360"/>
        <w:jc w:val="both"/>
        <w:rPr>
          <w:sz w:val="24"/>
        </w:rPr>
      </w:pPr>
      <w:r>
        <w:rPr>
          <w:sz w:val="24"/>
        </w:rPr>
        <w:t>Doherty, J., Dingledine, R., 2002. The roles </w:t>
      </w:r>
      <w:r>
        <w:rPr>
          <w:spacing w:val="4"/>
          <w:sz w:val="24"/>
        </w:rPr>
        <w:t>of </w:t>
      </w:r>
      <w:r>
        <w:rPr>
          <w:sz w:val="24"/>
        </w:rPr>
        <w:t>metabotropic glutamate receptors in seizures and epilepsy. Current Drug Targets: </w:t>
      </w:r>
      <w:r>
        <w:rPr>
          <w:spacing w:val="-3"/>
          <w:sz w:val="24"/>
        </w:rPr>
        <w:t>CNS </w:t>
      </w:r>
      <w:r>
        <w:rPr>
          <w:sz w:val="24"/>
        </w:rPr>
        <w:t>and Neurological Disorders 1, 251–260.</w:t>
      </w:r>
    </w:p>
    <w:p>
      <w:pPr>
        <w:pStyle w:val="ListParagraph"/>
        <w:numPr>
          <w:ilvl w:val="0"/>
          <w:numId w:val="20"/>
        </w:numPr>
        <w:tabs>
          <w:tab w:pos="917" w:val="left" w:leader="none"/>
        </w:tabs>
        <w:spacing w:line="480" w:lineRule="auto" w:before="207" w:after="0"/>
        <w:ind w:left="873" w:right="116" w:hanging="360"/>
        <w:jc w:val="both"/>
        <w:rPr>
          <w:sz w:val="24"/>
        </w:rPr>
      </w:pPr>
      <w:r>
        <w:rPr>
          <w:sz w:val="24"/>
        </w:rPr>
        <w:t>Dowling, M.P., 1999. Update on Therapy of canine epilepsy. The Canadian Veterinary Journal 40,</w:t>
      </w:r>
      <w:r>
        <w:rPr>
          <w:spacing w:val="-5"/>
          <w:sz w:val="24"/>
        </w:rPr>
        <w:t> </w:t>
      </w:r>
      <w:r>
        <w:rPr>
          <w:sz w:val="24"/>
        </w:rPr>
        <w:t>595-598.</w:t>
      </w:r>
    </w:p>
    <w:p>
      <w:pPr>
        <w:pStyle w:val="ListParagraph"/>
        <w:numPr>
          <w:ilvl w:val="0"/>
          <w:numId w:val="20"/>
        </w:numPr>
        <w:tabs>
          <w:tab w:pos="917" w:val="left" w:leader="none"/>
        </w:tabs>
        <w:spacing w:line="480" w:lineRule="auto" w:before="212" w:after="0"/>
        <w:ind w:left="873" w:right="101" w:hanging="360"/>
        <w:jc w:val="both"/>
        <w:rPr>
          <w:sz w:val="24"/>
        </w:rPr>
      </w:pPr>
      <w:r>
        <w:rPr>
          <w:sz w:val="24"/>
        </w:rPr>
        <w:t>Elterman, R. D., Glauser, T. A., Wyllie, E., 1999. A double-blind, randomized trial of topiramate as adjunctive therapy for partial-onset seizures </w:t>
      </w:r>
      <w:r>
        <w:rPr>
          <w:spacing w:val="-3"/>
          <w:sz w:val="24"/>
        </w:rPr>
        <w:t>in </w:t>
      </w:r>
      <w:r>
        <w:rPr>
          <w:sz w:val="24"/>
        </w:rPr>
        <w:t>children. Neurology 52,</w:t>
      </w:r>
      <w:r>
        <w:rPr>
          <w:spacing w:val="-1"/>
          <w:sz w:val="24"/>
        </w:rPr>
        <w:t> </w:t>
      </w:r>
      <w:r>
        <w:rPr>
          <w:sz w:val="24"/>
        </w:rPr>
        <w:t>1338-1344.</w:t>
      </w:r>
    </w:p>
    <w:p>
      <w:pPr>
        <w:pStyle w:val="ListParagraph"/>
        <w:numPr>
          <w:ilvl w:val="0"/>
          <w:numId w:val="20"/>
        </w:numPr>
        <w:tabs>
          <w:tab w:pos="917" w:val="left" w:leader="none"/>
        </w:tabs>
        <w:spacing w:line="480" w:lineRule="auto" w:before="207" w:after="0"/>
        <w:ind w:left="873" w:right="124" w:hanging="360"/>
        <w:jc w:val="both"/>
        <w:rPr>
          <w:sz w:val="24"/>
        </w:rPr>
      </w:pPr>
      <w:r>
        <w:rPr>
          <w:sz w:val="24"/>
        </w:rPr>
        <w:t>Engel, J., 1989. Alternative therapy, </w:t>
      </w:r>
      <w:r>
        <w:rPr>
          <w:spacing w:val="-3"/>
          <w:sz w:val="24"/>
        </w:rPr>
        <w:t>in </w:t>
      </w:r>
      <w:r>
        <w:rPr>
          <w:sz w:val="24"/>
        </w:rPr>
        <w:t>Seizures and Epilepsy. Philadelphia, PA, Davis, pp</w:t>
      </w:r>
      <w:r>
        <w:rPr>
          <w:spacing w:val="-3"/>
          <w:sz w:val="24"/>
        </w:rPr>
        <w:t> </w:t>
      </w:r>
      <w:r>
        <w:rPr>
          <w:sz w:val="24"/>
        </w:rPr>
        <w:t>443-474.</w:t>
      </w:r>
    </w:p>
    <w:p>
      <w:pPr>
        <w:pStyle w:val="ListParagraph"/>
        <w:numPr>
          <w:ilvl w:val="0"/>
          <w:numId w:val="20"/>
        </w:numPr>
        <w:tabs>
          <w:tab w:pos="917" w:val="left" w:leader="none"/>
        </w:tabs>
        <w:spacing w:line="480" w:lineRule="auto" w:before="212" w:after="0"/>
        <w:ind w:left="873" w:right="120" w:hanging="360"/>
        <w:jc w:val="both"/>
        <w:rPr>
          <w:sz w:val="24"/>
        </w:rPr>
      </w:pPr>
      <w:r>
        <w:rPr>
          <w:sz w:val="24"/>
        </w:rPr>
        <w:t>EPAR, 2013. The European Commission granted a marketing authorisation valid throughout the European Union, for Pexion on 25 February 2013. URL. </w:t>
      </w:r>
      <w:hyperlink r:id="rId46">
        <w:r>
          <w:rPr>
            <w:sz w:val="24"/>
          </w:rPr>
          <w:t>www.ema.europa.eu/docs/en_GB/document_library/EPAR_summary_for_the_publ</w:t>
        </w:r>
      </w:hyperlink>
      <w:r>
        <w:rPr>
          <w:sz w:val="24"/>
        </w:rPr>
        <w:t> ic/veterinary/002543/wc500140843.pdf</w:t>
      </w:r>
    </w:p>
    <w:p>
      <w:pPr>
        <w:pStyle w:val="ListParagraph"/>
        <w:numPr>
          <w:ilvl w:val="0"/>
          <w:numId w:val="20"/>
        </w:numPr>
        <w:tabs>
          <w:tab w:pos="917" w:val="left" w:leader="none"/>
        </w:tabs>
        <w:spacing w:line="480" w:lineRule="auto" w:before="212" w:after="0"/>
        <w:ind w:left="873" w:right="111" w:hanging="360"/>
        <w:jc w:val="both"/>
        <w:rPr>
          <w:sz w:val="24"/>
        </w:rPr>
      </w:pPr>
      <w:r>
        <w:rPr>
          <w:sz w:val="24"/>
        </w:rPr>
        <w:t>Errante, L.D., Petroff, O.A., 2003. Acute effects of gabapentin and pregabalin on  rat forebrain celular GABA, glutamate, and glutamine concentrations. Seizure 12, 300-306.</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17" w:hanging="360"/>
        <w:jc w:val="both"/>
        <w:rPr>
          <w:sz w:val="24"/>
        </w:rPr>
      </w:pPr>
      <w:r>
        <w:rPr>
          <w:sz w:val="24"/>
        </w:rPr>
        <w:t>Falco, M.J., Barker, J., </w:t>
      </w:r>
      <w:r>
        <w:rPr>
          <w:spacing w:val="-2"/>
          <w:sz w:val="24"/>
        </w:rPr>
        <w:t>Wallace, </w:t>
      </w:r>
      <w:r>
        <w:rPr>
          <w:sz w:val="24"/>
        </w:rPr>
        <w:t>M.E., 1974. The genetics of epilepsy </w:t>
      </w:r>
      <w:r>
        <w:rPr>
          <w:spacing w:val="-3"/>
          <w:sz w:val="24"/>
        </w:rPr>
        <w:t>in </w:t>
      </w:r>
      <w:r>
        <w:rPr>
          <w:sz w:val="24"/>
        </w:rPr>
        <w:t>the British Alsatian. Journal of Small Animal Practice 15,</w:t>
      </w:r>
      <w:r>
        <w:rPr>
          <w:spacing w:val="-15"/>
          <w:sz w:val="24"/>
        </w:rPr>
        <w:t> </w:t>
      </w:r>
      <w:r>
        <w:rPr>
          <w:sz w:val="24"/>
        </w:rPr>
        <w:t>685-692.</w:t>
      </w:r>
    </w:p>
    <w:p>
      <w:pPr>
        <w:pStyle w:val="ListParagraph"/>
        <w:numPr>
          <w:ilvl w:val="0"/>
          <w:numId w:val="20"/>
        </w:numPr>
        <w:tabs>
          <w:tab w:pos="917" w:val="left" w:leader="none"/>
        </w:tabs>
        <w:spacing w:line="480" w:lineRule="auto" w:before="212" w:after="0"/>
        <w:ind w:left="873" w:right="105" w:hanging="360"/>
        <w:jc w:val="both"/>
        <w:rPr>
          <w:sz w:val="24"/>
        </w:rPr>
      </w:pPr>
      <w:r>
        <w:rPr>
          <w:sz w:val="24"/>
        </w:rPr>
        <w:t>Fambach, G.C., 1984. Seizures </w:t>
      </w:r>
      <w:r>
        <w:rPr>
          <w:spacing w:val="-3"/>
          <w:sz w:val="24"/>
        </w:rPr>
        <w:t>in </w:t>
      </w:r>
      <w:r>
        <w:rPr>
          <w:sz w:val="24"/>
        </w:rPr>
        <w:t>dog. Part I. Basis, classification and predilection Compendium Continuous Education Practice Veterinary 6,</w:t>
      </w:r>
      <w:r>
        <w:rPr>
          <w:spacing w:val="-15"/>
          <w:sz w:val="24"/>
        </w:rPr>
        <w:t> </w:t>
      </w:r>
      <w:r>
        <w:rPr>
          <w:sz w:val="24"/>
        </w:rPr>
        <w:t>569-576.</w:t>
      </w:r>
    </w:p>
    <w:p>
      <w:pPr>
        <w:pStyle w:val="ListParagraph"/>
        <w:numPr>
          <w:ilvl w:val="0"/>
          <w:numId w:val="20"/>
        </w:numPr>
        <w:tabs>
          <w:tab w:pos="917" w:val="left" w:leader="none"/>
        </w:tabs>
        <w:spacing w:line="480" w:lineRule="auto" w:before="207" w:after="0"/>
        <w:ind w:left="873" w:right="111" w:hanging="360"/>
        <w:jc w:val="both"/>
        <w:rPr>
          <w:sz w:val="24"/>
        </w:rPr>
      </w:pPr>
      <w:r>
        <w:rPr>
          <w:sz w:val="24"/>
        </w:rPr>
        <w:t>Farnbach, G.C., 1984. Serum concentrations and efficacy </w:t>
      </w:r>
      <w:r>
        <w:rPr>
          <w:spacing w:val="4"/>
          <w:sz w:val="24"/>
        </w:rPr>
        <w:t>of </w:t>
      </w:r>
      <w:r>
        <w:rPr>
          <w:sz w:val="24"/>
        </w:rPr>
        <w:t>phenytoin, phenobarbital, and primidone </w:t>
      </w:r>
      <w:r>
        <w:rPr>
          <w:spacing w:val="-3"/>
          <w:sz w:val="24"/>
        </w:rPr>
        <w:t>in </w:t>
      </w:r>
      <w:r>
        <w:rPr>
          <w:sz w:val="24"/>
        </w:rPr>
        <w:t>canine epilepsy. Journal American Veterinary Medical Association 184,</w:t>
      </w:r>
      <w:r>
        <w:rPr>
          <w:spacing w:val="-9"/>
          <w:sz w:val="24"/>
        </w:rPr>
        <w:t> </w:t>
      </w:r>
      <w:r>
        <w:rPr>
          <w:sz w:val="24"/>
        </w:rPr>
        <w:t>1117–1120.</w:t>
      </w:r>
    </w:p>
    <w:p>
      <w:pPr>
        <w:pStyle w:val="ListParagraph"/>
        <w:numPr>
          <w:ilvl w:val="0"/>
          <w:numId w:val="20"/>
        </w:numPr>
        <w:tabs>
          <w:tab w:pos="917" w:val="left" w:leader="none"/>
        </w:tabs>
        <w:spacing w:line="480" w:lineRule="auto" w:before="212" w:after="0"/>
        <w:ind w:left="873" w:right="110" w:hanging="360"/>
        <w:jc w:val="both"/>
        <w:rPr>
          <w:sz w:val="24"/>
        </w:rPr>
      </w:pPr>
      <w:r>
        <w:rPr>
          <w:sz w:val="24"/>
        </w:rPr>
        <w:t>Fenner, W.R., 1986. Seizures </w:t>
      </w:r>
      <w:r>
        <w:rPr>
          <w:spacing w:val="-3"/>
          <w:sz w:val="24"/>
        </w:rPr>
        <w:t>in </w:t>
      </w:r>
      <w:r>
        <w:rPr>
          <w:sz w:val="24"/>
        </w:rPr>
        <w:t>Cornegay JN, (ed). Neurologic Disorders. In: Contemporary Issues </w:t>
      </w:r>
      <w:r>
        <w:rPr>
          <w:spacing w:val="-3"/>
          <w:sz w:val="24"/>
        </w:rPr>
        <w:t>in </w:t>
      </w:r>
      <w:r>
        <w:rPr>
          <w:sz w:val="24"/>
        </w:rPr>
        <w:t>Small Animal Practice. Vol 5. New York, Churchill Livingston. pp</w:t>
      </w:r>
      <w:r>
        <w:rPr>
          <w:spacing w:val="-6"/>
          <w:sz w:val="24"/>
        </w:rPr>
        <w:t> </w:t>
      </w:r>
      <w:r>
        <w:rPr>
          <w:sz w:val="24"/>
        </w:rPr>
        <w:t>41-53.</w:t>
      </w:r>
    </w:p>
    <w:p>
      <w:pPr>
        <w:pStyle w:val="ListParagraph"/>
        <w:numPr>
          <w:ilvl w:val="0"/>
          <w:numId w:val="20"/>
        </w:numPr>
        <w:tabs>
          <w:tab w:pos="917" w:val="left" w:leader="none"/>
        </w:tabs>
        <w:spacing w:line="480" w:lineRule="auto" w:before="207" w:after="0"/>
        <w:ind w:left="873" w:right="116" w:hanging="360"/>
        <w:jc w:val="both"/>
        <w:rPr>
          <w:sz w:val="24"/>
        </w:rPr>
      </w:pPr>
      <w:r>
        <w:rPr>
          <w:sz w:val="24"/>
        </w:rPr>
        <w:t>Fenner, W.R., Hass, J.A., 1989. Mechanisms of seizure disorders. Problems in Veterinary Medicine. 1,</w:t>
      </w:r>
      <w:r>
        <w:rPr>
          <w:spacing w:val="-7"/>
          <w:sz w:val="24"/>
        </w:rPr>
        <w:t> </w:t>
      </w:r>
      <w:r>
        <w:rPr>
          <w:sz w:val="24"/>
        </w:rPr>
        <w:t>501-513.</w:t>
      </w:r>
    </w:p>
    <w:p>
      <w:pPr>
        <w:pStyle w:val="ListParagraph"/>
        <w:numPr>
          <w:ilvl w:val="0"/>
          <w:numId w:val="20"/>
        </w:numPr>
        <w:tabs>
          <w:tab w:pos="921" w:val="left" w:leader="none"/>
        </w:tabs>
        <w:spacing w:line="240" w:lineRule="auto" w:before="212" w:after="0"/>
        <w:ind w:left="921" w:right="0" w:hanging="408"/>
        <w:jc w:val="left"/>
        <w:rPr>
          <w:sz w:val="24"/>
        </w:rPr>
      </w:pPr>
      <w:r>
        <w:rPr>
          <w:sz w:val="24"/>
        </w:rPr>
        <w:t>Ferriero, D.M., 2005. Protecting neurons. Epilepsia 46 (Suppl. 7),</w:t>
      </w:r>
      <w:r>
        <w:rPr>
          <w:spacing w:val="-18"/>
          <w:sz w:val="24"/>
        </w:rPr>
        <w:t> </w:t>
      </w:r>
      <w:r>
        <w:rPr>
          <w:sz w:val="24"/>
        </w:rPr>
        <w:t>45–51.</w:t>
      </w:r>
    </w:p>
    <w:p>
      <w:pPr>
        <w:pStyle w:val="BodyText"/>
      </w:pPr>
    </w:p>
    <w:p>
      <w:pPr>
        <w:pStyle w:val="ListParagraph"/>
        <w:numPr>
          <w:ilvl w:val="0"/>
          <w:numId w:val="20"/>
        </w:numPr>
        <w:tabs>
          <w:tab w:pos="917" w:val="left" w:leader="none"/>
        </w:tabs>
        <w:spacing w:line="480" w:lineRule="auto" w:before="201" w:after="0"/>
        <w:ind w:left="873" w:right="111" w:hanging="360"/>
        <w:jc w:val="both"/>
        <w:rPr>
          <w:sz w:val="24"/>
        </w:rPr>
      </w:pPr>
      <w:r>
        <w:rPr>
          <w:sz w:val="24"/>
        </w:rPr>
        <w:t>Gaskill, C.L., Cribb, A.E., 2000. Pancreatitis associated with potassium bromide/phenobarbital combination therapy </w:t>
      </w:r>
      <w:r>
        <w:rPr>
          <w:spacing w:val="-3"/>
          <w:sz w:val="24"/>
        </w:rPr>
        <w:t>in </w:t>
      </w:r>
      <w:r>
        <w:rPr>
          <w:sz w:val="24"/>
        </w:rPr>
        <w:t>epileptic dogs. Canadian Veterinary Journal 41,</w:t>
      </w:r>
      <w:r>
        <w:rPr>
          <w:spacing w:val="-3"/>
          <w:sz w:val="24"/>
        </w:rPr>
        <w:t> </w:t>
      </w:r>
      <w:r>
        <w:rPr>
          <w:sz w:val="24"/>
        </w:rPr>
        <w:t>555–558.</w:t>
      </w:r>
    </w:p>
    <w:p>
      <w:pPr>
        <w:pStyle w:val="ListParagraph"/>
        <w:numPr>
          <w:ilvl w:val="0"/>
          <w:numId w:val="20"/>
        </w:numPr>
        <w:tabs>
          <w:tab w:pos="917" w:val="left" w:leader="none"/>
        </w:tabs>
        <w:spacing w:line="480" w:lineRule="auto" w:before="207" w:after="0"/>
        <w:ind w:left="873" w:right="112" w:hanging="360"/>
        <w:jc w:val="both"/>
        <w:rPr>
          <w:sz w:val="24"/>
        </w:rPr>
      </w:pPr>
      <w:r>
        <w:rPr>
          <w:sz w:val="24"/>
        </w:rPr>
        <w:t>Gee, S.N., Brown, P.J. Dissanayake, K.U., Offord, J., Thurlow, R., Woodruff,  N.G., 1996. The Novel Anticonvulsant Drug, Gabapentin (Neurontin), Binds </w:t>
      </w:r>
      <w:r>
        <w:rPr>
          <w:spacing w:val="2"/>
          <w:sz w:val="24"/>
        </w:rPr>
        <w:t>to </w:t>
      </w:r>
      <w:r>
        <w:rPr>
          <w:spacing w:val="32"/>
          <w:sz w:val="24"/>
        </w:rPr>
        <w:t> </w:t>
      </w:r>
      <w:r>
        <w:rPr>
          <w:sz w:val="24"/>
        </w:rPr>
        <w:t>the</w:t>
      </w:r>
    </w:p>
    <w:p>
      <w:pPr>
        <w:pStyle w:val="BodyText"/>
        <w:spacing w:before="10"/>
        <w:ind w:left="873" w:right="98"/>
      </w:pPr>
      <w:r>
        <w:rPr/>
        <w:t>∞2α Subunit of a Calcium Channel.</w:t>
      </w:r>
    </w:p>
    <w:p>
      <w:pPr>
        <w:spacing w:after="0"/>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09" w:hanging="360"/>
        <w:jc w:val="both"/>
        <w:rPr>
          <w:sz w:val="24"/>
        </w:rPr>
      </w:pPr>
      <w:r>
        <w:rPr>
          <w:sz w:val="24"/>
        </w:rPr>
        <w:t>Gillard, M., Chatelain, P., Fuks, B., 2006. Binding characteristics </w:t>
      </w:r>
      <w:r>
        <w:rPr>
          <w:spacing w:val="4"/>
          <w:sz w:val="24"/>
        </w:rPr>
        <w:t>of </w:t>
      </w:r>
      <w:r>
        <w:rPr>
          <w:sz w:val="24"/>
        </w:rPr>
        <w:t>levetiracetam to synaptic vesicle protein 2A (SV2A) </w:t>
      </w:r>
      <w:r>
        <w:rPr>
          <w:spacing w:val="-3"/>
          <w:sz w:val="24"/>
        </w:rPr>
        <w:t>in </w:t>
      </w:r>
      <w:r>
        <w:rPr>
          <w:sz w:val="24"/>
        </w:rPr>
        <w:t>human brain and </w:t>
      </w:r>
      <w:r>
        <w:rPr>
          <w:spacing w:val="-3"/>
          <w:sz w:val="24"/>
        </w:rPr>
        <w:t>in </w:t>
      </w:r>
      <w:r>
        <w:rPr>
          <w:sz w:val="24"/>
        </w:rPr>
        <w:t>CHO cells expressing the human recombinant protein. European Journal of Pharmacology 536,</w:t>
      </w:r>
      <w:r>
        <w:rPr>
          <w:spacing w:val="-17"/>
          <w:sz w:val="24"/>
        </w:rPr>
        <w:t> </w:t>
      </w:r>
      <w:r>
        <w:rPr>
          <w:sz w:val="24"/>
        </w:rPr>
        <w:t>102–108.</w:t>
      </w:r>
    </w:p>
    <w:p>
      <w:pPr>
        <w:pStyle w:val="ListParagraph"/>
        <w:numPr>
          <w:ilvl w:val="0"/>
          <w:numId w:val="20"/>
        </w:numPr>
        <w:tabs>
          <w:tab w:pos="917" w:val="left" w:leader="none"/>
        </w:tabs>
        <w:spacing w:line="480" w:lineRule="auto" w:before="212" w:after="0"/>
        <w:ind w:left="873" w:right="120" w:hanging="360"/>
        <w:jc w:val="both"/>
        <w:rPr>
          <w:sz w:val="24"/>
        </w:rPr>
      </w:pPr>
      <w:r>
        <w:rPr>
          <w:sz w:val="24"/>
        </w:rPr>
        <w:t>Glass, G.A., Stankiewicz, J., Mithoefer, A., et </w:t>
      </w:r>
      <w:r>
        <w:rPr>
          <w:spacing w:val="-4"/>
          <w:sz w:val="24"/>
        </w:rPr>
        <w:t>al, </w:t>
      </w:r>
      <w:r>
        <w:rPr>
          <w:sz w:val="24"/>
        </w:rPr>
        <w:t>2005. Levetiracetam for seizures after </w:t>
      </w:r>
      <w:r>
        <w:rPr>
          <w:spacing w:val="-3"/>
          <w:sz w:val="24"/>
        </w:rPr>
        <w:t>liver </w:t>
      </w:r>
      <w:r>
        <w:rPr>
          <w:sz w:val="24"/>
        </w:rPr>
        <w:t>transplantation. Neurology 64,</w:t>
      </w:r>
      <w:r>
        <w:rPr>
          <w:spacing w:val="6"/>
          <w:sz w:val="24"/>
        </w:rPr>
        <w:t> </w:t>
      </w:r>
      <w:r>
        <w:rPr>
          <w:sz w:val="24"/>
        </w:rPr>
        <w:t>1084–1085.</w:t>
      </w:r>
    </w:p>
    <w:p>
      <w:pPr>
        <w:pStyle w:val="ListParagraph"/>
        <w:numPr>
          <w:ilvl w:val="0"/>
          <w:numId w:val="20"/>
        </w:numPr>
        <w:tabs>
          <w:tab w:pos="917" w:val="left" w:leader="none"/>
        </w:tabs>
        <w:spacing w:line="480" w:lineRule="auto" w:before="207" w:after="0"/>
        <w:ind w:left="873" w:right="110" w:hanging="360"/>
        <w:jc w:val="both"/>
        <w:rPr>
          <w:sz w:val="24"/>
        </w:rPr>
      </w:pPr>
      <w:r>
        <w:rPr>
          <w:sz w:val="24"/>
        </w:rPr>
        <w:t>Glauser, T. A., Levinsohn, P. M., Ritter, F., 2000. Topiramate </w:t>
      </w:r>
      <w:r>
        <w:rPr>
          <w:spacing w:val="-3"/>
          <w:sz w:val="24"/>
        </w:rPr>
        <w:t>in </w:t>
      </w:r>
      <w:r>
        <w:rPr>
          <w:sz w:val="24"/>
        </w:rPr>
        <w:t>Lennox-Gastaut syndrome: open-label treatment of patients completing a randomised controlled  trial. Epilepsia 41 (Suppl 1),</w:t>
      </w:r>
      <w:r>
        <w:rPr>
          <w:spacing w:val="-10"/>
          <w:sz w:val="24"/>
        </w:rPr>
        <w:t> </w:t>
      </w:r>
      <w:r>
        <w:rPr>
          <w:sz w:val="24"/>
        </w:rPr>
        <w:t>S86-S90</w:t>
      </w:r>
    </w:p>
    <w:p>
      <w:pPr>
        <w:pStyle w:val="ListParagraph"/>
        <w:numPr>
          <w:ilvl w:val="0"/>
          <w:numId w:val="20"/>
        </w:numPr>
        <w:tabs>
          <w:tab w:pos="917" w:val="left" w:leader="none"/>
        </w:tabs>
        <w:spacing w:line="240" w:lineRule="auto" w:before="212" w:after="0"/>
        <w:ind w:left="916" w:right="0" w:hanging="403"/>
        <w:jc w:val="left"/>
        <w:rPr>
          <w:sz w:val="24"/>
        </w:rPr>
      </w:pPr>
      <w:r>
        <w:rPr>
          <w:sz w:val="24"/>
        </w:rPr>
        <w:t>Goiz, M.G., Caballero, C.S., </w:t>
      </w:r>
      <w:r>
        <w:rPr>
          <w:spacing w:val="-3"/>
          <w:sz w:val="24"/>
        </w:rPr>
        <w:t>Solís, </w:t>
      </w:r>
      <w:r>
        <w:rPr>
          <w:sz w:val="24"/>
        </w:rPr>
        <w:t>O.H., Sumano, L.H., 2008. Epilepsia en </w:t>
      </w:r>
      <w:r>
        <w:rPr>
          <w:spacing w:val="33"/>
          <w:sz w:val="24"/>
        </w:rPr>
        <w:t> </w:t>
      </w:r>
      <w:r>
        <w:rPr>
          <w:sz w:val="24"/>
        </w:rPr>
        <w:t>Perros.</w:t>
      </w:r>
    </w:p>
    <w:p>
      <w:pPr>
        <w:pStyle w:val="BodyText"/>
      </w:pPr>
    </w:p>
    <w:p>
      <w:pPr>
        <w:pStyle w:val="BodyText"/>
        <w:ind w:left="873" w:right="98"/>
      </w:pPr>
      <w:r>
        <w:rPr/>
        <w:t>Veterinaria México 39, 279-321.</w:t>
      </w:r>
    </w:p>
    <w:p>
      <w:pPr>
        <w:pStyle w:val="BodyText"/>
      </w:pPr>
    </w:p>
    <w:p>
      <w:pPr>
        <w:pStyle w:val="ListParagraph"/>
        <w:numPr>
          <w:ilvl w:val="0"/>
          <w:numId w:val="20"/>
        </w:numPr>
        <w:tabs>
          <w:tab w:pos="917" w:val="left" w:leader="none"/>
        </w:tabs>
        <w:spacing w:line="240" w:lineRule="auto" w:before="197" w:after="0"/>
        <w:ind w:left="916" w:right="0" w:hanging="403"/>
        <w:jc w:val="left"/>
        <w:rPr>
          <w:sz w:val="24"/>
        </w:rPr>
      </w:pPr>
      <w:r>
        <w:rPr>
          <w:sz w:val="24"/>
        </w:rPr>
        <w:t>Goldensohn,  E.S.,  1997.  Historical  perspectives.  En  Engel  J,  Pdley  TA,    </w:t>
      </w:r>
      <w:r>
        <w:rPr>
          <w:spacing w:val="10"/>
          <w:sz w:val="24"/>
        </w:rPr>
        <w:t> </w:t>
      </w:r>
      <w:r>
        <w:rPr>
          <w:sz w:val="24"/>
        </w:rPr>
        <w:t>Ed.</w:t>
      </w:r>
    </w:p>
    <w:p>
      <w:pPr>
        <w:pStyle w:val="BodyText"/>
      </w:pPr>
    </w:p>
    <w:p>
      <w:pPr>
        <w:pStyle w:val="BodyText"/>
        <w:ind w:left="873" w:right="98"/>
      </w:pPr>
      <w:r>
        <w:rPr/>
        <w:t>Epilepsy, a Comprehensive Textbook. Lippincott-Raven, Filadelfia I, pp. 15-16.</w:t>
      </w:r>
    </w:p>
    <w:p>
      <w:pPr>
        <w:pStyle w:val="BodyText"/>
      </w:pPr>
    </w:p>
    <w:p>
      <w:pPr>
        <w:pStyle w:val="ListParagraph"/>
        <w:numPr>
          <w:ilvl w:val="0"/>
          <w:numId w:val="20"/>
        </w:numPr>
        <w:tabs>
          <w:tab w:pos="917" w:val="left" w:leader="none"/>
        </w:tabs>
        <w:spacing w:line="480" w:lineRule="auto" w:before="202" w:after="0"/>
        <w:ind w:left="873" w:right="108" w:hanging="360"/>
        <w:jc w:val="both"/>
        <w:rPr>
          <w:sz w:val="24"/>
        </w:rPr>
      </w:pPr>
      <w:r>
        <w:rPr>
          <w:sz w:val="24"/>
        </w:rPr>
        <w:t>Govendir, M., Perkins, M., Malik, R., 2005. Improving seizure control </w:t>
      </w:r>
      <w:r>
        <w:rPr>
          <w:spacing w:val="-3"/>
          <w:sz w:val="24"/>
        </w:rPr>
        <w:t>in </w:t>
      </w:r>
      <w:r>
        <w:rPr>
          <w:sz w:val="24"/>
        </w:rPr>
        <w:t>dogs with refractory epilepsy using gabapentin as an adjunctive agent. Australian Veterinary Journal 83,</w:t>
      </w:r>
      <w:r>
        <w:rPr>
          <w:spacing w:val="-1"/>
          <w:sz w:val="24"/>
        </w:rPr>
        <w:t> </w:t>
      </w:r>
      <w:r>
        <w:rPr>
          <w:sz w:val="24"/>
        </w:rPr>
        <w:t>602-608.</w:t>
      </w:r>
    </w:p>
    <w:p>
      <w:pPr>
        <w:pStyle w:val="ListParagraph"/>
        <w:numPr>
          <w:ilvl w:val="0"/>
          <w:numId w:val="20"/>
        </w:numPr>
        <w:tabs>
          <w:tab w:pos="917" w:val="left" w:leader="none"/>
        </w:tabs>
        <w:spacing w:line="480" w:lineRule="auto" w:before="212" w:after="0"/>
        <w:ind w:left="873" w:right="106" w:hanging="360"/>
        <w:jc w:val="both"/>
        <w:rPr>
          <w:sz w:val="24"/>
        </w:rPr>
      </w:pPr>
      <w:r>
        <w:rPr>
          <w:sz w:val="24"/>
        </w:rPr>
        <w:t>Guerrini, R., Carpay, J., Groselj, J., 2005. Topiramate monotherapy as broad- spectrum antiepileptic drug </w:t>
      </w:r>
      <w:r>
        <w:rPr>
          <w:spacing w:val="-3"/>
          <w:sz w:val="24"/>
        </w:rPr>
        <w:t>in </w:t>
      </w:r>
      <w:r>
        <w:rPr>
          <w:sz w:val="24"/>
        </w:rPr>
        <w:t>a naturalistic clinical setting. Seizure 14,</w:t>
      </w:r>
      <w:r>
        <w:rPr>
          <w:spacing w:val="-16"/>
          <w:sz w:val="24"/>
        </w:rPr>
        <w:t> </w:t>
      </w:r>
      <w:r>
        <w:rPr>
          <w:sz w:val="24"/>
        </w:rPr>
        <w:t>371-380.</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11" w:hanging="360"/>
        <w:jc w:val="both"/>
        <w:rPr>
          <w:sz w:val="24"/>
        </w:rPr>
      </w:pPr>
      <w:r>
        <w:rPr>
          <w:sz w:val="24"/>
        </w:rPr>
        <w:t>Hanon, E., Klitgaard, H., 2000. Neuroprotective properties of the novel  antiepileptic drug levetiracetam </w:t>
      </w:r>
      <w:r>
        <w:rPr>
          <w:spacing w:val="-3"/>
          <w:sz w:val="24"/>
        </w:rPr>
        <w:t>in </w:t>
      </w:r>
      <w:r>
        <w:rPr>
          <w:sz w:val="24"/>
        </w:rPr>
        <w:t>the rat </w:t>
      </w:r>
      <w:r>
        <w:rPr>
          <w:spacing w:val="-3"/>
          <w:sz w:val="24"/>
        </w:rPr>
        <w:t>middle </w:t>
      </w:r>
      <w:r>
        <w:rPr>
          <w:sz w:val="24"/>
        </w:rPr>
        <w:t>cerebral artery occlusion model </w:t>
      </w:r>
      <w:r>
        <w:rPr>
          <w:spacing w:val="4"/>
          <w:sz w:val="24"/>
        </w:rPr>
        <w:t>of </w:t>
      </w:r>
      <w:r>
        <w:rPr>
          <w:sz w:val="24"/>
        </w:rPr>
        <w:t>focal cerebral ischemia. Seizure 10,</w:t>
      </w:r>
      <w:r>
        <w:rPr>
          <w:spacing w:val="-14"/>
          <w:sz w:val="24"/>
        </w:rPr>
        <w:t> </w:t>
      </w:r>
      <w:r>
        <w:rPr>
          <w:sz w:val="24"/>
        </w:rPr>
        <w:t>287–293.</w:t>
      </w:r>
    </w:p>
    <w:p>
      <w:pPr>
        <w:pStyle w:val="ListParagraph"/>
        <w:numPr>
          <w:ilvl w:val="0"/>
          <w:numId w:val="20"/>
        </w:numPr>
        <w:tabs>
          <w:tab w:pos="917" w:val="left" w:leader="none"/>
        </w:tabs>
        <w:spacing w:line="480" w:lineRule="auto" w:before="212" w:after="0"/>
        <w:ind w:left="873" w:right="118" w:hanging="360"/>
        <w:jc w:val="both"/>
        <w:rPr>
          <w:sz w:val="24"/>
        </w:rPr>
      </w:pPr>
      <w:r>
        <w:rPr>
          <w:sz w:val="24"/>
        </w:rPr>
        <w:t>Haut, S.R., </w:t>
      </w:r>
      <w:r>
        <w:rPr>
          <w:spacing w:val="-4"/>
          <w:sz w:val="24"/>
        </w:rPr>
        <w:t>Hall,</w:t>
      </w:r>
      <w:r>
        <w:rPr>
          <w:spacing w:val="52"/>
          <w:sz w:val="24"/>
        </w:rPr>
        <w:t> </w:t>
      </w:r>
      <w:r>
        <w:rPr>
          <w:sz w:val="24"/>
        </w:rPr>
        <w:t>C.B., Masur, J., Lipton, R.B., 2007. Seizure occurrence: precipitants and prediction. Neurology 69,</w:t>
      </w:r>
      <w:r>
        <w:rPr>
          <w:spacing w:val="-17"/>
          <w:sz w:val="24"/>
        </w:rPr>
        <w:t> </w:t>
      </w:r>
      <w:r>
        <w:rPr>
          <w:sz w:val="24"/>
        </w:rPr>
        <w:t>1905–1910.</w:t>
      </w:r>
    </w:p>
    <w:p>
      <w:pPr>
        <w:pStyle w:val="ListParagraph"/>
        <w:numPr>
          <w:ilvl w:val="0"/>
          <w:numId w:val="20"/>
        </w:numPr>
        <w:tabs>
          <w:tab w:pos="917" w:val="left" w:leader="none"/>
        </w:tabs>
        <w:spacing w:line="480" w:lineRule="auto" w:before="207" w:after="0"/>
        <w:ind w:left="873" w:right="121" w:hanging="360"/>
        <w:jc w:val="both"/>
        <w:rPr>
          <w:sz w:val="24"/>
        </w:rPr>
      </w:pPr>
      <w:r>
        <w:rPr>
          <w:sz w:val="24"/>
        </w:rPr>
        <w:t>Hayashida, K., et al., 2008. Gabapentin acts within the locus coeruleus to alleviate neuropathic pain. Anesthesiology 109,</w:t>
      </w:r>
      <w:r>
        <w:rPr>
          <w:spacing w:val="-12"/>
          <w:sz w:val="24"/>
        </w:rPr>
        <w:t> </w:t>
      </w:r>
      <w:r>
        <w:rPr>
          <w:sz w:val="24"/>
        </w:rPr>
        <w:t>1077–1084.</w:t>
      </w:r>
    </w:p>
    <w:p>
      <w:pPr>
        <w:pStyle w:val="ListParagraph"/>
        <w:numPr>
          <w:ilvl w:val="0"/>
          <w:numId w:val="20"/>
        </w:numPr>
        <w:tabs>
          <w:tab w:pos="917" w:val="left" w:leader="none"/>
        </w:tabs>
        <w:spacing w:line="480" w:lineRule="auto" w:before="212" w:after="0"/>
        <w:ind w:left="873" w:right="114" w:hanging="360"/>
        <w:jc w:val="both"/>
        <w:rPr>
          <w:sz w:val="24"/>
        </w:rPr>
      </w:pPr>
      <w:r>
        <w:rPr>
          <w:sz w:val="24"/>
        </w:rPr>
        <w:t>Helnemann, U., Eder, C., 1998. Control </w:t>
      </w:r>
      <w:r>
        <w:rPr>
          <w:spacing w:val="4"/>
          <w:sz w:val="24"/>
        </w:rPr>
        <w:t>of </w:t>
      </w:r>
      <w:r>
        <w:rPr>
          <w:sz w:val="24"/>
        </w:rPr>
        <w:t>neuronal excitability. </w:t>
      </w:r>
      <w:r>
        <w:rPr>
          <w:spacing w:val="3"/>
          <w:sz w:val="24"/>
        </w:rPr>
        <w:t>In </w:t>
      </w:r>
      <w:r>
        <w:rPr>
          <w:sz w:val="24"/>
        </w:rPr>
        <w:t>Engel J, Pedley TA, (ed). Epilepsy: A Comprehensive Textbook. Vol 1. Philadelphia, New York, Lipplncott-Raven, pp</w:t>
      </w:r>
      <w:r>
        <w:rPr>
          <w:spacing w:val="-3"/>
          <w:sz w:val="24"/>
        </w:rPr>
        <w:t> </w:t>
      </w:r>
      <w:r>
        <w:rPr>
          <w:sz w:val="24"/>
        </w:rPr>
        <w:t>237-250</w:t>
      </w:r>
    </w:p>
    <w:p>
      <w:pPr>
        <w:pStyle w:val="ListParagraph"/>
        <w:numPr>
          <w:ilvl w:val="0"/>
          <w:numId w:val="20"/>
        </w:numPr>
        <w:tabs>
          <w:tab w:pos="917" w:val="left" w:leader="none"/>
        </w:tabs>
        <w:spacing w:line="480" w:lineRule="auto" w:before="207" w:after="0"/>
        <w:ind w:left="873" w:right="101" w:hanging="360"/>
        <w:jc w:val="both"/>
        <w:rPr>
          <w:sz w:val="24"/>
        </w:rPr>
      </w:pPr>
      <w:r>
        <w:rPr>
          <w:sz w:val="24"/>
        </w:rPr>
        <w:t>Heynold, Y., Faissler, D., Steffen, F., Jaggy, A., 1997. Clinical, epidemiological and treatment results of idiopathic epilepsy </w:t>
      </w:r>
      <w:r>
        <w:rPr>
          <w:spacing w:val="-3"/>
          <w:sz w:val="24"/>
        </w:rPr>
        <w:t>in </w:t>
      </w:r>
      <w:r>
        <w:rPr>
          <w:sz w:val="24"/>
        </w:rPr>
        <w:t>54 labrador retrievers: a long-term study. Journal </w:t>
      </w:r>
      <w:r>
        <w:rPr>
          <w:spacing w:val="4"/>
          <w:sz w:val="24"/>
        </w:rPr>
        <w:t>of </w:t>
      </w:r>
      <w:r>
        <w:rPr>
          <w:sz w:val="24"/>
        </w:rPr>
        <w:t>Animal Practice 38,</w:t>
      </w:r>
      <w:r>
        <w:rPr>
          <w:spacing w:val="-23"/>
          <w:sz w:val="24"/>
        </w:rPr>
        <w:t> </w:t>
      </w:r>
      <w:r>
        <w:rPr>
          <w:sz w:val="24"/>
        </w:rPr>
        <w:t>7-14.</w:t>
      </w:r>
    </w:p>
    <w:p>
      <w:pPr>
        <w:pStyle w:val="ListParagraph"/>
        <w:numPr>
          <w:ilvl w:val="0"/>
          <w:numId w:val="20"/>
        </w:numPr>
        <w:tabs>
          <w:tab w:pos="917" w:val="left" w:leader="none"/>
        </w:tabs>
        <w:spacing w:line="480" w:lineRule="auto" w:before="212" w:after="0"/>
        <w:ind w:left="873" w:right="117" w:hanging="360"/>
        <w:jc w:val="both"/>
        <w:rPr>
          <w:sz w:val="24"/>
        </w:rPr>
      </w:pPr>
      <w:r>
        <w:rPr>
          <w:sz w:val="24"/>
        </w:rPr>
        <w:t>Hidalgo-Cañadillas, M.F., 2004. Perfil de seguridad y tolerabilidad de </w:t>
      </w:r>
      <w:r>
        <w:rPr>
          <w:spacing w:val="-3"/>
          <w:sz w:val="24"/>
        </w:rPr>
        <w:t>la </w:t>
      </w:r>
      <w:r>
        <w:rPr>
          <w:sz w:val="24"/>
        </w:rPr>
        <w:t>gabapentina en dosis óptimas. Revista de Neurología 39,</w:t>
      </w:r>
      <w:r>
        <w:rPr>
          <w:spacing w:val="-15"/>
          <w:sz w:val="24"/>
        </w:rPr>
        <w:t> </w:t>
      </w:r>
      <w:r>
        <w:rPr>
          <w:sz w:val="24"/>
        </w:rPr>
        <w:t>371-380.</w:t>
      </w:r>
    </w:p>
    <w:p>
      <w:pPr>
        <w:pStyle w:val="ListParagraph"/>
        <w:numPr>
          <w:ilvl w:val="0"/>
          <w:numId w:val="20"/>
        </w:numPr>
        <w:tabs>
          <w:tab w:pos="859" w:val="left" w:leader="none"/>
        </w:tabs>
        <w:spacing w:line="480" w:lineRule="auto" w:before="212" w:after="0"/>
        <w:ind w:left="873" w:right="106" w:hanging="360"/>
        <w:jc w:val="both"/>
        <w:rPr>
          <w:sz w:val="24"/>
        </w:rPr>
      </w:pPr>
      <w:r>
        <w:rPr>
          <w:sz w:val="24"/>
        </w:rPr>
        <w:t>Holliday, A.T., 1980. Seizure disorders. Veterinary clinics </w:t>
      </w:r>
      <w:r>
        <w:rPr>
          <w:spacing w:val="4"/>
          <w:sz w:val="24"/>
        </w:rPr>
        <w:t>of </w:t>
      </w:r>
      <w:r>
        <w:rPr>
          <w:sz w:val="24"/>
        </w:rPr>
        <w:t>North America Small Animal Practice 10,</w:t>
      </w:r>
      <w:r>
        <w:rPr>
          <w:spacing w:val="-5"/>
          <w:sz w:val="24"/>
        </w:rPr>
        <w:t> </w:t>
      </w:r>
      <w:r>
        <w:rPr>
          <w:sz w:val="24"/>
        </w:rPr>
        <w:t>3-39.</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09" w:hanging="360"/>
        <w:jc w:val="both"/>
        <w:rPr>
          <w:sz w:val="24"/>
        </w:rPr>
      </w:pPr>
      <w:r>
        <w:rPr>
          <w:sz w:val="24"/>
        </w:rPr>
        <w:t>Holliday, A.T., Colette, W.D., 1998. Interictal Paroxismal Discharges </w:t>
      </w:r>
      <w:r>
        <w:rPr>
          <w:spacing w:val="-3"/>
          <w:sz w:val="24"/>
        </w:rPr>
        <w:t>in </w:t>
      </w:r>
      <w:r>
        <w:rPr>
          <w:sz w:val="24"/>
        </w:rPr>
        <w:t>the Electroencephalograms </w:t>
      </w:r>
      <w:r>
        <w:rPr>
          <w:spacing w:val="4"/>
          <w:sz w:val="24"/>
        </w:rPr>
        <w:t>of </w:t>
      </w:r>
      <w:r>
        <w:rPr>
          <w:sz w:val="24"/>
        </w:rPr>
        <w:t>epileptic dogs. Clinical Techniques </w:t>
      </w:r>
      <w:r>
        <w:rPr>
          <w:spacing w:val="-3"/>
          <w:sz w:val="24"/>
        </w:rPr>
        <w:t>in </w:t>
      </w:r>
      <w:r>
        <w:rPr>
          <w:sz w:val="24"/>
        </w:rPr>
        <w:t>Small Animal Practice 13, 132-143.</w:t>
      </w:r>
    </w:p>
    <w:p>
      <w:pPr>
        <w:pStyle w:val="ListParagraph"/>
        <w:numPr>
          <w:ilvl w:val="0"/>
          <w:numId w:val="20"/>
        </w:numPr>
        <w:tabs>
          <w:tab w:pos="917" w:val="left" w:leader="none"/>
        </w:tabs>
        <w:spacing w:line="480" w:lineRule="auto" w:before="212" w:after="0"/>
        <w:ind w:left="873" w:right="120" w:hanging="360"/>
        <w:jc w:val="both"/>
        <w:rPr>
          <w:sz w:val="24"/>
        </w:rPr>
      </w:pPr>
      <w:r>
        <w:rPr>
          <w:sz w:val="24"/>
        </w:rPr>
        <w:t>Holliday, T., Cunningham, J., Gutnick, M., 1970. Comparative clinical and electroencephalographic studies of canine epilepsy. Epilepsia 11,</w:t>
      </w:r>
      <w:r>
        <w:rPr>
          <w:spacing w:val="-18"/>
          <w:sz w:val="24"/>
        </w:rPr>
        <w:t> </w:t>
      </w:r>
      <w:r>
        <w:rPr>
          <w:sz w:val="24"/>
        </w:rPr>
        <w:t>281-292.</w:t>
      </w:r>
    </w:p>
    <w:p>
      <w:pPr>
        <w:pStyle w:val="ListParagraph"/>
        <w:numPr>
          <w:ilvl w:val="0"/>
          <w:numId w:val="20"/>
        </w:numPr>
        <w:tabs>
          <w:tab w:pos="917" w:val="left" w:leader="none"/>
        </w:tabs>
        <w:spacing w:line="240" w:lineRule="auto" w:before="207" w:after="0"/>
        <w:ind w:left="916" w:right="0" w:hanging="403"/>
        <w:jc w:val="left"/>
        <w:rPr>
          <w:sz w:val="24"/>
        </w:rPr>
      </w:pPr>
      <w:r>
        <w:rPr>
          <w:sz w:val="24"/>
        </w:rPr>
        <w:t>Hoof Van, A.J., Dougherty, J.J., Endeman, D., Nichols, A.R., Wadman, J.W.,</w:t>
      </w:r>
      <w:r>
        <w:rPr>
          <w:spacing w:val="-14"/>
          <w:sz w:val="24"/>
        </w:rPr>
        <w:t> </w:t>
      </w:r>
      <w:r>
        <w:rPr>
          <w:sz w:val="24"/>
        </w:rPr>
        <w:t>2002.</w:t>
      </w:r>
    </w:p>
    <w:p>
      <w:pPr>
        <w:pStyle w:val="BodyText"/>
      </w:pPr>
    </w:p>
    <w:p>
      <w:pPr>
        <w:pStyle w:val="BodyText"/>
        <w:spacing w:line="480" w:lineRule="auto"/>
        <w:ind w:left="873" w:right="98"/>
      </w:pPr>
      <w:r>
        <w:rPr/>
        <w:t>Gabapentin inhibits presynaptic Ca2+ influx and synaptic transmission in rat hippocampus and neocortex. European Journal of Pharmacology 449, 221-228.</w:t>
      </w:r>
    </w:p>
    <w:p>
      <w:pPr>
        <w:pStyle w:val="ListParagraph"/>
        <w:numPr>
          <w:ilvl w:val="0"/>
          <w:numId w:val="20"/>
        </w:numPr>
        <w:tabs>
          <w:tab w:pos="859" w:val="left" w:leader="none"/>
        </w:tabs>
        <w:spacing w:line="480" w:lineRule="auto" w:before="212" w:after="0"/>
        <w:ind w:left="873" w:right="109" w:hanging="360"/>
        <w:jc w:val="both"/>
        <w:rPr>
          <w:sz w:val="24"/>
        </w:rPr>
      </w:pPr>
      <w:r>
        <w:rPr>
          <w:sz w:val="24"/>
        </w:rPr>
        <w:t>Hooper, D.W., Kavanagh, C.M., Herkes, K.G., </w:t>
      </w:r>
      <w:r>
        <w:rPr>
          <w:spacing w:val="-2"/>
          <w:sz w:val="24"/>
        </w:rPr>
        <w:t>Eadie, </w:t>
      </w:r>
      <w:r>
        <w:rPr>
          <w:sz w:val="24"/>
        </w:rPr>
        <w:t>J.M., 1991. Pharmacokinetic interaction between phenobarbitone and gabapentin. Journal Clinical Pharmacology 31, 171-174.</w:t>
      </w:r>
    </w:p>
    <w:p>
      <w:pPr>
        <w:pStyle w:val="ListParagraph"/>
        <w:numPr>
          <w:ilvl w:val="0"/>
          <w:numId w:val="20"/>
        </w:numPr>
        <w:tabs>
          <w:tab w:pos="917" w:val="left" w:leader="none"/>
        </w:tabs>
        <w:spacing w:line="480" w:lineRule="auto" w:before="207" w:after="0"/>
        <w:ind w:left="873" w:right="111" w:hanging="360"/>
        <w:jc w:val="both"/>
        <w:rPr>
          <w:sz w:val="24"/>
        </w:rPr>
      </w:pPr>
      <w:r>
        <w:rPr>
          <w:sz w:val="24"/>
        </w:rPr>
        <w:t>Hovinga, C.A., 2001. Levetiracetam: a novel antiepileptic drug. Pharmacotherapy 21,</w:t>
      </w:r>
      <w:r>
        <w:rPr>
          <w:spacing w:val="-1"/>
          <w:sz w:val="24"/>
        </w:rPr>
        <w:t> </w:t>
      </w:r>
      <w:r>
        <w:rPr>
          <w:sz w:val="24"/>
        </w:rPr>
        <w:t>1375–1388.</w:t>
      </w:r>
    </w:p>
    <w:p>
      <w:pPr>
        <w:pStyle w:val="ListParagraph"/>
        <w:numPr>
          <w:ilvl w:val="0"/>
          <w:numId w:val="20"/>
        </w:numPr>
        <w:tabs>
          <w:tab w:pos="917" w:val="left" w:leader="none"/>
        </w:tabs>
        <w:spacing w:line="480" w:lineRule="auto" w:before="212" w:after="0"/>
        <w:ind w:left="873" w:right="111" w:hanging="360"/>
        <w:jc w:val="both"/>
        <w:rPr>
          <w:sz w:val="24"/>
        </w:rPr>
      </w:pPr>
      <w:r>
        <w:rPr>
          <w:sz w:val="24"/>
        </w:rPr>
        <w:t>Jacobs, G., Calvert, C., Kaufman, A., 1998. Neutropenia y thrombocytopenia in three dogs treated with anticonvulsants. Journal American Veterinary Medical Association 212,</w:t>
      </w:r>
      <w:r>
        <w:rPr>
          <w:spacing w:val="-4"/>
          <w:sz w:val="24"/>
        </w:rPr>
        <w:t> </w:t>
      </w:r>
      <w:r>
        <w:rPr>
          <w:sz w:val="24"/>
        </w:rPr>
        <w:t>681-684.</w:t>
      </w:r>
    </w:p>
    <w:p>
      <w:pPr>
        <w:pStyle w:val="ListParagraph"/>
        <w:numPr>
          <w:ilvl w:val="0"/>
          <w:numId w:val="20"/>
        </w:numPr>
        <w:tabs>
          <w:tab w:pos="917" w:val="left" w:leader="none"/>
        </w:tabs>
        <w:spacing w:line="240" w:lineRule="auto" w:before="212" w:after="0"/>
        <w:ind w:left="916" w:right="0" w:hanging="403"/>
        <w:jc w:val="left"/>
        <w:rPr>
          <w:sz w:val="24"/>
        </w:rPr>
      </w:pPr>
      <w:r>
        <w:rPr>
          <w:sz w:val="24"/>
        </w:rPr>
        <w:t>Jaggy, A., Bernardini, M., 1998. Idiopathic epilepsy </w:t>
      </w:r>
      <w:r>
        <w:rPr>
          <w:spacing w:val="-3"/>
          <w:sz w:val="24"/>
        </w:rPr>
        <w:t>in </w:t>
      </w:r>
      <w:r>
        <w:rPr>
          <w:sz w:val="24"/>
        </w:rPr>
        <w:t>125 dogs: a long-term</w:t>
      </w:r>
      <w:r>
        <w:rPr>
          <w:spacing w:val="-13"/>
          <w:sz w:val="24"/>
        </w:rPr>
        <w:t> </w:t>
      </w:r>
      <w:r>
        <w:rPr>
          <w:sz w:val="24"/>
        </w:rPr>
        <w:t>study.</w:t>
      </w:r>
    </w:p>
    <w:p>
      <w:pPr>
        <w:pStyle w:val="BodyText"/>
      </w:pPr>
    </w:p>
    <w:p>
      <w:pPr>
        <w:pStyle w:val="BodyText"/>
        <w:spacing w:line="480" w:lineRule="auto"/>
        <w:ind w:left="873" w:right="112"/>
      </w:pPr>
      <w:r>
        <w:rPr/>
        <w:t>Clinical and electroencephalographic findings. Journal of Small Animal Practice 39, 23-29.</w:t>
      </w:r>
    </w:p>
    <w:p>
      <w:pPr>
        <w:spacing w:after="0" w:line="480" w:lineRule="auto"/>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14" w:hanging="360"/>
        <w:jc w:val="both"/>
        <w:rPr>
          <w:sz w:val="24"/>
        </w:rPr>
      </w:pPr>
      <w:r>
        <w:rPr>
          <w:sz w:val="24"/>
        </w:rPr>
        <w:t>Jaggy, A., Faissler, D., Gaillard, C., Srenk, P., Graber, H., 1998. Genetic aspects of idiopathic epilepsy </w:t>
      </w:r>
      <w:r>
        <w:rPr>
          <w:spacing w:val="-3"/>
          <w:sz w:val="24"/>
        </w:rPr>
        <w:t>in </w:t>
      </w:r>
      <w:r>
        <w:rPr>
          <w:sz w:val="24"/>
        </w:rPr>
        <w:t>Labrador retrievers. Journal </w:t>
      </w:r>
      <w:r>
        <w:rPr>
          <w:spacing w:val="4"/>
          <w:sz w:val="24"/>
        </w:rPr>
        <w:t>of </w:t>
      </w:r>
      <w:r>
        <w:rPr>
          <w:sz w:val="24"/>
        </w:rPr>
        <w:t>Small Animal Practice 39, 275-280.</w:t>
      </w:r>
    </w:p>
    <w:p>
      <w:pPr>
        <w:pStyle w:val="ListParagraph"/>
        <w:numPr>
          <w:ilvl w:val="0"/>
          <w:numId w:val="20"/>
        </w:numPr>
        <w:tabs>
          <w:tab w:pos="917" w:val="left" w:leader="none"/>
        </w:tabs>
        <w:spacing w:line="480" w:lineRule="auto" w:before="212" w:after="0"/>
        <w:ind w:left="873" w:right="116" w:hanging="360"/>
        <w:jc w:val="both"/>
        <w:rPr>
          <w:sz w:val="24"/>
        </w:rPr>
      </w:pPr>
      <w:r>
        <w:rPr>
          <w:sz w:val="24"/>
        </w:rPr>
        <w:t>Johannessen, S.I., Battino, D., Berry, D.J., et </w:t>
      </w:r>
      <w:r>
        <w:rPr>
          <w:spacing w:val="-3"/>
          <w:sz w:val="24"/>
        </w:rPr>
        <w:t>al., </w:t>
      </w:r>
      <w:r>
        <w:rPr>
          <w:sz w:val="24"/>
        </w:rPr>
        <w:t>2003. Therapeutic drug  monitoring of the newer antiepileptic drugs. Therapy Drug Monitor 25,</w:t>
      </w:r>
      <w:r>
        <w:rPr>
          <w:spacing w:val="-18"/>
          <w:sz w:val="24"/>
        </w:rPr>
        <w:t> </w:t>
      </w:r>
      <w:r>
        <w:rPr>
          <w:sz w:val="24"/>
        </w:rPr>
        <w:t>347–363.</w:t>
      </w:r>
    </w:p>
    <w:p>
      <w:pPr>
        <w:pStyle w:val="ListParagraph"/>
        <w:numPr>
          <w:ilvl w:val="0"/>
          <w:numId w:val="20"/>
        </w:numPr>
        <w:tabs>
          <w:tab w:pos="917" w:val="left" w:leader="none"/>
        </w:tabs>
        <w:spacing w:line="480" w:lineRule="auto" w:before="207" w:after="0"/>
        <w:ind w:left="873" w:right="114" w:hanging="360"/>
        <w:jc w:val="both"/>
        <w:rPr>
          <w:sz w:val="24"/>
        </w:rPr>
      </w:pPr>
      <w:r>
        <w:rPr>
          <w:sz w:val="24"/>
        </w:rPr>
        <w:t>Johnston, D., Magee, J.C., Colbert, C.M., Christie, B.R., 1996. Active properties </w:t>
      </w:r>
      <w:r>
        <w:rPr>
          <w:spacing w:val="4"/>
          <w:sz w:val="24"/>
        </w:rPr>
        <w:t>of </w:t>
      </w:r>
      <w:r>
        <w:rPr>
          <w:sz w:val="24"/>
        </w:rPr>
        <w:t>neuronal dendrites. Annual Review Neuroscience. 19, 165–</w:t>
      </w:r>
      <w:r>
        <w:rPr>
          <w:spacing w:val="-13"/>
          <w:sz w:val="24"/>
        </w:rPr>
        <w:t> </w:t>
      </w:r>
      <w:r>
        <w:rPr>
          <w:sz w:val="24"/>
        </w:rPr>
        <w:t>186.</w:t>
      </w:r>
    </w:p>
    <w:p>
      <w:pPr>
        <w:pStyle w:val="ListParagraph"/>
        <w:numPr>
          <w:ilvl w:val="0"/>
          <w:numId w:val="20"/>
        </w:numPr>
        <w:tabs>
          <w:tab w:pos="921" w:val="left" w:leader="none"/>
        </w:tabs>
        <w:spacing w:line="480" w:lineRule="auto" w:before="212" w:after="0"/>
        <w:ind w:left="873" w:right="112" w:hanging="360"/>
        <w:jc w:val="both"/>
        <w:rPr>
          <w:sz w:val="24"/>
        </w:rPr>
      </w:pPr>
      <w:r>
        <w:rPr>
          <w:spacing w:val="-3"/>
          <w:sz w:val="24"/>
        </w:rPr>
        <w:t>Kandel, </w:t>
      </w:r>
      <w:r>
        <w:rPr>
          <w:sz w:val="24"/>
        </w:rPr>
        <w:t>E.R., Schwartz, J.H., 1991. D~rectly gated transmission at  central synapses. In Kandel ER, Schwartz JH, Jessell TM, (eds). Principles </w:t>
      </w:r>
      <w:r>
        <w:rPr>
          <w:spacing w:val="4"/>
          <w:sz w:val="24"/>
        </w:rPr>
        <w:t>of </w:t>
      </w:r>
      <w:r>
        <w:rPr>
          <w:sz w:val="24"/>
        </w:rPr>
        <w:t>Neural Science. 3rd Ed. New York Elsevier, pp</w:t>
      </w:r>
      <w:r>
        <w:rPr>
          <w:spacing w:val="-11"/>
          <w:sz w:val="24"/>
        </w:rPr>
        <w:t> </w:t>
      </w:r>
      <w:r>
        <w:rPr>
          <w:sz w:val="24"/>
        </w:rPr>
        <w:t>153-172.</w:t>
      </w:r>
    </w:p>
    <w:p>
      <w:pPr>
        <w:pStyle w:val="ListParagraph"/>
        <w:numPr>
          <w:ilvl w:val="0"/>
          <w:numId w:val="20"/>
        </w:numPr>
        <w:tabs>
          <w:tab w:pos="921" w:val="left" w:leader="none"/>
        </w:tabs>
        <w:spacing w:line="480" w:lineRule="auto" w:before="207" w:after="0"/>
        <w:ind w:left="873" w:right="107" w:hanging="360"/>
        <w:jc w:val="both"/>
        <w:rPr>
          <w:sz w:val="24"/>
        </w:rPr>
      </w:pPr>
      <w:r>
        <w:rPr>
          <w:sz w:val="24"/>
        </w:rPr>
        <w:t>Kaneko, S., Okada, M., Iwasa, H., Yamakawa, K. &amp; Hirose, S., 2002. Genetics </w:t>
      </w:r>
      <w:r>
        <w:rPr>
          <w:spacing w:val="4"/>
          <w:sz w:val="24"/>
        </w:rPr>
        <w:t>of </w:t>
      </w:r>
      <w:r>
        <w:rPr>
          <w:sz w:val="24"/>
        </w:rPr>
        <w:t>epilepsy: current status and perspectives. Neuroscience Research 44,</w:t>
      </w:r>
      <w:r>
        <w:rPr>
          <w:spacing w:val="-15"/>
          <w:sz w:val="24"/>
        </w:rPr>
        <w:t> </w:t>
      </w:r>
      <w:r>
        <w:rPr>
          <w:sz w:val="24"/>
        </w:rPr>
        <w:t>11-30.</w:t>
      </w:r>
    </w:p>
    <w:p>
      <w:pPr>
        <w:pStyle w:val="ListParagraph"/>
        <w:numPr>
          <w:ilvl w:val="0"/>
          <w:numId w:val="20"/>
        </w:numPr>
        <w:tabs>
          <w:tab w:pos="921" w:val="left" w:leader="none"/>
        </w:tabs>
        <w:spacing w:line="480" w:lineRule="auto" w:before="212" w:after="0"/>
        <w:ind w:left="873" w:right="104" w:hanging="360"/>
        <w:jc w:val="both"/>
        <w:rPr>
          <w:sz w:val="24"/>
        </w:rPr>
      </w:pPr>
      <w:r>
        <w:rPr>
          <w:sz w:val="24"/>
        </w:rPr>
        <w:t>Kathmann, A., Jaggy, A., Busato, A., Bartschi, M., Gaillard, C., 1999. Clinical and genetic investigations of idiopathic epilepsy </w:t>
      </w:r>
      <w:r>
        <w:rPr>
          <w:spacing w:val="-3"/>
          <w:sz w:val="24"/>
        </w:rPr>
        <w:t>in </w:t>
      </w:r>
      <w:r>
        <w:rPr>
          <w:sz w:val="24"/>
        </w:rPr>
        <w:t>the Bernese mountain dog. Journal  of Small Animal Practice 40,</w:t>
      </w:r>
      <w:r>
        <w:rPr>
          <w:spacing w:val="-5"/>
          <w:sz w:val="24"/>
        </w:rPr>
        <w:t> </w:t>
      </w:r>
      <w:r>
        <w:rPr>
          <w:sz w:val="24"/>
        </w:rPr>
        <w:t>319–325.</w:t>
      </w:r>
    </w:p>
    <w:p>
      <w:pPr>
        <w:pStyle w:val="ListParagraph"/>
        <w:numPr>
          <w:ilvl w:val="0"/>
          <w:numId w:val="20"/>
        </w:numPr>
        <w:tabs>
          <w:tab w:pos="921" w:val="left" w:leader="none"/>
          <w:tab w:pos="1909" w:val="left" w:leader="none"/>
          <w:tab w:pos="2325" w:val="left" w:leader="none"/>
          <w:tab w:pos="3069" w:val="left" w:leader="none"/>
          <w:tab w:pos="4872" w:val="left" w:leader="none"/>
          <w:tab w:pos="5256" w:val="left" w:leader="none"/>
          <w:tab w:pos="6296" w:val="left" w:leader="none"/>
          <w:tab w:pos="7193" w:val="left" w:leader="none"/>
        </w:tabs>
        <w:spacing w:line="240" w:lineRule="auto" w:before="212" w:after="0"/>
        <w:ind w:left="921" w:right="0" w:hanging="408"/>
        <w:jc w:val="left"/>
        <w:rPr>
          <w:sz w:val="24"/>
        </w:rPr>
      </w:pPr>
      <w:r>
        <w:rPr>
          <w:sz w:val="24"/>
        </w:rPr>
        <w:t>Kimura,</w:t>
        <w:tab/>
        <w:t>J.,</w:t>
        <w:tab/>
        <w:t>1989.</w:t>
        <w:tab/>
        <w:t>Electrodiagnosis</w:t>
        <w:tab/>
      </w:r>
      <w:r>
        <w:rPr>
          <w:spacing w:val="-3"/>
          <w:sz w:val="24"/>
        </w:rPr>
        <w:t>in</w:t>
        <w:tab/>
      </w:r>
      <w:r>
        <w:rPr>
          <w:sz w:val="24"/>
        </w:rPr>
        <w:t>Diseases</w:t>
        <w:tab/>
        <w:t>of  </w:t>
      </w:r>
      <w:r>
        <w:rPr>
          <w:spacing w:val="15"/>
          <w:sz w:val="24"/>
        </w:rPr>
        <w:t> </w:t>
      </w:r>
      <w:r>
        <w:rPr>
          <w:sz w:val="24"/>
        </w:rPr>
        <w:t>the</w:t>
        <w:tab/>
        <w:t>Nervous  </w:t>
      </w:r>
      <w:r>
        <w:rPr>
          <w:spacing w:val="16"/>
          <w:sz w:val="24"/>
        </w:rPr>
        <w:t> </w:t>
      </w:r>
      <w:r>
        <w:rPr>
          <w:sz w:val="24"/>
        </w:rPr>
        <w:t>System.</w:t>
      </w:r>
    </w:p>
    <w:p>
      <w:pPr>
        <w:pStyle w:val="BodyText"/>
      </w:pPr>
    </w:p>
    <w:p>
      <w:pPr>
        <w:pStyle w:val="BodyText"/>
        <w:ind w:left="873" w:right="98"/>
      </w:pPr>
      <w:r>
        <w:rPr/>
        <w:t>Philadelphia, F.A. Davis Company, pp 25-36.</w:t>
      </w:r>
    </w:p>
    <w:p>
      <w:pPr>
        <w:spacing w:after="0"/>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21" w:val="left" w:leader="none"/>
        </w:tabs>
        <w:spacing w:line="240" w:lineRule="auto" w:before="69" w:after="0"/>
        <w:ind w:left="921" w:right="0" w:hanging="408"/>
        <w:jc w:val="left"/>
        <w:rPr>
          <w:sz w:val="24"/>
        </w:rPr>
      </w:pPr>
      <w:r>
        <w:rPr>
          <w:sz w:val="24"/>
        </w:rPr>
        <w:t>Kiviranta, M., Vapaavuori-Laitinen, O., Björkman-Hielm,  A., Jokinen, T.,    </w:t>
      </w:r>
      <w:r>
        <w:rPr>
          <w:spacing w:val="6"/>
          <w:sz w:val="24"/>
        </w:rPr>
        <w:t> </w:t>
      </w:r>
      <w:r>
        <w:rPr>
          <w:sz w:val="24"/>
        </w:rPr>
        <w:t>2013.</w:t>
      </w:r>
    </w:p>
    <w:p>
      <w:pPr>
        <w:pStyle w:val="BodyText"/>
      </w:pPr>
    </w:p>
    <w:p>
      <w:pPr>
        <w:pStyle w:val="BodyText"/>
        <w:spacing w:line="480" w:lineRule="auto"/>
        <w:ind w:left="873" w:right="98"/>
      </w:pPr>
      <w:r>
        <w:rPr/>
        <w:t>Topiramate as an add-on antiepileptic drug in treating refractory canine idiopathic epilepsy. Journal of Small Animal Practice 54, 512-520.</w:t>
      </w:r>
    </w:p>
    <w:p>
      <w:pPr>
        <w:pStyle w:val="ListParagraph"/>
        <w:numPr>
          <w:ilvl w:val="0"/>
          <w:numId w:val="20"/>
        </w:numPr>
        <w:tabs>
          <w:tab w:pos="921" w:val="left" w:leader="none"/>
        </w:tabs>
        <w:spacing w:line="480" w:lineRule="auto" w:before="212" w:after="0"/>
        <w:ind w:left="873" w:right="112" w:hanging="360"/>
        <w:jc w:val="both"/>
        <w:rPr>
          <w:sz w:val="24"/>
        </w:rPr>
      </w:pPr>
      <w:r>
        <w:rPr>
          <w:sz w:val="24"/>
        </w:rPr>
        <w:t>Klitgaard, H., 2001. Levetiracetam: the preclinical profile of a new class </w:t>
      </w:r>
      <w:r>
        <w:rPr>
          <w:spacing w:val="4"/>
          <w:sz w:val="24"/>
        </w:rPr>
        <w:t>of </w:t>
      </w:r>
      <w:r>
        <w:rPr>
          <w:sz w:val="24"/>
        </w:rPr>
        <w:t>antiepileptic drugs? Epilepsia 42,</w:t>
      </w:r>
      <w:r>
        <w:rPr>
          <w:spacing w:val="-11"/>
          <w:sz w:val="24"/>
        </w:rPr>
        <w:t> </w:t>
      </w:r>
      <w:r>
        <w:rPr>
          <w:sz w:val="24"/>
        </w:rPr>
        <w:t>13–18.</w:t>
      </w:r>
    </w:p>
    <w:p>
      <w:pPr>
        <w:pStyle w:val="ListParagraph"/>
        <w:numPr>
          <w:ilvl w:val="0"/>
          <w:numId w:val="20"/>
        </w:numPr>
        <w:tabs>
          <w:tab w:pos="921" w:val="left" w:leader="none"/>
        </w:tabs>
        <w:spacing w:line="480" w:lineRule="auto" w:before="207" w:after="0"/>
        <w:ind w:left="873" w:right="120" w:hanging="360"/>
        <w:jc w:val="both"/>
        <w:rPr>
          <w:sz w:val="24"/>
        </w:rPr>
      </w:pPr>
      <w:r>
        <w:rPr>
          <w:sz w:val="24"/>
        </w:rPr>
        <w:t>Klopmann, V.T., Rambeck, B., Tipold, A., 2007. Prospective study of Zonisamide therapy for refractory idiopathic epilepsy </w:t>
      </w:r>
      <w:r>
        <w:rPr>
          <w:spacing w:val="-3"/>
          <w:sz w:val="24"/>
        </w:rPr>
        <w:t>in </w:t>
      </w:r>
      <w:r>
        <w:rPr>
          <w:sz w:val="24"/>
        </w:rPr>
        <w:t>dogs. Journal </w:t>
      </w:r>
      <w:r>
        <w:rPr>
          <w:spacing w:val="4"/>
          <w:sz w:val="24"/>
        </w:rPr>
        <w:t>of </w:t>
      </w:r>
      <w:r>
        <w:rPr>
          <w:sz w:val="24"/>
        </w:rPr>
        <w:t>Animal Practice 48, 134-138.</w:t>
      </w:r>
    </w:p>
    <w:p>
      <w:pPr>
        <w:pStyle w:val="ListParagraph"/>
        <w:numPr>
          <w:ilvl w:val="0"/>
          <w:numId w:val="20"/>
        </w:numPr>
        <w:tabs>
          <w:tab w:pos="921" w:val="left" w:leader="none"/>
        </w:tabs>
        <w:spacing w:line="480" w:lineRule="auto" w:before="212" w:after="0"/>
        <w:ind w:left="873" w:right="105" w:hanging="360"/>
        <w:jc w:val="both"/>
        <w:rPr>
          <w:sz w:val="24"/>
        </w:rPr>
      </w:pPr>
      <w:r>
        <w:rPr>
          <w:sz w:val="24"/>
        </w:rPr>
        <w:t>Knowles, K., 1998. Idiopathic Epilepsy. Clinical Techniques </w:t>
      </w:r>
      <w:r>
        <w:rPr>
          <w:spacing w:val="-3"/>
          <w:sz w:val="24"/>
        </w:rPr>
        <w:t>in </w:t>
      </w:r>
      <w:r>
        <w:rPr>
          <w:sz w:val="24"/>
        </w:rPr>
        <w:t>Small Animal Practice 13, 144-151.</w:t>
      </w:r>
    </w:p>
    <w:p>
      <w:pPr>
        <w:pStyle w:val="ListParagraph"/>
        <w:numPr>
          <w:ilvl w:val="0"/>
          <w:numId w:val="20"/>
        </w:numPr>
        <w:tabs>
          <w:tab w:pos="921" w:val="left" w:leader="none"/>
        </w:tabs>
        <w:spacing w:line="480" w:lineRule="auto" w:before="207" w:after="0"/>
        <w:ind w:left="873" w:right="113" w:hanging="360"/>
        <w:jc w:val="both"/>
        <w:rPr>
          <w:sz w:val="24"/>
        </w:rPr>
      </w:pPr>
      <w:r>
        <w:rPr>
          <w:sz w:val="24"/>
        </w:rPr>
        <w:t>Knowles, W.D., Luders, H.O., 1993. Normal neurophysiology: The science </w:t>
      </w:r>
      <w:r>
        <w:rPr>
          <w:spacing w:val="4"/>
          <w:sz w:val="24"/>
        </w:rPr>
        <w:t>of </w:t>
      </w:r>
      <w:r>
        <w:rPr>
          <w:sz w:val="24"/>
        </w:rPr>
        <w:t>excitable cells. In Wylhe E, (ed). The Treatment of Epilepsy: Principles and Practices. Philadelphia, Lea &amp; Feblger, pp</w:t>
      </w:r>
      <w:r>
        <w:rPr>
          <w:spacing w:val="-13"/>
          <w:sz w:val="24"/>
        </w:rPr>
        <w:t> </w:t>
      </w:r>
      <w:r>
        <w:rPr>
          <w:sz w:val="24"/>
        </w:rPr>
        <w:t>71-82.</w:t>
      </w:r>
    </w:p>
    <w:p>
      <w:pPr>
        <w:pStyle w:val="ListParagraph"/>
        <w:numPr>
          <w:ilvl w:val="0"/>
          <w:numId w:val="20"/>
        </w:numPr>
        <w:tabs>
          <w:tab w:pos="921" w:val="left" w:leader="none"/>
        </w:tabs>
        <w:spacing w:line="480" w:lineRule="auto" w:before="212" w:after="0"/>
        <w:ind w:left="873" w:right="118" w:hanging="360"/>
        <w:jc w:val="both"/>
        <w:rPr>
          <w:sz w:val="24"/>
        </w:rPr>
      </w:pPr>
      <w:r>
        <w:rPr>
          <w:sz w:val="24"/>
        </w:rPr>
        <w:t>Kriel, R. L., Birnbaum, </w:t>
      </w:r>
      <w:r>
        <w:rPr>
          <w:spacing w:val="-3"/>
          <w:sz w:val="24"/>
        </w:rPr>
        <w:t>A. </w:t>
      </w:r>
      <w:r>
        <w:rPr>
          <w:sz w:val="24"/>
        </w:rPr>
        <w:t>K., Cloyd, J. C., Ricker, B. J., Jones, S.C., Caruso, </w:t>
      </w:r>
      <w:r>
        <w:rPr>
          <w:spacing w:val="-3"/>
          <w:sz w:val="24"/>
        </w:rPr>
        <w:t>K. </w:t>
      </w:r>
      <w:r>
        <w:rPr>
          <w:sz w:val="24"/>
        </w:rPr>
        <w:t>J., 1997. Failure </w:t>
      </w:r>
      <w:r>
        <w:rPr>
          <w:spacing w:val="4"/>
          <w:sz w:val="24"/>
        </w:rPr>
        <w:t>of </w:t>
      </w:r>
      <w:r>
        <w:rPr>
          <w:sz w:val="24"/>
        </w:rPr>
        <w:t>absorption of gabapentin after rectal administration. Epilepsy 38, 1242-1244.</w:t>
      </w:r>
    </w:p>
    <w:p>
      <w:pPr>
        <w:pStyle w:val="ListParagraph"/>
        <w:numPr>
          <w:ilvl w:val="0"/>
          <w:numId w:val="20"/>
        </w:numPr>
        <w:tabs>
          <w:tab w:pos="921" w:val="left" w:leader="none"/>
        </w:tabs>
        <w:spacing w:line="480" w:lineRule="auto" w:before="212" w:after="0"/>
        <w:ind w:left="873" w:right="116" w:hanging="360"/>
        <w:jc w:val="both"/>
        <w:rPr>
          <w:sz w:val="24"/>
        </w:rPr>
      </w:pPr>
      <w:r>
        <w:rPr>
          <w:sz w:val="24"/>
        </w:rPr>
        <w:t>Kukanich, B., Cohen, L.R., 2009. Pharmacokinetics of oral gabapentin in greyhound dogs. The Veterinary Journal</w:t>
      </w:r>
      <w:r>
        <w:rPr>
          <w:spacing w:val="-23"/>
          <w:sz w:val="24"/>
        </w:rPr>
        <w:t> </w:t>
      </w:r>
      <w:r>
        <w:rPr>
          <w:sz w:val="24"/>
        </w:rPr>
        <w:t>doi:10.1016/j.tvjl.2009.09.022.</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917" w:val="left" w:leader="none"/>
        </w:tabs>
        <w:spacing w:line="480" w:lineRule="auto" w:before="69" w:after="0"/>
        <w:ind w:left="873" w:right="119" w:hanging="360"/>
        <w:jc w:val="both"/>
        <w:rPr>
          <w:sz w:val="24"/>
        </w:rPr>
      </w:pPr>
      <w:r>
        <w:rPr>
          <w:sz w:val="24"/>
        </w:rPr>
        <w:t>Lane, S.B., </w:t>
      </w:r>
      <w:r>
        <w:rPr>
          <w:spacing w:val="-3"/>
          <w:sz w:val="24"/>
        </w:rPr>
        <w:t>Bunch, </w:t>
      </w:r>
      <w:r>
        <w:rPr>
          <w:sz w:val="24"/>
        </w:rPr>
        <w:t>S.E., 1990. Medical management of recurrent seizures </w:t>
      </w:r>
      <w:r>
        <w:rPr>
          <w:spacing w:val="-3"/>
          <w:sz w:val="24"/>
        </w:rPr>
        <w:t>in </w:t>
      </w:r>
      <w:r>
        <w:rPr>
          <w:sz w:val="24"/>
        </w:rPr>
        <w:t>dogs and cats. Journal </w:t>
      </w:r>
      <w:r>
        <w:rPr>
          <w:spacing w:val="4"/>
          <w:sz w:val="24"/>
        </w:rPr>
        <w:t>of </w:t>
      </w:r>
      <w:r>
        <w:rPr>
          <w:sz w:val="24"/>
        </w:rPr>
        <w:t>Veterinary Internal Medicine 4,</w:t>
      </w:r>
      <w:r>
        <w:rPr>
          <w:spacing w:val="-25"/>
          <w:sz w:val="24"/>
        </w:rPr>
        <w:t> </w:t>
      </w:r>
      <w:r>
        <w:rPr>
          <w:sz w:val="24"/>
        </w:rPr>
        <w:t>26-39.</w:t>
      </w:r>
    </w:p>
    <w:p>
      <w:pPr>
        <w:pStyle w:val="ListParagraph"/>
        <w:numPr>
          <w:ilvl w:val="0"/>
          <w:numId w:val="20"/>
        </w:numPr>
        <w:tabs>
          <w:tab w:pos="917" w:val="left" w:leader="none"/>
        </w:tabs>
        <w:spacing w:line="480" w:lineRule="auto" w:before="212" w:after="0"/>
        <w:ind w:left="873" w:right="107" w:hanging="360"/>
        <w:jc w:val="both"/>
        <w:rPr>
          <w:sz w:val="24"/>
        </w:rPr>
      </w:pPr>
      <w:r>
        <w:rPr>
          <w:sz w:val="24"/>
        </w:rPr>
        <w:t>Laurence, L.B., Lanzo, S.J., Parker, L.K., 2006. Goodman y Gilman. Las Bases Farmacológicas de </w:t>
      </w:r>
      <w:r>
        <w:rPr>
          <w:spacing w:val="-3"/>
          <w:sz w:val="24"/>
        </w:rPr>
        <w:t>la </w:t>
      </w:r>
      <w:r>
        <w:rPr>
          <w:sz w:val="24"/>
        </w:rPr>
        <w:t>Terapéutica. 11 Edición, McGraw- Hill Interamericana, España pp.</w:t>
      </w:r>
      <w:r>
        <w:rPr>
          <w:spacing w:val="-3"/>
          <w:sz w:val="24"/>
        </w:rPr>
        <w:t> </w:t>
      </w:r>
      <w:r>
        <w:rPr>
          <w:sz w:val="24"/>
        </w:rPr>
        <w:t>515.</w:t>
      </w:r>
    </w:p>
    <w:p>
      <w:pPr>
        <w:pStyle w:val="ListParagraph"/>
        <w:numPr>
          <w:ilvl w:val="0"/>
          <w:numId w:val="20"/>
        </w:numPr>
        <w:tabs>
          <w:tab w:pos="1626" w:val="left" w:leader="none"/>
          <w:tab w:pos="1627" w:val="left" w:leader="none"/>
        </w:tabs>
        <w:spacing w:line="240" w:lineRule="auto" w:before="207" w:after="0"/>
        <w:ind w:left="1627" w:right="0" w:hanging="1114"/>
        <w:jc w:val="left"/>
        <w:rPr>
          <w:sz w:val="24"/>
        </w:rPr>
      </w:pPr>
      <w:r>
        <w:rPr>
          <w:sz w:val="24"/>
        </w:rPr>
        <w:t>Leppik, I.E., 2001. The place </w:t>
      </w:r>
      <w:r>
        <w:rPr>
          <w:spacing w:val="4"/>
          <w:sz w:val="24"/>
        </w:rPr>
        <w:t>of </w:t>
      </w:r>
      <w:r>
        <w:rPr>
          <w:sz w:val="24"/>
        </w:rPr>
        <w:t>levetiracetam </w:t>
      </w:r>
      <w:r>
        <w:rPr>
          <w:spacing w:val="-3"/>
          <w:sz w:val="24"/>
        </w:rPr>
        <w:t>in </w:t>
      </w:r>
      <w:r>
        <w:rPr>
          <w:sz w:val="24"/>
        </w:rPr>
        <w:t>the treatment of  </w:t>
      </w:r>
      <w:r>
        <w:rPr>
          <w:spacing w:val="34"/>
          <w:sz w:val="24"/>
        </w:rPr>
        <w:t> </w:t>
      </w:r>
      <w:r>
        <w:rPr>
          <w:sz w:val="24"/>
        </w:rPr>
        <w:t>epilepsy.</w:t>
      </w:r>
    </w:p>
    <w:p>
      <w:pPr>
        <w:pStyle w:val="BodyText"/>
      </w:pPr>
    </w:p>
    <w:p>
      <w:pPr>
        <w:pStyle w:val="BodyText"/>
        <w:ind w:left="873" w:right="98"/>
      </w:pPr>
      <w:r>
        <w:rPr/>
        <w:t>Epilepsia 42, 44–45.</w:t>
      </w:r>
    </w:p>
    <w:p>
      <w:pPr>
        <w:pStyle w:val="BodyText"/>
      </w:pPr>
    </w:p>
    <w:p>
      <w:pPr>
        <w:pStyle w:val="ListParagraph"/>
        <w:numPr>
          <w:ilvl w:val="0"/>
          <w:numId w:val="20"/>
        </w:numPr>
        <w:tabs>
          <w:tab w:pos="1626" w:val="left" w:leader="none"/>
          <w:tab w:pos="1627" w:val="left" w:leader="none"/>
        </w:tabs>
        <w:spacing w:line="480" w:lineRule="auto" w:before="202" w:after="0"/>
        <w:ind w:left="873" w:right="111" w:hanging="360"/>
        <w:jc w:val="both"/>
        <w:rPr>
          <w:sz w:val="24"/>
        </w:rPr>
      </w:pPr>
      <w:r>
        <w:rPr>
          <w:sz w:val="24"/>
        </w:rPr>
        <w:t>Leppik, I.E., 2004. Zonisamide: chemistry, mechanism of action, and pharmacokinetics. Seizure 13,</w:t>
      </w:r>
      <w:r>
        <w:rPr>
          <w:spacing w:val="-10"/>
          <w:sz w:val="24"/>
        </w:rPr>
        <w:t> </w:t>
      </w:r>
      <w:r>
        <w:rPr>
          <w:sz w:val="24"/>
        </w:rPr>
        <w:t>S5–S9.</w:t>
      </w:r>
    </w:p>
    <w:p>
      <w:pPr>
        <w:pStyle w:val="ListParagraph"/>
        <w:numPr>
          <w:ilvl w:val="0"/>
          <w:numId w:val="20"/>
        </w:numPr>
        <w:tabs>
          <w:tab w:pos="1626" w:val="left" w:leader="none"/>
          <w:tab w:pos="1627" w:val="left" w:leader="none"/>
        </w:tabs>
        <w:spacing w:line="480" w:lineRule="auto" w:before="207" w:after="0"/>
        <w:ind w:left="873" w:right="114" w:hanging="360"/>
        <w:jc w:val="both"/>
        <w:rPr>
          <w:sz w:val="24"/>
        </w:rPr>
      </w:pPr>
      <w:r>
        <w:rPr>
          <w:sz w:val="24"/>
        </w:rPr>
        <w:t>Letterman, L., Markowitz, J.J., 1999. A review of published experience </w:t>
      </w:r>
      <w:r>
        <w:rPr>
          <w:spacing w:val="-3"/>
          <w:sz w:val="24"/>
        </w:rPr>
        <w:t>in </w:t>
      </w:r>
      <w:r>
        <w:rPr>
          <w:sz w:val="24"/>
        </w:rPr>
        <w:t>treatment of bipolar disorders and other psychiatric conditions. Pharmacotherapy  19, 565-572.</w:t>
      </w:r>
    </w:p>
    <w:p>
      <w:pPr>
        <w:pStyle w:val="ListParagraph"/>
        <w:numPr>
          <w:ilvl w:val="0"/>
          <w:numId w:val="20"/>
        </w:numPr>
        <w:tabs>
          <w:tab w:pos="1569" w:val="left" w:leader="none"/>
          <w:tab w:pos="1570" w:val="left" w:leader="none"/>
        </w:tabs>
        <w:spacing w:line="480" w:lineRule="auto" w:before="212" w:after="0"/>
        <w:ind w:left="873" w:right="109" w:hanging="360"/>
        <w:jc w:val="both"/>
        <w:rPr>
          <w:sz w:val="24"/>
        </w:rPr>
      </w:pPr>
      <w:r>
        <w:rPr>
          <w:sz w:val="24"/>
        </w:rPr>
        <w:t>Levy, H.R., Dreifuss, E.F., Matsson, R.H., 1989. Antiepileptic drugs, Raven press, New</w:t>
      </w:r>
      <w:r>
        <w:rPr>
          <w:spacing w:val="-4"/>
          <w:sz w:val="24"/>
        </w:rPr>
        <w:t> </w:t>
      </w:r>
      <w:r>
        <w:rPr>
          <w:sz w:val="24"/>
        </w:rPr>
        <w:t>York.</w:t>
      </w:r>
    </w:p>
    <w:p>
      <w:pPr>
        <w:pStyle w:val="ListParagraph"/>
        <w:numPr>
          <w:ilvl w:val="0"/>
          <w:numId w:val="20"/>
        </w:numPr>
        <w:tabs>
          <w:tab w:pos="1569" w:val="left" w:leader="none"/>
          <w:tab w:pos="1570" w:val="left" w:leader="none"/>
        </w:tabs>
        <w:spacing w:line="480" w:lineRule="auto" w:before="212" w:after="0"/>
        <w:ind w:left="873" w:right="122" w:hanging="360"/>
        <w:jc w:val="both"/>
        <w:rPr>
          <w:sz w:val="24"/>
        </w:rPr>
      </w:pPr>
      <w:r>
        <w:rPr>
          <w:sz w:val="24"/>
        </w:rPr>
        <w:t>Licht, G.B., Licht, H.M., Harper, M.K., </w:t>
      </w:r>
      <w:r>
        <w:rPr>
          <w:spacing w:val="-3"/>
          <w:sz w:val="24"/>
        </w:rPr>
        <w:t>Lin, </w:t>
      </w:r>
      <w:r>
        <w:rPr>
          <w:sz w:val="24"/>
        </w:rPr>
        <w:t>S., Curtin, J.J., Hyson, L.L., Willard, K., 2002. Clinical presentations of naturally occurring canine seizures: similarities </w:t>
      </w:r>
      <w:r>
        <w:rPr>
          <w:spacing w:val="2"/>
          <w:sz w:val="24"/>
        </w:rPr>
        <w:t>to </w:t>
      </w:r>
      <w:r>
        <w:rPr>
          <w:sz w:val="24"/>
        </w:rPr>
        <w:t>human seizures. Epilepsy &amp; Behavior 3,</w:t>
      </w:r>
      <w:r>
        <w:rPr>
          <w:spacing w:val="-26"/>
          <w:sz w:val="24"/>
        </w:rPr>
        <w:t> </w:t>
      </w:r>
      <w:r>
        <w:rPr>
          <w:sz w:val="24"/>
        </w:rPr>
        <w:t>460-470.</w:t>
      </w:r>
    </w:p>
    <w:p>
      <w:pPr>
        <w:pStyle w:val="ListParagraph"/>
        <w:numPr>
          <w:ilvl w:val="0"/>
          <w:numId w:val="20"/>
        </w:numPr>
        <w:tabs>
          <w:tab w:pos="1569" w:val="left" w:leader="none"/>
          <w:tab w:pos="1570" w:val="left" w:leader="none"/>
        </w:tabs>
        <w:spacing w:line="240" w:lineRule="auto" w:before="207" w:after="0"/>
        <w:ind w:left="1569" w:right="0" w:hanging="1056"/>
        <w:jc w:val="both"/>
        <w:rPr>
          <w:sz w:val="24"/>
        </w:rPr>
      </w:pPr>
      <w:r>
        <w:rPr>
          <w:sz w:val="24"/>
        </w:rPr>
        <w:t>Lohi, H., Young, E., Fitzmaurice, S., Rusbridge, C., Chan, E., Vervoort, </w:t>
      </w:r>
      <w:r>
        <w:rPr>
          <w:spacing w:val="6"/>
          <w:sz w:val="24"/>
        </w:rPr>
        <w:t> </w:t>
      </w:r>
      <w:r>
        <w:rPr>
          <w:sz w:val="24"/>
        </w:rPr>
        <w:t>M.,</w:t>
      </w:r>
    </w:p>
    <w:p>
      <w:pPr>
        <w:pStyle w:val="BodyText"/>
      </w:pPr>
    </w:p>
    <w:p>
      <w:pPr>
        <w:pStyle w:val="BodyText"/>
        <w:ind w:left="873" w:right="98"/>
      </w:pPr>
      <w:r>
        <w:rPr/>
        <w:t>Turnbull, J., Xiao-Chu, Z., Lanzano, L., Paterson, D.A., Sutter, B.N., Ostrander,</w:t>
      </w:r>
    </w:p>
    <w:p>
      <w:pPr>
        <w:spacing w:after="0"/>
        <w:sectPr>
          <w:footerReference w:type="default" r:id="rId47"/>
          <w:pgSz w:w="12240" w:h="15840"/>
          <w:pgMar w:footer="2131" w:header="0" w:top="1500" w:bottom="2320" w:left="1720" w:right="1420"/>
        </w:sectPr>
      </w:pPr>
    </w:p>
    <w:p>
      <w:pPr>
        <w:pStyle w:val="BodyText"/>
        <w:spacing w:before="7"/>
        <w:rPr>
          <w:sz w:val="20"/>
        </w:rPr>
      </w:pPr>
    </w:p>
    <w:p>
      <w:pPr>
        <w:pStyle w:val="BodyText"/>
        <w:spacing w:line="480" w:lineRule="auto" w:before="69"/>
        <w:ind w:left="873" w:right="98"/>
      </w:pPr>
      <w:r>
        <w:rPr/>
        <w:t>A.E., André, C., Shelton, D.G., Ackerley, A.C., Scherer, W.S., Minassian, A.B., 2005. Expanded repeat in canine epilepsy. Science 307-381.</w:t>
      </w:r>
    </w:p>
    <w:p>
      <w:pPr>
        <w:pStyle w:val="ListParagraph"/>
        <w:numPr>
          <w:ilvl w:val="0"/>
          <w:numId w:val="20"/>
        </w:numPr>
        <w:tabs>
          <w:tab w:pos="1569" w:val="left" w:leader="none"/>
          <w:tab w:pos="1570" w:val="left" w:leader="none"/>
        </w:tabs>
        <w:spacing w:line="480" w:lineRule="auto" w:before="212" w:after="0"/>
        <w:ind w:left="873" w:right="101" w:hanging="360"/>
        <w:jc w:val="both"/>
        <w:rPr>
          <w:sz w:val="24"/>
        </w:rPr>
      </w:pPr>
      <w:r>
        <w:rPr>
          <w:sz w:val="24"/>
        </w:rPr>
        <w:t>Lord, K.L., </w:t>
      </w:r>
      <w:r>
        <w:rPr>
          <w:spacing w:val="-3"/>
          <w:sz w:val="24"/>
        </w:rPr>
        <w:t>Podell, </w:t>
      </w:r>
      <w:r>
        <w:rPr>
          <w:sz w:val="24"/>
        </w:rPr>
        <w:t>M., 1999. Owner perception of the care of long-term Phenobarbital-treated epileptic dogs. Journal of Animal Practice 40,</w:t>
      </w:r>
      <w:r>
        <w:rPr>
          <w:spacing w:val="-17"/>
          <w:sz w:val="24"/>
        </w:rPr>
        <w:t> </w:t>
      </w:r>
      <w:r>
        <w:rPr>
          <w:sz w:val="24"/>
        </w:rPr>
        <w:t>11-15.</w:t>
      </w:r>
    </w:p>
    <w:p>
      <w:pPr>
        <w:pStyle w:val="ListParagraph"/>
        <w:numPr>
          <w:ilvl w:val="0"/>
          <w:numId w:val="20"/>
        </w:numPr>
        <w:tabs>
          <w:tab w:pos="1569" w:val="left" w:leader="none"/>
          <w:tab w:pos="1570" w:val="left" w:leader="none"/>
        </w:tabs>
        <w:spacing w:line="480" w:lineRule="auto" w:before="207" w:after="0"/>
        <w:ind w:left="873" w:right="113" w:hanging="360"/>
        <w:jc w:val="both"/>
        <w:rPr>
          <w:sz w:val="24"/>
        </w:rPr>
      </w:pPr>
      <w:r>
        <w:rPr>
          <w:sz w:val="24"/>
        </w:rPr>
        <w:t>Loscher, W., 1981. Plasma levels </w:t>
      </w:r>
      <w:r>
        <w:rPr>
          <w:spacing w:val="4"/>
          <w:sz w:val="24"/>
        </w:rPr>
        <w:t>of </w:t>
      </w:r>
      <w:r>
        <w:rPr>
          <w:sz w:val="24"/>
        </w:rPr>
        <w:t>valproic acid and its metabolites during continued treatment </w:t>
      </w:r>
      <w:r>
        <w:rPr>
          <w:spacing w:val="-3"/>
          <w:sz w:val="24"/>
        </w:rPr>
        <w:t>in </w:t>
      </w:r>
      <w:r>
        <w:rPr>
          <w:sz w:val="24"/>
        </w:rPr>
        <w:t>dogs. Journal of Veterinary pharmacology Therapy 4,</w:t>
      </w:r>
      <w:r>
        <w:rPr>
          <w:spacing w:val="-16"/>
          <w:sz w:val="24"/>
        </w:rPr>
        <w:t> </w:t>
      </w:r>
      <w:r>
        <w:rPr>
          <w:spacing w:val="2"/>
          <w:sz w:val="24"/>
        </w:rPr>
        <w:t>4-11.</w:t>
      </w:r>
    </w:p>
    <w:p>
      <w:pPr>
        <w:pStyle w:val="ListParagraph"/>
        <w:numPr>
          <w:ilvl w:val="0"/>
          <w:numId w:val="20"/>
        </w:numPr>
        <w:tabs>
          <w:tab w:pos="1569" w:val="left" w:leader="none"/>
          <w:tab w:pos="1570" w:val="left" w:leader="none"/>
        </w:tabs>
        <w:spacing w:line="480" w:lineRule="auto" w:before="212" w:after="0"/>
        <w:ind w:left="873" w:right="118" w:hanging="360"/>
        <w:jc w:val="both"/>
        <w:rPr>
          <w:sz w:val="24"/>
        </w:rPr>
      </w:pPr>
      <w:r>
        <w:rPr>
          <w:sz w:val="24"/>
        </w:rPr>
        <w:t>Lowenstein, D.H., Alldredge, B.K., 1998. Status epilepticus. The New England Journal of Medicine 338,</w:t>
      </w:r>
      <w:r>
        <w:rPr>
          <w:spacing w:val="-7"/>
          <w:sz w:val="24"/>
        </w:rPr>
        <w:t> </w:t>
      </w:r>
      <w:r>
        <w:rPr>
          <w:sz w:val="24"/>
        </w:rPr>
        <w:t>970–976.</w:t>
      </w:r>
    </w:p>
    <w:p>
      <w:pPr>
        <w:pStyle w:val="ListParagraph"/>
        <w:numPr>
          <w:ilvl w:val="0"/>
          <w:numId w:val="20"/>
        </w:numPr>
        <w:tabs>
          <w:tab w:pos="1569" w:val="left" w:leader="none"/>
          <w:tab w:pos="1570" w:val="left" w:leader="none"/>
        </w:tabs>
        <w:spacing w:line="477" w:lineRule="auto" w:before="212" w:after="0"/>
        <w:ind w:left="873" w:right="104" w:hanging="360"/>
        <w:jc w:val="both"/>
        <w:rPr>
          <w:sz w:val="24"/>
        </w:rPr>
      </w:pPr>
      <w:r>
        <w:rPr>
          <w:spacing w:val="-3"/>
          <w:sz w:val="24"/>
        </w:rPr>
        <w:t>Lui, </w:t>
      </w:r>
      <w:r>
        <w:rPr>
          <w:sz w:val="24"/>
        </w:rPr>
        <w:t>C.Y., Amidon, G.L., Goldberg, A., 1991. Intranasal absorption </w:t>
      </w:r>
      <w:r>
        <w:rPr>
          <w:spacing w:val="4"/>
          <w:sz w:val="24"/>
        </w:rPr>
        <w:t>of </w:t>
      </w:r>
      <w:r>
        <w:rPr>
          <w:sz w:val="24"/>
        </w:rPr>
        <w:t>flurazepam, midazolam, and triazolam. Journal of Pharmacal Science 80, </w:t>
      </w:r>
      <w:r>
        <w:rPr>
          <w:spacing w:val="2"/>
          <w:sz w:val="24"/>
        </w:rPr>
        <w:t>1125– </w:t>
      </w:r>
      <w:r>
        <w:rPr>
          <w:sz w:val="24"/>
        </w:rPr>
        <w:t>1129.</w:t>
      </w:r>
    </w:p>
    <w:p>
      <w:pPr>
        <w:pStyle w:val="ListParagraph"/>
        <w:numPr>
          <w:ilvl w:val="0"/>
          <w:numId w:val="20"/>
        </w:numPr>
        <w:tabs>
          <w:tab w:pos="1569" w:val="left" w:leader="none"/>
          <w:tab w:pos="1570" w:val="left" w:leader="none"/>
        </w:tabs>
        <w:spacing w:line="480" w:lineRule="auto" w:before="214" w:after="0"/>
        <w:ind w:left="873" w:right="106" w:hanging="360"/>
        <w:jc w:val="both"/>
        <w:rPr>
          <w:sz w:val="24"/>
        </w:rPr>
      </w:pPr>
      <w:r>
        <w:rPr>
          <w:sz w:val="24"/>
        </w:rPr>
        <w:t>Lynch, B.A., Lambeng, N., Nocka, K., Kensel-Hammes, P., Bajjalieh, S.M., Matagne, A., Fuks, B., 2004. The synaptic vesicle protein SV2A </w:t>
      </w:r>
      <w:r>
        <w:rPr>
          <w:spacing w:val="-3"/>
          <w:sz w:val="24"/>
        </w:rPr>
        <w:t>is </w:t>
      </w:r>
      <w:r>
        <w:rPr>
          <w:sz w:val="24"/>
        </w:rPr>
        <w:t>the binding site for the antiepileptic drug levetiracetam. Proceedings </w:t>
      </w:r>
      <w:r>
        <w:rPr>
          <w:spacing w:val="4"/>
          <w:sz w:val="24"/>
        </w:rPr>
        <w:t>of </w:t>
      </w:r>
      <w:r>
        <w:rPr>
          <w:sz w:val="24"/>
        </w:rPr>
        <w:t>the National Academy </w:t>
      </w:r>
      <w:r>
        <w:rPr>
          <w:spacing w:val="4"/>
          <w:sz w:val="24"/>
        </w:rPr>
        <w:t>of </w:t>
      </w:r>
      <w:r>
        <w:rPr>
          <w:sz w:val="24"/>
        </w:rPr>
        <w:t>Sciences of the United States of America 101,</w:t>
      </w:r>
      <w:r>
        <w:rPr>
          <w:spacing w:val="-12"/>
          <w:sz w:val="24"/>
        </w:rPr>
        <w:t> </w:t>
      </w:r>
      <w:r>
        <w:rPr>
          <w:sz w:val="24"/>
        </w:rPr>
        <w:t>9861–9866.</w:t>
      </w:r>
    </w:p>
    <w:p>
      <w:pPr>
        <w:pStyle w:val="ListParagraph"/>
        <w:numPr>
          <w:ilvl w:val="0"/>
          <w:numId w:val="20"/>
        </w:numPr>
        <w:tabs>
          <w:tab w:pos="1569" w:val="left" w:leader="none"/>
          <w:tab w:pos="1570" w:val="left" w:leader="none"/>
        </w:tabs>
        <w:spacing w:line="480" w:lineRule="auto" w:before="212" w:after="0"/>
        <w:ind w:left="873" w:right="113" w:hanging="360"/>
        <w:jc w:val="both"/>
        <w:rPr>
          <w:sz w:val="24"/>
        </w:rPr>
      </w:pPr>
      <w:r>
        <w:rPr>
          <w:sz w:val="24"/>
        </w:rPr>
        <w:t>MacDonald, R.L., 1998. Inhibitory synaptic transmission. In Engel J, Pedley TA (ed). Epilepsy: A Comprehensive Textbook. Vol 1. Philadelphia, New York, Lipplncott-Raven, pp</w:t>
      </w:r>
      <w:r>
        <w:rPr>
          <w:spacing w:val="-8"/>
          <w:sz w:val="24"/>
        </w:rPr>
        <w:t> </w:t>
      </w:r>
      <w:r>
        <w:rPr>
          <w:sz w:val="24"/>
        </w:rPr>
        <w:t>265-276.</w:t>
      </w:r>
    </w:p>
    <w:p>
      <w:pPr>
        <w:spacing w:after="0" w:line="480" w:lineRule="auto"/>
        <w:jc w:val="both"/>
        <w:rPr>
          <w:sz w:val="24"/>
        </w:rPr>
        <w:sectPr>
          <w:footerReference w:type="default" r:id="rId48"/>
          <w:pgSz w:w="12240" w:h="15840"/>
          <w:pgMar w:footer="2131" w:header="0" w:top="1500" w:bottom="2320" w:left="1720" w:right="1420"/>
          <w:pgNumType w:start="121"/>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12" w:hanging="360"/>
        <w:jc w:val="both"/>
        <w:rPr>
          <w:sz w:val="24"/>
        </w:rPr>
      </w:pPr>
      <w:r>
        <w:rPr>
          <w:sz w:val="24"/>
        </w:rPr>
        <w:t>Maneuf, P.Y., Luo, D.Z., Lee, K., 2006. α2δ and the mechanism </w:t>
      </w:r>
      <w:r>
        <w:rPr>
          <w:spacing w:val="4"/>
          <w:sz w:val="24"/>
        </w:rPr>
        <w:t>of </w:t>
      </w:r>
      <w:r>
        <w:rPr>
          <w:sz w:val="24"/>
        </w:rPr>
        <w:t>action of gabapentin </w:t>
      </w:r>
      <w:r>
        <w:rPr>
          <w:spacing w:val="-3"/>
          <w:sz w:val="24"/>
        </w:rPr>
        <w:t>in </w:t>
      </w:r>
      <w:r>
        <w:rPr>
          <w:sz w:val="24"/>
        </w:rPr>
        <w:t>the treatment of pain. Seminars </w:t>
      </w:r>
      <w:r>
        <w:rPr>
          <w:spacing w:val="-3"/>
          <w:sz w:val="24"/>
        </w:rPr>
        <w:t>in </w:t>
      </w:r>
      <w:r>
        <w:rPr>
          <w:sz w:val="24"/>
        </w:rPr>
        <w:t>Cell &amp; Developmental Biology 17, 565-570.</w:t>
      </w:r>
    </w:p>
    <w:p>
      <w:pPr>
        <w:pStyle w:val="ListParagraph"/>
        <w:numPr>
          <w:ilvl w:val="0"/>
          <w:numId w:val="20"/>
        </w:numPr>
        <w:tabs>
          <w:tab w:pos="1569" w:val="left" w:leader="none"/>
          <w:tab w:pos="1570" w:val="left" w:leader="none"/>
        </w:tabs>
        <w:spacing w:line="480" w:lineRule="auto" w:before="212" w:after="0"/>
        <w:ind w:left="873" w:right="118" w:hanging="360"/>
        <w:jc w:val="both"/>
        <w:rPr>
          <w:sz w:val="24"/>
        </w:rPr>
      </w:pPr>
      <w:r>
        <w:rPr>
          <w:sz w:val="24"/>
        </w:rPr>
        <w:t>March, A.P., 1998. Seizures: Classification, Etiologies, and Pathophysiology. Clinical Techniques </w:t>
      </w:r>
      <w:r>
        <w:rPr>
          <w:spacing w:val="-3"/>
          <w:sz w:val="24"/>
        </w:rPr>
        <w:t>in </w:t>
      </w:r>
      <w:r>
        <w:rPr>
          <w:sz w:val="24"/>
        </w:rPr>
        <w:t>Small Animal Practice 13,</w:t>
      </w:r>
      <w:r>
        <w:rPr>
          <w:spacing w:val="-14"/>
          <w:sz w:val="24"/>
        </w:rPr>
        <w:t> </w:t>
      </w:r>
      <w:r>
        <w:rPr>
          <w:sz w:val="24"/>
        </w:rPr>
        <w:t>119-131.</w:t>
      </w:r>
    </w:p>
    <w:p>
      <w:pPr>
        <w:pStyle w:val="ListParagraph"/>
        <w:numPr>
          <w:ilvl w:val="0"/>
          <w:numId w:val="20"/>
        </w:numPr>
        <w:tabs>
          <w:tab w:pos="1569" w:val="left" w:leader="none"/>
          <w:tab w:pos="1570" w:val="left" w:leader="none"/>
        </w:tabs>
        <w:spacing w:line="480" w:lineRule="auto" w:before="207" w:after="0"/>
        <w:ind w:left="873" w:right="107" w:hanging="360"/>
        <w:jc w:val="both"/>
        <w:rPr>
          <w:sz w:val="24"/>
        </w:rPr>
      </w:pPr>
      <w:r>
        <w:rPr>
          <w:sz w:val="24"/>
        </w:rPr>
        <w:t>March, P.A., Hillier, A., Weisbrode, S.E., 2004. Superficial necrolytic dermatitis </w:t>
      </w:r>
      <w:r>
        <w:rPr>
          <w:spacing w:val="-3"/>
          <w:sz w:val="24"/>
        </w:rPr>
        <w:t>in </w:t>
      </w:r>
      <w:r>
        <w:rPr>
          <w:sz w:val="24"/>
        </w:rPr>
        <w:t>11 dogs with a history </w:t>
      </w:r>
      <w:r>
        <w:rPr>
          <w:spacing w:val="4"/>
          <w:sz w:val="24"/>
        </w:rPr>
        <w:t>of </w:t>
      </w:r>
      <w:r>
        <w:rPr>
          <w:sz w:val="24"/>
        </w:rPr>
        <w:t>phenobarbital administration (1995–2002). Journal Veterinary Internal Medicine 18,</w:t>
      </w:r>
      <w:r>
        <w:rPr>
          <w:spacing w:val="-13"/>
          <w:sz w:val="24"/>
        </w:rPr>
        <w:t> </w:t>
      </w:r>
      <w:r>
        <w:rPr>
          <w:sz w:val="24"/>
        </w:rPr>
        <w:t>65–74.</w:t>
      </w:r>
    </w:p>
    <w:p>
      <w:pPr>
        <w:pStyle w:val="ListParagraph"/>
        <w:numPr>
          <w:ilvl w:val="0"/>
          <w:numId w:val="20"/>
        </w:numPr>
        <w:tabs>
          <w:tab w:pos="1569" w:val="left" w:leader="none"/>
          <w:tab w:pos="1570" w:val="left" w:leader="none"/>
        </w:tabs>
        <w:spacing w:line="480" w:lineRule="auto" w:before="212" w:after="0"/>
        <w:ind w:left="873" w:right="114" w:hanging="360"/>
        <w:jc w:val="both"/>
        <w:rPr>
          <w:sz w:val="24"/>
        </w:rPr>
      </w:pPr>
      <w:r>
        <w:rPr>
          <w:sz w:val="24"/>
        </w:rPr>
        <w:t>Mares, P., Haugvicová, R., 1997. Anticonvulsant action of gabapentin during postnatal development </w:t>
      </w:r>
      <w:r>
        <w:rPr>
          <w:spacing w:val="-3"/>
          <w:sz w:val="24"/>
        </w:rPr>
        <w:t>in </w:t>
      </w:r>
      <w:r>
        <w:rPr>
          <w:sz w:val="24"/>
        </w:rPr>
        <w:t>rats. Epilepsia 38,</w:t>
      </w:r>
      <w:r>
        <w:rPr>
          <w:spacing w:val="-5"/>
          <w:sz w:val="24"/>
        </w:rPr>
        <w:t> </w:t>
      </w:r>
      <w:r>
        <w:rPr>
          <w:sz w:val="24"/>
        </w:rPr>
        <w:t>893–896.</w:t>
      </w:r>
    </w:p>
    <w:p>
      <w:pPr>
        <w:pStyle w:val="ListParagraph"/>
        <w:numPr>
          <w:ilvl w:val="0"/>
          <w:numId w:val="20"/>
        </w:numPr>
        <w:tabs>
          <w:tab w:pos="1569" w:val="left" w:leader="none"/>
          <w:tab w:pos="1570" w:val="left" w:leader="none"/>
        </w:tabs>
        <w:spacing w:line="480" w:lineRule="auto" w:before="207" w:after="0"/>
        <w:ind w:left="873" w:right="104" w:hanging="360"/>
        <w:jc w:val="both"/>
        <w:rPr>
          <w:sz w:val="24"/>
        </w:rPr>
      </w:pPr>
      <w:r>
        <w:rPr>
          <w:sz w:val="24"/>
        </w:rPr>
        <w:t>Mariani, C.L., Clemmons, R.M., Lee-Ambrose, L., 2003. A comparison of intranasal and intravenous lorazepam </w:t>
      </w:r>
      <w:r>
        <w:rPr>
          <w:spacing w:val="-3"/>
          <w:sz w:val="24"/>
        </w:rPr>
        <w:t>in </w:t>
      </w:r>
      <w:r>
        <w:rPr>
          <w:sz w:val="24"/>
        </w:rPr>
        <w:t>normal dogs. Journal Veterinary Internal Medicine 17,</w:t>
      </w:r>
      <w:r>
        <w:rPr>
          <w:spacing w:val="-3"/>
          <w:sz w:val="24"/>
        </w:rPr>
        <w:t> </w:t>
      </w:r>
      <w:r>
        <w:rPr>
          <w:sz w:val="24"/>
        </w:rPr>
        <w:t>402.</w:t>
      </w:r>
    </w:p>
    <w:p>
      <w:pPr>
        <w:pStyle w:val="ListParagraph"/>
        <w:numPr>
          <w:ilvl w:val="0"/>
          <w:numId w:val="20"/>
        </w:numPr>
        <w:tabs>
          <w:tab w:pos="1569" w:val="left" w:leader="none"/>
          <w:tab w:pos="1570" w:val="left" w:leader="none"/>
        </w:tabs>
        <w:spacing w:line="480" w:lineRule="auto" w:before="212" w:after="0"/>
        <w:ind w:left="873" w:right="106" w:hanging="360"/>
        <w:jc w:val="both"/>
        <w:rPr>
          <w:sz w:val="24"/>
        </w:rPr>
      </w:pPr>
      <w:r>
        <w:rPr>
          <w:sz w:val="24"/>
        </w:rPr>
        <w:t>Martinek, Z., Hora, </w:t>
      </w:r>
      <w:r>
        <w:rPr>
          <w:spacing w:val="-3"/>
          <w:sz w:val="24"/>
        </w:rPr>
        <w:t>F., </w:t>
      </w:r>
      <w:r>
        <w:rPr>
          <w:sz w:val="24"/>
        </w:rPr>
        <w:t>1970. Development of socalled “genuine” epileptic seizures </w:t>
      </w:r>
      <w:r>
        <w:rPr>
          <w:spacing w:val="-3"/>
          <w:sz w:val="24"/>
        </w:rPr>
        <w:t>in </w:t>
      </w:r>
      <w:r>
        <w:rPr>
          <w:sz w:val="24"/>
        </w:rPr>
        <w:t>dogs during emotonial excrement. Physiologia Bohemoslovaca 19, 185- 195.</w:t>
      </w:r>
    </w:p>
    <w:p>
      <w:pPr>
        <w:pStyle w:val="ListParagraph"/>
        <w:numPr>
          <w:ilvl w:val="0"/>
          <w:numId w:val="20"/>
        </w:numPr>
        <w:tabs>
          <w:tab w:pos="1569" w:val="left" w:leader="none"/>
          <w:tab w:pos="1570" w:val="left" w:leader="none"/>
        </w:tabs>
        <w:spacing w:line="480" w:lineRule="auto" w:before="212" w:after="0"/>
        <w:ind w:left="873" w:right="116" w:hanging="360"/>
        <w:jc w:val="both"/>
        <w:rPr>
          <w:sz w:val="24"/>
        </w:rPr>
      </w:pPr>
      <w:r>
        <w:rPr>
          <w:sz w:val="24"/>
        </w:rPr>
        <w:t>Mattson, H.R., 1992. Druf treatment of partial epilepsy. </w:t>
      </w:r>
      <w:r>
        <w:rPr>
          <w:spacing w:val="3"/>
          <w:sz w:val="24"/>
        </w:rPr>
        <w:t>In </w:t>
      </w:r>
      <w:r>
        <w:rPr>
          <w:sz w:val="24"/>
        </w:rPr>
        <w:t>“Advances in Neurology”. Delgado-Escueta edds, New York</w:t>
      </w:r>
      <w:r>
        <w:rPr>
          <w:spacing w:val="-11"/>
          <w:sz w:val="24"/>
        </w:rPr>
        <w:t> </w:t>
      </w:r>
      <w:r>
        <w:rPr>
          <w:sz w:val="24"/>
        </w:rPr>
        <w:t>643-650.</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08" w:hanging="360"/>
        <w:jc w:val="both"/>
        <w:rPr>
          <w:sz w:val="24"/>
        </w:rPr>
      </w:pPr>
      <w:r>
        <w:rPr>
          <w:sz w:val="24"/>
        </w:rPr>
        <w:t>McNamara, J. O., 1994. Cellular and molecular basis of epilepsy. Journal </w:t>
      </w:r>
      <w:r>
        <w:rPr>
          <w:spacing w:val="4"/>
          <w:sz w:val="24"/>
        </w:rPr>
        <w:t>of </w:t>
      </w:r>
      <w:r>
        <w:rPr>
          <w:sz w:val="24"/>
        </w:rPr>
        <w:t>Neuroscience 14,</w:t>
      </w:r>
      <w:r>
        <w:rPr>
          <w:spacing w:val="-2"/>
          <w:sz w:val="24"/>
        </w:rPr>
        <w:t> </w:t>
      </w:r>
      <w:r>
        <w:rPr>
          <w:sz w:val="24"/>
        </w:rPr>
        <w:t>3413-3425.</w:t>
      </w:r>
    </w:p>
    <w:p>
      <w:pPr>
        <w:pStyle w:val="ListParagraph"/>
        <w:numPr>
          <w:ilvl w:val="0"/>
          <w:numId w:val="20"/>
        </w:numPr>
        <w:tabs>
          <w:tab w:pos="1569" w:val="left" w:leader="none"/>
          <w:tab w:pos="1570" w:val="left" w:leader="none"/>
        </w:tabs>
        <w:spacing w:line="480" w:lineRule="auto" w:before="212" w:after="0"/>
        <w:ind w:left="873" w:right="116" w:hanging="360"/>
        <w:jc w:val="both"/>
        <w:rPr>
          <w:sz w:val="24"/>
        </w:rPr>
      </w:pPr>
      <w:r>
        <w:rPr>
          <w:sz w:val="24"/>
        </w:rPr>
        <w:t>Meldrum, B.S., 1994. The role </w:t>
      </w:r>
      <w:r>
        <w:rPr>
          <w:spacing w:val="4"/>
          <w:sz w:val="24"/>
        </w:rPr>
        <w:t>of </w:t>
      </w:r>
      <w:r>
        <w:rPr>
          <w:sz w:val="24"/>
        </w:rPr>
        <w:t>glutamate </w:t>
      </w:r>
      <w:r>
        <w:rPr>
          <w:spacing w:val="-3"/>
          <w:sz w:val="24"/>
        </w:rPr>
        <w:t>in </w:t>
      </w:r>
      <w:r>
        <w:rPr>
          <w:sz w:val="24"/>
        </w:rPr>
        <w:t>epilepsy and other CNS disorders. Neurology 44,</w:t>
      </w:r>
      <w:r>
        <w:rPr>
          <w:spacing w:val="-8"/>
          <w:sz w:val="24"/>
        </w:rPr>
        <w:t> </w:t>
      </w:r>
      <w:r>
        <w:rPr>
          <w:sz w:val="24"/>
        </w:rPr>
        <w:t>S14–S23.</w:t>
      </w:r>
    </w:p>
    <w:p>
      <w:pPr>
        <w:pStyle w:val="ListParagraph"/>
        <w:numPr>
          <w:ilvl w:val="0"/>
          <w:numId w:val="20"/>
        </w:numPr>
        <w:tabs>
          <w:tab w:pos="1569" w:val="left" w:leader="none"/>
          <w:tab w:pos="1570" w:val="left" w:leader="none"/>
        </w:tabs>
        <w:spacing w:line="480" w:lineRule="auto" w:before="207" w:after="0"/>
        <w:ind w:left="873" w:right="112" w:hanging="360"/>
        <w:jc w:val="both"/>
        <w:rPr>
          <w:sz w:val="24"/>
        </w:rPr>
      </w:pPr>
      <w:r>
        <w:rPr>
          <w:sz w:val="24"/>
        </w:rPr>
        <w:t>Mohanraj, R., Parker, P.G., Stephen, L.J., 2005. Levetiracetam </w:t>
      </w:r>
      <w:r>
        <w:rPr>
          <w:spacing w:val="-3"/>
          <w:sz w:val="24"/>
        </w:rPr>
        <w:t>in </w:t>
      </w:r>
      <w:r>
        <w:rPr>
          <w:sz w:val="24"/>
        </w:rPr>
        <w:t>refractory epilepsy: a prospective observational study. Seizure 14,</w:t>
      </w:r>
      <w:r>
        <w:rPr>
          <w:spacing w:val="-20"/>
          <w:sz w:val="24"/>
        </w:rPr>
        <w:t> </w:t>
      </w:r>
      <w:r>
        <w:rPr>
          <w:sz w:val="24"/>
        </w:rPr>
        <w:t>23–27.</w:t>
      </w:r>
    </w:p>
    <w:p>
      <w:pPr>
        <w:pStyle w:val="ListParagraph"/>
        <w:numPr>
          <w:ilvl w:val="0"/>
          <w:numId w:val="20"/>
        </w:numPr>
        <w:tabs>
          <w:tab w:pos="1569" w:val="left" w:leader="none"/>
          <w:tab w:pos="1570" w:val="left" w:leader="none"/>
        </w:tabs>
        <w:spacing w:line="480" w:lineRule="auto" w:before="212" w:after="0"/>
        <w:ind w:left="873" w:right="117" w:hanging="360"/>
        <w:jc w:val="both"/>
        <w:rPr>
          <w:sz w:val="24"/>
        </w:rPr>
      </w:pPr>
      <w:r>
        <w:rPr>
          <w:sz w:val="24"/>
        </w:rPr>
        <w:t>Monteiro, R., Adams, V., </w:t>
      </w:r>
      <w:r>
        <w:rPr>
          <w:spacing w:val="-3"/>
          <w:sz w:val="24"/>
        </w:rPr>
        <w:t>Keys, </w:t>
      </w:r>
      <w:r>
        <w:rPr>
          <w:sz w:val="24"/>
        </w:rPr>
        <w:t>D., Platt, R.S., 2012. Canine idiopathic epilepsy: prevalence, risk factors and outcome associated with cluster seizures and status epilepticus. Journal of Small Animal Practice 53,</w:t>
      </w:r>
      <w:r>
        <w:rPr>
          <w:spacing w:val="-17"/>
          <w:sz w:val="24"/>
        </w:rPr>
        <w:t> </w:t>
      </w:r>
      <w:r>
        <w:rPr>
          <w:sz w:val="24"/>
        </w:rPr>
        <w:t>526-530.</w:t>
      </w:r>
    </w:p>
    <w:p>
      <w:pPr>
        <w:pStyle w:val="ListParagraph"/>
        <w:numPr>
          <w:ilvl w:val="0"/>
          <w:numId w:val="20"/>
        </w:numPr>
        <w:tabs>
          <w:tab w:pos="1569" w:val="left" w:leader="none"/>
          <w:tab w:pos="1570" w:val="left" w:leader="none"/>
        </w:tabs>
        <w:spacing w:line="480" w:lineRule="auto" w:before="207" w:after="0"/>
        <w:ind w:left="873" w:right="113" w:hanging="360"/>
        <w:jc w:val="both"/>
        <w:rPr>
          <w:sz w:val="24"/>
        </w:rPr>
      </w:pPr>
      <w:r>
        <w:rPr>
          <w:sz w:val="24"/>
        </w:rPr>
        <w:t>Montouris, G. D., Biton, V., Rosenfeld, </w:t>
      </w:r>
      <w:r>
        <w:rPr>
          <w:spacing w:val="-3"/>
          <w:sz w:val="24"/>
        </w:rPr>
        <w:t>W. </w:t>
      </w:r>
      <w:r>
        <w:rPr>
          <w:sz w:val="24"/>
        </w:rPr>
        <w:t>E., 2000. Nonfocal generalised tonic-clonic seizures: response during longterm topiramate treatment. Epilepsia 41 (Suppl 1),</w:t>
      </w:r>
      <w:r>
        <w:rPr>
          <w:spacing w:val="1"/>
          <w:sz w:val="24"/>
        </w:rPr>
        <w:t> </w:t>
      </w:r>
      <w:r>
        <w:rPr>
          <w:sz w:val="24"/>
        </w:rPr>
        <w:t>S77-S81</w:t>
      </w:r>
    </w:p>
    <w:p>
      <w:pPr>
        <w:pStyle w:val="ListParagraph"/>
        <w:numPr>
          <w:ilvl w:val="0"/>
          <w:numId w:val="20"/>
        </w:numPr>
        <w:tabs>
          <w:tab w:pos="1569" w:val="left" w:leader="none"/>
          <w:tab w:pos="1570" w:val="left" w:leader="none"/>
        </w:tabs>
        <w:spacing w:line="240" w:lineRule="auto" w:before="212" w:after="0"/>
        <w:ind w:left="1569" w:right="0" w:hanging="1056"/>
        <w:jc w:val="left"/>
        <w:rPr>
          <w:sz w:val="24"/>
        </w:rPr>
      </w:pPr>
      <w:r>
        <w:rPr>
          <w:sz w:val="24"/>
        </w:rPr>
        <w:t>Morris, L.G., 1999. Gabapentin. Epilepsy 40,</w:t>
      </w:r>
      <w:r>
        <w:rPr>
          <w:spacing w:val="-15"/>
          <w:sz w:val="24"/>
        </w:rPr>
        <w:t> </w:t>
      </w:r>
      <w:r>
        <w:rPr>
          <w:sz w:val="24"/>
        </w:rPr>
        <w:t>S63-S70.</w:t>
      </w:r>
    </w:p>
    <w:p>
      <w:pPr>
        <w:pStyle w:val="BodyText"/>
      </w:pPr>
    </w:p>
    <w:p>
      <w:pPr>
        <w:pStyle w:val="ListParagraph"/>
        <w:numPr>
          <w:ilvl w:val="0"/>
          <w:numId w:val="20"/>
        </w:numPr>
        <w:tabs>
          <w:tab w:pos="1569" w:val="left" w:leader="none"/>
          <w:tab w:pos="1570" w:val="left" w:leader="none"/>
        </w:tabs>
        <w:spacing w:line="480" w:lineRule="auto" w:before="201" w:after="0"/>
        <w:ind w:left="873" w:right="116" w:hanging="360"/>
        <w:jc w:val="both"/>
        <w:rPr>
          <w:sz w:val="24"/>
        </w:rPr>
      </w:pPr>
      <w:r>
        <w:rPr>
          <w:sz w:val="24"/>
        </w:rPr>
        <w:t>Morton, D.J., Honhold, N., 1988. Effectiveness </w:t>
      </w:r>
      <w:r>
        <w:rPr>
          <w:spacing w:val="4"/>
          <w:sz w:val="24"/>
        </w:rPr>
        <w:t>of </w:t>
      </w:r>
      <w:r>
        <w:rPr>
          <w:sz w:val="24"/>
        </w:rPr>
        <w:t>therapeutic drug monitoring service as an aid </w:t>
      </w:r>
      <w:r>
        <w:rPr>
          <w:spacing w:val="2"/>
          <w:sz w:val="24"/>
        </w:rPr>
        <w:t>to </w:t>
      </w:r>
      <w:r>
        <w:rPr>
          <w:sz w:val="24"/>
        </w:rPr>
        <w:t>the control </w:t>
      </w:r>
      <w:r>
        <w:rPr>
          <w:spacing w:val="4"/>
          <w:sz w:val="24"/>
        </w:rPr>
        <w:t>of </w:t>
      </w:r>
      <w:r>
        <w:rPr>
          <w:sz w:val="24"/>
        </w:rPr>
        <w:t>canine seizures. Veterinary Record 122, 346-349.</w:t>
      </w:r>
    </w:p>
    <w:p>
      <w:pPr>
        <w:pStyle w:val="ListParagraph"/>
        <w:numPr>
          <w:ilvl w:val="0"/>
          <w:numId w:val="20"/>
        </w:numPr>
        <w:tabs>
          <w:tab w:pos="1569" w:val="left" w:leader="none"/>
          <w:tab w:pos="1570" w:val="left" w:leader="none"/>
          <w:tab w:pos="2513" w:val="left" w:leader="none"/>
          <w:tab w:pos="3185" w:val="left" w:leader="none"/>
          <w:tab w:pos="4292" w:val="left" w:leader="none"/>
          <w:tab w:pos="4939" w:val="left" w:leader="none"/>
          <w:tab w:pos="5859" w:val="left" w:leader="none"/>
          <w:tab w:pos="6348" w:val="left" w:leader="none"/>
          <w:tab w:pos="7518" w:val="left" w:leader="none"/>
          <w:tab w:pos="7949" w:val="left" w:leader="none"/>
          <w:tab w:pos="8438" w:val="left" w:leader="none"/>
        </w:tabs>
        <w:spacing w:line="240" w:lineRule="auto" w:before="207" w:after="0"/>
        <w:ind w:left="1569" w:right="0" w:hanging="1056"/>
        <w:jc w:val="left"/>
        <w:rPr>
          <w:sz w:val="24"/>
        </w:rPr>
      </w:pPr>
      <w:r>
        <w:rPr>
          <w:sz w:val="24"/>
        </w:rPr>
        <w:t>Muller,</w:t>
        <w:tab/>
        <w:t>J.C.,</w:t>
        <w:tab/>
        <w:t>Scheffer,</w:t>
        <w:tab/>
        <w:t>I.E.,</w:t>
        <w:tab/>
        <w:t>Patrou,</w:t>
        <w:tab/>
        <w:t>S.,</w:t>
        <w:tab/>
        <w:t>Berkovic,</w:t>
        <w:tab/>
        <w:t>S.</w:t>
        <w:tab/>
        <w:t>F.,</w:t>
        <w:tab/>
        <w:t>2003.</w:t>
      </w:r>
    </w:p>
    <w:p>
      <w:pPr>
        <w:pStyle w:val="BodyText"/>
        <w:spacing w:line="550" w:lineRule="atLeast" w:before="2"/>
        <w:ind w:left="873" w:right="118"/>
      </w:pPr>
      <w:r>
        <w:rPr/>
        <w:t>Channelopathies as a genetic cause of epilepsy. Current Opinions in Neurology 16, 171-176</w:t>
      </w:r>
    </w:p>
    <w:p>
      <w:pPr>
        <w:spacing w:after="0" w:line="550" w:lineRule="atLeast"/>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08" w:hanging="360"/>
        <w:jc w:val="both"/>
        <w:rPr>
          <w:sz w:val="24"/>
        </w:rPr>
      </w:pPr>
      <w:r>
        <w:rPr>
          <w:sz w:val="24"/>
        </w:rPr>
        <w:t>Muñana, R.K., 2009. Newer options for medically managing refractory canine epilepsy. Veterinary Medicine 104,</w:t>
      </w:r>
      <w:r>
        <w:rPr>
          <w:spacing w:val="-10"/>
          <w:sz w:val="24"/>
        </w:rPr>
        <w:t> </w:t>
      </w:r>
      <w:r>
        <w:rPr>
          <w:sz w:val="24"/>
        </w:rPr>
        <w:t>342-348.</w:t>
      </w:r>
    </w:p>
    <w:p>
      <w:pPr>
        <w:pStyle w:val="ListParagraph"/>
        <w:numPr>
          <w:ilvl w:val="0"/>
          <w:numId w:val="20"/>
        </w:numPr>
        <w:tabs>
          <w:tab w:pos="1569" w:val="left" w:leader="none"/>
          <w:tab w:pos="1570" w:val="left" w:leader="none"/>
        </w:tabs>
        <w:spacing w:line="480" w:lineRule="auto" w:before="212" w:after="0"/>
        <w:ind w:left="873" w:right="103" w:hanging="360"/>
        <w:jc w:val="both"/>
        <w:rPr>
          <w:sz w:val="24"/>
        </w:rPr>
      </w:pPr>
      <w:r>
        <w:rPr>
          <w:sz w:val="24"/>
        </w:rPr>
        <w:t>Muscas, C.G., Chiroll, S., Luceri, F., Del Mastio, M., Balestrieri, F., Arnetoli, G., 2000. Conversion from therice daily </w:t>
      </w:r>
      <w:r>
        <w:rPr>
          <w:spacing w:val="2"/>
          <w:sz w:val="24"/>
        </w:rPr>
        <w:t>to </w:t>
      </w:r>
      <w:r>
        <w:rPr>
          <w:sz w:val="24"/>
        </w:rPr>
        <w:t>twice daily administration of gabapentin (GBP) </w:t>
      </w:r>
      <w:r>
        <w:rPr>
          <w:spacing w:val="-3"/>
          <w:sz w:val="24"/>
        </w:rPr>
        <w:t>in </w:t>
      </w:r>
      <w:r>
        <w:rPr>
          <w:sz w:val="24"/>
        </w:rPr>
        <w:t>partial epilepsy: analysis of clinical efficacy and plasma levels. Seizure 9,</w:t>
      </w:r>
      <w:r>
        <w:rPr>
          <w:spacing w:val="-1"/>
          <w:sz w:val="24"/>
        </w:rPr>
        <w:t> </w:t>
      </w:r>
      <w:r>
        <w:rPr>
          <w:sz w:val="24"/>
        </w:rPr>
        <w:t>47-50.</w:t>
      </w:r>
    </w:p>
    <w:p>
      <w:pPr>
        <w:pStyle w:val="ListParagraph"/>
        <w:numPr>
          <w:ilvl w:val="0"/>
          <w:numId w:val="20"/>
        </w:numPr>
        <w:tabs>
          <w:tab w:pos="1569" w:val="left" w:leader="none"/>
          <w:tab w:pos="1570" w:val="left" w:leader="none"/>
        </w:tabs>
        <w:spacing w:line="480" w:lineRule="auto" w:before="207" w:after="0"/>
        <w:ind w:left="873" w:right="110" w:hanging="360"/>
        <w:jc w:val="both"/>
        <w:rPr>
          <w:sz w:val="24"/>
        </w:rPr>
      </w:pPr>
      <w:r>
        <w:rPr>
          <w:sz w:val="24"/>
        </w:rPr>
        <w:t>Nafe, L.A., Parker, A., Kay, W.J., 1981. Sodium valproate: a preliminary clinical trial </w:t>
      </w:r>
      <w:r>
        <w:rPr>
          <w:spacing w:val="-3"/>
          <w:sz w:val="24"/>
        </w:rPr>
        <w:t>in </w:t>
      </w:r>
      <w:r>
        <w:rPr>
          <w:sz w:val="24"/>
        </w:rPr>
        <w:t>epileptic dogs. Journal </w:t>
      </w:r>
      <w:r>
        <w:rPr>
          <w:spacing w:val="4"/>
          <w:sz w:val="24"/>
        </w:rPr>
        <w:t>of </w:t>
      </w:r>
      <w:r>
        <w:rPr>
          <w:sz w:val="24"/>
        </w:rPr>
        <w:t>American Animal Hospital Association 17, 131-133.</w:t>
      </w:r>
    </w:p>
    <w:p>
      <w:pPr>
        <w:pStyle w:val="ListParagraph"/>
        <w:numPr>
          <w:ilvl w:val="0"/>
          <w:numId w:val="20"/>
        </w:numPr>
        <w:tabs>
          <w:tab w:pos="1569" w:val="left" w:leader="none"/>
          <w:tab w:pos="1570" w:val="left" w:leader="none"/>
        </w:tabs>
        <w:spacing w:line="480" w:lineRule="auto" w:before="212" w:after="0"/>
        <w:ind w:left="873" w:right="108" w:hanging="360"/>
        <w:jc w:val="both"/>
        <w:rPr>
          <w:sz w:val="24"/>
        </w:rPr>
      </w:pPr>
      <w:r>
        <w:rPr>
          <w:sz w:val="24"/>
        </w:rPr>
        <w:t>Naritoku, </w:t>
      </w:r>
      <w:r>
        <w:rPr>
          <w:spacing w:val="-3"/>
          <w:sz w:val="24"/>
        </w:rPr>
        <w:t>D. </w:t>
      </w:r>
      <w:r>
        <w:rPr>
          <w:sz w:val="24"/>
        </w:rPr>
        <w:t>K., Hulihan, J. F., Schwarzman, L. K., 2005. </w:t>
      </w:r>
      <w:r>
        <w:rPr>
          <w:spacing w:val="-3"/>
          <w:sz w:val="24"/>
        </w:rPr>
        <w:t>Effect </w:t>
      </w:r>
      <w:r>
        <w:rPr>
          <w:sz w:val="24"/>
        </w:rPr>
        <w:t>of  cotherapy reduction on tolerability </w:t>
      </w:r>
      <w:r>
        <w:rPr>
          <w:spacing w:val="4"/>
          <w:sz w:val="24"/>
        </w:rPr>
        <w:t>of </w:t>
      </w:r>
      <w:r>
        <w:rPr>
          <w:sz w:val="24"/>
        </w:rPr>
        <w:t>epilepsy add-on therapy: a randomised controlled trial. The Annals </w:t>
      </w:r>
      <w:r>
        <w:rPr>
          <w:spacing w:val="4"/>
          <w:sz w:val="24"/>
        </w:rPr>
        <w:t>of </w:t>
      </w:r>
      <w:r>
        <w:rPr>
          <w:sz w:val="24"/>
        </w:rPr>
        <w:t>pharmacotherapy 39,</w:t>
      </w:r>
      <w:r>
        <w:rPr>
          <w:spacing w:val="-25"/>
          <w:sz w:val="24"/>
        </w:rPr>
        <w:t> </w:t>
      </w:r>
      <w:r>
        <w:rPr>
          <w:sz w:val="24"/>
        </w:rPr>
        <w:t>418-423.</w:t>
      </w:r>
    </w:p>
    <w:p>
      <w:pPr>
        <w:pStyle w:val="ListParagraph"/>
        <w:numPr>
          <w:ilvl w:val="0"/>
          <w:numId w:val="20"/>
        </w:numPr>
        <w:tabs>
          <w:tab w:pos="1569" w:val="left" w:leader="none"/>
          <w:tab w:pos="1570" w:val="left" w:leader="none"/>
        </w:tabs>
        <w:spacing w:line="480" w:lineRule="auto" w:before="207" w:after="0"/>
        <w:ind w:left="873" w:right="108" w:hanging="360"/>
        <w:jc w:val="both"/>
        <w:rPr>
          <w:sz w:val="24"/>
        </w:rPr>
      </w:pPr>
      <w:r>
        <w:rPr>
          <w:sz w:val="24"/>
        </w:rPr>
        <w:t>Navarro, B.C.J., Morales, A.R., Cañabate, P.A., 2002. Nuevos Antiepilépticos ¿Nuevas alternativas terapéuticas?. Revista Colombiana de Psiquiatría 31,</w:t>
      </w:r>
      <w:r>
        <w:rPr>
          <w:spacing w:val="-7"/>
          <w:sz w:val="24"/>
        </w:rPr>
        <w:t> </w:t>
      </w:r>
      <w:r>
        <w:rPr>
          <w:sz w:val="24"/>
        </w:rPr>
        <w:t>237-246.</w:t>
      </w:r>
    </w:p>
    <w:p>
      <w:pPr>
        <w:pStyle w:val="ListParagraph"/>
        <w:numPr>
          <w:ilvl w:val="0"/>
          <w:numId w:val="20"/>
        </w:numPr>
        <w:tabs>
          <w:tab w:pos="1569" w:val="left" w:leader="none"/>
          <w:tab w:pos="1570" w:val="left" w:leader="none"/>
        </w:tabs>
        <w:spacing w:line="480" w:lineRule="auto" w:before="212" w:after="0"/>
        <w:ind w:left="873" w:right="112" w:hanging="360"/>
        <w:jc w:val="both"/>
        <w:rPr>
          <w:sz w:val="24"/>
        </w:rPr>
      </w:pPr>
      <w:r>
        <w:rPr>
          <w:sz w:val="24"/>
        </w:rPr>
        <w:t>Niekerk, V.J., 1988. The use </w:t>
      </w:r>
      <w:r>
        <w:rPr>
          <w:spacing w:val="4"/>
          <w:sz w:val="24"/>
        </w:rPr>
        <w:t>of </w:t>
      </w:r>
      <w:r>
        <w:rPr>
          <w:sz w:val="24"/>
        </w:rPr>
        <w:t>acupuncture </w:t>
      </w:r>
      <w:r>
        <w:rPr>
          <w:spacing w:val="-3"/>
          <w:sz w:val="24"/>
        </w:rPr>
        <w:t>in </w:t>
      </w:r>
      <w:r>
        <w:rPr>
          <w:sz w:val="24"/>
        </w:rPr>
        <w:t>canine epilepsy. Journal </w:t>
      </w:r>
      <w:r>
        <w:rPr>
          <w:spacing w:val="4"/>
          <w:sz w:val="24"/>
        </w:rPr>
        <w:t>of </w:t>
      </w:r>
      <w:r>
        <w:rPr>
          <w:sz w:val="24"/>
        </w:rPr>
        <w:t>Veterinary Association 59,</w:t>
      </w:r>
      <w:r>
        <w:rPr>
          <w:spacing w:val="-11"/>
          <w:sz w:val="24"/>
        </w:rPr>
        <w:t> </w:t>
      </w:r>
      <w:r>
        <w:rPr>
          <w:sz w:val="24"/>
        </w:rPr>
        <w:t>5.</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240" w:lineRule="auto" w:before="69" w:after="0"/>
        <w:ind w:left="1569" w:right="0" w:hanging="1056"/>
        <w:jc w:val="left"/>
        <w:rPr>
          <w:sz w:val="24"/>
        </w:rPr>
      </w:pPr>
      <w:r>
        <w:rPr>
          <w:sz w:val="24"/>
        </w:rPr>
        <w:t>Oliver, J. E., Lorenz, M. D., Kornegay, J. N., 1997. Seizures and</w:t>
      </w:r>
      <w:r>
        <w:rPr>
          <w:spacing w:val="17"/>
          <w:sz w:val="24"/>
        </w:rPr>
        <w:t> </w:t>
      </w:r>
      <w:r>
        <w:rPr>
          <w:sz w:val="24"/>
        </w:rPr>
        <w:t>narcolepsy.</w:t>
      </w:r>
    </w:p>
    <w:p>
      <w:pPr>
        <w:pStyle w:val="BodyText"/>
      </w:pPr>
    </w:p>
    <w:p>
      <w:pPr>
        <w:pStyle w:val="BodyText"/>
        <w:ind w:left="873" w:right="98"/>
      </w:pPr>
      <w:r>
        <w:rPr/>
        <w:t>In: Handbook of Veterinary Neurology. 3rd edn. Eds J.E., Oliver, M.D., Lorenz and</w:t>
      </w:r>
    </w:p>
    <w:p>
      <w:pPr>
        <w:pStyle w:val="BodyText"/>
      </w:pPr>
    </w:p>
    <w:p>
      <w:pPr>
        <w:pStyle w:val="BodyText"/>
        <w:ind w:left="873" w:right="98"/>
      </w:pPr>
      <w:r>
        <w:rPr/>
        <w:t>J. N. Kornegay. W.B. Saunders, Philadelphia, PA, USA, 313-331.</w:t>
      </w:r>
    </w:p>
    <w:p>
      <w:pPr>
        <w:pStyle w:val="BodyText"/>
      </w:pPr>
    </w:p>
    <w:p>
      <w:pPr>
        <w:pStyle w:val="ListParagraph"/>
        <w:numPr>
          <w:ilvl w:val="0"/>
          <w:numId w:val="20"/>
        </w:numPr>
        <w:tabs>
          <w:tab w:pos="1569" w:val="left" w:leader="none"/>
          <w:tab w:pos="1570" w:val="left" w:leader="none"/>
        </w:tabs>
        <w:spacing w:line="240" w:lineRule="auto" w:before="201" w:after="0"/>
        <w:ind w:left="1569" w:right="0" w:hanging="1056"/>
        <w:jc w:val="left"/>
        <w:rPr>
          <w:sz w:val="24"/>
        </w:rPr>
      </w:pPr>
      <w:r>
        <w:rPr>
          <w:sz w:val="24"/>
        </w:rPr>
        <w:t>Oommen,  K.J.,  Mathews,  S.,  1999. Zonisamide:  a  new antiepileptic</w:t>
      </w:r>
      <w:r>
        <w:rPr>
          <w:spacing w:val="-29"/>
          <w:sz w:val="24"/>
        </w:rPr>
        <w:t> </w:t>
      </w:r>
      <w:r>
        <w:rPr>
          <w:sz w:val="24"/>
        </w:rPr>
        <w:t>drug.</w:t>
      </w:r>
    </w:p>
    <w:p>
      <w:pPr>
        <w:pStyle w:val="BodyText"/>
      </w:pPr>
    </w:p>
    <w:p>
      <w:pPr>
        <w:pStyle w:val="BodyText"/>
        <w:ind w:left="873" w:right="98"/>
      </w:pPr>
      <w:r>
        <w:rPr/>
        <w:t>Clinical Neuropharmacology 22, 192–200.</w:t>
      </w:r>
    </w:p>
    <w:p>
      <w:pPr>
        <w:pStyle w:val="BodyText"/>
      </w:pPr>
    </w:p>
    <w:p>
      <w:pPr>
        <w:pStyle w:val="ListParagraph"/>
        <w:numPr>
          <w:ilvl w:val="0"/>
          <w:numId w:val="20"/>
        </w:numPr>
        <w:tabs>
          <w:tab w:pos="1569" w:val="left" w:leader="none"/>
          <w:tab w:pos="1570" w:val="left" w:leader="none"/>
        </w:tabs>
        <w:spacing w:line="480" w:lineRule="auto" w:before="197" w:after="0"/>
        <w:ind w:left="873" w:right="111" w:hanging="360"/>
        <w:jc w:val="both"/>
        <w:rPr>
          <w:sz w:val="24"/>
        </w:rPr>
      </w:pPr>
      <w:r>
        <w:rPr>
          <w:sz w:val="24"/>
        </w:rPr>
        <w:t>Orito, K., Saito, M., Fukunaga, K., 2008. Pharmacokinetics </w:t>
      </w:r>
      <w:r>
        <w:rPr>
          <w:spacing w:val="4"/>
          <w:sz w:val="24"/>
        </w:rPr>
        <w:t>of </w:t>
      </w:r>
      <w:r>
        <w:rPr>
          <w:sz w:val="24"/>
        </w:rPr>
        <w:t>zonisamide and drug interaction with fenobarbital </w:t>
      </w:r>
      <w:r>
        <w:rPr>
          <w:spacing w:val="-3"/>
          <w:sz w:val="24"/>
        </w:rPr>
        <w:t>in </w:t>
      </w:r>
      <w:r>
        <w:rPr>
          <w:sz w:val="24"/>
        </w:rPr>
        <w:t>dogs. Journal Veterinary Pharmacology Therapy 31,</w:t>
      </w:r>
      <w:r>
        <w:rPr>
          <w:spacing w:val="-3"/>
          <w:sz w:val="24"/>
        </w:rPr>
        <w:t> </w:t>
      </w:r>
      <w:r>
        <w:rPr>
          <w:sz w:val="24"/>
        </w:rPr>
        <w:t>259-264.</w:t>
      </w:r>
    </w:p>
    <w:p>
      <w:pPr>
        <w:pStyle w:val="ListParagraph"/>
        <w:numPr>
          <w:ilvl w:val="0"/>
          <w:numId w:val="20"/>
        </w:numPr>
        <w:tabs>
          <w:tab w:pos="1569" w:val="left" w:leader="none"/>
          <w:tab w:pos="1570" w:val="left" w:leader="none"/>
        </w:tabs>
        <w:spacing w:line="480" w:lineRule="auto" w:before="212" w:after="0"/>
        <w:ind w:left="873" w:right="107" w:hanging="360"/>
        <w:jc w:val="both"/>
        <w:rPr>
          <w:sz w:val="24"/>
        </w:rPr>
      </w:pPr>
      <w:r>
        <w:rPr>
          <w:sz w:val="24"/>
        </w:rPr>
        <w:t>Pakozdy, A., Leschnik, M., Tichy, A.G., 2008. Retrospective clinical comparison of idiopathic versus symptomatic epilepsy </w:t>
      </w:r>
      <w:r>
        <w:rPr>
          <w:spacing w:val="-3"/>
          <w:sz w:val="24"/>
        </w:rPr>
        <w:t>in </w:t>
      </w:r>
      <w:r>
        <w:rPr>
          <w:sz w:val="24"/>
        </w:rPr>
        <w:t>240 dogs with seizures. Acta Veterinaria Hungara 56,</w:t>
      </w:r>
      <w:r>
        <w:rPr>
          <w:spacing w:val="-6"/>
          <w:sz w:val="24"/>
        </w:rPr>
        <w:t> </w:t>
      </w:r>
      <w:r>
        <w:rPr>
          <w:sz w:val="24"/>
        </w:rPr>
        <w:t>471–83.</w:t>
      </w:r>
    </w:p>
    <w:p>
      <w:pPr>
        <w:pStyle w:val="ListParagraph"/>
        <w:numPr>
          <w:ilvl w:val="0"/>
          <w:numId w:val="20"/>
        </w:numPr>
        <w:tabs>
          <w:tab w:pos="1569" w:val="left" w:leader="none"/>
          <w:tab w:pos="1570" w:val="left" w:leader="none"/>
        </w:tabs>
        <w:spacing w:line="480" w:lineRule="auto" w:before="207" w:after="0"/>
        <w:ind w:left="873" w:right="106" w:hanging="360"/>
        <w:jc w:val="both"/>
        <w:rPr>
          <w:sz w:val="24"/>
        </w:rPr>
      </w:pPr>
      <w:r>
        <w:rPr>
          <w:sz w:val="24"/>
        </w:rPr>
        <w:t>Palmer, A.C., 1972. Pathological changes </w:t>
      </w:r>
      <w:r>
        <w:rPr>
          <w:spacing w:val="-3"/>
          <w:sz w:val="24"/>
        </w:rPr>
        <w:t>in </w:t>
      </w:r>
      <w:r>
        <w:rPr>
          <w:sz w:val="24"/>
        </w:rPr>
        <w:t>the brain associated </w:t>
      </w:r>
      <w:r>
        <w:rPr>
          <w:spacing w:val="2"/>
          <w:sz w:val="24"/>
        </w:rPr>
        <w:t>with </w:t>
      </w:r>
      <w:r>
        <w:rPr>
          <w:spacing w:val="-3"/>
          <w:sz w:val="24"/>
        </w:rPr>
        <w:t>fits </w:t>
      </w:r>
      <w:r>
        <w:rPr>
          <w:sz w:val="24"/>
        </w:rPr>
        <w:t>in dogs. Veterinary Record 90,</w:t>
      </w:r>
      <w:r>
        <w:rPr>
          <w:spacing w:val="-5"/>
          <w:sz w:val="24"/>
        </w:rPr>
        <w:t> </w:t>
      </w:r>
      <w:r>
        <w:rPr>
          <w:sz w:val="24"/>
        </w:rPr>
        <w:t>167-173.</w:t>
      </w:r>
    </w:p>
    <w:p>
      <w:pPr>
        <w:pStyle w:val="ListParagraph"/>
        <w:numPr>
          <w:ilvl w:val="0"/>
          <w:numId w:val="20"/>
        </w:numPr>
        <w:tabs>
          <w:tab w:pos="1569" w:val="left" w:leader="none"/>
          <w:tab w:pos="1570" w:val="left" w:leader="none"/>
        </w:tabs>
        <w:spacing w:line="480" w:lineRule="auto" w:before="212" w:after="0"/>
        <w:ind w:left="873" w:right="120" w:hanging="360"/>
        <w:jc w:val="both"/>
        <w:rPr>
          <w:sz w:val="24"/>
        </w:rPr>
      </w:pPr>
      <w:r>
        <w:rPr>
          <w:sz w:val="24"/>
        </w:rPr>
        <w:t>Patterson, E.E., Mickelson, J.R., Da, Y., 2003. Clinical Characteristics </w:t>
      </w:r>
      <w:r>
        <w:rPr>
          <w:spacing w:val="-3"/>
          <w:sz w:val="24"/>
        </w:rPr>
        <w:t>amd </w:t>
      </w:r>
      <w:r>
        <w:rPr>
          <w:sz w:val="24"/>
        </w:rPr>
        <w:t>inheritance of idiophatic epilepsy </w:t>
      </w:r>
      <w:r>
        <w:rPr>
          <w:spacing w:val="-3"/>
          <w:sz w:val="24"/>
        </w:rPr>
        <w:t>in </w:t>
      </w:r>
      <w:r>
        <w:rPr>
          <w:sz w:val="24"/>
        </w:rPr>
        <w:t>Viszlas. Journal Veterinary Internal Medicine 17, 319-125.</w:t>
      </w:r>
    </w:p>
    <w:p>
      <w:pPr>
        <w:pStyle w:val="ListParagraph"/>
        <w:numPr>
          <w:ilvl w:val="0"/>
          <w:numId w:val="20"/>
        </w:numPr>
        <w:tabs>
          <w:tab w:pos="1569" w:val="left" w:leader="none"/>
          <w:tab w:pos="1570" w:val="left" w:leader="none"/>
        </w:tabs>
        <w:spacing w:line="480" w:lineRule="auto" w:before="212" w:after="0"/>
        <w:ind w:left="873" w:right="101" w:hanging="360"/>
        <w:jc w:val="both"/>
        <w:rPr>
          <w:sz w:val="24"/>
        </w:rPr>
      </w:pPr>
      <w:r>
        <w:rPr>
          <w:sz w:val="24"/>
        </w:rPr>
        <w:t>Patterson, E.E., Armstrong, P.J., O´brien, D.P., 2005. Clinical description and mode </w:t>
      </w:r>
      <w:r>
        <w:rPr>
          <w:spacing w:val="4"/>
          <w:sz w:val="24"/>
        </w:rPr>
        <w:t>of </w:t>
      </w:r>
      <w:r>
        <w:rPr>
          <w:sz w:val="24"/>
        </w:rPr>
        <w:t>inheritance </w:t>
      </w:r>
      <w:r>
        <w:rPr>
          <w:spacing w:val="4"/>
          <w:sz w:val="24"/>
        </w:rPr>
        <w:t>of </w:t>
      </w:r>
      <w:r>
        <w:rPr>
          <w:sz w:val="24"/>
        </w:rPr>
        <w:t>idiopathic epilepsy </w:t>
      </w:r>
      <w:r>
        <w:rPr>
          <w:spacing w:val="-3"/>
          <w:sz w:val="24"/>
        </w:rPr>
        <w:t>in </w:t>
      </w:r>
      <w:r>
        <w:rPr>
          <w:sz w:val="24"/>
        </w:rPr>
        <w:t>English Springer Spaniels. Journal American Veterinary Medical Association 8,</w:t>
      </w:r>
      <w:r>
        <w:rPr>
          <w:spacing w:val="-18"/>
          <w:sz w:val="24"/>
        </w:rPr>
        <w:t> </w:t>
      </w:r>
      <w:r>
        <w:rPr>
          <w:sz w:val="24"/>
        </w:rPr>
        <w:t>226-254.</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15" w:hanging="360"/>
        <w:jc w:val="both"/>
        <w:rPr>
          <w:sz w:val="24"/>
        </w:rPr>
      </w:pPr>
      <w:r>
        <w:rPr>
          <w:sz w:val="24"/>
        </w:rPr>
        <w:t>Pellegrino, F., 2003a. Epilepsia y síndromes epilépticos. En: Pellegrino, F., Surinati, A., Garibaldi, L., Editores. El libro de </w:t>
      </w:r>
      <w:r>
        <w:rPr>
          <w:spacing w:val="-5"/>
          <w:sz w:val="24"/>
        </w:rPr>
        <w:t>la </w:t>
      </w:r>
      <w:r>
        <w:rPr>
          <w:sz w:val="24"/>
        </w:rPr>
        <w:t>neurología para </w:t>
      </w:r>
      <w:r>
        <w:rPr>
          <w:spacing w:val="-5"/>
          <w:sz w:val="24"/>
        </w:rPr>
        <w:t>la  </w:t>
      </w:r>
      <w:r>
        <w:rPr>
          <w:sz w:val="24"/>
        </w:rPr>
        <w:t>práctica clínica. Argentina: Intermédica,</w:t>
      </w:r>
      <w:r>
        <w:rPr>
          <w:spacing w:val="-13"/>
          <w:sz w:val="24"/>
        </w:rPr>
        <w:t> </w:t>
      </w:r>
      <w:r>
        <w:rPr>
          <w:sz w:val="24"/>
        </w:rPr>
        <w:t>255-280.</w:t>
      </w:r>
    </w:p>
    <w:p>
      <w:pPr>
        <w:pStyle w:val="ListParagraph"/>
        <w:numPr>
          <w:ilvl w:val="0"/>
          <w:numId w:val="20"/>
        </w:numPr>
        <w:tabs>
          <w:tab w:pos="1569" w:val="left" w:leader="none"/>
          <w:tab w:pos="1570" w:val="left" w:leader="none"/>
        </w:tabs>
        <w:spacing w:line="480" w:lineRule="auto" w:before="212" w:after="0"/>
        <w:ind w:left="873" w:right="110" w:hanging="360"/>
        <w:jc w:val="both"/>
        <w:rPr>
          <w:sz w:val="24"/>
        </w:rPr>
      </w:pPr>
      <w:r>
        <w:rPr>
          <w:sz w:val="24"/>
        </w:rPr>
        <w:t>Pellegrino, F., 2003b. Electroencefalografía clínica en pequeños animals. En: Pellegrino, F., Suraniti, A., Garibaldi, L, editores. El </w:t>
      </w:r>
      <w:r>
        <w:rPr>
          <w:spacing w:val="-3"/>
          <w:sz w:val="24"/>
        </w:rPr>
        <w:t>libro </w:t>
      </w:r>
      <w:r>
        <w:rPr>
          <w:sz w:val="24"/>
        </w:rPr>
        <w:t>de </w:t>
      </w:r>
      <w:r>
        <w:rPr>
          <w:spacing w:val="-5"/>
          <w:sz w:val="24"/>
        </w:rPr>
        <w:t>la </w:t>
      </w:r>
      <w:r>
        <w:rPr>
          <w:sz w:val="24"/>
        </w:rPr>
        <w:t>neurología en </w:t>
      </w:r>
      <w:r>
        <w:rPr>
          <w:spacing w:val="-5"/>
          <w:sz w:val="24"/>
        </w:rPr>
        <w:t>la </w:t>
      </w:r>
      <w:r>
        <w:rPr>
          <w:sz w:val="24"/>
        </w:rPr>
        <w:t>práctica clínica. Argentina. Intermédica, pp</w:t>
      </w:r>
      <w:r>
        <w:rPr>
          <w:spacing w:val="-13"/>
          <w:sz w:val="24"/>
        </w:rPr>
        <w:t> </w:t>
      </w:r>
      <w:r>
        <w:rPr>
          <w:sz w:val="24"/>
        </w:rPr>
        <w:t>571-600.</w:t>
      </w:r>
    </w:p>
    <w:p>
      <w:pPr>
        <w:pStyle w:val="ListParagraph"/>
        <w:numPr>
          <w:ilvl w:val="0"/>
          <w:numId w:val="20"/>
        </w:numPr>
        <w:tabs>
          <w:tab w:pos="1569" w:val="left" w:leader="none"/>
          <w:tab w:pos="1570" w:val="left" w:leader="none"/>
        </w:tabs>
        <w:spacing w:line="480" w:lineRule="auto" w:before="207" w:after="0"/>
        <w:ind w:left="873" w:right="119" w:hanging="360"/>
        <w:jc w:val="both"/>
        <w:rPr>
          <w:sz w:val="24"/>
        </w:rPr>
      </w:pPr>
      <w:r>
        <w:rPr>
          <w:sz w:val="24"/>
        </w:rPr>
        <w:t>Perucca, E., 2005. Clinically relevant drug interactions with antiepileptic drugs. British Journal </w:t>
      </w:r>
      <w:r>
        <w:rPr>
          <w:spacing w:val="4"/>
          <w:sz w:val="24"/>
        </w:rPr>
        <w:t>of </w:t>
      </w:r>
      <w:r>
        <w:rPr>
          <w:sz w:val="24"/>
        </w:rPr>
        <w:t>Clinical Pharmacology 61,</w:t>
      </w:r>
      <w:r>
        <w:rPr>
          <w:spacing w:val="-27"/>
          <w:sz w:val="24"/>
        </w:rPr>
        <w:t> </w:t>
      </w:r>
      <w:r>
        <w:rPr>
          <w:sz w:val="24"/>
        </w:rPr>
        <w:t>246-255.</w:t>
      </w:r>
    </w:p>
    <w:p>
      <w:pPr>
        <w:pStyle w:val="ListParagraph"/>
        <w:numPr>
          <w:ilvl w:val="0"/>
          <w:numId w:val="20"/>
        </w:numPr>
        <w:tabs>
          <w:tab w:pos="1569" w:val="left" w:leader="none"/>
          <w:tab w:pos="1570" w:val="left" w:leader="none"/>
        </w:tabs>
        <w:spacing w:line="480" w:lineRule="auto" w:before="212" w:after="0"/>
        <w:ind w:left="873" w:right="112" w:hanging="360"/>
        <w:jc w:val="both"/>
        <w:rPr>
          <w:sz w:val="24"/>
        </w:rPr>
      </w:pPr>
      <w:r>
        <w:rPr>
          <w:sz w:val="24"/>
        </w:rPr>
        <w:t>Platt, R.S., Adams, V., Garosi, S.L., Abramson, J.C., Penderis, J., Stefani, D.A., Matiasek, L., 2006. Treatment with gabapentin </w:t>
      </w:r>
      <w:r>
        <w:rPr>
          <w:spacing w:val="4"/>
          <w:sz w:val="24"/>
        </w:rPr>
        <w:t>of </w:t>
      </w:r>
      <w:r>
        <w:rPr>
          <w:sz w:val="24"/>
        </w:rPr>
        <w:t>11 dogs with refractory idiopathic epilepsy. Veterinary Record 159,</w:t>
      </w:r>
      <w:r>
        <w:rPr>
          <w:spacing w:val="-13"/>
          <w:sz w:val="24"/>
        </w:rPr>
        <w:t> </w:t>
      </w:r>
      <w:r>
        <w:rPr>
          <w:sz w:val="24"/>
        </w:rPr>
        <w:t>881-884.</w:t>
      </w:r>
    </w:p>
    <w:p>
      <w:pPr>
        <w:pStyle w:val="ListParagraph"/>
        <w:numPr>
          <w:ilvl w:val="0"/>
          <w:numId w:val="20"/>
        </w:numPr>
        <w:tabs>
          <w:tab w:pos="1569" w:val="left" w:leader="none"/>
          <w:tab w:pos="1570" w:val="left" w:leader="none"/>
        </w:tabs>
        <w:spacing w:line="480" w:lineRule="auto" w:before="207" w:after="0"/>
        <w:ind w:left="873" w:right="109" w:hanging="360"/>
        <w:jc w:val="both"/>
        <w:rPr>
          <w:sz w:val="24"/>
        </w:rPr>
      </w:pPr>
      <w:r>
        <w:rPr>
          <w:sz w:val="24"/>
        </w:rPr>
        <w:t>Platt, R.S., Haag, M., 2002. Canine status epilepticus: a retrospective study  of 50 cases. Journal </w:t>
      </w:r>
      <w:r>
        <w:rPr>
          <w:spacing w:val="3"/>
          <w:sz w:val="24"/>
        </w:rPr>
        <w:t>of </w:t>
      </w:r>
      <w:r>
        <w:rPr>
          <w:sz w:val="24"/>
        </w:rPr>
        <w:t>Small Animal Practice 43,</w:t>
      </w:r>
      <w:r>
        <w:rPr>
          <w:spacing w:val="-23"/>
          <w:sz w:val="24"/>
        </w:rPr>
        <w:t> </w:t>
      </w:r>
      <w:r>
        <w:rPr>
          <w:sz w:val="24"/>
        </w:rPr>
        <w:t>151-153.</w:t>
      </w:r>
    </w:p>
    <w:p>
      <w:pPr>
        <w:pStyle w:val="ListParagraph"/>
        <w:numPr>
          <w:ilvl w:val="0"/>
          <w:numId w:val="20"/>
        </w:numPr>
        <w:tabs>
          <w:tab w:pos="1569" w:val="left" w:leader="none"/>
          <w:tab w:pos="1570" w:val="left" w:leader="none"/>
        </w:tabs>
        <w:spacing w:line="480" w:lineRule="auto" w:before="212" w:after="0"/>
        <w:ind w:left="873" w:right="106" w:hanging="360"/>
        <w:jc w:val="both"/>
        <w:rPr>
          <w:sz w:val="24"/>
        </w:rPr>
      </w:pPr>
      <w:r>
        <w:rPr>
          <w:sz w:val="24"/>
        </w:rPr>
        <w:t>Platt, S.R., McDonnell, J.J., 2000. Status epilepticus: clinical features and pathophysiology. Compendium Continuous Education Practice Veterinary 22, </w:t>
      </w:r>
      <w:r>
        <w:rPr>
          <w:spacing w:val="2"/>
          <w:sz w:val="24"/>
        </w:rPr>
        <w:t>660- </w:t>
      </w:r>
      <w:r>
        <w:rPr>
          <w:sz w:val="24"/>
        </w:rPr>
        <w:t>669.</w:t>
      </w:r>
    </w:p>
    <w:p>
      <w:pPr>
        <w:pStyle w:val="ListParagraph"/>
        <w:numPr>
          <w:ilvl w:val="0"/>
          <w:numId w:val="20"/>
        </w:numPr>
        <w:tabs>
          <w:tab w:pos="1569" w:val="left" w:leader="none"/>
          <w:tab w:pos="1570" w:val="left" w:leader="none"/>
        </w:tabs>
        <w:spacing w:line="480" w:lineRule="auto" w:before="212" w:after="0"/>
        <w:ind w:left="873" w:right="110" w:hanging="360"/>
        <w:jc w:val="both"/>
        <w:rPr>
          <w:sz w:val="24"/>
        </w:rPr>
      </w:pPr>
      <w:r>
        <w:rPr>
          <w:sz w:val="24"/>
        </w:rPr>
        <w:t>Podell, M., 1996. Seizures </w:t>
      </w:r>
      <w:r>
        <w:rPr>
          <w:spacing w:val="-3"/>
          <w:sz w:val="24"/>
        </w:rPr>
        <w:t>in </w:t>
      </w:r>
      <w:r>
        <w:rPr>
          <w:sz w:val="24"/>
        </w:rPr>
        <w:t>dogs. Veterinary Clinics </w:t>
      </w:r>
      <w:r>
        <w:rPr>
          <w:spacing w:val="4"/>
          <w:sz w:val="24"/>
        </w:rPr>
        <w:t>of </w:t>
      </w:r>
      <w:r>
        <w:rPr>
          <w:sz w:val="24"/>
        </w:rPr>
        <w:t>Northeamerica Small Animal Practice 26,</w:t>
      </w:r>
      <w:r>
        <w:rPr>
          <w:spacing w:val="-8"/>
          <w:sz w:val="24"/>
        </w:rPr>
        <w:t> </w:t>
      </w:r>
      <w:r>
        <w:rPr>
          <w:sz w:val="24"/>
        </w:rPr>
        <w:t>779-805.</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11" w:hanging="360"/>
        <w:jc w:val="both"/>
        <w:rPr>
          <w:sz w:val="24"/>
        </w:rPr>
      </w:pPr>
      <w:r>
        <w:rPr>
          <w:sz w:val="24"/>
        </w:rPr>
        <w:t>Podell, M., 1998. Antiepileptic drug therapy. Clinical Techniques </w:t>
      </w:r>
      <w:r>
        <w:rPr>
          <w:spacing w:val="-3"/>
          <w:sz w:val="24"/>
        </w:rPr>
        <w:t>in </w:t>
      </w:r>
      <w:r>
        <w:rPr>
          <w:sz w:val="24"/>
        </w:rPr>
        <w:t>Small Animal Practice 13,</w:t>
      </w:r>
      <w:r>
        <w:rPr>
          <w:spacing w:val="-5"/>
          <w:sz w:val="24"/>
        </w:rPr>
        <w:t> </w:t>
      </w:r>
      <w:r>
        <w:rPr>
          <w:sz w:val="24"/>
        </w:rPr>
        <w:t>185-192.</w:t>
      </w:r>
    </w:p>
    <w:p>
      <w:pPr>
        <w:pStyle w:val="ListParagraph"/>
        <w:numPr>
          <w:ilvl w:val="0"/>
          <w:numId w:val="20"/>
        </w:numPr>
        <w:tabs>
          <w:tab w:pos="1569" w:val="left" w:leader="none"/>
          <w:tab w:pos="1570" w:val="left" w:leader="none"/>
        </w:tabs>
        <w:spacing w:line="240" w:lineRule="auto" w:before="212" w:after="0"/>
        <w:ind w:left="1569" w:right="0" w:hanging="1056"/>
        <w:jc w:val="left"/>
        <w:rPr>
          <w:sz w:val="24"/>
        </w:rPr>
      </w:pPr>
      <w:r>
        <w:rPr>
          <w:sz w:val="24"/>
        </w:rPr>
        <w:t>Podell,  M.,  2009.  Differential  diagnoses  </w:t>
      </w:r>
      <w:r>
        <w:rPr>
          <w:spacing w:val="4"/>
          <w:sz w:val="24"/>
        </w:rPr>
        <w:t>of  </w:t>
      </w:r>
      <w:r>
        <w:rPr>
          <w:sz w:val="24"/>
        </w:rPr>
        <w:t>Seizures  </w:t>
      </w:r>
      <w:r>
        <w:rPr>
          <w:spacing w:val="-3"/>
          <w:sz w:val="24"/>
        </w:rPr>
        <w:t>in  </w:t>
      </w:r>
      <w:r>
        <w:rPr>
          <w:sz w:val="24"/>
        </w:rPr>
        <w:t>dogs  and   </w:t>
      </w:r>
      <w:r>
        <w:rPr>
          <w:spacing w:val="19"/>
          <w:sz w:val="24"/>
        </w:rPr>
        <w:t> </w:t>
      </w:r>
      <w:r>
        <w:rPr>
          <w:sz w:val="24"/>
        </w:rPr>
        <w:t>cats.</w:t>
      </w:r>
    </w:p>
    <w:p>
      <w:pPr>
        <w:pStyle w:val="BodyText"/>
      </w:pPr>
    </w:p>
    <w:p>
      <w:pPr>
        <w:pStyle w:val="BodyText"/>
        <w:spacing w:line="480" w:lineRule="auto"/>
        <w:ind w:left="873" w:right="98"/>
      </w:pPr>
      <w:r>
        <w:rPr/>
        <w:t>Proceedings of the Southerm European Veterinary Conference y Congress Nacional AVEPA, Barcelona, Spain. </w:t>
      </w:r>
      <w:hyperlink r:id="rId49">
        <w:r>
          <w:rPr/>
          <w:t>www.ivis.org.</w:t>
        </w:r>
      </w:hyperlink>
    </w:p>
    <w:p>
      <w:pPr>
        <w:pStyle w:val="ListParagraph"/>
        <w:numPr>
          <w:ilvl w:val="0"/>
          <w:numId w:val="20"/>
        </w:numPr>
        <w:tabs>
          <w:tab w:pos="1569" w:val="left" w:leader="none"/>
          <w:tab w:pos="1570" w:val="left" w:leader="none"/>
        </w:tabs>
        <w:spacing w:line="480" w:lineRule="auto" w:before="207" w:after="0"/>
        <w:ind w:left="873" w:right="108" w:hanging="360"/>
        <w:jc w:val="both"/>
        <w:rPr>
          <w:sz w:val="24"/>
        </w:rPr>
      </w:pPr>
      <w:r>
        <w:rPr>
          <w:sz w:val="24"/>
        </w:rPr>
        <w:t>Podell, M., Fenner, W.R., 1993. Bromide therapy </w:t>
      </w:r>
      <w:r>
        <w:rPr>
          <w:spacing w:val="-3"/>
          <w:sz w:val="24"/>
        </w:rPr>
        <w:t>in </w:t>
      </w:r>
      <w:r>
        <w:rPr>
          <w:sz w:val="24"/>
        </w:rPr>
        <w:t>refractory canine idiopathic epilepsy. Journal of Veterinary Internal Medicine 7,</w:t>
      </w:r>
      <w:r>
        <w:rPr>
          <w:spacing w:val="-17"/>
          <w:sz w:val="24"/>
        </w:rPr>
        <w:t> </w:t>
      </w:r>
      <w:r>
        <w:rPr>
          <w:sz w:val="24"/>
        </w:rPr>
        <w:t>318–327.</w:t>
      </w:r>
    </w:p>
    <w:p>
      <w:pPr>
        <w:pStyle w:val="ListParagraph"/>
        <w:numPr>
          <w:ilvl w:val="0"/>
          <w:numId w:val="20"/>
        </w:numPr>
        <w:tabs>
          <w:tab w:pos="1569" w:val="left" w:leader="none"/>
          <w:tab w:pos="1570" w:val="left" w:leader="none"/>
        </w:tabs>
        <w:spacing w:line="480" w:lineRule="auto" w:before="212" w:after="0"/>
        <w:ind w:left="873" w:right="113" w:hanging="360"/>
        <w:jc w:val="both"/>
        <w:rPr>
          <w:sz w:val="24"/>
        </w:rPr>
      </w:pPr>
      <w:r>
        <w:rPr>
          <w:sz w:val="24"/>
        </w:rPr>
        <w:t>Podell, M., Fenner, W.R., Powers, J.D., 1995. Seizure classification </w:t>
      </w:r>
      <w:r>
        <w:rPr>
          <w:spacing w:val="-3"/>
          <w:sz w:val="24"/>
        </w:rPr>
        <w:t>in </w:t>
      </w:r>
      <w:r>
        <w:rPr>
          <w:sz w:val="24"/>
        </w:rPr>
        <w:t>dogs from a nonreferral-based population. Journal Of American Veterinary Medical Association 8,</w:t>
      </w:r>
      <w:r>
        <w:rPr>
          <w:spacing w:val="-4"/>
          <w:sz w:val="24"/>
        </w:rPr>
        <w:t> </w:t>
      </w:r>
      <w:r>
        <w:rPr>
          <w:sz w:val="24"/>
        </w:rPr>
        <w:t>206-1721.</w:t>
      </w:r>
    </w:p>
    <w:p>
      <w:pPr>
        <w:pStyle w:val="ListParagraph"/>
        <w:numPr>
          <w:ilvl w:val="0"/>
          <w:numId w:val="20"/>
        </w:numPr>
        <w:tabs>
          <w:tab w:pos="1569" w:val="left" w:leader="none"/>
          <w:tab w:pos="1570" w:val="left" w:leader="none"/>
        </w:tabs>
        <w:spacing w:line="480" w:lineRule="auto" w:before="207" w:after="0"/>
        <w:ind w:left="873" w:right="110" w:hanging="360"/>
        <w:jc w:val="both"/>
        <w:rPr>
          <w:sz w:val="24"/>
        </w:rPr>
      </w:pPr>
      <w:r>
        <w:rPr>
          <w:sz w:val="24"/>
        </w:rPr>
        <w:t>Podell, M., Hadjiconstantinou, M., 1999. Low concentrations </w:t>
      </w:r>
      <w:r>
        <w:rPr>
          <w:spacing w:val="4"/>
          <w:sz w:val="24"/>
        </w:rPr>
        <w:t>of </w:t>
      </w:r>
      <w:r>
        <w:rPr>
          <w:sz w:val="24"/>
        </w:rPr>
        <w:t>cerebrospinal fluid GABA correlate to a reduced response to phenobarbital therapy </w:t>
      </w:r>
      <w:r>
        <w:rPr>
          <w:spacing w:val="-3"/>
          <w:sz w:val="24"/>
        </w:rPr>
        <w:t>in </w:t>
      </w:r>
      <w:r>
        <w:rPr>
          <w:sz w:val="24"/>
        </w:rPr>
        <w:t>primary canine epilepsy. Journal </w:t>
      </w:r>
      <w:r>
        <w:rPr>
          <w:spacing w:val="4"/>
          <w:sz w:val="24"/>
        </w:rPr>
        <w:t>of </w:t>
      </w:r>
      <w:r>
        <w:rPr>
          <w:sz w:val="24"/>
        </w:rPr>
        <w:t>Veterinary Internal Medicine 13,</w:t>
      </w:r>
      <w:r>
        <w:rPr>
          <w:spacing w:val="-24"/>
          <w:sz w:val="24"/>
        </w:rPr>
        <w:t> </w:t>
      </w:r>
      <w:r>
        <w:rPr>
          <w:sz w:val="24"/>
        </w:rPr>
        <w:t>89–94.</w:t>
      </w:r>
    </w:p>
    <w:p>
      <w:pPr>
        <w:pStyle w:val="ListParagraph"/>
        <w:numPr>
          <w:ilvl w:val="0"/>
          <w:numId w:val="20"/>
        </w:numPr>
        <w:tabs>
          <w:tab w:pos="1569" w:val="left" w:leader="none"/>
          <w:tab w:pos="1570" w:val="left" w:leader="none"/>
        </w:tabs>
        <w:spacing w:line="480" w:lineRule="auto" w:before="212" w:after="0"/>
        <w:ind w:left="873" w:right="114" w:hanging="360"/>
        <w:jc w:val="both"/>
        <w:rPr>
          <w:sz w:val="24"/>
        </w:rPr>
      </w:pPr>
      <w:r>
        <w:rPr>
          <w:sz w:val="24"/>
        </w:rPr>
        <w:t>Purves, D., Augustine, G., Fitzpatrick, D., </w:t>
      </w:r>
      <w:r>
        <w:rPr>
          <w:spacing w:val="-4"/>
          <w:sz w:val="24"/>
        </w:rPr>
        <w:t>Hall, </w:t>
      </w:r>
      <w:r>
        <w:rPr>
          <w:sz w:val="24"/>
        </w:rPr>
        <w:t>W., La Mantia, A., Mc Namara, J., 2004. Neuroscience. 3a. Ed, Massachusets: Sinauer Associates Inc. pp. 01.</w:t>
      </w:r>
    </w:p>
    <w:p>
      <w:pPr>
        <w:pStyle w:val="ListParagraph"/>
        <w:numPr>
          <w:ilvl w:val="0"/>
          <w:numId w:val="20"/>
        </w:numPr>
        <w:tabs>
          <w:tab w:pos="1569" w:val="left" w:leader="none"/>
          <w:tab w:pos="1570" w:val="left" w:leader="none"/>
        </w:tabs>
        <w:spacing w:line="480" w:lineRule="auto" w:before="212" w:after="0"/>
        <w:ind w:left="873" w:right="106" w:hanging="360"/>
        <w:jc w:val="both"/>
        <w:rPr>
          <w:sz w:val="24"/>
        </w:rPr>
      </w:pPr>
      <w:r>
        <w:rPr>
          <w:sz w:val="24"/>
        </w:rPr>
        <w:t>Radulovic, L.L., Türck, D., Hodenberg, V.A., Vollmer, O.K., Mcnally,  P.W.,</w:t>
      </w:r>
      <w:r>
        <w:rPr>
          <w:spacing w:val="25"/>
          <w:sz w:val="24"/>
        </w:rPr>
        <w:t> </w:t>
      </w:r>
      <w:r>
        <w:rPr>
          <w:sz w:val="24"/>
        </w:rPr>
        <w:t>Dehart,</w:t>
      </w:r>
      <w:r>
        <w:rPr>
          <w:spacing w:val="20"/>
          <w:sz w:val="24"/>
        </w:rPr>
        <w:t> </w:t>
      </w:r>
      <w:r>
        <w:rPr>
          <w:sz w:val="24"/>
        </w:rPr>
        <w:t>D.P.,</w:t>
      </w:r>
      <w:r>
        <w:rPr>
          <w:spacing w:val="20"/>
          <w:sz w:val="24"/>
        </w:rPr>
        <w:t> </w:t>
      </w:r>
      <w:r>
        <w:rPr>
          <w:sz w:val="24"/>
        </w:rPr>
        <w:t>Hanson,</w:t>
      </w:r>
      <w:r>
        <w:rPr>
          <w:spacing w:val="25"/>
          <w:sz w:val="24"/>
        </w:rPr>
        <w:t> </w:t>
      </w:r>
      <w:r>
        <w:rPr>
          <w:sz w:val="24"/>
        </w:rPr>
        <w:t>J.B.,</w:t>
      </w:r>
      <w:r>
        <w:rPr>
          <w:spacing w:val="25"/>
          <w:sz w:val="24"/>
        </w:rPr>
        <w:t> </w:t>
      </w:r>
      <w:r>
        <w:rPr>
          <w:sz w:val="24"/>
        </w:rPr>
        <w:t>Bockbrader,</w:t>
      </w:r>
      <w:r>
        <w:rPr>
          <w:spacing w:val="25"/>
          <w:sz w:val="24"/>
        </w:rPr>
        <w:t> </w:t>
      </w:r>
      <w:r>
        <w:rPr>
          <w:sz w:val="24"/>
        </w:rPr>
        <w:t>N.H.,</w:t>
      </w:r>
      <w:r>
        <w:rPr>
          <w:spacing w:val="25"/>
          <w:sz w:val="24"/>
        </w:rPr>
        <w:t> </w:t>
      </w:r>
      <w:r>
        <w:rPr>
          <w:spacing w:val="-3"/>
          <w:sz w:val="24"/>
        </w:rPr>
        <w:t>Chang,</w:t>
      </w:r>
      <w:r>
        <w:rPr>
          <w:spacing w:val="25"/>
          <w:sz w:val="24"/>
        </w:rPr>
        <w:t> </w:t>
      </w:r>
      <w:r>
        <w:rPr>
          <w:sz w:val="24"/>
        </w:rPr>
        <w:t>T.,</w:t>
      </w:r>
      <w:r>
        <w:rPr>
          <w:spacing w:val="20"/>
          <w:sz w:val="24"/>
        </w:rPr>
        <w:t> </w:t>
      </w:r>
      <w:r>
        <w:rPr>
          <w:sz w:val="24"/>
        </w:rPr>
        <w:t>1995.</w:t>
      </w:r>
      <w:r>
        <w:rPr>
          <w:spacing w:val="25"/>
          <w:sz w:val="24"/>
        </w:rPr>
        <w:t> </w:t>
      </w:r>
      <w:r>
        <w:rPr>
          <w:sz w:val="24"/>
        </w:rPr>
        <w:t>Disposition</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BodyText"/>
        <w:spacing w:line="480" w:lineRule="auto" w:before="69"/>
        <w:ind w:left="873" w:right="98"/>
      </w:pPr>
      <w:r>
        <w:rPr/>
        <w:t>of gabapentin (neurontin) in mice, rats, dogs, and monkeys. Drug Metabolism and Disposition 23, 441-448.</w:t>
      </w:r>
    </w:p>
    <w:p>
      <w:pPr>
        <w:pStyle w:val="ListParagraph"/>
        <w:numPr>
          <w:ilvl w:val="0"/>
          <w:numId w:val="20"/>
        </w:numPr>
        <w:tabs>
          <w:tab w:pos="1569" w:val="left" w:leader="none"/>
          <w:tab w:pos="1570" w:val="left" w:leader="none"/>
        </w:tabs>
        <w:spacing w:line="480" w:lineRule="auto" w:before="212" w:after="0"/>
        <w:ind w:left="873" w:right="114" w:hanging="360"/>
        <w:jc w:val="both"/>
        <w:rPr>
          <w:sz w:val="24"/>
        </w:rPr>
      </w:pPr>
      <w:r>
        <w:rPr>
          <w:sz w:val="24"/>
        </w:rPr>
        <w:t>Raymond, A.A., Fish, D.R., Sisodiya, S.M., Alsanjari, N., Stevens, J.M., Shorvon, S.D. 1995. Abnormalities </w:t>
      </w:r>
      <w:r>
        <w:rPr>
          <w:spacing w:val="4"/>
          <w:sz w:val="24"/>
        </w:rPr>
        <w:t>of </w:t>
      </w:r>
      <w:r>
        <w:rPr>
          <w:sz w:val="24"/>
        </w:rPr>
        <w:t>gyration, heterotopias, tuberous sclerosis, focal cortical dysplasia, microdysgenesis, dysembryoplastic neuroepithelial tumour and dysgenesis of the archicortex </w:t>
      </w:r>
      <w:r>
        <w:rPr>
          <w:spacing w:val="-3"/>
          <w:sz w:val="24"/>
        </w:rPr>
        <w:t>in </w:t>
      </w:r>
      <w:r>
        <w:rPr>
          <w:sz w:val="24"/>
        </w:rPr>
        <w:t>epilepsy. Brain  118,</w:t>
      </w:r>
      <w:r>
        <w:rPr>
          <w:spacing w:val="-6"/>
          <w:sz w:val="24"/>
        </w:rPr>
        <w:t> </w:t>
      </w:r>
      <w:r>
        <w:rPr>
          <w:sz w:val="24"/>
        </w:rPr>
        <w:t>629-660.</w:t>
      </w:r>
    </w:p>
    <w:p>
      <w:pPr>
        <w:pStyle w:val="ListParagraph"/>
        <w:numPr>
          <w:ilvl w:val="0"/>
          <w:numId w:val="20"/>
        </w:numPr>
        <w:tabs>
          <w:tab w:pos="1569" w:val="left" w:leader="none"/>
          <w:tab w:pos="1570" w:val="left" w:leader="none"/>
        </w:tabs>
        <w:spacing w:line="480" w:lineRule="auto" w:before="207" w:after="0"/>
        <w:ind w:left="873" w:right="119" w:hanging="360"/>
        <w:jc w:val="both"/>
        <w:rPr>
          <w:sz w:val="24"/>
        </w:rPr>
      </w:pPr>
      <w:r>
        <w:rPr>
          <w:sz w:val="24"/>
        </w:rPr>
        <w:t>Reddy, D.S., 1998. Tiagabine: a potent antiepileptic drug with selective GABA uptake inhibitory effect. Indian Journal Pharmacology 30,</w:t>
      </w:r>
      <w:r>
        <w:rPr>
          <w:spacing w:val="-19"/>
          <w:sz w:val="24"/>
        </w:rPr>
        <w:t> </w:t>
      </w:r>
      <w:r>
        <w:rPr>
          <w:sz w:val="24"/>
        </w:rPr>
        <w:t>141–151.</w:t>
      </w:r>
    </w:p>
    <w:p>
      <w:pPr>
        <w:pStyle w:val="ListParagraph"/>
        <w:numPr>
          <w:ilvl w:val="0"/>
          <w:numId w:val="20"/>
        </w:numPr>
        <w:tabs>
          <w:tab w:pos="1569" w:val="left" w:leader="none"/>
          <w:tab w:pos="1570" w:val="left" w:leader="none"/>
        </w:tabs>
        <w:spacing w:line="240" w:lineRule="auto" w:before="212" w:after="0"/>
        <w:ind w:left="1569" w:right="0" w:hanging="1056"/>
        <w:jc w:val="left"/>
        <w:rPr>
          <w:sz w:val="24"/>
        </w:rPr>
      </w:pPr>
      <w:r>
        <w:rPr>
          <w:sz w:val="24"/>
        </w:rPr>
        <w:t>Ren, W.H.P., 2009. Anesthetic management  of epileptic pediatric  </w:t>
      </w:r>
      <w:r>
        <w:rPr>
          <w:spacing w:val="40"/>
          <w:sz w:val="24"/>
        </w:rPr>
        <w:t> </w:t>
      </w:r>
      <w:r>
        <w:rPr>
          <w:sz w:val="24"/>
        </w:rPr>
        <w:t>patients.</w:t>
      </w:r>
    </w:p>
    <w:p>
      <w:pPr>
        <w:pStyle w:val="BodyText"/>
      </w:pPr>
    </w:p>
    <w:p>
      <w:pPr>
        <w:pStyle w:val="BodyText"/>
        <w:ind w:left="873" w:right="98"/>
      </w:pPr>
      <w:r>
        <w:rPr/>
        <w:t>Internal Anestethesiology Clinic 47, 101-116.</w:t>
      </w:r>
    </w:p>
    <w:p>
      <w:pPr>
        <w:pStyle w:val="BodyText"/>
      </w:pPr>
    </w:p>
    <w:p>
      <w:pPr>
        <w:pStyle w:val="ListParagraph"/>
        <w:numPr>
          <w:ilvl w:val="0"/>
          <w:numId w:val="20"/>
        </w:numPr>
        <w:tabs>
          <w:tab w:pos="1569" w:val="left" w:leader="none"/>
          <w:tab w:pos="1570" w:val="left" w:leader="none"/>
        </w:tabs>
        <w:spacing w:line="480" w:lineRule="auto" w:before="197" w:after="0"/>
        <w:ind w:left="873" w:right="111" w:hanging="360"/>
        <w:jc w:val="both"/>
        <w:rPr>
          <w:sz w:val="24"/>
        </w:rPr>
      </w:pPr>
      <w:r>
        <w:rPr>
          <w:sz w:val="24"/>
        </w:rPr>
        <w:t>Rhee, S.Y., Park, S., Lee, </w:t>
      </w:r>
      <w:r>
        <w:rPr>
          <w:spacing w:val="-3"/>
          <w:sz w:val="24"/>
        </w:rPr>
        <w:t>W. </w:t>
      </w:r>
      <w:r>
        <w:rPr>
          <w:sz w:val="24"/>
        </w:rPr>
        <w:t>T., Park, W.C., Nam, Y.T., Oh, O.T., Jeon, W.J., Han, B.S., Lee, S.D., Park, S.E., 2008. In Vitro/ </w:t>
      </w:r>
      <w:r>
        <w:rPr>
          <w:spacing w:val="-3"/>
          <w:sz w:val="24"/>
        </w:rPr>
        <w:t>in </w:t>
      </w:r>
      <w:r>
        <w:rPr>
          <w:sz w:val="24"/>
        </w:rPr>
        <w:t>Vivo Relation Ship </w:t>
      </w:r>
      <w:r>
        <w:rPr>
          <w:spacing w:val="4"/>
          <w:sz w:val="24"/>
        </w:rPr>
        <w:t>of </w:t>
      </w:r>
      <w:r>
        <w:rPr>
          <w:sz w:val="24"/>
        </w:rPr>
        <w:t>Gabapentin from a Sustained Release Tablet Formulation: A Pharmacokinetic Study </w:t>
      </w:r>
      <w:r>
        <w:rPr>
          <w:spacing w:val="-3"/>
          <w:sz w:val="24"/>
        </w:rPr>
        <w:t>in </w:t>
      </w:r>
      <w:r>
        <w:rPr>
          <w:sz w:val="24"/>
        </w:rPr>
        <w:t>the Beagle Dog. Archives of Pharmacal Research 31,</w:t>
      </w:r>
      <w:r>
        <w:rPr>
          <w:spacing w:val="-3"/>
          <w:sz w:val="24"/>
        </w:rPr>
        <w:t> </w:t>
      </w:r>
      <w:r>
        <w:rPr>
          <w:sz w:val="24"/>
        </w:rPr>
        <w:t>911-917.</w:t>
      </w:r>
    </w:p>
    <w:p>
      <w:pPr>
        <w:pStyle w:val="ListParagraph"/>
        <w:numPr>
          <w:ilvl w:val="0"/>
          <w:numId w:val="20"/>
        </w:numPr>
        <w:tabs>
          <w:tab w:pos="1569" w:val="left" w:leader="none"/>
          <w:tab w:pos="1570" w:val="left" w:leader="none"/>
        </w:tabs>
        <w:spacing w:line="480" w:lineRule="auto" w:before="212" w:after="0"/>
        <w:ind w:left="873" w:right="107" w:hanging="360"/>
        <w:jc w:val="both"/>
        <w:rPr>
          <w:sz w:val="24"/>
        </w:rPr>
      </w:pPr>
      <w:r>
        <w:rPr>
          <w:sz w:val="24"/>
        </w:rPr>
        <w:t>Rho, J.M., Donevan, S.D., Rogawski, M.A., 1994. Mechanism </w:t>
      </w:r>
      <w:r>
        <w:rPr>
          <w:spacing w:val="4"/>
          <w:sz w:val="24"/>
        </w:rPr>
        <w:t>of </w:t>
      </w:r>
      <w:r>
        <w:rPr>
          <w:sz w:val="24"/>
        </w:rPr>
        <w:t>action of the anticonvulsant felbamate: opposing effects on N-methyl-D-aspartate and c- aminobutyric acid A receptors. Ann Neurology 35,</w:t>
      </w:r>
      <w:r>
        <w:rPr>
          <w:spacing w:val="-14"/>
          <w:sz w:val="24"/>
        </w:rPr>
        <w:t> </w:t>
      </w:r>
      <w:r>
        <w:rPr>
          <w:sz w:val="24"/>
        </w:rPr>
        <w:t>229–234.</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626" w:val="left" w:leader="none"/>
          <w:tab w:pos="1627" w:val="left" w:leader="none"/>
        </w:tabs>
        <w:spacing w:line="480" w:lineRule="auto" w:before="69" w:after="0"/>
        <w:ind w:left="873" w:right="106" w:hanging="360"/>
        <w:jc w:val="both"/>
        <w:rPr>
          <w:sz w:val="24"/>
        </w:rPr>
      </w:pPr>
      <w:r>
        <w:rPr>
          <w:sz w:val="24"/>
        </w:rPr>
        <w:t>Ritter, F., Glauser, T. A., Elterman, R. D., 2000. Effectiveness, tolerability, and safety </w:t>
      </w:r>
      <w:r>
        <w:rPr>
          <w:spacing w:val="4"/>
          <w:sz w:val="24"/>
        </w:rPr>
        <w:t>of </w:t>
      </w:r>
      <w:r>
        <w:rPr>
          <w:sz w:val="24"/>
        </w:rPr>
        <w:t>topiramate </w:t>
      </w:r>
      <w:r>
        <w:rPr>
          <w:spacing w:val="-3"/>
          <w:sz w:val="24"/>
        </w:rPr>
        <w:t>in </w:t>
      </w:r>
      <w:r>
        <w:rPr>
          <w:sz w:val="24"/>
        </w:rPr>
        <w:t>children with partial- onset seizures. Epilepsia 41 (Suppl 1),</w:t>
      </w:r>
      <w:r>
        <w:rPr>
          <w:spacing w:val="-4"/>
          <w:sz w:val="24"/>
        </w:rPr>
        <w:t> </w:t>
      </w:r>
      <w:r>
        <w:rPr>
          <w:sz w:val="24"/>
        </w:rPr>
        <w:t>S82-S85.</w:t>
      </w:r>
    </w:p>
    <w:p>
      <w:pPr>
        <w:pStyle w:val="ListParagraph"/>
        <w:numPr>
          <w:ilvl w:val="0"/>
          <w:numId w:val="20"/>
        </w:numPr>
        <w:tabs>
          <w:tab w:pos="1569" w:val="left" w:leader="none"/>
          <w:tab w:pos="1570" w:val="left" w:leader="none"/>
        </w:tabs>
        <w:spacing w:line="480" w:lineRule="auto" w:before="212" w:after="0"/>
        <w:ind w:left="873" w:right="110" w:hanging="360"/>
        <w:jc w:val="both"/>
        <w:rPr>
          <w:sz w:val="24"/>
        </w:rPr>
      </w:pPr>
      <w:r>
        <w:rPr>
          <w:sz w:val="24"/>
        </w:rPr>
        <w:t>Ruehlmann, D., Podell, M., March, P., 2001. Treatment of partial seizures and seizure-like activity with felbamate </w:t>
      </w:r>
      <w:r>
        <w:rPr>
          <w:spacing w:val="-3"/>
          <w:sz w:val="24"/>
        </w:rPr>
        <w:t>in </w:t>
      </w:r>
      <w:r>
        <w:rPr>
          <w:sz w:val="24"/>
        </w:rPr>
        <w:t>six dogs. Journal </w:t>
      </w:r>
      <w:r>
        <w:rPr>
          <w:spacing w:val="4"/>
          <w:sz w:val="24"/>
        </w:rPr>
        <w:t>of </w:t>
      </w:r>
      <w:r>
        <w:rPr>
          <w:sz w:val="24"/>
        </w:rPr>
        <w:t>Small Animal Practice 42, 403-408.</w:t>
      </w:r>
    </w:p>
    <w:p>
      <w:pPr>
        <w:pStyle w:val="ListParagraph"/>
        <w:numPr>
          <w:ilvl w:val="0"/>
          <w:numId w:val="20"/>
        </w:numPr>
        <w:tabs>
          <w:tab w:pos="1569" w:val="left" w:leader="none"/>
          <w:tab w:pos="1570" w:val="left" w:leader="none"/>
        </w:tabs>
        <w:spacing w:line="480" w:lineRule="auto" w:before="207" w:after="0"/>
        <w:ind w:left="873" w:right="107" w:hanging="360"/>
        <w:jc w:val="both"/>
        <w:rPr>
          <w:sz w:val="24"/>
        </w:rPr>
      </w:pPr>
      <w:r>
        <w:rPr>
          <w:sz w:val="24"/>
        </w:rPr>
        <w:t>Sagirli, O., Cetin, M.S., </w:t>
      </w:r>
      <w:r>
        <w:rPr>
          <w:spacing w:val="-3"/>
          <w:sz w:val="24"/>
        </w:rPr>
        <w:t>Önal, </w:t>
      </w:r>
      <w:r>
        <w:rPr>
          <w:sz w:val="24"/>
        </w:rPr>
        <w:t>A., 2006. Determination of gabapentin in human plasma and urine by high-performance liquid chromatography with UV-vis detection. Journal </w:t>
      </w:r>
      <w:r>
        <w:rPr>
          <w:spacing w:val="4"/>
          <w:sz w:val="24"/>
        </w:rPr>
        <w:t>of </w:t>
      </w:r>
      <w:r>
        <w:rPr>
          <w:sz w:val="24"/>
        </w:rPr>
        <w:t>Pharmaceutical and Biomedical Analysis 42,</w:t>
      </w:r>
      <w:r>
        <w:rPr>
          <w:spacing w:val="-32"/>
          <w:sz w:val="24"/>
        </w:rPr>
        <w:t> </w:t>
      </w:r>
      <w:r>
        <w:rPr>
          <w:sz w:val="24"/>
        </w:rPr>
        <w:t>618-624.</w:t>
      </w:r>
    </w:p>
    <w:p>
      <w:pPr>
        <w:pStyle w:val="ListParagraph"/>
        <w:numPr>
          <w:ilvl w:val="0"/>
          <w:numId w:val="20"/>
        </w:numPr>
        <w:tabs>
          <w:tab w:pos="1569" w:val="left" w:leader="none"/>
          <w:tab w:pos="1570" w:val="left" w:leader="none"/>
        </w:tabs>
        <w:spacing w:line="480" w:lineRule="auto" w:before="212" w:after="0"/>
        <w:ind w:left="873" w:right="109" w:hanging="360"/>
        <w:jc w:val="both"/>
        <w:rPr>
          <w:sz w:val="24"/>
        </w:rPr>
      </w:pPr>
      <w:r>
        <w:rPr>
          <w:sz w:val="24"/>
        </w:rPr>
        <w:t>Sancho, R.J., 2002. Características e indicaciones de </w:t>
      </w:r>
      <w:r>
        <w:rPr>
          <w:spacing w:val="-5"/>
          <w:sz w:val="24"/>
        </w:rPr>
        <w:t>la </w:t>
      </w:r>
      <w:r>
        <w:rPr>
          <w:sz w:val="24"/>
        </w:rPr>
        <w:t>gabapentina. Review Neurology 35,</w:t>
      </w:r>
      <w:r>
        <w:rPr>
          <w:spacing w:val="-6"/>
          <w:sz w:val="24"/>
        </w:rPr>
        <w:t> </w:t>
      </w:r>
      <w:r>
        <w:rPr>
          <w:sz w:val="24"/>
        </w:rPr>
        <w:t>S85-S87.</w:t>
      </w:r>
    </w:p>
    <w:p>
      <w:pPr>
        <w:pStyle w:val="ListParagraph"/>
        <w:numPr>
          <w:ilvl w:val="0"/>
          <w:numId w:val="20"/>
        </w:numPr>
        <w:tabs>
          <w:tab w:pos="1569" w:val="left" w:leader="none"/>
          <w:tab w:pos="1570" w:val="left" w:leader="none"/>
          <w:tab w:pos="2748" w:val="left" w:leader="none"/>
          <w:tab w:pos="3261" w:val="left" w:leader="none"/>
          <w:tab w:pos="4014" w:val="left" w:leader="none"/>
          <w:tab w:pos="5568" w:val="left" w:leader="none"/>
          <w:tab w:pos="6245" w:val="left" w:leader="none"/>
          <w:tab w:pos="8530" w:val="left" w:leader="none"/>
        </w:tabs>
        <w:spacing w:line="240" w:lineRule="auto" w:before="207" w:after="0"/>
        <w:ind w:left="1569" w:right="0" w:hanging="1056"/>
        <w:jc w:val="left"/>
        <w:rPr>
          <w:sz w:val="24"/>
        </w:rPr>
      </w:pPr>
      <w:r>
        <w:rPr>
          <w:sz w:val="24"/>
        </w:rPr>
        <w:t>Satzinger,</w:t>
        <w:tab/>
        <w:t>G.,</w:t>
        <w:tab/>
        <w:t>1994.</w:t>
        <w:tab/>
        <w:t>Antiepileptics</w:t>
        <w:tab/>
        <w:t>from</w:t>
        <w:tab/>
        <w:t>gamma-aminobutyric</w:t>
        <w:tab/>
        <w:t>acid.</w:t>
      </w:r>
    </w:p>
    <w:p>
      <w:pPr>
        <w:pStyle w:val="BodyText"/>
      </w:pPr>
    </w:p>
    <w:p>
      <w:pPr>
        <w:pStyle w:val="BodyText"/>
        <w:ind w:left="873" w:right="98"/>
      </w:pPr>
      <w:r>
        <w:rPr/>
        <w:t>Arzneimittelforschung 44, 261–266.</w:t>
      </w:r>
    </w:p>
    <w:p>
      <w:pPr>
        <w:pStyle w:val="BodyText"/>
      </w:pPr>
    </w:p>
    <w:p>
      <w:pPr>
        <w:pStyle w:val="ListParagraph"/>
        <w:numPr>
          <w:ilvl w:val="0"/>
          <w:numId w:val="20"/>
        </w:numPr>
        <w:tabs>
          <w:tab w:pos="1569" w:val="left" w:leader="none"/>
          <w:tab w:pos="1570" w:val="left" w:leader="none"/>
          <w:tab w:pos="2883" w:val="left" w:leader="none"/>
          <w:tab w:pos="3664" w:val="left" w:leader="none"/>
          <w:tab w:pos="4508" w:val="left" w:leader="none"/>
          <w:tab w:pos="5726" w:val="left" w:leader="none"/>
          <w:tab w:pos="6897" w:val="left" w:leader="none"/>
          <w:tab w:pos="8388" w:val="left" w:leader="none"/>
        </w:tabs>
        <w:spacing w:line="240" w:lineRule="auto" w:before="201" w:after="0"/>
        <w:ind w:left="1569" w:right="0" w:hanging="1056"/>
        <w:jc w:val="left"/>
        <w:rPr>
          <w:sz w:val="24"/>
        </w:rPr>
      </w:pPr>
      <w:r>
        <w:rPr>
          <w:sz w:val="24"/>
        </w:rPr>
        <w:t>Schachter,</w:t>
        <w:tab/>
        <w:t>S.C.,</w:t>
        <w:tab/>
        <w:t>2007.</w:t>
        <w:tab/>
        <w:t>Currently</w:t>
        <w:tab/>
        <w:t>available</w:t>
        <w:tab/>
        <w:t>antiepileptic</w:t>
        <w:tab/>
        <w:t>drugs.</w:t>
      </w:r>
    </w:p>
    <w:p>
      <w:pPr>
        <w:pStyle w:val="BodyText"/>
      </w:pPr>
    </w:p>
    <w:p>
      <w:pPr>
        <w:pStyle w:val="BodyText"/>
        <w:ind w:left="873" w:right="98"/>
      </w:pPr>
      <w:r>
        <w:rPr/>
        <w:t>Neurotherapeutics 4, 4-11.</w:t>
      </w:r>
    </w:p>
    <w:p>
      <w:pPr>
        <w:pStyle w:val="BodyText"/>
      </w:pPr>
    </w:p>
    <w:p>
      <w:pPr>
        <w:pStyle w:val="ListParagraph"/>
        <w:numPr>
          <w:ilvl w:val="0"/>
          <w:numId w:val="20"/>
        </w:numPr>
        <w:tabs>
          <w:tab w:pos="1569" w:val="left" w:leader="none"/>
          <w:tab w:pos="1570" w:val="left" w:leader="none"/>
        </w:tabs>
        <w:spacing w:line="480" w:lineRule="auto" w:before="202" w:after="0"/>
        <w:ind w:left="873" w:right="107" w:hanging="360"/>
        <w:jc w:val="both"/>
        <w:rPr>
          <w:sz w:val="24"/>
        </w:rPr>
      </w:pPr>
      <w:r>
        <w:rPr>
          <w:sz w:val="24"/>
        </w:rPr>
        <w:t>Schicht, S., Wigger, D., Frey, H.H., 1996. Pharmacokinetics </w:t>
      </w:r>
      <w:r>
        <w:rPr>
          <w:spacing w:val="4"/>
          <w:sz w:val="24"/>
        </w:rPr>
        <w:t>of </w:t>
      </w:r>
      <w:r>
        <w:rPr>
          <w:sz w:val="24"/>
        </w:rPr>
        <w:t>oxcarbazepine </w:t>
      </w:r>
      <w:r>
        <w:rPr>
          <w:spacing w:val="-3"/>
          <w:sz w:val="24"/>
        </w:rPr>
        <w:t>in </w:t>
      </w:r>
      <w:r>
        <w:rPr>
          <w:sz w:val="24"/>
        </w:rPr>
        <w:t>the dog. Journal Veterinary Pharmacology Therapy 19,</w:t>
      </w:r>
      <w:r>
        <w:rPr>
          <w:spacing w:val="-7"/>
          <w:sz w:val="24"/>
        </w:rPr>
        <w:t> </w:t>
      </w:r>
      <w:r>
        <w:rPr>
          <w:sz w:val="24"/>
        </w:rPr>
        <w:t>27–31.</w:t>
      </w:r>
    </w:p>
    <w:p>
      <w:pPr>
        <w:pStyle w:val="ListParagraph"/>
        <w:numPr>
          <w:ilvl w:val="0"/>
          <w:numId w:val="20"/>
        </w:numPr>
        <w:tabs>
          <w:tab w:pos="1569" w:val="left" w:leader="none"/>
          <w:tab w:pos="1570" w:val="left" w:leader="none"/>
        </w:tabs>
        <w:spacing w:line="240" w:lineRule="auto" w:before="207" w:after="0"/>
        <w:ind w:left="1569" w:right="0" w:hanging="1056"/>
        <w:jc w:val="both"/>
        <w:rPr>
          <w:sz w:val="24"/>
        </w:rPr>
      </w:pPr>
      <w:r>
        <w:rPr>
          <w:sz w:val="24"/>
        </w:rPr>
        <w:t>Schriefl, S., Steinberg, T.A., Matiasek, K., Ossig, A., Fenske, N., Fisher,</w:t>
      </w:r>
      <w:r>
        <w:rPr>
          <w:spacing w:val="50"/>
          <w:sz w:val="24"/>
        </w:rPr>
        <w:t> </w:t>
      </w:r>
      <w:r>
        <w:rPr>
          <w:sz w:val="24"/>
        </w:rPr>
        <w:t>A.,</w:t>
      </w:r>
    </w:p>
    <w:p>
      <w:pPr>
        <w:pStyle w:val="BodyText"/>
      </w:pPr>
    </w:p>
    <w:p>
      <w:pPr>
        <w:pStyle w:val="BodyText"/>
        <w:ind w:left="873" w:right="98"/>
      </w:pPr>
      <w:r>
        <w:rPr/>
        <w:t>2008. Etiologic classification of seizures, signalment, clinical signs, and outcome in</w:t>
      </w:r>
    </w:p>
    <w:p>
      <w:pPr>
        <w:spacing w:after="0"/>
        <w:sectPr>
          <w:pgSz w:w="12240" w:h="15840"/>
          <w:pgMar w:header="0" w:footer="2131" w:top="1500" w:bottom="2320" w:left="1720" w:right="1420"/>
        </w:sectPr>
      </w:pPr>
    </w:p>
    <w:p>
      <w:pPr>
        <w:pStyle w:val="BodyText"/>
        <w:spacing w:before="7"/>
        <w:rPr>
          <w:sz w:val="20"/>
        </w:rPr>
      </w:pPr>
    </w:p>
    <w:p>
      <w:pPr>
        <w:pStyle w:val="BodyText"/>
        <w:spacing w:line="480" w:lineRule="auto" w:before="69"/>
        <w:ind w:left="873" w:right="98"/>
      </w:pPr>
      <w:r>
        <w:rPr/>
        <w:t>cats with seizure disorders: 91 cases (2000–2004). Journal American Veterinary Medical Association 233, 1591–1597.</w:t>
      </w:r>
    </w:p>
    <w:p>
      <w:pPr>
        <w:pStyle w:val="ListParagraph"/>
        <w:numPr>
          <w:ilvl w:val="0"/>
          <w:numId w:val="20"/>
        </w:numPr>
        <w:tabs>
          <w:tab w:pos="1569" w:val="left" w:leader="none"/>
          <w:tab w:pos="1570" w:val="left" w:leader="none"/>
        </w:tabs>
        <w:spacing w:line="480" w:lineRule="auto" w:before="212" w:after="0"/>
        <w:ind w:left="873" w:right="109" w:hanging="360"/>
        <w:jc w:val="both"/>
        <w:rPr>
          <w:sz w:val="24"/>
        </w:rPr>
      </w:pPr>
      <w:r>
        <w:rPr>
          <w:sz w:val="24"/>
        </w:rPr>
        <w:t>Schwartz, P.D., 1994. Seizures. In: Clinical Syndromes </w:t>
      </w:r>
      <w:r>
        <w:rPr>
          <w:spacing w:val="-3"/>
          <w:sz w:val="24"/>
        </w:rPr>
        <w:t>in </w:t>
      </w:r>
      <w:r>
        <w:rPr>
          <w:sz w:val="24"/>
        </w:rPr>
        <w:t>Veterinary Neurology. 2a Ed. Mosby-Year Book, St. Louis. pp.</w:t>
      </w:r>
      <w:r>
        <w:rPr>
          <w:spacing w:val="-16"/>
          <w:sz w:val="24"/>
        </w:rPr>
        <w:t> </w:t>
      </w:r>
      <w:r>
        <w:rPr>
          <w:sz w:val="24"/>
        </w:rPr>
        <w:t>234-251.</w:t>
      </w:r>
    </w:p>
    <w:p>
      <w:pPr>
        <w:pStyle w:val="ListParagraph"/>
        <w:numPr>
          <w:ilvl w:val="0"/>
          <w:numId w:val="20"/>
        </w:numPr>
        <w:tabs>
          <w:tab w:pos="1569" w:val="left" w:leader="none"/>
          <w:tab w:pos="1570" w:val="left" w:leader="none"/>
        </w:tabs>
        <w:spacing w:line="480" w:lineRule="auto" w:before="207" w:after="0"/>
        <w:ind w:left="873" w:right="106" w:hanging="360"/>
        <w:jc w:val="both"/>
        <w:rPr>
          <w:sz w:val="24"/>
        </w:rPr>
      </w:pPr>
      <w:r>
        <w:rPr>
          <w:sz w:val="24"/>
        </w:rPr>
        <w:t>Schwartz-Porsche, D., Loscher, W., Frey, H.H. 1985. Therapeutic efficacy  of Phenobarbital and primidone </w:t>
      </w:r>
      <w:r>
        <w:rPr>
          <w:spacing w:val="-3"/>
          <w:sz w:val="24"/>
        </w:rPr>
        <w:t>in </w:t>
      </w:r>
      <w:r>
        <w:rPr>
          <w:sz w:val="24"/>
        </w:rPr>
        <w:t>canine epilepsy: a comparison.  Journal Veterinary Pharmacology Therapy 8,</w:t>
      </w:r>
      <w:r>
        <w:rPr>
          <w:spacing w:val="-8"/>
          <w:sz w:val="24"/>
        </w:rPr>
        <w:t> </w:t>
      </w:r>
      <w:r>
        <w:rPr>
          <w:sz w:val="24"/>
        </w:rPr>
        <w:t>113-119.</w:t>
      </w:r>
    </w:p>
    <w:p>
      <w:pPr>
        <w:pStyle w:val="ListParagraph"/>
        <w:numPr>
          <w:ilvl w:val="0"/>
          <w:numId w:val="20"/>
        </w:numPr>
        <w:tabs>
          <w:tab w:pos="1569" w:val="left" w:leader="none"/>
          <w:tab w:pos="1570" w:val="left" w:leader="none"/>
        </w:tabs>
        <w:spacing w:line="480" w:lineRule="auto" w:before="212" w:after="0"/>
        <w:ind w:left="873" w:right="110" w:hanging="360"/>
        <w:jc w:val="both"/>
        <w:rPr>
          <w:sz w:val="24"/>
        </w:rPr>
      </w:pPr>
      <w:r>
        <w:rPr>
          <w:sz w:val="24"/>
        </w:rPr>
        <w:t>Shell, L.G., 1993a. Understanding the fundamentals of seizures. Veterinary Medicine 88,</w:t>
      </w:r>
      <w:r>
        <w:rPr>
          <w:spacing w:val="-5"/>
          <w:sz w:val="24"/>
        </w:rPr>
        <w:t> </w:t>
      </w:r>
      <w:r>
        <w:rPr>
          <w:sz w:val="24"/>
        </w:rPr>
        <w:t>622-628.</w:t>
      </w:r>
    </w:p>
    <w:p>
      <w:pPr>
        <w:pStyle w:val="ListParagraph"/>
        <w:numPr>
          <w:ilvl w:val="0"/>
          <w:numId w:val="20"/>
        </w:numPr>
        <w:tabs>
          <w:tab w:pos="1569" w:val="left" w:leader="none"/>
          <w:tab w:pos="1570" w:val="left" w:leader="none"/>
        </w:tabs>
        <w:spacing w:line="480" w:lineRule="auto" w:before="207" w:after="0"/>
        <w:ind w:left="873" w:right="109" w:hanging="360"/>
        <w:jc w:val="both"/>
        <w:rPr>
          <w:sz w:val="24"/>
        </w:rPr>
      </w:pPr>
      <w:r>
        <w:rPr>
          <w:sz w:val="24"/>
        </w:rPr>
        <w:t>Shell, L., G., 1993. The diagnostic approach to seizures. Veterinary medicine 88, 641-646.</w:t>
      </w:r>
    </w:p>
    <w:p>
      <w:pPr>
        <w:pStyle w:val="ListParagraph"/>
        <w:numPr>
          <w:ilvl w:val="0"/>
          <w:numId w:val="20"/>
        </w:numPr>
        <w:tabs>
          <w:tab w:pos="1569" w:val="left" w:leader="none"/>
          <w:tab w:pos="1570" w:val="left" w:leader="none"/>
        </w:tabs>
        <w:spacing w:line="480" w:lineRule="auto" w:before="212" w:after="0"/>
        <w:ind w:left="873" w:right="113" w:hanging="360"/>
        <w:jc w:val="both"/>
        <w:rPr>
          <w:sz w:val="24"/>
        </w:rPr>
      </w:pPr>
      <w:r>
        <w:rPr>
          <w:sz w:val="24"/>
        </w:rPr>
        <w:t>Siao, T.K., Pypendop, H.B., </w:t>
      </w:r>
      <w:r>
        <w:rPr>
          <w:spacing w:val="-3"/>
          <w:sz w:val="24"/>
        </w:rPr>
        <w:t>Ilkiw, </w:t>
      </w:r>
      <w:r>
        <w:rPr>
          <w:sz w:val="24"/>
        </w:rPr>
        <w:t>E.J., 2010. Pharmacokinetics </w:t>
      </w:r>
      <w:r>
        <w:rPr>
          <w:spacing w:val="4"/>
          <w:sz w:val="24"/>
        </w:rPr>
        <w:t>of </w:t>
      </w:r>
      <w:r>
        <w:rPr>
          <w:sz w:val="24"/>
        </w:rPr>
        <w:t>gabapentin </w:t>
      </w:r>
      <w:r>
        <w:rPr>
          <w:spacing w:val="-3"/>
          <w:sz w:val="24"/>
        </w:rPr>
        <w:t>in </w:t>
      </w:r>
      <w:r>
        <w:rPr>
          <w:sz w:val="24"/>
        </w:rPr>
        <w:t>cats. American Journal </w:t>
      </w:r>
      <w:r>
        <w:rPr>
          <w:spacing w:val="4"/>
          <w:sz w:val="24"/>
        </w:rPr>
        <w:t>of </w:t>
      </w:r>
      <w:r>
        <w:rPr>
          <w:sz w:val="24"/>
        </w:rPr>
        <w:t>Veterinary Research 71,</w:t>
      </w:r>
      <w:r>
        <w:rPr>
          <w:spacing w:val="-20"/>
          <w:sz w:val="24"/>
        </w:rPr>
        <w:t> </w:t>
      </w:r>
      <w:r>
        <w:rPr>
          <w:sz w:val="24"/>
        </w:rPr>
        <w:t>817-821.</w:t>
      </w:r>
    </w:p>
    <w:p>
      <w:pPr>
        <w:pStyle w:val="ListParagraph"/>
        <w:numPr>
          <w:ilvl w:val="0"/>
          <w:numId w:val="20"/>
        </w:numPr>
        <w:tabs>
          <w:tab w:pos="1569" w:val="left" w:leader="none"/>
          <w:tab w:pos="1570" w:val="left" w:leader="none"/>
        </w:tabs>
        <w:spacing w:line="240" w:lineRule="auto" w:before="212" w:after="0"/>
        <w:ind w:left="1569" w:right="0" w:hanging="1056"/>
        <w:jc w:val="left"/>
        <w:rPr>
          <w:sz w:val="24"/>
        </w:rPr>
      </w:pPr>
      <w:r>
        <w:rPr>
          <w:spacing w:val="-3"/>
          <w:sz w:val="24"/>
        </w:rPr>
        <w:t>Sills,  </w:t>
      </w:r>
      <w:r>
        <w:rPr>
          <w:sz w:val="24"/>
        </w:rPr>
        <w:t>J.G.,  2006.  The  mechanisms  of action </w:t>
      </w:r>
      <w:r>
        <w:rPr>
          <w:spacing w:val="4"/>
          <w:sz w:val="24"/>
        </w:rPr>
        <w:t>of </w:t>
      </w:r>
      <w:r>
        <w:rPr>
          <w:sz w:val="24"/>
        </w:rPr>
        <w:t>gabapentin and pregabalin.</w:t>
      </w:r>
    </w:p>
    <w:p>
      <w:pPr>
        <w:pStyle w:val="BodyText"/>
      </w:pPr>
    </w:p>
    <w:p>
      <w:pPr>
        <w:pStyle w:val="BodyText"/>
        <w:ind w:left="873" w:right="98"/>
      </w:pPr>
      <w:r>
        <w:rPr/>
        <w:t>Current Opinion in Pharmacology 6, 108-113.</w:t>
      </w:r>
    </w:p>
    <w:p>
      <w:pPr>
        <w:pStyle w:val="BodyText"/>
      </w:pPr>
    </w:p>
    <w:p>
      <w:pPr>
        <w:pStyle w:val="ListParagraph"/>
        <w:numPr>
          <w:ilvl w:val="0"/>
          <w:numId w:val="20"/>
        </w:numPr>
        <w:tabs>
          <w:tab w:pos="1569" w:val="left" w:leader="none"/>
          <w:tab w:pos="1570" w:val="left" w:leader="none"/>
        </w:tabs>
        <w:spacing w:line="240" w:lineRule="auto" w:before="197" w:after="0"/>
        <w:ind w:left="1569" w:right="0" w:hanging="1056"/>
        <w:jc w:val="left"/>
        <w:rPr>
          <w:sz w:val="24"/>
        </w:rPr>
      </w:pPr>
      <w:r>
        <w:rPr>
          <w:sz w:val="24"/>
        </w:rPr>
        <w:t>Sisson, A., 1997. Current experiences with anticonvulsants </w:t>
      </w:r>
      <w:r>
        <w:rPr>
          <w:spacing w:val="-3"/>
          <w:sz w:val="24"/>
        </w:rPr>
        <w:t>in </w:t>
      </w:r>
      <w:r>
        <w:rPr>
          <w:sz w:val="24"/>
        </w:rPr>
        <w:t>dogs and </w:t>
      </w:r>
      <w:r>
        <w:rPr>
          <w:spacing w:val="9"/>
          <w:sz w:val="24"/>
        </w:rPr>
        <w:t> </w:t>
      </w:r>
      <w:r>
        <w:rPr>
          <w:sz w:val="24"/>
        </w:rPr>
        <w:t>cats.</w:t>
      </w:r>
    </w:p>
    <w:p>
      <w:pPr>
        <w:pStyle w:val="BodyText"/>
      </w:pPr>
    </w:p>
    <w:p>
      <w:pPr>
        <w:pStyle w:val="BodyText"/>
        <w:spacing w:line="480" w:lineRule="auto"/>
        <w:ind w:left="873" w:right="98"/>
      </w:pPr>
      <w:r>
        <w:rPr/>
        <w:t>In: Proceedings of the 15th American College of Veterinary Internal Medicine Forum, Lake Buena Vista, FL. pp 596-598.</w:t>
      </w:r>
    </w:p>
    <w:p>
      <w:pPr>
        <w:spacing w:after="0" w:line="480" w:lineRule="auto"/>
        <w:sectPr>
          <w:footerReference w:type="default" r:id="rId50"/>
          <w:pgSz w:w="12240" w:h="15840"/>
          <w:pgMar w:footer="2131" w:header="0"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03" w:hanging="360"/>
        <w:jc w:val="both"/>
        <w:rPr>
          <w:sz w:val="24"/>
        </w:rPr>
      </w:pPr>
      <w:r>
        <w:rPr>
          <w:sz w:val="24"/>
        </w:rPr>
        <w:t>Sivenius, J., Kalviainen, R., Ylinen, A., 1991. Double-blind study </w:t>
      </w:r>
      <w:r>
        <w:rPr>
          <w:spacing w:val="4"/>
          <w:sz w:val="24"/>
        </w:rPr>
        <w:t>of </w:t>
      </w:r>
      <w:r>
        <w:rPr>
          <w:sz w:val="24"/>
        </w:rPr>
        <w:t>gabapentin </w:t>
      </w:r>
      <w:r>
        <w:rPr>
          <w:spacing w:val="-3"/>
          <w:sz w:val="24"/>
        </w:rPr>
        <w:t>in </w:t>
      </w:r>
      <w:r>
        <w:rPr>
          <w:sz w:val="24"/>
        </w:rPr>
        <w:t>the treatment of parcial seizures. Epilepsy 32,</w:t>
      </w:r>
      <w:r>
        <w:rPr>
          <w:spacing w:val="-10"/>
          <w:sz w:val="24"/>
        </w:rPr>
        <w:t> </w:t>
      </w:r>
      <w:r>
        <w:rPr>
          <w:sz w:val="24"/>
        </w:rPr>
        <w:t>539-542.</w:t>
      </w:r>
    </w:p>
    <w:p>
      <w:pPr>
        <w:pStyle w:val="ListParagraph"/>
        <w:numPr>
          <w:ilvl w:val="0"/>
          <w:numId w:val="20"/>
        </w:numPr>
        <w:tabs>
          <w:tab w:pos="1569" w:val="left" w:leader="none"/>
          <w:tab w:pos="1570" w:val="left" w:leader="none"/>
        </w:tabs>
        <w:spacing w:line="480" w:lineRule="auto" w:before="212" w:after="0"/>
        <w:ind w:left="873" w:right="111" w:hanging="360"/>
        <w:jc w:val="both"/>
        <w:rPr>
          <w:sz w:val="24"/>
        </w:rPr>
      </w:pPr>
      <w:r>
        <w:rPr>
          <w:sz w:val="24"/>
        </w:rPr>
        <w:t>Speciale, J., Dayrell-Hart, B., Steinberg, S.A., 1991. Clinical evaluation of </w:t>
      </w:r>
      <w:r>
        <w:rPr>
          <w:spacing w:val="3"/>
          <w:sz w:val="24"/>
        </w:rPr>
        <w:t>c- </w:t>
      </w:r>
      <w:r>
        <w:rPr>
          <w:sz w:val="24"/>
        </w:rPr>
        <w:t>vinyl-c-aminobutyric acid for control of epilepsy </w:t>
      </w:r>
      <w:r>
        <w:rPr>
          <w:spacing w:val="-3"/>
          <w:sz w:val="24"/>
        </w:rPr>
        <w:t>in </w:t>
      </w:r>
      <w:r>
        <w:rPr>
          <w:sz w:val="24"/>
        </w:rPr>
        <w:t>dogs. Journal American Veterinary Medical Association 198,</w:t>
      </w:r>
      <w:r>
        <w:rPr>
          <w:spacing w:val="-9"/>
          <w:sz w:val="24"/>
        </w:rPr>
        <w:t> </w:t>
      </w:r>
      <w:r>
        <w:rPr>
          <w:sz w:val="24"/>
        </w:rPr>
        <w:t>995–1000.</w:t>
      </w:r>
    </w:p>
    <w:p>
      <w:pPr>
        <w:pStyle w:val="ListParagraph"/>
        <w:numPr>
          <w:ilvl w:val="0"/>
          <w:numId w:val="20"/>
        </w:numPr>
        <w:tabs>
          <w:tab w:pos="1569" w:val="left" w:leader="none"/>
          <w:tab w:pos="1570" w:val="left" w:leader="none"/>
        </w:tabs>
        <w:spacing w:line="480" w:lineRule="auto" w:before="207" w:after="0"/>
        <w:ind w:left="873" w:right="101" w:hanging="360"/>
        <w:jc w:val="both"/>
        <w:rPr>
          <w:sz w:val="24"/>
        </w:rPr>
      </w:pPr>
      <w:r>
        <w:rPr>
          <w:sz w:val="24"/>
        </w:rPr>
        <w:t>Steinberg, M., Faissler, D., 2004. Levetiracetam therapy for long-term idiopathic epileptic dogs. Journal Veterinary Internal Medicine 18,</w:t>
      </w:r>
      <w:r>
        <w:rPr>
          <w:spacing w:val="-28"/>
          <w:sz w:val="24"/>
        </w:rPr>
        <w:t> </w:t>
      </w:r>
      <w:r>
        <w:rPr>
          <w:sz w:val="24"/>
        </w:rPr>
        <w:t>410.</w:t>
      </w:r>
    </w:p>
    <w:p>
      <w:pPr>
        <w:pStyle w:val="ListParagraph"/>
        <w:numPr>
          <w:ilvl w:val="0"/>
          <w:numId w:val="20"/>
        </w:numPr>
        <w:tabs>
          <w:tab w:pos="1569" w:val="left" w:leader="none"/>
          <w:tab w:pos="1570" w:val="left" w:leader="none"/>
        </w:tabs>
        <w:spacing w:line="240" w:lineRule="auto" w:before="212" w:after="0"/>
        <w:ind w:left="1569" w:right="0" w:hanging="1056"/>
        <w:jc w:val="left"/>
        <w:rPr>
          <w:sz w:val="24"/>
        </w:rPr>
      </w:pPr>
      <w:r>
        <w:rPr>
          <w:sz w:val="24"/>
        </w:rPr>
        <w:t>Steven, C., Schachter, M.D., 2001. Epilepsy. Neurologic Clinics 19,</w:t>
      </w:r>
      <w:r>
        <w:rPr>
          <w:spacing w:val="-16"/>
          <w:sz w:val="24"/>
        </w:rPr>
        <w:t> </w:t>
      </w:r>
      <w:r>
        <w:rPr>
          <w:sz w:val="24"/>
        </w:rPr>
        <w:t>57-78.</w:t>
      </w:r>
    </w:p>
    <w:p>
      <w:pPr>
        <w:pStyle w:val="BodyText"/>
      </w:pPr>
    </w:p>
    <w:p>
      <w:pPr>
        <w:pStyle w:val="ListParagraph"/>
        <w:numPr>
          <w:ilvl w:val="0"/>
          <w:numId w:val="20"/>
        </w:numPr>
        <w:tabs>
          <w:tab w:pos="1569" w:val="left" w:leader="none"/>
          <w:tab w:pos="1570" w:val="left" w:leader="none"/>
        </w:tabs>
        <w:spacing w:line="475" w:lineRule="auto" w:before="201" w:after="0"/>
        <w:ind w:left="873" w:right="105" w:hanging="360"/>
        <w:jc w:val="both"/>
        <w:rPr>
          <w:sz w:val="24"/>
        </w:rPr>
      </w:pPr>
      <w:r>
        <w:rPr>
          <w:sz w:val="24"/>
        </w:rPr>
        <w:t>Stevenson, C. M., </w:t>
      </w:r>
      <w:r>
        <w:rPr>
          <w:spacing w:val="-4"/>
          <w:sz w:val="24"/>
        </w:rPr>
        <w:t>Kim,</w:t>
      </w:r>
      <w:r>
        <w:rPr>
          <w:spacing w:val="52"/>
          <w:sz w:val="24"/>
        </w:rPr>
        <w:t> </w:t>
      </w:r>
      <w:r>
        <w:rPr>
          <w:sz w:val="24"/>
        </w:rPr>
        <w:t>J., Fleisher, D., 1997. Colonic absorption of antiepileptic agents. Epilepsia 38,</w:t>
      </w:r>
      <w:r>
        <w:rPr>
          <w:spacing w:val="-10"/>
          <w:sz w:val="24"/>
        </w:rPr>
        <w:t> </w:t>
      </w:r>
      <w:r>
        <w:rPr>
          <w:sz w:val="24"/>
        </w:rPr>
        <w:t>63-67</w:t>
      </w:r>
    </w:p>
    <w:p>
      <w:pPr>
        <w:pStyle w:val="BodyText"/>
        <w:spacing w:before="10"/>
        <w:rPr>
          <w:sz w:val="18"/>
        </w:rPr>
      </w:pPr>
    </w:p>
    <w:p>
      <w:pPr>
        <w:pStyle w:val="ListParagraph"/>
        <w:numPr>
          <w:ilvl w:val="0"/>
          <w:numId w:val="20"/>
        </w:numPr>
        <w:tabs>
          <w:tab w:pos="1569" w:val="left" w:leader="none"/>
          <w:tab w:pos="1570" w:val="left" w:leader="none"/>
        </w:tabs>
        <w:spacing w:line="480" w:lineRule="auto" w:before="0" w:after="0"/>
        <w:ind w:left="873" w:right="107" w:hanging="360"/>
        <w:jc w:val="both"/>
        <w:rPr>
          <w:sz w:val="24"/>
        </w:rPr>
      </w:pPr>
      <w:r>
        <w:rPr>
          <w:sz w:val="24"/>
        </w:rPr>
        <w:t>Strolin, B.M., Coupez, R., Whomsley, R., 2004. Comparative pharmacokinetics and metabolism </w:t>
      </w:r>
      <w:r>
        <w:rPr>
          <w:spacing w:val="4"/>
          <w:sz w:val="24"/>
        </w:rPr>
        <w:t>of </w:t>
      </w:r>
      <w:r>
        <w:rPr>
          <w:sz w:val="24"/>
        </w:rPr>
        <w:t>levetiracetam, a new anti-epileptic agent, </w:t>
      </w:r>
      <w:r>
        <w:rPr>
          <w:spacing w:val="-3"/>
          <w:sz w:val="24"/>
        </w:rPr>
        <w:t>in </w:t>
      </w:r>
      <w:r>
        <w:rPr>
          <w:sz w:val="24"/>
        </w:rPr>
        <w:t>mouse, rat, </w:t>
      </w:r>
      <w:r>
        <w:rPr>
          <w:spacing w:val="-3"/>
          <w:sz w:val="24"/>
        </w:rPr>
        <w:t>rabbit </w:t>
      </w:r>
      <w:r>
        <w:rPr>
          <w:sz w:val="24"/>
        </w:rPr>
        <w:t>and dog. Xenobiotica 34,</w:t>
      </w:r>
      <w:r>
        <w:rPr>
          <w:spacing w:val="10"/>
          <w:sz w:val="24"/>
        </w:rPr>
        <w:t> </w:t>
      </w:r>
      <w:r>
        <w:rPr>
          <w:sz w:val="24"/>
        </w:rPr>
        <w:t>281–300.</w:t>
      </w:r>
    </w:p>
    <w:p>
      <w:pPr>
        <w:pStyle w:val="ListParagraph"/>
        <w:numPr>
          <w:ilvl w:val="0"/>
          <w:numId w:val="20"/>
        </w:numPr>
        <w:tabs>
          <w:tab w:pos="1569" w:val="left" w:leader="none"/>
          <w:tab w:pos="1570" w:val="left" w:leader="none"/>
        </w:tabs>
        <w:spacing w:line="480" w:lineRule="auto" w:before="212" w:after="0"/>
        <w:ind w:left="873" w:right="109" w:hanging="360"/>
        <w:jc w:val="both"/>
        <w:rPr>
          <w:sz w:val="24"/>
        </w:rPr>
      </w:pPr>
      <w:r>
        <w:rPr>
          <w:sz w:val="24"/>
        </w:rPr>
        <w:t>Sumano, H., Ocampo, C., González, M., 1987. Evaluación del efecto de </w:t>
      </w:r>
      <w:r>
        <w:rPr>
          <w:spacing w:val="-5"/>
          <w:sz w:val="24"/>
        </w:rPr>
        <w:t>la </w:t>
      </w:r>
      <w:r>
        <w:rPr>
          <w:sz w:val="24"/>
        </w:rPr>
        <w:t>acupuntura y carbamacepina en el tratamiento de </w:t>
      </w:r>
      <w:r>
        <w:rPr>
          <w:spacing w:val="-5"/>
          <w:sz w:val="24"/>
        </w:rPr>
        <w:t>la </w:t>
      </w:r>
      <w:r>
        <w:rPr>
          <w:sz w:val="24"/>
        </w:rPr>
        <w:t>epilepsia idiopática y las convulsiones epileptiformes causadas por distemper canino. Veterinaria México 18, 27-31.</w:t>
      </w:r>
    </w:p>
    <w:p>
      <w:pPr>
        <w:spacing w:after="0" w:line="480" w:lineRule="auto"/>
        <w:jc w:val="both"/>
        <w:rPr>
          <w:sz w:val="24"/>
        </w:rPr>
        <w:sectPr>
          <w:footerReference w:type="default" r:id="rId51"/>
          <w:pgSz w:w="12240" w:h="15840"/>
          <w:pgMar w:footer="2131" w:header="0" w:top="1500" w:bottom="2320" w:left="1720" w:right="1420"/>
          <w:pgNumType w:start="131"/>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12" w:hanging="360"/>
        <w:jc w:val="both"/>
        <w:rPr>
          <w:sz w:val="24"/>
        </w:rPr>
      </w:pPr>
      <w:r>
        <w:rPr>
          <w:sz w:val="24"/>
        </w:rPr>
        <w:t>Taylor, C.P, 1993. Mechanisms of Action </w:t>
      </w:r>
      <w:r>
        <w:rPr>
          <w:spacing w:val="4"/>
          <w:sz w:val="24"/>
        </w:rPr>
        <w:t>of </w:t>
      </w:r>
      <w:r>
        <w:rPr>
          <w:sz w:val="24"/>
        </w:rPr>
        <w:t>New Antiepileptic Drugs. In: Chadwick, D. (Ed.), New Trends </w:t>
      </w:r>
      <w:r>
        <w:rPr>
          <w:spacing w:val="-3"/>
          <w:sz w:val="24"/>
        </w:rPr>
        <w:t>in </w:t>
      </w:r>
      <w:r>
        <w:rPr>
          <w:sz w:val="24"/>
        </w:rPr>
        <w:t>Epilepsy Management: The Role  of Gabapentin. Royal Society of Medicine, London. </w:t>
      </w:r>
      <w:r>
        <w:rPr>
          <w:spacing w:val="-3"/>
          <w:sz w:val="24"/>
        </w:rPr>
        <w:t>pp</w:t>
      </w:r>
      <w:r>
        <w:rPr>
          <w:spacing w:val="-9"/>
          <w:sz w:val="24"/>
        </w:rPr>
        <w:t> </w:t>
      </w:r>
      <w:r>
        <w:rPr>
          <w:sz w:val="24"/>
        </w:rPr>
        <w:t>13–40.</w:t>
      </w:r>
    </w:p>
    <w:p>
      <w:pPr>
        <w:pStyle w:val="ListParagraph"/>
        <w:numPr>
          <w:ilvl w:val="0"/>
          <w:numId w:val="20"/>
        </w:numPr>
        <w:tabs>
          <w:tab w:pos="1569" w:val="left" w:leader="none"/>
          <w:tab w:pos="1570" w:val="left" w:leader="none"/>
        </w:tabs>
        <w:spacing w:line="240" w:lineRule="auto" w:before="212" w:after="0"/>
        <w:ind w:left="1569" w:right="0" w:hanging="1056"/>
        <w:jc w:val="left"/>
        <w:rPr>
          <w:sz w:val="24"/>
        </w:rPr>
      </w:pPr>
      <w:r>
        <w:rPr>
          <w:sz w:val="24"/>
        </w:rPr>
        <w:t>Theodore, W.H., 1997. Felbamate. In: Engel, J. Pedley, TA (Eds). </w:t>
      </w:r>
      <w:r>
        <w:rPr>
          <w:spacing w:val="3"/>
          <w:sz w:val="24"/>
        </w:rPr>
        <w:t> </w:t>
      </w:r>
      <w:r>
        <w:rPr>
          <w:sz w:val="24"/>
        </w:rPr>
        <w:t>Epilepsy.</w:t>
      </w:r>
    </w:p>
    <w:p>
      <w:pPr>
        <w:pStyle w:val="BodyText"/>
      </w:pPr>
    </w:p>
    <w:p>
      <w:pPr>
        <w:pStyle w:val="BodyText"/>
        <w:spacing w:line="480" w:lineRule="auto"/>
        <w:ind w:left="873" w:right="98"/>
      </w:pPr>
      <w:r>
        <w:rPr/>
        <w:t>A comprenhensive Textbook. Vol 2. Philadelphia, PA. Lippincott-Raven. Pp. 1509- 1514.</w:t>
      </w:r>
    </w:p>
    <w:p>
      <w:pPr>
        <w:pStyle w:val="ListParagraph"/>
        <w:numPr>
          <w:ilvl w:val="0"/>
          <w:numId w:val="20"/>
        </w:numPr>
        <w:tabs>
          <w:tab w:pos="1569" w:val="left" w:leader="none"/>
          <w:tab w:pos="1570" w:val="left" w:leader="none"/>
        </w:tabs>
        <w:spacing w:line="480" w:lineRule="auto" w:before="207" w:after="0"/>
        <w:ind w:left="873" w:right="110" w:hanging="360"/>
        <w:jc w:val="both"/>
        <w:rPr>
          <w:sz w:val="24"/>
        </w:rPr>
      </w:pPr>
      <w:r>
        <w:rPr>
          <w:sz w:val="24"/>
        </w:rPr>
        <w:t>Thomas, </w:t>
      </w:r>
      <w:r>
        <w:rPr>
          <w:spacing w:val="-3"/>
          <w:sz w:val="24"/>
        </w:rPr>
        <w:t>W. </w:t>
      </w:r>
      <w:r>
        <w:rPr>
          <w:sz w:val="24"/>
        </w:rPr>
        <w:t>B., 2010. Idiophatic Epilepsy </w:t>
      </w:r>
      <w:r>
        <w:rPr>
          <w:spacing w:val="-3"/>
          <w:sz w:val="24"/>
        </w:rPr>
        <w:t>in </w:t>
      </w:r>
      <w:r>
        <w:rPr>
          <w:sz w:val="24"/>
        </w:rPr>
        <w:t>Dogs and Cats. Veterinary Clinics of North America: Small Animal Practice 40,</w:t>
      </w:r>
      <w:r>
        <w:rPr>
          <w:spacing w:val="-16"/>
          <w:sz w:val="24"/>
        </w:rPr>
        <w:t> </w:t>
      </w:r>
      <w:r>
        <w:rPr>
          <w:sz w:val="24"/>
        </w:rPr>
        <w:t>161-179.</w:t>
      </w:r>
    </w:p>
    <w:p>
      <w:pPr>
        <w:pStyle w:val="ListParagraph"/>
        <w:numPr>
          <w:ilvl w:val="0"/>
          <w:numId w:val="20"/>
        </w:numPr>
        <w:tabs>
          <w:tab w:pos="1569" w:val="left" w:leader="none"/>
          <w:tab w:pos="1570" w:val="left" w:leader="none"/>
        </w:tabs>
        <w:spacing w:line="480" w:lineRule="auto" w:before="212" w:after="0"/>
        <w:ind w:left="873" w:right="110" w:hanging="360"/>
        <w:jc w:val="both"/>
        <w:rPr>
          <w:sz w:val="24"/>
        </w:rPr>
      </w:pPr>
      <w:r>
        <w:rPr>
          <w:sz w:val="24"/>
        </w:rPr>
        <w:t>Thomas, W.B., 2000. Idiophatic Epilepsy </w:t>
      </w:r>
      <w:r>
        <w:rPr>
          <w:spacing w:val="-3"/>
          <w:sz w:val="24"/>
        </w:rPr>
        <w:t>in </w:t>
      </w:r>
      <w:r>
        <w:rPr>
          <w:sz w:val="24"/>
        </w:rPr>
        <w:t>Dogs and Cats. Veterinary Clinics of North America: Small Animal Practice 30,</w:t>
      </w:r>
      <w:r>
        <w:rPr>
          <w:spacing w:val="-16"/>
          <w:sz w:val="24"/>
        </w:rPr>
        <w:t> </w:t>
      </w:r>
      <w:r>
        <w:rPr>
          <w:sz w:val="24"/>
        </w:rPr>
        <w:t>183-206.</w:t>
      </w:r>
    </w:p>
    <w:p>
      <w:pPr>
        <w:pStyle w:val="ListParagraph"/>
        <w:numPr>
          <w:ilvl w:val="0"/>
          <w:numId w:val="20"/>
        </w:numPr>
        <w:tabs>
          <w:tab w:pos="1569" w:val="left" w:leader="none"/>
          <w:tab w:pos="1570" w:val="left" w:leader="none"/>
        </w:tabs>
        <w:spacing w:line="480" w:lineRule="auto" w:before="207" w:after="0"/>
        <w:ind w:left="873" w:right="99" w:hanging="360"/>
        <w:jc w:val="both"/>
        <w:rPr>
          <w:sz w:val="24"/>
        </w:rPr>
      </w:pPr>
      <w:r>
        <w:rPr>
          <w:sz w:val="24"/>
        </w:rPr>
        <w:t>Thomas, W.B., 2003. Seizures and narcolepsy. In: DeweyCW, editor. A practical guide to canine and feline neurology. Ames (IA): Iowa State Press (Blackwell Publishing) pp.</w:t>
      </w:r>
      <w:r>
        <w:rPr>
          <w:spacing w:val="-10"/>
          <w:sz w:val="24"/>
        </w:rPr>
        <w:t> </w:t>
      </w:r>
      <w:r>
        <w:rPr>
          <w:sz w:val="24"/>
        </w:rPr>
        <w:t>193–212.</w:t>
      </w:r>
    </w:p>
    <w:p>
      <w:pPr>
        <w:pStyle w:val="ListParagraph"/>
        <w:numPr>
          <w:ilvl w:val="0"/>
          <w:numId w:val="20"/>
        </w:numPr>
        <w:tabs>
          <w:tab w:pos="1569" w:val="left" w:leader="none"/>
          <w:tab w:pos="1570" w:val="left" w:leader="none"/>
        </w:tabs>
        <w:spacing w:line="480" w:lineRule="auto" w:before="212" w:after="0"/>
        <w:ind w:left="873" w:right="116" w:hanging="360"/>
        <w:jc w:val="both"/>
        <w:rPr>
          <w:sz w:val="24"/>
        </w:rPr>
      </w:pPr>
      <w:r>
        <w:rPr>
          <w:sz w:val="24"/>
        </w:rPr>
        <w:t>Trepanier, L.A., Babish, J.G., 1995. Effect of dietary chloride content on the elimination of bromide by dogs. Research </w:t>
      </w:r>
      <w:r>
        <w:rPr>
          <w:spacing w:val="-3"/>
          <w:sz w:val="24"/>
        </w:rPr>
        <w:t>in </w:t>
      </w:r>
      <w:r>
        <w:rPr>
          <w:sz w:val="24"/>
        </w:rPr>
        <w:t>Veterinary Science 58,</w:t>
      </w:r>
      <w:r>
        <w:rPr>
          <w:spacing w:val="-12"/>
          <w:sz w:val="24"/>
        </w:rPr>
        <w:t> </w:t>
      </w:r>
      <w:r>
        <w:rPr>
          <w:sz w:val="24"/>
        </w:rPr>
        <w:t>252–255.</w:t>
      </w:r>
    </w:p>
    <w:p>
      <w:pPr>
        <w:pStyle w:val="ListParagraph"/>
        <w:numPr>
          <w:ilvl w:val="0"/>
          <w:numId w:val="20"/>
        </w:numPr>
        <w:tabs>
          <w:tab w:pos="1569" w:val="left" w:leader="none"/>
          <w:tab w:pos="1570" w:val="left" w:leader="none"/>
        </w:tabs>
        <w:spacing w:line="480" w:lineRule="auto" w:before="212" w:after="0"/>
        <w:ind w:left="873" w:right="102" w:hanging="360"/>
        <w:jc w:val="both"/>
        <w:rPr>
          <w:sz w:val="24"/>
        </w:rPr>
      </w:pPr>
      <w:r>
        <w:rPr>
          <w:sz w:val="24"/>
        </w:rPr>
        <w:t>Trepanier, L.A., Van Schoick, A., Schwark, W.S., </w:t>
      </w:r>
      <w:r>
        <w:rPr>
          <w:spacing w:val="-3"/>
          <w:sz w:val="24"/>
        </w:rPr>
        <w:t>et al., </w:t>
      </w:r>
      <w:r>
        <w:rPr>
          <w:sz w:val="24"/>
        </w:rPr>
        <w:t>1998. Therapeutic serum drug concentrations </w:t>
      </w:r>
      <w:r>
        <w:rPr>
          <w:spacing w:val="-3"/>
          <w:sz w:val="24"/>
        </w:rPr>
        <w:t>in </w:t>
      </w:r>
      <w:r>
        <w:rPr>
          <w:sz w:val="24"/>
        </w:rPr>
        <w:t>epileptic dogs treated with potassium bromide alone  or </w:t>
      </w:r>
      <w:r>
        <w:rPr>
          <w:spacing w:val="-3"/>
          <w:sz w:val="24"/>
        </w:rPr>
        <w:t>in </w:t>
      </w:r>
      <w:r>
        <w:rPr>
          <w:sz w:val="24"/>
        </w:rPr>
        <w:t>combination with other anticonvulsants: 122 cases (1992–1996). Journal American Veterinary Medical Association 213,</w:t>
      </w:r>
      <w:r>
        <w:rPr>
          <w:spacing w:val="-14"/>
          <w:sz w:val="24"/>
        </w:rPr>
        <w:t> </w:t>
      </w:r>
      <w:r>
        <w:rPr>
          <w:sz w:val="24"/>
        </w:rPr>
        <w:t>1449–1453.</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240" w:lineRule="auto" w:before="69" w:after="0"/>
        <w:ind w:left="1569" w:right="0" w:hanging="1056"/>
        <w:jc w:val="left"/>
        <w:rPr>
          <w:sz w:val="24"/>
        </w:rPr>
      </w:pPr>
      <w:r>
        <w:rPr>
          <w:sz w:val="24"/>
        </w:rPr>
        <w:t>Urbanska,   E.M.,   Czuczwar,   S.J.,   Kleinrok,   Z.,   Turski,   W.A.,  </w:t>
      </w:r>
      <w:r>
        <w:rPr>
          <w:spacing w:val="23"/>
          <w:sz w:val="24"/>
        </w:rPr>
        <w:t> </w:t>
      </w:r>
      <w:r>
        <w:rPr>
          <w:sz w:val="24"/>
        </w:rPr>
        <w:t>1998.</w:t>
      </w:r>
    </w:p>
    <w:p>
      <w:pPr>
        <w:pStyle w:val="BodyText"/>
      </w:pPr>
    </w:p>
    <w:p>
      <w:pPr>
        <w:pStyle w:val="BodyText"/>
        <w:ind w:left="873" w:right="98"/>
      </w:pPr>
      <w:r>
        <w:rPr/>
        <w:t>Excitatory amino acids in epilepsy. Restor Neurology Neuroscience 13, 25-39.</w:t>
      </w:r>
    </w:p>
    <w:p>
      <w:pPr>
        <w:pStyle w:val="BodyText"/>
      </w:pPr>
    </w:p>
    <w:p>
      <w:pPr>
        <w:pStyle w:val="ListParagraph"/>
        <w:numPr>
          <w:ilvl w:val="0"/>
          <w:numId w:val="20"/>
        </w:numPr>
        <w:tabs>
          <w:tab w:pos="1569" w:val="left" w:leader="none"/>
          <w:tab w:pos="1570" w:val="left" w:leader="none"/>
        </w:tabs>
        <w:spacing w:line="480" w:lineRule="auto" w:before="201" w:after="0"/>
        <w:ind w:left="873" w:right="109" w:hanging="360"/>
        <w:jc w:val="both"/>
        <w:rPr>
          <w:sz w:val="24"/>
        </w:rPr>
      </w:pPr>
      <w:r>
        <w:rPr>
          <w:sz w:val="24"/>
        </w:rPr>
        <w:t>Van Der Velden, N.A., 1968. Fits </w:t>
      </w:r>
      <w:r>
        <w:rPr>
          <w:spacing w:val="-3"/>
          <w:sz w:val="24"/>
        </w:rPr>
        <w:t>in </w:t>
      </w:r>
      <w:r>
        <w:rPr>
          <w:sz w:val="24"/>
        </w:rPr>
        <w:t>tervueren shepherd dogs: a presumed hereditary trait. Journal of Small Animal Practice 9,</w:t>
      </w:r>
      <w:r>
        <w:rPr>
          <w:spacing w:val="-12"/>
          <w:sz w:val="24"/>
        </w:rPr>
        <w:t> </w:t>
      </w:r>
      <w:r>
        <w:rPr>
          <w:sz w:val="24"/>
        </w:rPr>
        <w:t>63-70.</w:t>
      </w:r>
    </w:p>
    <w:p>
      <w:pPr>
        <w:pStyle w:val="ListParagraph"/>
        <w:numPr>
          <w:ilvl w:val="0"/>
          <w:numId w:val="20"/>
        </w:numPr>
        <w:tabs>
          <w:tab w:pos="1569" w:val="left" w:leader="none"/>
          <w:tab w:pos="1570" w:val="left" w:leader="none"/>
        </w:tabs>
        <w:spacing w:line="480" w:lineRule="auto" w:before="207" w:after="0"/>
        <w:ind w:left="873" w:right="113" w:hanging="360"/>
        <w:jc w:val="both"/>
        <w:rPr>
          <w:sz w:val="24"/>
        </w:rPr>
      </w:pPr>
      <w:r>
        <w:rPr>
          <w:sz w:val="24"/>
        </w:rPr>
        <w:t>Varshney, P.J., 2007. Clinical management of idiopathic epilepsy </w:t>
      </w:r>
      <w:r>
        <w:rPr>
          <w:spacing w:val="-3"/>
          <w:sz w:val="24"/>
        </w:rPr>
        <w:t>in </w:t>
      </w:r>
      <w:r>
        <w:rPr>
          <w:sz w:val="24"/>
        </w:rPr>
        <w:t>dogs with homeopathic Belladonna 200C: a case series. Homeopathy 96,</w:t>
      </w:r>
      <w:r>
        <w:rPr>
          <w:spacing w:val="-15"/>
          <w:sz w:val="24"/>
        </w:rPr>
        <w:t> </w:t>
      </w:r>
      <w:r>
        <w:rPr>
          <w:sz w:val="24"/>
        </w:rPr>
        <w:t>46–48.</w:t>
      </w:r>
    </w:p>
    <w:p>
      <w:pPr>
        <w:pStyle w:val="ListParagraph"/>
        <w:numPr>
          <w:ilvl w:val="0"/>
          <w:numId w:val="20"/>
        </w:numPr>
        <w:tabs>
          <w:tab w:pos="1569" w:val="left" w:leader="none"/>
          <w:tab w:pos="1570" w:val="left" w:leader="none"/>
        </w:tabs>
        <w:spacing w:line="480" w:lineRule="auto" w:before="212" w:after="0"/>
        <w:ind w:left="873" w:right="107" w:hanging="360"/>
        <w:jc w:val="both"/>
        <w:rPr>
          <w:sz w:val="24"/>
        </w:rPr>
      </w:pPr>
      <w:r>
        <w:rPr>
          <w:sz w:val="24"/>
        </w:rPr>
        <w:t>Volk, A.H., Matiasek, A.L., Feliu-Pascual, L.A., Platt, R.S., Chandler, E.K., 2008. The efficacy and tolerability </w:t>
      </w:r>
      <w:r>
        <w:rPr>
          <w:spacing w:val="4"/>
          <w:sz w:val="24"/>
        </w:rPr>
        <w:t>of </w:t>
      </w:r>
      <w:r>
        <w:rPr>
          <w:sz w:val="24"/>
        </w:rPr>
        <w:t>levetiracetam </w:t>
      </w:r>
      <w:r>
        <w:rPr>
          <w:spacing w:val="-3"/>
          <w:sz w:val="24"/>
        </w:rPr>
        <w:t>in </w:t>
      </w:r>
      <w:r>
        <w:rPr>
          <w:sz w:val="24"/>
        </w:rPr>
        <w:t>pharmacoresistant epileptic dogs. The Veterinary Journal 176,</w:t>
      </w:r>
      <w:r>
        <w:rPr>
          <w:spacing w:val="-8"/>
          <w:sz w:val="24"/>
        </w:rPr>
        <w:t> </w:t>
      </w:r>
      <w:r>
        <w:rPr>
          <w:sz w:val="24"/>
        </w:rPr>
        <w:t>310-319.</w:t>
      </w:r>
    </w:p>
    <w:p>
      <w:pPr>
        <w:pStyle w:val="ListParagraph"/>
        <w:numPr>
          <w:ilvl w:val="0"/>
          <w:numId w:val="20"/>
        </w:numPr>
        <w:tabs>
          <w:tab w:pos="1569" w:val="left" w:leader="none"/>
          <w:tab w:pos="1570" w:val="left" w:leader="none"/>
        </w:tabs>
        <w:spacing w:line="480" w:lineRule="auto" w:before="207" w:after="0"/>
        <w:ind w:left="873" w:right="118" w:hanging="360"/>
        <w:jc w:val="both"/>
        <w:rPr>
          <w:sz w:val="24"/>
        </w:rPr>
      </w:pPr>
      <w:r>
        <w:rPr>
          <w:sz w:val="24"/>
        </w:rPr>
        <w:t>Vollmer, K.O., Von Hodenberg, A., Kolle, E.U., 1986. Pharmacokinetics and metabolism </w:t>
      </w:r>
      <w:r>
        <w:rPr>
          <w:spacing w:val="4"/>
          <w:sz w:val="24"/>
        </w:rPr>
        <w:t>of </w:t>
      </w:r>
      <w:r>
        <w:rPr>
          <w:sz w:val="24"/>
        </w:rPr>
        <w:t>gabapentin </w:t>
      </w:r>
      <w:r>
        <w:rPr>
          <w:spacing w:val="-3"/>
          <w:sz w:val="24"/>
        </w:rPr>
        <w:t>in </w:t>
      </w:r>
      <w:r>
        <w:rPr>
          <w:sz w:val="24"/>
        </w:rPr>
        <w:t>rat, dog and </w:t>
      </w:r>
      <w:r>
        <w:rPr>
          <w:spacing w:val="-3"/>
          <w:sz w:val="24"/>
        </w:rPr>
        <w:t>man. </w:t>
      </w:r>
      <w:r>
        <w:rPr>
          <w:sz w:val="24"/>
        </w:rPr>
        <w:t>Drug Research 36,</w:t>
      </w:r>
      <w:r>
        <w:rPr>
          <w:spacing w:val="-5"/>
          <w:sz w:val="24"/>
        </w:rPr>
        <w:t> </w:t>
      </w:r>
      <w:r>
        <w:rPr>
          <w:sz w:val="24"/>
        </w:rPr>
        <w:t>830–839.</w:t>
      </w:r>
    </w:p>
    <w:p>
      <w:pPr>
        <w:pStyle w:val="ListParagraph"/>
        <w:numPr>
          <w:ilvl w:val="0"/>
          <w:numId w:val="20"/>
        </w:numPr>
        <w:tabs>
          <w:tab w:pos="1569" w:val="left" w:leader="none"/>
          <w:tab w:pos="1570" w:val="left" w:leader="none"/>
        </w:tabs>
        <w:spacing w:line="480" w:lineRule="auto" w:before="212" w:after="0"/>
        <w:ind w:left="873" w:right="117" w:hanging="360"/>
        <w:jc w:val="both"/>
        <w:rPr>
          <w:sz w:val="24"/>
        </w:rPr>
      </w:pPr>
      <w:r>
        <w:rPr>
          <w:sz w:val="24"/>
        </w:rPr>
        <w:t>Wagner, S.O., 2001. Lower airway disease </w:t>
      </w:r>
      <w:r>
        <w:rPr>
          <w:spacing w:val="-3"/>
          <w:sz w:val="24"/>
        </w:rPr>
        <w:t>in </w:t>
      </w:r>
      <w:r>
        <w:rPr>
          <w:sz w:val="24"/>
        </w:rPr>
        <w:t>cats on bromide therapy for seizures. Journal Veterinary Internal Medicine 15,</w:t>
      </w:r>
      <w:r>
        <w:rPr>
          <w:spacing w:val="-23"/>
          <w:sz w:val="24"/>
        </w:rPr>
        <w:t> </w:t>
      </w:r>
      <w:r>
        <w:rPr>
          <w:sz w:val="24"/>
        </w:rPr>
        <w:t>562.</w:t>
      </w:r>
    </w:p>
    <w:p>
      <w:pPr>
        <w:pStyle w:val="ListParagraph"/>
        <w:numPr>
          <w:ilvl w:val="0"/>
          <w:numId w:val="20"/>
        </w:numPr>
        <w:tabs>
          <w:tab w:pos="1569" w:val="left" w:leader="none"/>
          <w:tab w:pos="1570" w:val="left" w:leader="none"/>
        </w:tabs>
        <w:spacing w:line="480" w:lineRule="auto" w:before="212" w:after="0"/>
        <w:ind w:left="873" w:right="111" w:hanging="360"/>
        <w:jc w:val="both"/>
        <w:rPr>
          <w:sz w:val="24"/>
        </w:rPr>
      </w:pPr>
      <w:r>
        <w:rPr>
          <w:sz w:val="24"/>
        </w:rPr>
        <w:t>Walker, R.M., DiFonzo, C.J., Barsoum, N.J., 1988. Chronic toxicity of the anticonvulsant zonisamide </w:t>
      </w:r>
      <w:r>
        <w:rPr>
          <w:spacing w:val="-3"/>
          <w:sz w:val="24"/>
        </w:rPr>
        <w:t>in </w:t>
      </w:r>
      <w:r>
        <w:rPr>
          <w:sz w:val="24"/>
        </w:rPr>
        <w:t>beagle dogs. Fundamental and Applied Toxicology  11,</w:t>
      </w:r>
      <w:r>
        <w:rPr>
          <w:spacing w:val="-1"/>
          <w:sz w:val="24"/>
        </w:rPr>
        <w:t> </w:t>
      </w:r>
      <w:r>
        <w:rPr>
          <w:sz w:val="24"/>
        </w:rPr>
        <w:t>333–342.</w:t>
      </w:r>
    </w:p>
    <w:p>
      <w:pPr>
        <w:pStyle w:val="ListParagraph"/>
        <w:numPr>
          <w:ilvl w:val="0"/>
          <w:numId w:val="20"/>
        </w:numPr>
        <w:tabs>
          <w:tab w:pos="1569" w:val="left" w:leader="none"/>
          <w:tab w:pos="1570" w:val="left" w:leader="none"/>
        </w:tabs>
        <w:spacing w:line="480" w:lineRule="auto" w:before="207" w:after="0"/>
        <w:ind w:left="873" w:right="118" w:hanging="360"/>
        <w:jc w:val="both"/>
        <w:rPr>
          <w:sz w:val="24"/>
        </w:rPr>
      </w:pPr>
      <w:r>
        <w:rPr>
          <w:sz w:val="24"/>
        </w:rPr>
        <w:t>Wallace, M.E., 1975. Keeshonds: a genetic study of epilepsy and ECG readings. Journal </w:t>
      </w:r>
      <w:r>
        <w:rPr>
          <w:spacing w:val="4"/>
          <w:sz w:val="24"/>
        </w:rPr>
        <w:t>of </w:t>
      </w:r>
      <w:r>
        <w:rPr>
          <w:sz w:val="24"/>
        </w:rPr>
        <w:t>Small Animal Practice 18,</w:t>
      </w:r>
      <w:r>
        <w:rPr>
          <w:spacing w:val="-27"/>
          <w:sz w:val="24"/>
        </w:rPr>
        <w:t> </w:t>
      </w:r>
      <w:r>
        <w:rPr>
          <w:sz w:val="24"/>
        </w:rPr>
        <w:t>1-10.</w:t>
      </w:r>
    </w:p>
    <w:p>
      <w:pPr>
        <w:spacing w:after="0" w:line="480" w:lineRule="auto"/>
        <w:jc w:val="both"/>
        <w:rPr>
          <w:sz w:val="24"/>
        </w:rPr>
        <w:sectPr>
          <w:pgSz w:w="12240" w:h="15840"/>
          <w:pgMar w:header="0" w:footer="2131" w:top="1500" w:bottom="2320" w:left="1720" w:right="1420"/>
        </w:sectPr>
      </w:pPr>
    </w:p>
    <w:p>
      <w:pPr>
        <w:pStyle w:val="BodyText"/>
        <w:spacing w:before="7"/>
        <w:rPr>
          <w:sz w:val="20"/>
        </w:rPr>
      </w:pPr>
    </w:p>
    <w:p>
      <w:pPr>
        <w:pStyle w:val="ListParagraph"/>
        <w:numPr>
          <w:ilvl w:val="0"/>
          <w:numId w:val="20"/>
        </w:numPr>
        <w:tabs>
          <w:tab w:pos="1569" w:val="left" w:leader="none"/>
          <w:tab w:pos="1570" w:val="left" w:leader="none"/>
        </w:tabs>
        <w:spacing w:line="480" w:lineRule="auto" w:before="69" w:after="0"/>
        <w:ind w:left="873" w:right="109" w:hanging="360"/>
        <w:jc w:val="both"/>
        <w:rPr>
          <w:sz w:val="24"/>
        </w:rPr>
      </w:pPr>
      <w:r>
        <w:rPr>
          <w:sz w:val="24"/>
        </w:rPr>
        <w:t>Welch, B. J., Graybeal, D., Moe, O. W., 2006. Biochemical and stone-risk profiles with topiramate treatment. American Journal </w:t>
      </w:r>
      <w:r>
        <w:rPr>
          <w:spacing w:val="4"/>
          <w:sz w:val="24"/>
        </w:rPr>
        <w:t>of </w:t>
      </w:r>
      <w:r>
        <w:rPr>
          <w:sz w:val="24"/>
        </w:rPr>
        <w:t>Kidney Diseases 48, </w:t>
      </w:r>
      <w:r>
        <w:rPr>
          <w:spacing w:val="3"/>
          <w:sz w:val="24"/>
        </w:rPr>
        <w:t>555- </w:t>
      </w:r>
      <w:r>
        <w:rPr>
          <w:sz w:val="24"/>
        </w:rPr>
        <w:t>563.</w:t>
      </w:r>
    </w:p>
    <w:p>
      <w:pPr>
        <w:pStyle w:val="ListParagraph"/>
        <w:numPr>
          <w:ilvl w:val="0"/>
          <w:numId w:val="20"/>
        </w:numPr>
        <w:tabs>
          <w:tab w:pos="1569" w:val="left" w:leader="none"/>
          <w:tab w:pos="1570" w:val="left" w:leader="none"/>
        </w:tabs>
        <w:spacing w:line="480" w:lineRule="auto" w:before="212" w:after="0"/>
        <w:ind w:left="873" w:right="117" w:hanging="360"/>
        <w:jc w:val="both"/>
        <w:rPr>
          <w:sz w:val="24"/>
        </w:rPr>
      </w:pPr>
      <w:r>
        <w:rPr>
          <w:sz w:val="24"/>
        </w:rPr>
        <w:t>White, H. S., Brown, S. D., Woodhead, J. H., 2000. Topiramate modulates GABA-evoked currents </w:t>
      </w:r>
      <w:r>
        <w:rPr>
          <w:spacing w:val="-3"/>
          <w:sz w:val="24"/>
        </w:rPr>
        <w:t>in </w:t>
      </w:r>
      <w:r>
        <w:rPr>
          <w:sz w:val="24"/>
        </w:rPr>
        <w:t>murine cortical neurons by a nonbenzodiazepine mechanism. Epilepsia 41 (Suppl 1),</w:t>
      </w:r>
      <w:r>
        <w:rPr>
          <w:spacing w:val="-10"/>
          <w:sz w:val="24"/>
        </w:rPr>
        <w:t> </w:t>
      </w:r>
      <w:r>
        <w:rPr>
          <w:sz w:val="24"/>
        </w:rPr>
        <w:t>S17-S20</w:t>
      </w:r>
    </w:p>
    <w:p>
      <w:pPr>
        <w:pStyle w:val="ListParagraph"/>
        <w:numPr>
          <w:ilvl w:val="0"/>
          <w:numId w:val="20"/>
        </w:numPr>
        <w:tabs>
          <w:tab w:pos="1569" w:val="left" w:leader="none"/>
          <w:tab w:pos="1570" w:val="left" w:leader="none"/>
        </w:tabs>
        <w:spacing w:line="240" w:lineRule="auto" w:before="207" w:after="0"/>
        <w:ind w:left="1569" w:right="0" w:hanging="1056"/>
        <w:jc w:val="left"/>
        <w:rPr>
          <w:sz w:val="24"/>
        </w:rPr>
      </w:pPr>
      <w:r>
        <w:rPr>
          <w:sz w:val="24"/>
        </w:rPr>
        <w:t>Yacubian,  E.M.T.,  2008.  La Neurología que todo  </w:t>
      </w:r>
      <w:r>
        <w:rPr>
          <w:spacing w:val="-3"/>
          <w:sz w:val="24"/>
        </w:rPr>
        <w:t>médico  </w:t>
      </w:r>
      <w:r>
        <w:rPr>
          <w:sz w:val="24"/>
        </w:rPr>
        <w:t>Debe Saber. </w:t>
      </w:r>
      <w:r>
        <w:rPr>
          <w:spacing w:val="26"/>
          <w:sz w:val="24"/>
        </w:rPr>
        <w:t> </w:t>
      </w:r>
      <w:r>
        <w:rPr>
          <w:sz w:val="24"/>
        </w:rPr>
        <w:t>2ª.</w:t>
      </w:r>
    </w:p>
    <w:p>
      <w:pPr>
        <w:pStyle w:val="BodyText"/>
      </w:pPr>
    </w:p>
    <w:p>
      <w:pPr>
        <w:pStyle w:val="BodyText"/>
        <w:ind w:left="873" w:right="98"/>
      </w:pPr>
      <w:r>
        <w:rPr/>
        <w:t>Ed, São Paulo, Atheneu, pp.235-256.</w:t>
      </w:r>
    </w:p>
    <w:p>
      <w:pPr>
        <w:pStyle w:val="BodyText"/>
      </w:pPr>
    </w:p>
    <w:p>
      <w:pPr>
        <w:pStyle w:val="ListParagraph"/>
        <w:numPr>
          <w:ilvl w:val="0"/>
          <w:numId w:val="20"/>
        </w:numPr>
        <w:tabs>
          <w:tab w:pos="1569" w:val="left" w:leader="none"/>
          <w:tab w:pos="1570" w:val="left" w:leader="none"/>
        </w:tabs>
        <w:spacing w:line="480" w:lineRule="auto" w:before="201" w:after="0"/>
        <w:ind w:left="873" w:right="122" w:hanging="360"/>
        <w:jc w:val="both"/>
        <w:rPr>
          <w:sz w:val="24"/>
        </w:rPr>
      </w:pPr>
      <w:r>
        <w:rPr>
          <w:sz w:val="24"/>
        </w:rPr>
        <w:t>Yang, J.T., Morris, M., Wong, K.K, et </w:t>
      </w:r>
      <w:r>
        <w:rPr>
          <w:spacing w:val="-3"/>
          <w:sz w:val="24"/>
        </w:rPr>
        <w:t>al., </w:t>
      </w:r>
      <w:r>
        <w:rPr>
          <w:sz w:val="24"/>
        </w:rPr>
        <w:t>1992. Felbamate metabolism </w:t>
      </w:r>
      <w:r>
        <w:rPr>
          <w:spacing w:val="-3"/>
          <w:sz w:val="24"/>
        </w:rPr>
        <w:t>in </w:t>
      </w:r>
      <w:r>
        <w:rPr>
          <w:sz w:val="24"/>
        </w:rPr>
        <w:t>pediatric and adult beagle dogs. Drug Metabolism Disposition 20,</w:t>
      </w:r>
      <w:r>
        <w:rPr>
          <w:spacing w:val="-19"/>
          <w:sz w:val="24"/>
        </w:rPr>
        <w:t> </w:t>
      </w:r>
      <w:r>
        <w:rPr>
          <w:sz w:val="24"/>
        </w:rPr>
        <w:t>84–88.</w:t>
      </w:r>
    </w:p>
    <w:p>
      <w:pPr>
        <w:pStyle w:val="ListParagraph"/>
        <w:numPr>
          <w:ilvl w:val="0"/>
          <w:numId w:val="20"/>
        </w:numPr>
        <w:tabs>
          <w:tab w:pos="1569" w:val="left" w:leader="none"/>
          <w:tab w:pos="1570" w:val="left" w:leader="none"/>
        </w:tabs>
        <w:spacing w:line="480" w:lineRule="auto" w:before="207" w:after="0"/>
        <w:ind w:left="873" w:right="107" w:hanging="360"/>
        <w:jc w:val="both"/>
        <w:rPr>
          <w:sz w:val="24"/>
        </w:rPr>
      </w:pPr>
      <w:r>
        <w:rPr>
          <w:sz w:val="24"/>
        </w:rPr>
        <w:t>Zhang, X., Velumian, </w:t>
      </w:r>
      <w:r>
        <w:rPr>
          <w:spacing w:val="-3"/>
          <w:sz w:val="24"/>
        </w:rPr>
        <w:t>A. </w:t>
      </w:r>
      <w:r>
        <w:rPr>
          <w:sz w:val="24"/>
        </w:rPr>
        <w:t>A., Jones, O. T., 2000. Modulation </w:t>
      </w:r>
      <w:r>
        <w:rPr>
          <w:spacing w:val="4"/>
          <w:sz w:val="24"/>
        </w:rPr>
        <w:t>of </w:t>
      </w:r>
      <w:r>
        <w:rPr>
          <w:sz w:val="24"/>
        </w:rPr>
        <w:t>high voltageactivated calcium channels </w:t>
      </w:r>
      <w:r>
        <w:rPr>
          <w:spacing w:val="-3"/>
          <w:sz w:val="24"/>
        </w:rPr>
        <w:t>in </w:t>
      </w:r>
      <w:r>
        <w:rPr>
          <w:sz w:val="24"/>
        </w:rPr>
        <w:t>dentate granule cells by topiramate. Epilepsia 41 (Suppl 1),</w:t>
      </w:r>
      <w:r>
        <w:rPr>
          <w:spacing w:val="-1"/>
          <w:sz w:val="24"/>
        </w:rPr>
        <w:t> </w:t>
      </w:r>
      <w:r>
        <w:rPr>
          <w:sz w:val="24"/>
        </w:rPr>
        <w:t>S52-S60</w:t>
      </w:r>
    </w:p>
    <w:p>
      <w:pPr>
        <w:pStyle w:val="ListParagraph"/>
        <w:numPr>
          <w:ilvl w:val="0"/>
          <w:numId w:val="20"/>
        </w:numPr>
        <w:tabs>
          <w:tab w:pos="1569" w:val="left" w:leader="none"/>
          <w:tab w:pos="1570" w:val="left" w:leader="none"/>
        </w:tabs>
        <w:spacing w:line="480" w:lineRule="auto" w:before="212" w:after="0"/>
        <w:ind w:left="873" w:right="113" w:hanging="360"/>
        <w:jc w:val="both"/>
        <w:rPr>
          <w:sz w:val="24"/>
        </w:rPr>
      </w:pPr>
      <w:r>
        <w:rPr>
          <w:sz w:val="24"/>
        </w:rPr>
        <w:t>Zifkin, B.G., Andermann, F., 1987. Epilepsy with reflex seizures. In: Wyllie E, editor. The treatment of epilepsy: principles and practice. Philadelphia: Lea &amp; Febiger,</w:t>
      </w:r>
      <w:r>
        <w:rPr>
          <w:spacing w:val="-3"/>
          <w:sz w:val="24"/>
        </w:rPr>
        <w:t> </w:t>
      </w:r>
      <w:r>
        <w:rPr>
          <w:sz w:val="24"/>
        </w:rPr>
        <w:t>614.</w:t>
      </w:r>
    </w:p>
    <w:sectPr>
      <w:pgSz w:w="12240" w:h="15840"/>
      <w:pgMar w:header="0" w:footer="2131" w:top="1500" w:bottom="232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w:altName w:val="Cambria"/>
    <w:charset w:val="0"/>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1.179993pt;margin-top:674.429993pt;width:16.8pt;height:13.05pt;mso-position-horizontal-relative:page;mso-position-vertical-relative:page;z-index:-94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31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74.429993pt;width:15.05pt;height:13.05pt;mso-position-horizontal-relative:page;mso-position-vertical-relative:page;z-index:-94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26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74.429993pt;width:15.05pt;height:13.05pt;mso-position-horizontal-relative:page;mso-position-vertical-relative:page;z-index:-94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216"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74.429993pt;width:15.05pt;height:13.05pt;mso-position-horizontal-relative:page;mso-position-vertical-relative:page;z-index:-94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168"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619995pt;margin-top:674.429993pt;width:15.05pt;height:13.05pt;mso-position-horizontal-relative:page;mso-position-vertical-relative:page;z-index:-94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120"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619995pt;margin-top:674.429993pt;width:15.05pt;height:13.05pt;mso-position-horizontal-relative:page;mso-position-vertical-relative:page;z-index:-94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460022pt;margin-top:674.429993pt;width:11.55pt;height:13.05pt;mso-position-horizontal-relative:page;mso-position-vertical-relative:page;z-index:-94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072"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74.429993pt;width:15.05pt;height:13.05pt;mso-position-horizontal-relative:page;mso-position-vertical-relative:page;z-index:-94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674.429993pt;width:18.6pt;height:13.05pt;mso-position-horizontal-relative:page;mso-position-vertical-relative:page;z-index:-94024"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674.429993pt;width:20.6pt;height:13.05pt;mso-position-horizontal-relative:page;mso-position-vertical-relative:page;z-index:-94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674.429993pt;width:18.6pt;height:13.05pt;mso-position-horizontal-relative:page;mso-position-vertical-relative:page;z-index:-93976"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674.429993pt;width:20.6pt;height:13.05pt;mso-position-horizontal-relative:page;mso-position-vertical-relative:page;z-index:-93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674.429993pt;width:18.6pt;height:13.05pt;mso-position-horizontal-relative:page;mso-position-vertical-relative:page;z-index:-93928"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674.429993pt;width:20.6pt;height:13.05pt;mso-position-horizontal-relative:page;mso-position-vertical-relative:page;z-index:-93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674.429993pt;width:18.6pt;height:13.05pt;mso-position-horizontal-relative:page;mso-position-vertical-relative:page;z-index:-93880" type="#_x0000_t202" filled="false" stroked="false">
          <v:textbox inset="0,0,0,0">
            <w:txbxContent>
              <w:p>
                <w:pPr>
                  <w:spacing w:line="245" w:lineRule="exact" w:before="0"/>
                  <w:ind w:left="20" w:right="-3" w:firstLine="0"/>
                  <w:jc w:val="left"/>
                  <w:rPr>
                    <w:rFonts w:ascii="Calibri"/>
                    <w:sz w:val="22"/>
                  </w:rPr>
                </w:pPr>
                <w:r>
                  <w:rPr>
                    <w:rFonts w:ascii="Calibri"/>
                    <w:sz w:val="22"/>
                  </w:rPr>
                  <w:t>130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674.429993pt;width:20.6pt;height:13.05pt;mso-position-horizontal-relative:page;mso-position-vertical-relative:page;z-index:-93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674.429993pt;width:9.6pt;height:13.05pt;mso-position-horizontal-relative:page;mso-position-vertical-relative:page;z-index:-94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45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74.429993pt;width:15.05pt;height:13.05pt;mso-position-horizontal-relative:page;mso-position-vertical-relative:page;z-index:-94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408"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74.429993pt;width:15.05pt;height:13.05pt;mso-position-horizontal-relative:page;mso-position-vertical-relative:page;z-index:-94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74.429993pt;width:13.05pt;height:13.05pt;mso-position-horizontal-relative:page;mso-position-vertical-relative:page;z-index:-94360"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619995pt;margin-top:674.429993pt;width:15.05pt;height:13.05pt;mso-position-horizontal-relative:page;mso-position-vertical-relative:page;z-index:-94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decimal"/>
      <w:lvlText w:val="%1."/>
      <w:lvlJc w:val="left"/>
      <w:pPr>
        <w:ind w:left="893" w:hanging="346"/>
        <w:jc w:val="left"/>
      </w:pPr>
      <w:rPr>
        <w:rFonts w:hint="default" w:ascii="Times New Roman" w:hAnsi="Times New Roman" w:eastAsia="Times New Roman" w:cs="Times New Roman"/>
        <w:spacing w:val="-23"/>
        <w:w w:val="99"/>
        <w:sz w:val="24"/>
        <w:szCs w:val="24"/>
      </w:rPr>
    </w:lvl>
    <w:lvl w:ilvl="1">
      <w:start w:val="1"/>
      <w:numFmt w:val="bullet"/>
      <w:lvlText w:val="•"/>
      <w:lvlJc w:val="left"/>
      <w:pPr>
        <w:ind w:left="1728" w:hanging="346"/>
      </w:pPr>
      <w:rPr>
        <w:rFonts w:hint="default"/>
      </w:rPr>
    </w:lvl>
    <w:lvl w:ilvl="2">
      <w:start w:val="1"/>
      <w:numFmt w:val="bullet"/>
      <w:lvlText w:val="•"/>
      <w:lvlJc w:val="left"/>
      <w:pPr>
        <w:ind w:left="2556" w:hanging="346"/>
      </w:pPr>
      <w:rPr>
        <w:rFonts w:hint="default"/>
      </w:rPr>
    </w:lvl>
    <w:lvl w:ilvl="3">
      <w:start w:val="1"/>
      <w:numFmt w:val="bullet"/>
      <w:lvlText w:val="•"/>
      <w:lvlJc w:val="left"/>
      <w:pPr>
        <w:ind w:left="3384" w:hanging="346"/>
      </w:pPr>
      <w:rPr>
        <w:rFonts w:hint="default"/>
      </w:rPr>
    </w:lvl>
    <w:lvl w:ilvl="4">
      <w:start w:val="1"/>
      <w:numFmt w:val="bullet"/>
      <w:lvlText w:val="•"/>
      <w:lvlJc w:val="left"/>
      <w:pPr>
        <w:ind w:left="4212" w:hanging="346"/>
      </w:pPr>
      <w:rPr>
        <w:rFonts w:hint="default"/>
      </w:rPr>
    </w:lvl>
    <w:lvl w:ilvl="5">
      <w:start w:val="1"/>
      <w:numFmt w:val="bullet"/>
      <w:lvlText w:val="•"/>
      <w:lvlJc w:val="left"/>
      <w:pPr>
        <w:ind w:left="5040" w:hanging="346"/>
      </w:pPr>
      <w:rPr>
        <w:rFonts w:hint="default"/>
      </w:rPr>
    </w:lvl>
    <w:lvl w:ilvl="6">
      <w:start w:val="1"/>
      <w:numFmt w:val="bullet"/>
      <w:lvlText w:val="•"/>
      <w:lvlJc w:val="left"/>
      <w:pPr>
        <w:ind w:left="5868" w:hanging="346"/>
      </w:pPr>
      <w:rPr>
        <w:rFonts w:hint="default"/>
      </w:rPr>
    </w:lvl>
    <w:lvl w:ilvl="7">
      <w:start w:val="1"/>
      <w:numFmt w:val="bullet"/>
      <w:lvlText w:val="•"/>
      <w:lvlJc w:val="left"/>
      <w:pPr>
        <w:ind w:left="6696" w:hanging="346"/>
      </w:pPr>
      <w:rPr>
        <w:rFonts w:hint="default"/>
      </w:rPr>
    </w:lvl>
    <w:lvl w:ilvl="8">
      <w:start w:val="1"/>
      <w:numFmt w:val="bullet"/>
      <w:lvlText w:val="•"/>
      <w:lvlJc w:val="left"/>
      <w:pPr>
        <w:ind w:left="7524" w:hanging="346"/>
      </w:pPr>
      <w:rPr>
        <w:rFonts w:hint="default"/>
      </w:rPr>
    </w:lvl>
  </w:abstractNum>
  <w:abstractNum w:abstractNumId="2">
    <w:multiLevelType w:val="hybridMultilevel"/>
    <w:lvl w:ilvl="0">
      <w:start w:val="1"/>
      <w:numFmt w:val="decimal"/>
      <w:lvlText w:val="%1."/>
      <w:lvlJc w:val="left"/>
      <w:pPr>
        <w:ind w:left="2395" w:hanging="346"/>
        <w:jc w:val="right"/>
      </w:pPr>
      <w:rPr>
        <w:rFonts w:hint="default" w:ascii="Cambria" w:hAnsi="Cambria" w:eastAsia="Cambria" w:cs="Cambria"/>
        <w:b/>
        <w:bCs/>
        <w:spacing w:val="-13"/>
        <w:w w:val="100"/>
        <w:sz w:val="24"/>
        <w:szCs w:val="24"/>
      </w:rPr>
    </w:lvl>
    <w:lvl w:ilvl="1">
      <w:start w:val="1"/>
      <w:numFmt w:val="decimal"/>
      <w:lvlText w:val="%1.%2"/>
      <w:lvlJc w:val="left"/>
      <w:pPr>
        <w:ind w:left="3692" w:hanging="682"/>
        <w:jc w:val="right"/>
      </w:pPr>
      <w:rPr>
        <w:rFonts w:hint="default" w:ascii="Cambria" w:hAnsi="Cambria" w:eastAsia="Cambria" w:cs="Cambria"/>
        <w:b/>
        <w:bCs/>
        <w:spacing w:val="-12"/>
        <w:w w:val="100"/>
        <w:sz w:val="24"/>
        <w:szCs w:val="24"/>
      </w:rPr>
    </w:lvl>
    <w:lvl w:ilvl="2">
      <w:start w:val="1"/>
      <w:numFmt w:val="bullet"/>
      <w:lvlText w:val="•"/>
      <w:lvlJc w:val="left"/>
      <w:pPr>
        <w:ind w:left="4300" w:hanging="682"/>
      </w:pPr>
      <w:rPr>
        <w:rFonts w:hint="default"/>
      </w:rPr>
    </w:lvl>
    <w:lvl w:ilvl="3">
      <w:start w:val="1"/>
      <w:numFmt w:val="bullet"/>
      <w:lvlText w:val="•"/>
      <w:lvlJc w:val="left"/>
      <w:pPr>
        <w:ind w:left="4900" w:hanging="682"/>
      </w:pPr>
      <w:rPr>
        <w:rFonts w:hint="default"/>
      </w:rPr>
    </w:lvl>
    <w:lvl w:ilvl="4">
      <w:start w:val="1"/>
      <w:numFmt w:val="bullet"/>
      <w:lvlText w:val="•"/>
      <w:lvlJc w:val="left"/>
      <w:pPr>
        <w:ind w:left="5500" w:hanging="682"/>
      </w:pPr>
      <w:rPr>
        <w:rFonts w:hint="default"/>
      </w:rPr>
    </w:lvl>
    <w:lvl w:ilvl="5">
      <w:start w:val="1"/>
      <w:numFmt w:val="bullet"/>
      <w:lvlText w:val="•"/>
      <w:lvlJc w:val="left"/>
      <w:pPr>
        <w:ind w:left="6100" w:hanging="682"/>
      </w:pPr>
      <w:rPr>
        <w:rFonts w:hint="default"/>
      </w:rPr>
    </w:lvl>
    <w:lvl w:ilvl="6">
      <w:start w:val="1"/>
      <w:numFmt w:val="bullet"/>
      <w:lvlText w:val="•"/>
      <w:lvlJc w:val="left"/>
      <w:pPr>
        <w:ind w:left="6700" w:hanging="682"/>
      </w:pPr>
      <w:rPr>
        <w:rFonts w:hint="default"/>
      </w:rPr>
    </w:lvl>
    <w:lvl w:ilvl="7">
      <w:start w:val="1"/>
      <w:numFmt w:val="bullet"/>
      <w:lvlText w:val="•"/>
      <w:lvlJc w:val="left"/>
      <w:pPr>
        <w:ind w:left="7300" w:hanging="682"/>
      </w:pPr>
      <w:rPr>
        <w:rFonts w:hint="default"/>
      </w:rPr>
    </w:lvl>
    <w:lvl w:ilvl="8">
      <w:start w:val="1"/>
      <w:numFmt w:val="bullet"/>
      <w:lvlText w:val="•"/>
      <w:lvlJc w:val="left"/>
      <w:pPr>
        <w:ind w:left="7900" w:hanging="682"/>
      </w:pPr>
      <w:rPr>
        <w:rFonts w:hint="default"/>
      </w:rPr>
    </w:lvl>
  </w:abstractNum>
  <w:abstractNum w:abstractNumId="18">
    <w:multiLevelType w:val="hybridMultilevel"/>
    <w:lvl w:ilvl="0">
      <w:start w:val="3"/>
      <w:numFmt w:val="decimal"/>
      <w:lvlText w:val="%1."/>
      <w:lvlJc w:val="left"/>
      <w:pPr>
        <w:ind w:left="1102" w:hanging="245"/>
        <w:jc w:val="left"/>
      </w:pPr>
      <w:rPr>
        <w:rFonts w:hint="default" w:ascii="Times New Roman" w:hAnsi="Times New Roman" w:eastAsia="Times New Roman" w:cs="Times New Roman"/>
        <w:w w:val="100"/>
        <w:sz w:val="24"/>
        <w:szCs w:val="24"/>
      </w:rPr>
    </w:lvl>
    <w:lvl w:ilvl="1">
      <w:start w:val="1"/>
      <w:numFmt w:val="bullet"/>
      <w:lvlText w:val="•"/>
      <w:lvlJc w:val="left"/>
      <w:pPr>
        <w:ind w:left="1900" w:hanging="245"/>
      </w:pPr>
      <w:rPr>
        <w:rFonts w:hint="default"/>
      </w:rPr>
    </w:lvl>
    <w:lvl w:ilvl="2">
      <w:start w:val="1"/>
      <w:numFmt w:val="bullet"/>
      <w:lvlText w:val="•"/>
      <w:lvlJc w:val="left"/>
      <w:pPr>
        <w:ind w:left="2700" w:hanging="245"/>
      </w:pPr>
      <w:rPr>
        <w:rFonts w:hint="default"/>
      </w:rPr>
    </w:lvl>
    <w:lvl w:ilvl="3">
      <w:start w:val="1"/>
      <w:numFmt w:val="bullet"/>
      <w:lvlText w:val="•"/>
      <w:lvlJc w:val="left"/>
      <w:pPr>
        <w:ind w:left="3500" w:hanging="245"/>
      </w:pPr>
      <w:rPr>
        <w:rFonts w:hint="default"/>
      </w:rPr>
    </w:lvl>
    <w:lvl w:ilvl="4">
      <w:start w:val="1"/>
      <w:numFmt w:val="bullet"/>
      <w:lvlText w:val="•"/>
      <w:lvlJc w:val="left"/>
      <w:pPr>
        <w:ind w:left="4300" w:hanging="245"/>
      </w:pPr>
      <w:rPr>
        <w:rFonts w:hint="default"/>
      </w:rPr>
    </w:lvl>
    <w:lvl w:ilvl="5">
      <w:start w:val="1"/>
      <w:numFmt w:val="bullet"/>
      <w:lvlText w:val="•"/>
      <w:lvlJc w:val="left"/>
      <w:pPr>
        <w:ind w:left="5100" w:hanging="245"/>
      </w:pPr>
      <w:rPr>
        <w:rFonts w:hint="default"/>
      </w:rPr>
    </w:lvl>
    <w:lvl w:ilvl="6">
      <w:start w:val="1"/>
      <w:numFmt w:val="bullet"/>
      <w:lvlText w:val="•"/>
      <w:lvlJc w:val="left"/>
      <w:pPr>
        <w:ind w:left="5900" w:hanging="245"/>
      </w:pPr>
      <w:rPr>
        <w:rFonts w:hint="default"/>
      </w:rPr>
    </w:lvl>
    <w:lvl w:ilvl="7">
      <w:start w:val="1"/>
      <w:numFmt w:val="bullet"/>
      <w:lvlText w:val="•"/>
      <w:lvlJc w:val="left"/>
      <w:pPr>
        <w:ind w:left="6700" w:hanging="245"/>
      </w:pPr>
      <w:rPr>
        <w:rFonts w:hint="default"/>
      </w:rPr>
    </w:lvl>
    <w:lvl w:ilvl="8">
      <w:start w:val="1"/>
      <w:numFmt w:val="bullet"/>
      <w:lvlText w:val="•"/>
      <w:lvlJc w:val="left"/>
      <w:pPr>
        <w:ind w:left="7500" w:hanging="245"/>
      </w:pPr>
      <w:rPr>
        <w:rFonts w:hint="default"/>
      </w:rPr>
    </w:lvl>
  </w:abstractNum>
  <w:abstractNum w:abstractNumId="17">
    <w:multiLevelType w:val="hybridMultilevel"/>
    <w:lvl w:ilvl="0">
      <w:start w:val="3"/>
      <w:numFmt w:val="decimal"/>
      <w:lvlText w:val="%1"/>
      <w:lvlJc w:val="left"/>
      <w:pPr>
        <w:ind w:left="152" w:hanging="418"/>
        <w:jc w:val="left"/>
      </w:pPr>
      <w:rPr>
        <w:rFonts w:hint="default"/>
      </w:rPr>
    </w:lvl>
    <w:lvl w:ilvl="1">
      <w:start w:val="1"/>
      <w:numFmt w:val="decimal"/>
      <w:lvlText w:val="%1.%2"/>
      <w:lvlJc w:val="left"/>
      <w:pPr>
        <w:ind w:left="152" w:hanging="418"/>
        <w:jc w:val="left"/>
      </w:pPr>
      <w:rPr>
        <w:rFonts w:hint="default" w:ascii="Times New Roman" w:hAnsi="Times New Roman" w:eastAsia="Times New Roman" w:cs="Times New Roman"/>
        <w:spacing w:val="-17"/>
        <w:w w:val="99"/>
        <w:sz w:val="24"/>
        <w:szCs w:val="24"/>
      </w:rPr>
    </w:lvl>
    <w:lvl w:ilvl="2">
      <w:start w:val="1"/>
      <w:numFmt w:val="bullet"/>
      <w:lvlText w:val="•"/>
      <w:lvlJc w:val="left"/>
      <w:pPr>
        <w:ind w:left="1948" w:hanging="418"/>
      </w:pPr>
      <w:rPr>
        <w:rFonts w:hint="default"/>
      </w:rPr>
    </w:lvl>
    <w:lvl w:ilvl="3">
      <w:start w:val="1"/>
      <w:numFmt w:val="bullet"/>
      <w:lvlText w:val="•"/>
      <w:lvlJc w:val="left"/>
      <w:pPr>
        <w:ind w:left="2842" w:hanging="418"/>
      </w:pPr>
      <w:rPr>
        <w:rFonts w:hint="default"/>
      </w:rPr>
    </w:lvl>
    <w:lvl w:ilvl="4">
      <w:start w:val="1"/>
      <w:numFmt w:val="bullet"/>
      <w:lvlText w:val="•"/>
      <w:lvlJc w:val="left"/>
      <w:pPr>
        <w:ind w:left="3736" w:hanging="418"/>
      </w:pPr>
      <w:rPr>
        <w:rFonts w:hint="default"/>
      </w:rPr>
    </w:lvl>
    <w:lvl w:ilvl="5">
      <w:start w:val="1"/>
      <w:numFmt w:val="bullet"/>
      <w:lvlText w:val="•"/>
      <w:lvlJc w:val="left"/>
      <w:pPr>
        <w:ind w:left="4630" w:hanging="418"/>
      </w:pPr>
      <w:rPr>
        <w:rFonts w:hint="default"/>
      </w:rPr>
    </w:lvl>
    <w:lvl w:ilvl="6">
      <w:start w:val="1"/>
      <w:numFmt w:val="bullet"/>
      <w:lvlText w:val="•"/>
      <w:lvlJc w:val="left"/>
      <w:pPr>
        <w:ind w:left="5524" w:hanging="418"/>
      </w:pPr>
      <w:rPr>
        <w:rFonts w:hint="default"/>
      </w:rPr>
    </w:lvl>
    <w:lvl w:ilvl="7">
      <w:start w:val="1"/>
      <w:numFmt w:val="bullet"/>
      <w:lvlText w:val="•"/>
      <w:lvlJc w:val="left"/>
      <w:pPr>
        <w:ind w:left="6418" w:hanging="418"/>
      </w:pPr>
      <w:rPr>
        <w:rFonts w:hint="default"/>
      </w:rPr>
    </w:lvl>
    <w:lvl w:ilvl="8">
      <w:start w:val="1"/>
      <w:numFmt w:val="bullet"/>
      <w:lvlText w:val="•"/>
      <w:lvlJc w:val="left"/>
      <w:pPr>
        <w:ind w:left="7312" w:hanging="418"/>
      </w:pPr>
      <w:rPr>
        <w:rFonts w:hint="default"/>
      </w:rPr>
    </w:lvl>
  </w:abstractNum>
  <w:abstractNum w:abstractNumId="16">
    <w:multiLevelType w:val="hybridMultilevel"/>
    <w:lvl w:ilvl="0">
      <w:start w:val="1"/>
      <w:numFmt w:val="bullet"/>
      <w:lvlText w:val="-"/>
      <w:lvlJc w:val="left"/>
      <w:pPr>
        <w:ind w:left="172" w:hanging="193"/>
      </w:pPr>
      <w:rPr>
        <w:rFonts w:hint="default" w:ascii="Times New Roman" w:hAnsi="Times New Roman" w:eastAsia="Times New Roman" w:cs="Times New Roman"/>
        <w:spacing w:val="-15"/>
        <w:w w:val="99"/>
        <w:sz w:val="24"/>
        <w:szCs w:val="24"/>
      </w:rPr>
    </w:lvl>
    <w:lvl w:ilvl="1">
      <w:start w:val="1"/>
      <w:numFmt w:val="bullet"/>
      <w:lvlText w:val="•"/>
      <w:lvlJc w:val="left"/>
      <w:pPr>
        <w:ind w:left="1080" w:hanging="193"/>
      </w:pPr>
      <w:rPr>
        <w:rFonts w:hint="default"/>
      </w:rPr>
    </w:lvl>
    <w:lvl w:ilvl="2">
      <w:start w:val="1"/>
      <w:numFmt w:val="bullet"/>
      <w:lvlText w:val="•"/>
      <w:lvlJc w:val="left"/>
      <w:pPr>
        <w:ind w:left="1980" w:hanging="193"/>
      </w:pPr>
      <w:rPr>
        <w:rFonts w:hint="default"/>
      </w:rPr>
    </w:lvl>
    <w:lvl w:ilvl="3">
      <w:start w:val="1"/>
      <w:numFmt w:val="bullet"/>
      <w:lvlText w:val="•"/>
      <w:lvlJc w:val="left"/>
      <w:pPr>
        <w:ind w:left="2880" w:hanging="193"/>
      </w:pPr>
      <w:rPr>
        <w:rFonts w:hint="default"/>
      </w:rPr>
    </w:lvl>
    <w:lvl w:ilvl="4">
      <w:start w:val="1"/>
      <w:numFmt w:val="bullet"/>
      <w:lvlText w:val="•"/>
      <w:lvlJc w:val="left"/>
      <w:pPr>
        <w:ind w:left="3780" w:hanging="193"/>
      </w:pPr>
      <w:rPr>
        <w:rFonts w:hint="default"/>
      </w:rPr>
    </w:lvl>
    <w:lvl w:ilvl="5">
      <w:start w:val="1"/>
      <w:numFmt w:val="bullet"/>
      <w:lvlText w:val="•"/>
      <w:lvlJc w:val="left"/>
      <w:pPr>
        <w:ind w:left="4680" w:hanging="193"/>
      </w:pPr>
      <w:rPr>
        <w:rFonts w:hint="default"/>
      </w:rPr>
    </w:lvl>
    <w:lvl w:ilvl="6">
      <w:start w:val="1"/>
      <w:numFmt w:val="bullet"/>
      <w:lvlText w:val="•"/>
      <w:lvlJc w:val="left"/>
      <w:pPr>
        <w:ind w:left="5580" w:hanging="193"/>
      </w:pPr>
      <w:rPr>
        <w:rFonts w:hint="default"/>
      </w:rPr>
    </w:lvl>
    <w:lvl w:ilvl="7">
      <w:start w:val="1"/>
      <w:numFmt w:val="bullet"/>
      <w:lvlText w:val="•"/>
      <w:lvlJc w:val="left"/>
      <w:pPr>
        <w:ind w:left="6480" w:hanging="193"/>
      </w:pPr>
      <w:rPr>
        <w:rFonts w:hint="default"/>
      </w:rPr>
    </w:lvl>
    <w:lvl w:ilvl="8">
      <w:start w:val="1"/>
      <w:numFmt w:val="bullet"/>
      <w:lvlText w:val="•"/>
      <w:lvlJc w:val="left"/>
      <w:pPr>
        <w:ind w:left="7380" w:hanging="193"/>
      </w:pPr>
      <w:rPr>
        <w:rFonts w:hint="default"/>
      </w:rPr>
    </w:lvl>
  </w:abstractNum>
  <w:abstractNum w:abstractNumId="15">
    <w:multiLevelType w:val="hybridMultilevel"/>
    <w:lvl w:ilvl="0">
      <w:start w:val="8"/>
      <w:numFmt w:val="decimal"/>
      <w:lvlText w:val="%1."/>
      <w:lvlJc w:val="left"/>
      <w:pPr>
        <w:ind w:left="811" w:hanging="346"/>
        <w:jc w:val="left"/>
      </w:pPr>
      <w:rPr>
        <w:rFonts w:hint="default" w:ascii="Times New Roman" w:hAnsi="Times New Roman" w:eastAsia="Times New Roman" w:cs="Times New Roman"/>
        <w:spacing w:val="-15"/>
        <w:w w:val="99"/>
        <w:sz w:val="24"/>
        <w:szCs w:val="24"/>
      </w:rPr>
    </w:lvl>
    <w:lvl w:ilvl="1">
      <w:start w:val="1"/>
      <w:numFmt w:val="bullet"/>
      <w:lvlText w:val="•"/>
      <w:lvlJc w:val="left"/>
      <w:pPr>
        <w:ind w:left="1643" w:hanging="346"/>
      </w:pPr>
      <w:rPr>
        <w:rFonts w:hint="default"/>
      </w:rPr>
    </w:lvl>
    <w:lvl w:ilvl="2">
      <w:start w:val="1"/>
      <w:numFmt w:val="bullet"/>
      <w:lvlText w:val="•"/>
      <w:lvlJc w:val="left"/>
      <w:pPr>
        <w:ind w:left="2466" w:hanging="346"/>
      </w:pPr>
      <w:rPr>
        <w:rFonts w:hint="default"/>
      </w:rPr>
    </w:lvl>
    <w:lvl w:ilvl="3">
      <w:start w:val="1"/>
      <w:numFmt w:val="bullet"/>
      <w:lvlText w:val="•"/>
      <w:lvlJc w:val="left"/>
      <w:pPr>
        <w:ind w:left="3289" w:hanging="346"/>
      </w:pPr>
      <w:rPr>
        <w:rFonts w:hint="default"/>
      </w:rPr>
    </w:lvl>
    <w:lvl w:ilvl="4">
      <w:start w:val="1"/>
      <w:numFmt w:val="bullet"/>
      <w:lvlText w:val="•"/>
      <w:lvlJc w:val="left"/>
      <w:pPr>
        <w:ind w:left="4112" w:hanging="346"/>
      </w:pPr>
      <w:rPr>
        <w:rFonts w:hint="default"/>
      </w:rPr>
    </w:lvl>
    <w:lvl w:ilvl="5">
      <w:start w:val="1"/>
      <w:numFmt w:val="bullet"/>
      <w:lvlText w:val="•"/>
      <w:lvlJc w:val="left"/>
      <w:pPr>
        <w:ind w:left="4935" w:hanging="346"/>
      </w:pPr>
      <w:rPr>
        <w:rFonts w:hint="default"/>
      </w:rPr>
    </w:lvl>
    <w:lvl w:ilvl="6">
      <w:start w:val="1"/>
      <w:numFmt w:val="bullet"/>
      <w:lvlText w:val="•"/>
      <w:lvlJc w:val="left"/>
      <w:pPr>
        <w:ind w:left="5758" w:hanging="346"/>
      </w:pPr>
      <w:rPr>
        <w:rFonts w:hint="default"/>
      </w:rPr>
    </w:lvl>
    <w:lvl w:ilvl="7">
      <w:start w:val="1"/>
      <w:numFmt w:val="bullet"/>
      <w:lvlText w:val="•"/>
      <w:lvlJc w:val="left"/>
      <w:pPr>
        <w:ind w:left="6582" w:hanging="346"/>
      </w:pPr>
      <w:rPr>
        <w:rFonts w:hint="default"/>
      </w:rPr>
    </w:lvl>
    <w:lvl w:ilvl="8">
      <w:start w:val="1"/>
      <w:numFmt w:val="bullet"/>
      <w:lvlText w:val="•"/>
      <w:lvlJc w:val="left"/>
      <w:pPr>
        <w:ind w:left="7405" w:hanging="346"/>
      </w:pPr>
      <w:rPr>
        <w:rFonts w:hint="default"/>
      </w:rPr>
    </w:lvl>
  </w:abstractNum>
  <w:abstractNum w:abstractNumId="14">
    <w:multiLevelType w:val="hybridMultilevel"/>
    <w:lvl w:ilvl="0">
      <w:start w:val="2"/>
      <w:numFmt w:val="decimal"/>
      <w:lvlText w:val="%1."/>
      <w:lvlJc w:val="left"/>
      <w:pPr>
        <w:ind w:left="811" w:hanging="346"/>
        <w:jc w:val="left"/>
      </w:pPr>
      <w:rPr>
        <w:rFonts w:hint="default" w:ascii="Times New Roman" w:hAnsi="Times New Roman" w:eastAsia="Times New Roman" w:cs="Times New Roman"/>
        <w:spacing w:val="-15"/>
        <w:w w:val="99"/>
        <w:sz w:val="24"/>
        <w:szCs w:val="24"/>
      </w:rPr>
    </w:lvl>
    <w:lvl w:ilvl="1">
      <w:start w:val="1"/>
      <w:numFmt w:val="bullet"/>
      <w:lvlText w:val=""/>
      <w:lvlJc w:val="left"/>
      <w:pPr>
        <w:ind w:left="1171" w:hanging="361"/>
      </w:pPr>
      <w:rPr>
        <w:rFonts w:hint="default" w:ascii="Symbol" w:hAnsi="Symbol" w:eastAsia="Symbol" w:cs="Symbol"/>
        <w:w w:val="100"/>
        <w:sz w:val="24"/>
        <w:szCs w:val="24"/>
      </w:rPr>
    </w:lvl>
    <w:lvl w:ilvl="2">
      <w:start w:val="1"/>
      <w:numFmt w:val="bullet"/>
      <w:lvlText w:val="•"/>
      <w:lvlJc w:val="left"/>
      <w:pPr>
        <w:ind w:left="2054" w:hanging="361"/>
      </w:pPr>
      <w:rPr>
        <w:rFonts w:hint="default"/>
      </w:rPr>
    </w:lvl>
    <w:lvl w:ilvl="3">
      <w:start w:val="1"/>
      <w:numFmt w:val="bullet"/>
      <w:lvlText w:val="•"/>
      <w:lvlJc w:val="left"/>
      <w:pPr>
        <w:ind w:left="2929" w:hanging="361"/>
      </w:pPr>
      <w:rPr>
        <w:rFonts w:hint="default"/>
      </w:rPr>
    </w:lvl>
    <w:lvl w:ilvl="4">
      <w:start w:val="1"/>
      <w:numFmt w:val="bullet"/>
      <w:lvlText w:val="•"/>
      <w:lvlJc w:val="left"/>
      <w:pPr>
        <w:ind w:left="3803" w:hanging="361"/>
      </w:pPr>
      <w:rPr>
        <w:rFonts w:hint="default"/>
      </w:rPr>
    </w:lvl>
    <w:lvl w:ilvl="5">
      <w:start w:val="1"/>
      <w:numFmt w:val="bullet"/>
      <w:lvlText w:val="•"/>
      <w:lvlJc w:val="left"/>
      <w:pPr>
        <w:ind w:left="4678" w:hanging="361"/>
      </w:pPr>
      <w:rPr>
        <w:rFonts w:hint="default"/>
      </w:rPr>
    </w:lvl>
    <w:lvl w:ilvl="6">
      <w:start w:val="1"/>
      <w:numFmt w:val="bullet"/>
      <w:lvlText w:val="•"/>
      <w:lvlJc w:val="left"/>
      <w:pPr>
        <w:ind w:left="5553" w:hanging="361"/>
      </w:pPr>
      <w:rPr>
        <w:rFonts w:hint="default"/>
      </w:rPr>
    </w:lvl>
    <w:lvl w:ilvl="7">
      <w:start w:val="1"/>
      <w:numFmt w:val="bullet"/>
      <w:lvlText w:val="•"/>
      <w:lvlJc w:val="left"/>
      <w:pPr>
        <w:ind w:left="6427" w:hanging="361"/>
      </w:pPr>
      <w:rPr>
        <w:rFonts w:hint="default"/>
      </w:rPr>
    </w:lvl>
    <w:lvl w:ilvl="8">
      <w:start w:val="1"/>
      <w:numFmt w:val="bullet"/>
      <w:lvlText w:val="•"/>
      <w:lvlJc w:val="left"/>
      <w:pPr>
        <w:ind w:left="7302" w:hanging="361"/>
      </w:pPr>
      <w:rPr>
        <w:rFonts w:hint="default"/>
      </w:rPr>
    </w:lvl>
  </w:abstractNum>
  <w:abstractNum w:abstractNumId="13">
    <w:multiLevelType w:val="hybridMultilevel"/>
    <w:lvl w:ilvl="0">
      <w:start w:val="1"/>
      <w:numFmt w:val="decimal"/>
      <w:lvlText w:val="%1"/>
      <w:lvlJc w:val="left"/>
      <w:pPr>
        <w:ind w:left="152" w:hanging="370"/>
        <w:jc w:val="left"/>
      </w:pPr>
      <w:rPr>
        <w:rFonts w:hint="default"/>
      </w:rPr>
    </w:lvl>
    <w:lvl w:ilvl="1">
      <w:start w:val="2"/>
      <w:numFmt w:val="decimal"/>
      <w:lvlText w:val="%1.%2"/>
      <w:lvlJc w:val="left"/>
      <w:pPr>
        <w:ind w:left="152" w:hanging="370"/>
        <w:jc w:val="left"/>
      </w:pPr>
      <w:rPr>
        <w:rFonts w:hint="default" w:ascii="Times New Roman" w:hAnsi="Times New Roman" w:eastAsia="Times New Roman" w:cs="Times New Roman"/>
        <w:w w:val="100"/>
        <w:sz w:val="24"/>
        <w:szCs w:val="24"/>
      </w:rPr>
    </w:lvl>
    <w:lvl w:ilvl="2">
      <w:start w:val="1"/>
      <w:numFmt w:val="decimal"/>
      <w:lvlText w:val="%3."/>
      <w:lvlJc w:val="left"/>
      <w:pPr>
        <w:ind w:left="152" w:hanging="423"/>
        <w:jc w:val="left"/>
      </w:pPr>
      <w:rPr>
        <w:rFonts w:hint="default" w:ascii="Times New Roman" w:hAnsi="Times New Roman" w:eastAsia="Times New Roman" w:cs="Times New Roman"/>
        <w:spacing w:val="-6"/>
        <w:w w:val="99"/>
        <w:sz w:val="24"/>
        <w:szCs w:val="24"/>
      </w:rPr>
    </w:lvl>
    <w:lvl w:ilvl="3">
      <w:start w:val="1"/>
      <w:numFmt w:val="bullet"/>
      <w:lvlText w:val=""/>
      <w:lvlJc w:val="left"/>
      <w:pPr>
        <w:ind w:left="1299" w:hanging="361"/>
      </w:pPr>
      <w:rPr>
        <w:rFonts w:hint="default" w:ascii="Symbol" w:hAnsi="Symbol" w:eastAsia="Symbol" w:cs="Symbol"/>
        <w:w w:val="100"/>
        <w:sz w:val="24"/>
        <w:szCs w:val="24"/>
      </w:rPr>
    </w:lvl>
    <w:lvl w:ilvl="4">
      <w:start w:val="1"/>
      <w:numFmt w:val="bullet"/>
      <w:lvlText w:val="•"/>
      <w:lvlJc w:val="left"/>
      <w:pPr>
        <w:ind w:left="3900" w:hanging="361"/>
      </w:pPr>
      <w:rPr>
        <w:rFonts w:hint="default"/>
      </w:rPr>
    </w:lvl>
    <w:lvl w:ilvl="5">
      <w:start w:val="1"/>
      <w:numFmt w:val="bullet"/>
      <w:lvlText w:val="•"/>
      <w:lvlJc w:val="left"/>
      <w:pPr>
        <w:ind w:left="4766" w:hanging="361"/>
      </w:pPr>
      <w:rPr>
        <w:rFonts w:hint="default"/>
      </w:rPr>
    </w:lvl>
    <w:lvl w:ilvl="6">
      <w:start w:val="1"/>
      <w:numFmt w:val="bullet"/>
      <w:lvlText w:val="•"/>
      <w:lvlJc w:val="left"/>
      <w:pPr>
        <w:ind w:left="5633" w:hanging="361"/>
      </w:pPr>
      <w:rPr>
        <w:rFonts w:hint="default"/>
      </w:rPr>
    </w:lvl>
    <w:lvl w:ilvl="7">
      <w:start w:val="1"/>
      <w:numFmt w:val="bullet"/>
      <w:lvlText w:val="•"/>
      <w:lvlJc w:val="left"/>
      <w:pPr>
        <w:ind w:left="6500" w:hanging="361"/>
      </w:pPr>
      <w:rPr>
        <w:rFonts w:hint="default"/>
      </w:rPr>
    </w:lvl>
    <w:lvl w:ilvl="8">
      <w:start w:val="1"/>
      <w:numFmt w:val="bullet"/>
      <w:lvlText w:val="•"/>
      <w:lvlJc w:val="left"/>
      <w:pPr>
        <w:ind w:left="7366" w:hanging="361"/>
      </w:pPr>
      <w:rPr>
        <w:rFonts w:hint="default"/>
      </w:rPr>
    </w:lvl>
  </w:abstractNum>
  <w:abstractNum w:abstractNumId="12">
    <w:multiLevelType w:val="hybridMultilevel"/>
    <w:lvl w:ilvl="0">
      <w:start w:val="13"/>
      <w:numFmt w:val="decimal"/>
      <w:lvlText w:val="%1"/>
      <w:lvlJc w:val="left"/>
      <w:pPr>
        <w:ind w:left="152" w:hanging="773"/>
        <w:jc w:val="left"/>
      </w:pPr>
      <w:rPr>
        <w:rFonts w:hint="default"/>
      </w:rPr>
    </w:lvl>
    <w:lvl w:ilvl="1">
      <w:start w:val="9"/>
      <w:numFmt w:val="decimal"/>
      <w:lvlText w:val="%1.%2"/>
      <w:lvlJc w:val="left"/>
      <w:pPr>
        <w:ind w:left="152" w:hanging="773"/>
        <w:jc w:val="left"/>
      </w:pPr>
      <w:rPr>
        <w:rFonts w:hint="default"/>
      </w:rPr>
    </w:lvl>
    <w:lvl w:ilvl="2">
      <w:start w:val="1"/>
      <w:numFmt w:val="decimal"/>
      <w:lvlText w:val="%1.%2.%3."/>
      <w:lvlJc w:val="left"/>
      <w:pPr>
        <w:ind w:left="152" w:hanging="773"/>
        <w:jc w:val="left"/>
      </w:pPr>
      <w:rPr>
        <w:rFonts w:hint="default" w:ascii="Times New Roman" w:hAnsi="Times New Roman" w:eastAsia="Times New Roman" w:cs="Times New Roman"/>
        <w:spacing w:val="-27"/>
        <w:w w:val="99"/>
        <w:sz w:val="24"/>
        <w:szCs w:val="24"/>
      </w:rPr>
    </w:lvl>
    <w:lvl w:ilvl="3">
      <w:start w:val="1"/>
      <w:numFmt w:val="bullet"/>
      <w:lvlText w:val="•"/>
      <w:lvlJc w:val="left"/>
      <w:pPr>
        <w:ind w:left="2842" w:hanging="773"/>
      </w:pPr>
      <w:rPr>
        <w:rFonts w:hint="default"/>
      </w:rPr>
    </w:lvl>
    <w:lvl w:ilvl="4">
      <w:start w:val="1"/>
      <w:numFmt w:val="bullet"/>
      <w:lvlText w:val="•"/>
      <w:lvlJc w:val="left"/>
      <w:pPr>
        <w:ind w:left="3736" w:hanging="773"/>
      </w:pPr>
      <w:rPr>
        <w:rFonts w:hint="default"/>
      </w:rPr>
    </w:lvl>
    <w:lvl w:ilvl="5">
      <w:start w:val="1"/>
      <w:numFmt w:val="bullet"/>
      <w:lvlText w:val="•"/>
      <w:lvlJc w:val="left"/>
      <w:pPr>
        <w:ind w:left="4630" w:hanging="773"/>
      </w:pPr>
      <w:rPr>
        <w:rFonts w:hint="default"/>
      </w:rPr>
    </w:lvl>
    <w:lvl w:ilvl="6">
      <w:start w:val="1"/>
      <w:numFmt w:val="bullet"/>
      <w:lvlText w:val="•"/>
      <w:lvlJc w:val="left"/>
      <w:pPr>
        <w:ind w:left="5524" w:hanging="773"/>
      </w:pPr>
      <w:rPr>
        <w:rFonts w:hint="default"/>
      </w:rPr>
    </w:lvl>
    <w:lvl w:ilvl="7">
      <w:start w:val="1"/>
      <w:numFmt w:val="bullet"/>
      <w:lvlText w:val="•"/>
      <w:lvlJc w:val="left"/>
      <w:pPr>
        <w:ind w:left="6418" w:hanging="773"/>
      </w:pPr>
      <w:rPr>
        <w:rFonts w:hint="default"/>
      </w:rPr>
    </w:lvl>
    <w:lvl w:ilvl="8">
      <w:start w:val="1"/>
      <w:numFmt w:val="bullet"/>
      <w:lvlText w:val="•"/>
      <w:lvlJc w:val="left"/>
      <w:pPr>
        <w:ind w:left="7312" w:hanging="773"/>
      </w:pPr>
      <w:rPr>
        <w:rFonts w:hint="default"/>
      </w:rPr>
    </w:lvl>
  </w:abstractNum>
  <w:abstractNum w:abstractNumId="11">
    <w:multiLevelType w:val="hybridMultilevel"/>
    <w:lvl w:ilvl="0">
      <w:start w:val="13"/>
      <w:numFmt w:val="decimal"/>
      <w:lvlText w:val="%1"/>
      <w:lvlJc w:val="left"/>
      <w:pPr>
        <w:ind w:left="2818" w:hanging="529"/>
        <w:jc w:val="left"/>
      </w:pPr>
      <w:rPr>
        <w:rFonts w:hint="default"/>
      </w:rPr>
    </w:lvl>
    <w:lvl w:ilvl="1">
      <w:start w:val="5"/>
      <w:numFmt w:val="decimal"/>
      <w:lvlText w:val="%1.%2"/>
      <w:lvlJc w:val="left"/>
      <w:pPr>
        <w:ind w:left="2818" w:hanging="529"/>
        <w:jc w:val="left"/>
      </w:pPr>
      <w:rPr>
        <w:rFonts w:hint="default"/>
        <w:b/>
        <w:bCs/>
        <w:spacing w:val="-14"/>
        <w:w w:val="99"/>
      </w:rPr>
    </w:lvl>
    <w:lvl w:ilvl="2">
      <w:start w:val="1"/>
      <w:numFmt w:val="bullet"/>
      <w:lvlText w:val="•"/>
      <w:lvlJc w:val="left"/>
      <w:pPr>
        <w:ind w:left="4076" w:hanging="529"/>
      </w:pPr>
      <w:rPr>
        <w:rFonts w:hint="default"/>
      </w:rPr>
    </w:lvl>
    <w:lvl w:ilvl="3">
      <w:start w:val="1"/>
      <w:numFmt w:val="bullet"/>
      <w:lvlText w:val="•"/>
      <w:lvlJc w:val="left"/>
      <w:pPr>
        <w:ind w:left="4704" w:hanging="529"/>
      </w:pPr>
      <w:rPr>
        <w:rFonts w:hint="default"/>
      </w:rPr>
    </w:lvl>
    <w:lvl w:ilvl="4">
      <w:start w:val="1"/>
      <w:numFmt w:val="bullet"/>
      <w:lvlText w:val="•"/>
      <w:lvlJc w:val="left"/>
      <w:pPr>
        <w:ind w:left="5332" w:hanging="529"/>
      </w:pPr>
      <w:rPr>
        <w:rFonts w:hint="default"/>
      </w:rPr>
    </w:lvl>
    <w:lvl w:ilvl="5">
      <w:start w:val="1"/>
      <w:numFmt w:val="bullet"/>
      <w:lvlText w:val="•"/>
      <w:lvlJc w:val="left"/>
      <w:pPr>
        <w:ind w:left="5960" w:hanging="529"/>
      </w:pPr>
      <w:rPr>
        <w:rFonts w:hint="default"/>
      </w:rPr>
    </w:lvl>
    <w:lvl w:ilvl="6">
      <w:start w:val="1"/>
      <w:numFmt w:val="bullet"/>
      <w:lvlText w:val="•"/>
      <w:lvlJc w:val="left"/>
      <w:pPr>
        <w:ind w:left="6588" w:hanging="529"/>
      </w:pPr>
      <w:rPr>
        <w:rFonts w:hint="default"/>
      </w:rPr>
    </w:lvl>
    <w:lvl w:ilvl="7">
      <w:start w:val="1"/>
      <w:numFmt w:val="bullet"/>
      <w:lvlText w:val="•"/>
      <w:lvlJc w:val="left"/>
      <w:pPr>
        <w:ind w:left="7216" w:hanging="529"/>
      </w:pPr>
      <w:rPr>
        <w:rFonts w:hint="default"/>
      </w:rPr>
    </w:lvl>
    <w:lvl w:ilvl="8">
      <w:start w:val="1"/>
      <w:numFmt w:val="bullet"/>
      <w:lvlText w:val="•"/>
      <w:lvlJc w:val="left"/>
      <w:pPr>
        <w:ind w:left="7844" w:hanging="529"/>
      </w:pPr>
      <w:rPr>
        <w:rFonts w:hint="default"/>
      </w:rPr>
    </w:lvl>
  </w:abstractNum>
  <w:abstractNum w:abstractNumId="10">
    <w:multiLevelType w:val="hybridMultilevel"/>
    <w:lvl w:ilvl="0">
      <w:start w:val="1"/>
      <w:numFmt w:val="decimal"/>
      <w:lvlText w:val="(%1)"/>
      <w:lvlJc w:val="left"/>
      <w:pPr>
        <w:ind w:left="152" w:hanging="360"/>
        <w:jc w:val="left"/>
      </w:pPr>
      <w:rPr>
        <w:rFonts w:hint="default" w:ascii="Times New Roman" w:hAnsi="Times New Roman" w:eastAsia="Times New Roman" w:cs="Times New Roman"/>
        <w:spacing w:val="0"/>
        <w:w w:val="99"/>
        <w:sz w:val="24"/>
        <w:szCs w:val="24"/>
      </w:rPr>
    </w:lvl>
    <w:lvl w:ilvl="1">
      <w:start w:val="1"/>
      <w:numFmt w:val="bullet"/>
      <w:lvlText w:val="•"/>
      <w:lvlJc w:val="left"/>
      <w:pPr>
        <w:ind w:left="1054" w:hanging="360"/>
      </w:pPr>
      <w:rPr>
        <w:rFonts w:hint="default"/>
      </w:rPr>
    </w:lvl>
    <w:lvl w:ilvl="2">
      <w:start w:val="1"/>
      <w:numFmt w:val="bullet"/>
      <w:lvlText w:val="•"/>
      <w:lvlJc w:val="left"/>
      <w:pPr>
        <w:ind w:left="1948" w:hanging="360"/>
      </w:pPr>
      <w:rPr>
        <w:rFonts w:hint="default"/>
      </w:rPr>
    </w:lvl>
    <w:lvl w:ilvl="3">
      <w:start w:val="1"/>
      <w:numFmt w:val="bullet"/>
      <w:lvlText w:val="•"/>
      <w:lvlJc w:val="left"/>
      <w:pPr>
        <w:ind w:left="2842" w:hanging="360"/>
      </w:pPr>
      <w:rPr>
        <w:rFonts w:hint="default"/>
      </w:rPr>
    </w:lvl>
    <w:lvl w:ilvl="4">
      <w:start w:val="1"/>
      <w:numFmt w:val="bullet"/>
      <w:lvlText w:val="•"/>
      <w:lvlJc w:val="left"/>
      <w:pPr>
        <w:ind w:left="3736" w:hanging="360"/>
      </w:pPr>
      <w:rPr>
        <w:rFonts w:hint="default"/>
      </w:rPr>
    </w:lvl>
    <w:lvl w:ilvl="5">
      <w:start w:val="1"/>
      <w:numFmt w:val="bullet"/>
      <w:lvlText w:val="•"/>
      <w:lvlJc w:val="left"/>
      <w:pPr>
        <w:ind w:left="4630" w:hanging="360"/>
      </w:pPr>
      <w:rPr>
        <w:rFonts w:hint="default"/>
      </w:rPr>
    </w:lvl>
    <w:lvl w:ilvl="6">
      <w:start w:val="1"/>
      <w:numFmt w:val="bullet"/>
      <w:lvlText w:val="•"/>
      <w:lvlJc w:val="left"/>
      <w:pPr>
        <w:ind w:left="5524" w:hanging="360"/>
      </w:pPr>
      <w:rPr>
        <w:rFonts w:hint="default"/>
      </w:rPr>
    </w:lvl>
    <w:lvl w:ilvl="7">
      <w:start w:val="1"/>
      <w:numFmt w:val="bullet"/>
      <w:lvlText w:val="•"/>
      <w:lvlJc w:val="left"/>
      <w:pPr>
        <w:ind w:left="6418" w:hanging="360"/>
      </w:pPr>
      <w:rPr>
        <w:rFonts w:hint="default"/>
      </w:rPr>
    </w:lvl>
    <w:lvl w:ilvl="8">
      <w:start w:val="1"/>
      <w:numFmt w:val="bullet"/>
      <w:lvlText w:val="•"/>
      <w:lvlJc w:val="left"/>
      <w:pPr>
        <w:ind w:left="7312" w:hanging="360"/>
      </w:pPr>
      <w:rPr>
        <w:rFonts w:hint="default"/>
      </w:rPr>
    </w:lvl>
  </w:abstractNum>
  <w:abstractNum w:abstractNumId="9">
    <w:multiLevelType w:val="hybridMultilevel"/>
    <w:lvl w:ilvl="0">
      <w:start w:val="12"/>
      <w:numFmt w:val="decimal"/>
      <w:lvlText w:val="%1"/>
      <w:lvlJc w:val="left"/>
      <w:pPr>
        <w:ind w:left="2827" w:hanging="539"/>
        <w:jc w:val="left"/>
      </w:pPr>
      <w:rPr>
        <w:rFonts w:hint="default"/>
      </w:rPr>
    </w:lvl>
    <w:lvl w:ilvl="1">
      <w:start w:val="1"/>
      <w:numFmt w:val="decimal"/>
      <w:lvlText w:val="%1.%2"/>
      <w:lvlJc w:val="left"/>
      <w:pPr>
        <w:ind w:left="2827" w:hanging="539"/>
        <w:jc w:val="right"/>
      </w:pPr>
      <w:rPr>
        <w:rFonts w:hint="default"/>
        <w:b/>
        <w:bCs/>
        <w:spacing w:val="-3"/>
        <w:w w:val="100"/>
      </w:rPr>
    </w:lvl>
    <w:lvl w:ilvl="2">
      <w:start w:val="1"/>
      <w:numFmt w:val="bullet"/>
      <w:lvlText w:val="•"/>
      <w:lvlJc w:val="left"/>
      <w:pPr>
        <w:ind w:left="4076" w:hanging="539"/>
      </w:pPr>
      <w:rPr>
        <w:rFonts w:hint="default"/>
      </w:rPr>
    </w:lvl>
    <w:lvl w:ilvl="3">
      <w:start w:val="1"/>
      <w:numFmt w:val="bullet"/>
      <w:lvlText w:val="•"/>
      <w:lvlJc w:val="left"/>
      <w:pPr>
        <w:ind w:left="4704" w:hanging="539"/>
      </w:pPr>
      <w:rPr>
        <w:rFonts w:hint="default"/>
      </w:rPr>
    </w:lvl>
    <w:lvl w:ilvl="4">
      <w:start w:val="1"/>
      <w:numFmt w:val="bullet"/>
      <w:lvlText w:val="•"/>
      <w:lvlJc w:val="left"/>
      <w:pPr>
        <w:ind w:left="5332" w:hanging="539"/>
      </w:pPr>
      <w:rPr>
        <w:rFonts w:hint="default"/>
      </w:rPr>
    </w:lvl>
    <w:lvl w:ilvl="5">
      <w:start w:val="1"/>
      <w:numFmt w:val="bullet"/>
      <w:lvlText w:val="•"/>
      <w:lvlJc w:val="left"/>
      <w:pPr>
        <w:ind w:left="5960" w:hanging="539"/>
      </w:pPr>
      <w:rPr>
        <w:rFonts w:hint="default"/>
      </w:rPr>
    </w:lvl>
    <w:lvl w:ilvl="6">
      <w:start w:val="1"/>
      <w:numFmt w:val="bullet"/>
      <w:lvlText w:val="•"/>
      <w:lvlJc w:val="left"/>
      <w:pPr>
        <w:ind w:left="6588" w:hanging="539"/>
      </w:pPr>
      <w:rPr>
        <w:rFonts w:hint="default"/>
      </w:rPr>
    </w:lvl>
    <w:lvl w:ilvl="7">
      <w:start w:val="1"/>
      <w:numFmt w:val="bullet"/>
      <w:lvlText w:val="•"/>
      <w:lvlJc w:val="left"/>
      <w:pPr>
        <w:ind w:left="7216" w:hanging="539"/>
      </w:pPr>
      <w:rPr>
        <w:rFonts w:hint="default"/>
      </w:rPr>
    </w:lvl>
    <w:lvl w:ilvl="8">
      <w:start w:val="1"/>
      <w:numFmt w:val="bullet"/>
      <w:lvlText w:val="•"/>
      <w:lvlJc w:val="left"/>
      <w:pPr>
        <w:ind w:left="7844" w:hanging="539"/>
      </w:pPr>
      <w:rPr>
        <w:rFonts w:hint="default"/>
      </w:rPr>
    </w:lvl>
  </w:abstractNum>
  <w:abstractNum w:abstractNumId="8">
    <w:multiLevelType w:val="hybridMultilevel"/>
    <w:lvl w:ilvl="0">
      <w:start w:val="1"/>
      <w:numFmt w:val="decimal"/>
      <w:lvlText w:val="%1."/>
      <w:lvlJc w:val="left"/>
      <w:pPr>
        <w:ind w:left="152" w:hanging="250"/>
        <w:jc w:val="left"/>
      </w:pPr>
      <w:rPr>
        <w:rFonts w:hint="default" w:ascii="Times New Roman" w:hAnsi="Times New Roman" w:eastAsia="Times New Roman" w:cs="Times New Roman"/>
        <w:b/>
        <w:bCs/>
        <w:w w:val="100"/>
        <w:sz w:val="24"/>
        <w:szCs w:val="24"/>
      </w:rPr>
    </w:lvl>
    <w:lvl w:ilvl="1">
      <w:start w:val="13"/>
      <w:numFmt w:val="decimal"/>
      <w:lvlText w:val="%2."/>
      <w:lvlJc w:val="left"/>
      <w:pPr>
        <w:ind w:left="2275" w:hanging="346"/>
        <w:jc w:val="left"/>
      </w:pPr>
      <w:rPr>
        <w:rFonts w:hint="default"/>
        <w:b/>
        <w:bCs/>
        <w:w w:val="100"/>
      </w:rPr>
    </w:lvl>
    <w:lvl w:ilvl="2">
      <w:start w:val="1"/>
      <w:numFmt w:val="decimal"/>
      <w:lvlText w:val="%2.%3"/>
      <w:lvlJc w:val="left"/>
      <w:pPr>
        <w:ind w:left="2986" w:hanging="697"/>
        <w:jc w:val="left"/>
      </w:pPr>
      <w:rPr>
        <w:rFonts w:hint="default"/>
        <w:b/>
        <w:bCs/>
        <w:spacing w:val="-3"/>
        <w:w w:val="100"/>
      </w:rPr>
    </w:lvl>
    <w:lvl w:ilvl="3">
      <w:start w:val="1"/>
      <w:numFmt w:val="bullet"/>
      <w:lvlText w:val="•"/>
      <w:lvlJc w:val="left"/>
      <w:pPr>
        <w:ind w:left="2980" w:hanging="697"/>
      </w:pPr>
      <w:rPr>
        <w:rFonts w:hint="default"/>
      </w:rPr>
    </w:lvl>
    <w:lvl w:ilvl="4">
      <w:start w:val="1"/>
      <w:numFmt w:val="bullet"/>
      <w:lvlText w:val="•"/>
      <w:lvlJc w:val="left"/>
      <w:pPr>
        <w:ind w:left="3854" w:hanging="697"/>
      </w:pPr>
      <w:rPr>
        <w:rFonts w:hint="default"/>
      </w:rPr>
    </w:lvl>
    <w:lvl w:ilvl="5">
      <w:start w:val="1"/>
      <w:numFmt w:val="bullet"/>
      <w:lvlText w:val="•"/>
      <w:lvlJc w:val="left"/>
      <w:pPr>
        <w:ind w:left="4728" w:hanging="697"/>
      </w:pPr>
      <w:rPr>
        <w:rFonts w:hint="default"/>
      </w:rPr>
    </w:lvl>
    <w:lvl w:ilvl="6">
      <w:start w:val="1"/>
      <w:numFmt w:val="bullet"/>
      <w:lvlText w:val="•"/>
      <w:lvlJc w:val="left"/>
      <w:pPr>
        <w:ind w:left="5602" w:hanging="697"/>
      </w:pPr>
      <w:rPr>
        <w:rFonts w:hint="default"/>
      </w:rPr>
    </w:lvl>
    <w:lvl w:ilvl="7">
      <w:start w:val="1"/>
      <w:numFmt w:val="bullet"/>
      <w:lvlText w:val="•"/>
      <w:lvlJc w:val="left"/>
      <w:pPr>
        <w:ind w:left="6477" w:hanging="697"/>
      </w:pPr>
      <w:rPr>
        <w:rFonts w:hint="default"/>
      </w:rPr>
    </w:lvl>
    <w:lvl w:ilvl="8">
      <w:start w:val="1"/>
      <w:numFmt w:val="bullet"/>
      <w:lvlText w:val="•"/>
      <w:lvlJc w:val="left"/>
      <w:pPr>
        <w:ind w:left="7351" w:hanging="697"/>
      </w:pPr>
      <w:rPr>
        <w:rFonts w:hint="default"/>
      </w:rPr>
    </w:lvl>
  </w:abstractNum>
  <w:abstractNum w:abstractNumId="7">
    <w:multiLevelType w:val="hybridMultilevel"/>
    <w:lvl w:ilvl="0">
      <w:start w:val="3"/>
      <w:numFmt w:val="upperRoman"/>
      <w:lvlText w:val="%1."/>
      <w:lvlJc w:val="left"/>
      <w:pPr>
        <w:ind w:left="1186" w:hanging="346"/>
        <w:jc w:val="left"/>
      </w:pPr>
      <w:rPr>
        <w:rFonts w:hint="default" w:ascii="Times New Roman" w:hAnsi="Times New Roman" w:eastAsia="Times New Roman" w:cs="Times New Roman"/>
        <w:spacing w:val="-4"/>
        <w:w w:val="99"/>
        <w:sz w:val="24"/>
        <w:szCs w:val="24"/>
      </w:rPr>
    </w:lvl>
    <w:lvl w:ilvl="1">
      <w:start w:val="1"/>
      <w:numFmt w:val="decimal"/>
      <w:lvlText w:val="%2."/>
      <w:lvlJc w:val="left"/>
      <w:pPr>
        <w:ind w:left="1008" w:hanging="360"/>
        <w:jc w:val="left"/>
      </w:pPr>
      <w:rPr>
        <w:rFonts w:hint="default" w:ascii="Times New Roman" w:hAnsi="Times New Roman" w:eastAsia="Times New Roman" w:cs="Times New Roman"/>
        <w:i/>
        <w:spacing w:val="-2"/>
        <w:w w:val="100"/>
        <w:sz w:val="24"/>
        <w:szCs w:val="24"/>
      </w:rPr>
    </w:lvl>
    <w:lvl w:ilvl="2">
      <w:start w:val="1"/>
      <w:numFmt w:val="bullet"/>
      <w:lvlText w:val="•"/>
      <w:lvlJc w:val="left"/>
      <w:pPr>
        <w:ind w:left="2054" w:hanging="360"/>
      </w:pPr>
      <w:rPr>
        <w:rFonts w:hint="default"/>
      </w:rPr>
    </w:lvl>
    <w:lvl w:ilvl="3">
      <w:start w:val="1"/>
      <w:numFmt w:val="bullet"/>
      <w:lvlText w:val="•"/>
      <w:lvlJc w:val="left"/>
      <w:pPr>
        <w:ind w:left="2929" w:hanging="360"/>
      </w:pPr>
      <w:rPr>
        <w:rFonts w:hint="default"/>
      </w:rPr>
    </w:lvl>
    <w:lvl w:ilvl="4">
      <w:start w:val="1"/>
      <w:numFmt w:val="bullet"/>
      <w:lvlText w:val="•"/>
      <w:lvlJc w:val="left"/>
      <w:pPr>
        <w:ind w:left="3803" w:hanging="360"/>
      </w:pPr>
      <w:rPr>
        <w:rFonts w:hint="default"/>
      </w:rPr>
    </w:lvl>
    <w:lvl w:ilvl="5">
      <w:start w:val="1"/>
      <w:numFmt w:val="bullet"/>
      <w:lvlText w:val="•"/>
      <w:lvlJc w:val="left"/>
      <w:pPr>
        <w:ind w:left="4678" w:hanging="360"/>
      </w:pPr>
      <w:rPr>
        <w:rFonts w:hint="default"/>
      </w:rPr>
    </w:lvl>
    <w:lvl w:ilvl="6">
      <w:start w:val="1"/>
      <w:numFmt w:val="bullet"/>
      <w:lvlText w:val="•"/>
      <w:lvlJc w:val="left"/>
      <w:pPr>
        <w:ind w:left="5553" w:hanging="360"/>
      </w:pPr>
      <w:rPr>
        <w:rFonts w:hint="default"/>
      </w:rPr>
    </w:lvl>
    <w:lvl w:ilvl="7">
      <w:start w:val="1"/>
      <w:numFmt w:val="bullet"/>
      <w:lvlText w:val="•"/>
      <w:lvlJc w:val="left"/>
      <w:pPr>
        <w:ind w:left="6427" w:hanging="360"/>
      </w:pPr>
      <w:rPr>
        <w:rFonts w:hint="default"/>
      </w:rPr>
    </w:lvl>
    <w:lvl w:ilvl="8">
      <w:start w:val="1"/>
      <w:numFmt w:val="bullet"/>
      <w:lvlText w:val="•"/>
      <w:lvlJc w:val="left"/>
      <w:pPr>
        <w:ind w:left="7302" w:hanging="360"/>
      </w:pPr>
      <w:rPr>
        <w:rFonts w:hint="default"/>
      </w:rPr>
    </w:lvl>
  </w:abstractNum>
  <w:abstractNum w:abstractNumId="6">
    <w:multiLevelType w:val="hybridMultilevel"/>
    <w:lvl w:ilvl="0">
      <w:start w:val="2"/>
      <w:numFmt w:val="decimal"/>
      <w:lvlText w:val="%1."/>
      <w:lvlJc w:val="left"/>
      <w:pPr>
        <w:ind w:left="1128" w:hanging="360"/>
        <w:jc w:val="left"/>
      </w:pPr>
      <w:rPr>
        <w:rFonts w:hint="default" w:ascii="Times New Roman" w:hAnsi="Times New Roman" w:eastAsia="Times New Roman" w:cs="Times New Roman"/>
        <w:i/>
        <w:spacing w:val="-3"/>
        <w:w w:val="99"/>
        <w:sz w:val="24"/>
        <w:szCs w:val="24"/>
      </w:rPr>
    </w:lvl>
    <w:lvl w:ilvl="1">
      <w:start w:val="1"/>
      <w:numFmt w:val="bullet"/>
      <w:lvlText w:val="•"/>
      <w:lvlJc w:val="left"/>
      <w:pPr>
        <w:ind w:left="1913" w:hanging="360"/>
      </w:pPr>
      <w:rPr>
        <w:rFonts w:hint="default"/>
      </w:rPr>
    </w:lvl>
    <w:lvl w:ilvl="2">
      <w:start w:val="1"/>
      <w:numFmt w:val="bullet"/>
      <w:lvlText w:val="•"/>
      <w:lvlJc w:val="left"/>
      <w:pPr>
        <w:ind w:left="2706" w:hanging="360"/>
      </w:pPr>
      <w:rPr>
        <w:rFonts w:hint="default"/>
      </w:rPr>
    </w:lvl>
    <w:lvl w:ilvl="3">
      <w:start w:val="1"/>
      <w:numFmt w:val="bullet"/>
      <w:lvlText w:val="•"/>
      <w:lvlJc w:val="left"/>
      <w:pPr>
        <w:ind w:left="3499" w:hanging="360"/>
      </w:pPr>
      <w:rPr>
        <w:rFonts w:hint="default"/>
      </w:rPr>
    </w:lvl>
    <w:lvl w:ilvl="4">
      <w:start w:val="1"/>
      <w:numFmt w:val="bullet"/>
      <w:lvlText w:val="•"/>
      <w:lvlJc w:val="left"/>
      <w:pPr>
        <w:ind w:left="4292" w:hanging="360"/>
      </w:pPr>
      <w:rPr>
        <w:rFonts w:hint="default"/>
      </w:rPr>
    </w:lvl>
    <w:lvl w:ilvl="5">
      <w:start w:val="1"/>
      <w:numFmt w:val="bullet"/>
      <w:lvlText w:val="•"/>
      <w:lvlJc w:val="left"/>
      <w:pPr>
        <w:ind w:left="5085" w:hanging="360"/>
      </w:pPr>
      <w:rPr>
        <w:rFonts w:hint="default"/>
      </w:rPr>
    </w:lvl>
    <w:lvl w:ilvl="6">
      <w:start w:val="1"/>
      <w:numFmt w:val="bullet"/>
      <w:lvlText w:val="•"/>
      <w:lvlJc w:val="left"/>
      <w:pPr>
        <w:ind w:left="5878"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465" w:hanging="360"/>
      </w:pPr>
      <w:rPr>
        <w:rFonts w:hint="default"/>
      </w:rPr>
    </w:lvl>
  </w:abstractNum>
  <w:abstractNum w:abstractNumId="5">
    <w:multiLevelType w:val="hybridMultilevel"/>
    <w:lvl w:ilvl="0">
      <w:start w:val="1"/>
      <w:numFmt w:val="upperLetter"/>
      <w:lvlText w:val="%1."/>
      <w:lvlJc w:val="left"/>
      <w:pPr>
        <w:ind w:left="768" w:hanging="360"/>
        <w:jc w:val="left"/>
      </w:pPr>
      <w:rPr>
        <w:rFonts w:hint="default" w:ascii="Times New Roman" w:hAnsi="Times New Roman" w:eastAsia="Times New Roman" w:cs="Times New Roman"/>
        <w:spacing w:val="-6"/>
        <w:w w:val="99"/>
        <w:sz w:val="24"/>
        <w:szCs w:val="24"/>
      </w:rPr>
    </w:lvl>
    <w:lvl w:ilvl="1">
      <w:start w:val="1"/>
      <w:numFmt w:val="decimal"/>
      <w:lvlText w:val="%2."/>
      <w:lvlJc w:val="left"/>
      <w:pPr>
        <w:ind w:left="1128" w:hanging="360"/>
        <w:jc w:val="left"/>
      </w:pPr>
      <w:rPr>
        <w:rFonts w:hint="default" w:ascii="Times New Roman" w:hAnsi="Times New Roman" w:eastAsia="Times New Roman" w:cs="Times New Roman"/>
        <w:i/>
        <w:spacing w:val="-3"/>
        <w:w w:val="99"/>
        <w:sz w:val="24"/>
        <w:szCs w:val="24"/>
      </w:rPr>
    </w:lvl>
    <w:lvl w:ilvl="2">
      <w:start w:val="1"/>
      <w:numFmt w:val="bullet"/>
      <w:lvlText w:val="•"/>
      <w:lvlJc w:val="left"/>
      <w:pPr>
        <w:ind w:left="2001" w:hanging="360"/>
      </w:pPr>
      <w:rPr>
        <w:rFonts w:hint="default"/>
      </w:rPr>
    </w:lvl>
    <w:lvl w:ilvl="3">
      <w:start w:val="1"/>
      <w:numFmt w:val="bullet"/>
      <w:lvlText w:val="•"/>
      <w:lvlJc w:val="left"/>
      <w:pPr>
        <w:ind w:left="2882" w:hanging="360"/>
      </w:pPr>
      <w:rPr>
        <w:rFonts w:hint="default"/>
      </w:rPr>
    </w:lvl>
    <w:lvl w:ilvl="4">
      <w:start w:val="1"/>
      <w:numFmt w:val="bullet"/>
      <w:lvlText w:val="•"/>
      <w:lvlJc w:val="left"/>
      <w:pPr>
        <w:ind w:left="3763" w:hanging="360"/>
      </w:pPr>
      <w:rPr>
        <w:rFonts w:hint="default"/>
      </w:rPr>
    </w:lvl>
    <w:lvl w:ilvl="5">
      <w:start w:val="1"/>
      <w:numFmt w:val="bullet"/>
      <w:lvlText w:val="•"/>
      <w:lvlJc w:val="left"/>
      <w:pPr>
        <w:ind w:left="4645"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407" w:hanging="360"/>
      </w:pPr>
      <w:rPr>
        <w:rFonts w:hint="default"/>
      </w:rPr>
    </w:lvl>
    <w:lvl w:ilvl="8">
      <w:start w:val="1"/>
      <w:numFmt w:val="bullet"/>
      <w:lvlText w:val="•"/>
      <w:lvlJc w:val="left"/>
      <w:pPr>
        <w:ind w:left="7288" w:hanging="360"/>
      </w:pPr>
      <w:rPr>
        <w:rFonts w:hint="default"/>
      </w:rPr>
    </w:lvl>
  </w:abstractNum>
  <w:abstractNum w:abstractNumId="4">
    <w:multiLevelType w:val="hybridMultilevel"/>
    <w:lvl w:ilvl="0">
      <w:start w:val="2"/>
      <w:numFmt w:val="upperLetter"/>
      <w:lvlText w:val="%1."/>
      <w:lvlJc w:val="left"/>
      <w:pPr>
        <w:ind w:left="825" w:hanging="346"/>
        <w:jc w:val="left"/>
      </w:pPr>
      <w:rPr>
        <w:rFonts w:hint="default" w:ascii="Times New Roman" w:hAnsi="Times New Roman" w:eastAsia="Times New Roman" w:cs="Times New Roman"/>
        <w:spacing w:val="-28"/>
        <w:w w:val="99"/>
        <w:sz w:val="24"/>
        <w:szCs w:val="24"/>
      </w:rPr>
    </w:lvl>
    <w:lvl w:ilvl="1">
      <w:start w:val="1"/>
      <w:numFmt w:val="decimal"/>
      <w:lvlText w:val="%2."/>
      <w:lvlJc w:val="left"/>
      <w:pPr>
        <w:ind w:left="1186" w:hanging="361"/>
        <w:jc w:val="left"/>
      </w:pPr>
      <w:rPr>
        <w:rFonts w:hint="default" w:ascii="Times New Roman" w:hAnsi="Times New Roman" w:eastAsia="Times New Roman" w:cs="Times New Roman"/>
        <w:i/>
        <w:spacing w:val="-27"/>
        <w:w w:val="99"/>
        <w:sz w:val="24"/>
        <w:szCs w:val="24"/>
      </w:rPr>
    </w:lvl>
    <w:lvl w:ilvl="2">
      <w:start w:val="1"/>
      <w:numFmt w:val="bullet"/>
      <w:lvlText w:val="•"/>
      <w:lvlJc w:val="left"/>
      <w:pPr>
        <w:ind w:left="2054" w:hanging="361"/>
      </w:pPr>
      <w:rPr>
        <w:rFonts w:hint="default"/>
      </w:rPr>
    </w:lvl>
    <w:lvl w:ilvl="3">
      <w:start w:val="1"/>
      <w:numFmt w:val="bullet"/>
      <w:lvlText w:val="•"/>
      <w:lvlJc w:val="left"/>
      <w:pPr>
        <w:ind w:left="2929" w:hanging="361"/>
      </w:pPr>
      <w:rPr>
        <w:rFonts w:hint="default"/>
      </w:rPr>
    </w:lvl>
    <w:lvl w:ilvl="4">
      <w:start w:val="1"/>
      <w:numFmt w:val="bullet"/>
      <w:lvlText w:val="•"/>
      <w:lvlJc w:val="left"/>
      <w:pPr>
        <w:ind w:left="3803" w:hanging="361"/>
      </w:pPr>
      <w:rPr>
        <w:rFonts w:hint="default"/>
      </w:rPr>
    </w:lvl>
    <w:lvl w:ilvl="5">
      <w:start w:val="1"/>
      <w:numFmt w:val="bullet"/>
      <w:lvlText w:val="•"/>
      <w:lvlJc w:val="left"/>
      <w:pPr>
        <w:ind w:left="4678" w:hanging="361"/>
      </w:pPr>
      <w:rPr>
        <w:rFonts w:hint="default"/>
      </w:rPr>
    </w:lvl>
    <w:lvl w:ilvl="6">
      <w:start w:val="1"/>
      <w:numFmt w:val="bullet"/>
      <w:lvlText w:val="•"/>
      <w:lvlJc w:val="left"/>
      <w:pPr>
        <w:ind w:left="5553" w:hanging="361"/>
      </w:pPr>
      <w:rPr>
        <w:rFonts w:hint="default"/>
      </w:rPr>
    </w:lvl>
    <w:lvl w:ilvl="7">
      <w:start w:val="1"/>
      <w:numFmt w:val="bullet"/>
      <w:lvlText w:val="•"/>
      <w:lvlJc w:val="left"/>
      <w:pPr>
        <w:ind w:left="6427" w:hanging="361"/>
      </w:pPr>
      <w:rPr>
        <w:rFonts w:hint="default"/>
      </w:rPr>
    </w:lvl>
    <w:lvl w:ilvl="8">
      <w:start w:val="1"/>
      <w:numFmt w:val="bullet"/>
      <w:lvlText w:val="•"/>
      <w:lvlJc w:val="left"/>
      <w:pPr>
        <w:ind w:left="7302" w:hanging="361"/>
      </w:pPr>
      <w:rPr>
        <w:rFonts w:hint="default"/>
      </w:rPr>
    </w:lvl>
  </w:abstractNum>
  <w:abstractNum w:abstractNumId="3">
    <w:multiLevelType w:val="hybridMultilevel"/>
    <w:lvl w:ilvl="0">
      <w:start w:val="1"/>
      <w:numFmt w:val="upperLetter"/>
      <w:lvlText w:val="%1."/>
      <w:lvlJc w:val="left"/>
      <w:pPr>
        <w:ind w:left="825" w:hanging="346"/>
        <w:jc w:val="left"/>
      </w:pPr>
      <w:rPr>
        <w:rFonts w:hint="default" w:ascii="Times New Roman" w:hAnsi="Times New Roman" w:eastAsia="Times New Roman" w:cs="Times New Roman"/>
        <w:spacing w:val="-6"/>
        <w:w w:val="99"/>
        <w:sz w:val="24"/>
        <w:szCs w:val="24"/>
      </w:rPr>
    </w:lvl>
    <w:lvl w:ilvl="1">
      <w:start w:val="1"/>
      <w:numFmt w:val="decimal"/>
      <w:lvlText w:val="%2."/>
      <w:lvlJc w:val="left"/>
      <w:pPr>
        <w:ind w:left="1186" w:hanging="361"/>
        <w:jc w:val="left"/>
      </w:pPr>
      <w:rPr>
        <w:rFonts w:hint="default" w:ascii="Times New Roman" w:hAnsi="Times New Roman" w:eastAsia="Times New Roman" w:cs="Times New Roman"/>
        <w:i/>
        <w:spacing w:val="-2"/>
        <w:w w:val="99"/>
        <w:sz w:val="24"/>
        <w:szCs w:val="24"/>
      </w:rPr>
    </w:lvl>
    <w:lvl w:ilvl="2">
      <w:start w:val="1"/>
      <w:numFmt w:val="bullet"/>
      <w:lvlText w:val="•"/>
      <w:lvlJc w:val="left"/>
      <w:pPr>
        <w:ind w:left="2054" w:hanging="361"/>
      </w:pPr>
      <w:rPr>
        <w:rFonts w:hint="default"/>
      </w:rPr>
    </w:lvl>
    <w:lvl w:ilvl="3">
      <w:start w:val="1"/>
      <w:numFmt w:val="bullet"/>
      <w:lvlText w:val="•"/>
      <w:lvlJc w:val="left"/>
      <w:pPr>
        <w:ind w:left="2929" w:hanging="361"/>
      </w:pPr>
      <w:rPr>
        <w:rFonts w:hint="default"/>
      </w:rPr>
    </w:lvl>
    <w:lvl w:ilvl="4">
      <w:start w:val="1"/>
      <w:numFmt w:val="bullet"/>
      <w:lvlText w:val="•"/>
      <w:lvlJc w:val="left"/>
      <w:pPr>
        <w:ind w:left="3803" w:hanging="361"/>
      </w:pPr>
      <w:rPr>
        <w:rFonts w:hint="default"/>
      </w:rPr>
    </w:lvl>
    <w:lvl w:ilvl="5">
      <w:start w:val="1"/>
      <w:numFmt w:val="bullet"/>
      <w:lvlText w:val="•"/>
      <w:lvlJc w:val="left"/>
      <w:pPr>
        <w:ind w:left="4678" w:hanging="361"/>
      </w:pPr>
      <w:rPr>
        <w:rFonts w:hint="default"/>
      </w:rPr>
    </w:lvl>
    <w:lvl w:ilvl="6">
      <w:start w:val="1"/>
      <w:numFmt w:val="bullet"/>
      <w:lvlText w:val="•"/>
      <w:lvlJc w:val="left"/>
      <w:pPr>
        <w:ind w:left="5553" w:hanging="361"/>
      </w:pPr>
      <w:rPr>
        <w:rFonts w:hint="default"/>
      </w:rPr>
    </w:lvl>
    <w:lvl w:ilvl="7">
      <w:start w:val="1"/>
      <w:numFmt w:val="bullet"/>
      <w:lvlText w:val="•"/>
      <w:lvlJc w:val="left"/>
      <w:pPr>
        <w:ind w:left="6427" w:hanging="361"/>
      </w:pPr>
      <w:rPr>
        <w:rFonts w:hint="default"/>
      </w:rPr>
    </w:lvl>
    <w:lvl w:ilvl="8">
      <w:start w:val="1"/>
      <w:numFmt w:val="bullet"/>
      <w:lvlText w:val="•"/>
      <w:lvlJc w:val="left"/>
      <w:pPr>
        <w:ind w:left="7302" w:hanging="361"/>
      </w:pPr>
      <w:rPr>
        <w:rFonts w:hint="default"/>
      </w:rPr>
    </w:lvl>
  </w:abstractNum>
  <w:abstractNum w:abstractNumId="1">
    <w:multiLevelType w:val="hybridMultilevel"/>
    <w:lvl w:ilvl="0">
      <w:start w:val="1"/>
      <w:numFmt w:val="decimal"/>
      <w:lvlText w:val="%1."/>
      <w:lvlJc w:val="left"/>
      <w:pPr>
        <w:ind w:left="594" w:hanging="442"/>
        <w:jc w:val="left"/>
      </w:pPr>
      <w:rPr>
        <w:rFonts w:hint="default"/>
        <w:spacing w:val="-2"/>
        <w:w w:val="100"/>
      </w:rPr>
    </w:lvl>
    <w:lvl w:ilvl="1">
      <w:start w:val="1"/>
      <w:numFmt w:val="decimal"/>
      <w:lvlText w:val="%1.%2"/>
      <w:lvlJc w:val="left"/>
      <w:pPr>
        <w:ind w:left="815" w:hanging="663"/>
        <w:jc w:val="left"/>
      </w:pPr>
      <w:rPr>
        <w:rFonts w:hint="default"/>
        <w:spacing w:val="-2"/>
        <w:w w:val="100"/>
      </w:rPr>
    </w:lvl>
    <w:lvl w:ilvl="2">
      <w:start w:val="1"/>
      <w:numFmt w:val="bullet"/>
      <w:lvlText w:val="•"/>
      <w:lvlJc w:val="left"/>
      <w:pPr>
        <w:ind w:left="820" w:hanging="663"/>
      </w:pPr>
      <w:rPr>
        <w:rFonts w:hint="default"/>
      </w:rPr>
    </w:lvl>
    <w:lvl w:ilvl="3">
      <w:start w:val="1"/>
      <w:numFmt w:val="bullet"/>
      <w:lvlText w:val="•"/>
      <w:lvlJc w:val="left"/>
      <w:pPr>
        <w:ind w:left="1855" w:hanging="663"/>
      </w:pPr>
      <w:rPr>
        <w:rFonts w:hint="default"/>
      </w:rPr>
    </w:lvl>
    <w:lvl w:ilvl="4">
      <w:start w:val="1"/>
      <w:numFmt w:val="bullet"/>
      <w:lvlText w:val="•"/>
      <w:lvlJc w:val="left"/>
      <w:pPr>
        <w:ind w:left="2890" w:hanging="663"/>
      </w:pPr>
      <w:rPr>
        <w:rFonts w:hint="default"/>
      </w:rPr>
    </w:lvl>
    <w:lvl w:ilvl="5">
      <w:start w:val="1"/>
      <w:numFmt w:val="bullet"/>
      <w:lvlText w:val="•"/>
      <w:lvlJc w:val="left"/>
      <w:pPr>
        <w:ind w:left="3925" w:hanging="663"/>
      </w:pPr>
      <w:rPr>
        <w:rFonts w:hint="default"/>
      </w:rPr>
    </w:lvl>
    <w:lvl w:ilvl="6">
      <w:start w:val="1"/>
      <w:numFmt w:val="bullet"/>
      <w:lvlText w:val="•"/>
      <w:lvlJc w:val="left"/>
      <w:pPr>
        <w:ind w:left="4960" w:hanging="663"/>
      </w:pPr>
      <w:rPr>
        <w:rFonts w:hint="default"/>
      </w:rPr>
    </w:lvl>
    <w:lvl w:ilvl="7">
      <w:start w:val="1"/>
      <w:numFmt w:val="bullet"/>
      <w:lvlText w:val="•"/>
      <w:lvlJc w:val="left"/>
      <w:pPr>
        <w:ind w:left="5995" w:hanging="663"/>
      </w:pPr>
      <w:rPr>
        <w:rFonts w:hint="default"/>
      </w:rPr>
    </w:lvl>
    <w:lvl w:ilvl="8">
      <w:start w:val="1"/>
      <w:numFmt w:val="bullet"/>
      <w:lvlText w:val="•"/>
      <w:lvlJc w:val="left"/>
      <w:pPr>
        <w:ind w:left="7030" w:hanging="663"/>
      </w:pPr>
      <w:rPr>
        <w:rFonts w:hint="default"/>
      </w:rPr>
    </w:lvl>
  </w:abstractNum>
  <w:abstractNum w:abstractNumId="0">
    <w:multiLevelType w:val="hybridMultilevel"/>
    <w:lvl w:ilvl="0">
      <w:start w:val="1"/>
      <w:numFmt w:val="bullet"/>
      <w:lvlText w:val=""/>
      <w:lvlJc w:val="left"/>
      <w:pPr>
        <w:ind w:left="1219" w:hanging="361"/>
      </w:pPr>
      <w:rPr>
        <w:rFonts w:hint="default" w:ascii="Symbol" w:hAnsi="Symbol" w:eastAsia="Symbol" w:cs="Symbol"/>
        <w:w w:val="100"/>
        <w:sz w:val="24"/>
        <w:szCs w:val="24"/>
      </w:rPr>
    </w:lvl>
    <w:lvl w:ilvl="1">
      <w:start w:val="1"/>
      <w:numFmt w:val="bullet"/>
      <w:lvlText w:val="•"/>
      <w:lvlJc w:val="left"/>
      <w:pPr>
        <w:ind w:left="2008" w:hanging="361"/>
      </w:pPr>
      <w:rPr>
        <w:rFonts w:hint="default"/>
      </w:rPr>
    </w:lvl>
    <w:lvl w:ilvl="2">
      <w:start w:val="1"/>
      <w:numFmt w:val="bullet"/>
      <w:lvlText w:val="•"/>
      <w:lvlJc w:val="left"/>
      <w:pPr>
        <w:ind w:left="2796" w:hanging="361"/>
      </w:pPr>
      <w:rPr>
        <w:rFonts w:hint="default"/>
      </w:rPr>
    </w:lvl>
    <w:lvl w:ilvl="3">
      <w:start w:val="1"/>
      <w:numFmt w:val="bullet"/>
      <w:lvlText w:val="•"/>
      <w:lvlJc w:val="left"/>
      <w:pPr>
        <w:ind w:left="3584" w:hanging="361"/>
      </w:pPr>
      <w:rPr>
        <w:rFonts w:hint="default"/>
      </w:rPr>
    </w:lvl>
    <w:lvl w:ilvl="4">
      <w:start w:val="1"/>
      <w:numFmt w:val="bullet"/>
      <w:lvlText w:val="•"/>
      <w:lvlJc w:val="left"/>
      <w:pPr>
        <w:ind w:left="4372" w:hanging="361"/>
      </w:pPr>
      <w:rPr>
        <w:rFonts w:hint="default"/>
      </w:rPr>
    </w:lvl>
    <w:lvl w:ilvl="5">
      <w:start w:val="1"/>
      <w:numFmt w:val="bullet"/>
      <w:lvlText w:val="•"/>
      <w:lvlJc w:val="left"/>
      <w:pPr>
        <w:ind w:left="5160" w:hanging="361"/>
      </w:pPr>
      <w:rPr>
        <w:rFonts w:hint="default"/>
      </w:rPr>
    </w:lvl>
    <w:lvl w:ilvl="6">
      <w:start w:val="1"/>
      <w:numFmt w:val="bullet"/>
      <w:lvlText w:val="•"/>
      <w:lvlJc w:val="left"/>
      <w:pPr>
        <w:ind w:left="5948" w:hanging="361"/>
      </w:pPr>
      <w:rPr>
        <w:rFonts w:hint="default"/>
      </w:rPr>
    </w:lvl>
    <w:lvl w:ilvl="7">
      <w:start w:val="1"/>
      <w:numFmt w:val="bullet"/>
      <w:lvlText w:val="•"/>
      <w:lvlJc w:val="left"/>
      <w:pPr>
        <w:ind w:left="6736" w:hanging="361"/>
      </w:pPr>
      <w:rPr>
        <w:rFonts w:hint="default"/>
      </w:rPr>
    </w:lvl>
    <w:lvl w:ilvl="8">
      <w:start w:val="1"/>
      <w:numFmt w:val="bullet"/>
      <w:lvlText w:val="•"/>
      <w:lvlJc w:val="left"/>
      <w:pPr>
        <w:ind w:left="7524" w:hanging="361"/>
      </w:pPr>
      <w:rPr>
        <w:rFonts w:hint="default"/>
      </w:rPr>
    </w:lvl>
  </w:abstractNum>
  <w:num w:numId="20">
    <w:abstractNumId w:val="19"/>
  </w:num>
  <w:num w:numId="3">
    <w:abstractNumId w:val="2"/>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41"/>
      <w:ind w:right="106"/>
      <w:jc w:val="right"/>
    </w:pPr>
    <w:rPr>
      <w:rFonts w:ascii="Calibri" w:hAnsi="Calibri" w:eastAsia="Calibri" w:cs="Calibri"/>
      <w:sz w:val="22"/>
      <w:szCs w:val="22"/>
    </w:rPr>
  </w:style>
  <w:style w:styleId="TOC2" w:type="paragraph">
    <w:name w:val="TOC 2"/>
    <w:basedOn w:val="Normal"/>
    <w:uiPriority w:val="1"/>
    <w:qFormat/>
    <w:pPr>
      <w:spacing w:before="139"/>
      <w:ind w:left="815" w:hanging="663"/>
    </w:pPr>
    <w:rPr>
      <w:rFonts w:ascii="Calibri" w:hAnsi="Calibri" w:eastAsia="Calibri" w:cs="Calibri"/>
      <w:sz w:val="22"/>
      <w:szCs w:val="22"/>
    </w:rPr>
  </w:style>
  <w:style w:styleId="TOC3" w:type="paragraph">
    <w:name w:val="TOC 3"/>
    <w:basedOn w:val="Normal"/>
    <w:uiPriority w:val="1"/>
    <w:qFormat/>
    <w:pPr>
      <w:spacing w:before="139"/>
      <w:ind w:left="373"/>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3"/>
      <w:ind w:right="162"/>
      <w:jc w:val="right"/>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72"/>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212"/>
      <w:ind w:left="873"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7.pn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footer" Target="footer10.xml"/><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footer" Target="footer15.xml"/><Relationship Id="rId29" Type="http://schemas.openxmlformats.org/officeDocument/2006/relationships/footer" Target="footer16.xml"/><Relationship Id="rId30" Type="http://schemas.openxmlformats.org/officeDocument/2006/relationships/footer" Target="footer17.xml"/><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image" Target="media/image10.jpeg"/><Relationship Id="rId34" Type="http://schemas.openxmlformats.org/officeDocument/2006/relationships/image" Target="media/image11.jpeg"/><Relationship Id="rId35" Type="http://schemas.openxmlformats.org/officeDocument/2006/relationships/footer" Target="footer20.xml"/><Relationship Id="rId36" Type="http://schemas.openxmlformats.org/officeDocument/2006/relationships/image" Target="media/image12.jpeg"/><Relationship Id="rId37" Type="http://schemas.openxmlformats.org/officeDocument/2006/relationships/footer" Target="footer21.xml"/><Relationship Id="rId38" Type="http://schemas.openxmlformats.org/officeDocument/2006/relationships/image" Target="media/image13.jpeg"/><Relationship Id="rId39" Type="http://schemas.openxmlformats.org/officeDocument/2006/relationships/image" Target="media/image14.jpeg"/><Relationship Id="rId40" Type="http://schemas.openxmlformats.org/officeDocument/2006/relationships/image" Target="media/image15.jpeg"/><Relationship Id="rId41" Type="http://schemas.openxmlformats.org/officeDocument/2006/relationships/footer" Target="footer22.xml"/><Relationship Id="rId42" Type="http://schemas.openxmlformats.org/officeDocument/2006/relationships/footer" Target="footer23.xml"/><Relationship Id="rId43" Type="http://schemas.openxmlformats.org/officeDocument/2006/relationships/hyperlink" Target="http://www/" TargetMode="External"/><Relationship Id="rId44" Type="http://schemas.openxmlformats.org/officeDocument/2006/relationships/footer" Target="footer24.xml"/><Relationship Id="rId45" Type="http://schemas.openxmlformats.org/officeDocument/2006/relationships/footer" Target="footer25.xml"/><Relationship Id="rId46" Type="http://schemas.openxmlformats.org/officeDocument/2006/relationships/hyperlink" Target="http://www.ema.europa.eu/docs/en_GB/document_library/EPAR_summary_for_the_publ" TargetMode="External"/><Relationship Id="rId47" Type="http://schemas.openxmlformats.org/officeDocument/2006/relationships/footer" Target="footer26.xml"/><Relationship Id="rId48" Type="http://schemas.openxmlformats.org/officeDocument/2006/relationships/footer" Target="footer27.xml"/><Relationship Id="rId49" Type="http://schemas.openxmlformats.org/officeDocument/2006/relationships/hyperlink" Target="http://www.ivis.org/" TargetMode="External"/><Relationship Id="rId50" Type="http://schemas.openxmlformats.org/officeDocument/2006/relationships/footer" Target="footer28.xml"/><Relationship Id="rId51" Type="http://schemas.openxmlformats.org/officeDocument/2006/relationships/footer" Target="footer29.xml"/><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Campanita</dc:creator>
  <dc:title>lista de abreviaturas</dc:title>
  <dcterms:created xsi:type="dcterms:W3CDTF">2017-05-26T16:55:17Z</dcterms:created>
  <dcterms:modified xsi:type="dcterms:W3CDTF">2017-05-26T16:55:17Z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2015-07-02T00:00:00Z</vt:filetime>
  </property>
  <property fmtid="{D5CDD505-2E9C-101B-9397-08002B2CF9AE}" pid="3" name="Creator">
    <vt:lpwstr>Microsoft® Word 2013</vt:lpwstr>
  </property>
  <property fmtid="{D5CDD505-2E9C-101B-9397-08002B2CF9AE}" pid="4" name="LastSaved">
    <vt:filetime>2017-05-26T00:00:00Z</vt:filetime>
  </property>
</Properties>
</file>