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Default Extension="jpeg" ContentType="image/jpeg"/>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header6.xml" ContentType="application/vnd.openxmlformats-officedocument.wordprocessingml.header+xml"/>
  <Override PartName="/word/footer25.xml" ContentType="application/vnd.openxmlformats-officedocument.wordprocessingml.footer+xml"/>
  <Override PartName="/word/header7.xml" ContentType="application/vnd.openxmlformats-officedocument.wordprocessingml.head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360" w:lineRule="auto" w:before="111"/>
        <w:ind w:left="2276" w:right="527" w:firstLine="0"/>
        <w:jc w:val="center"/>
        <w:rPr>
          <w:rFonts w:ascii="Times New Roman" w:hAnsi="Times New Roman"/>
          <w:sz w:val="28"/>
        </w:rPr>
      </w:pPr>
      <w:r>
        <w:rPr/>
        <w:pict>
          <v:group style="position:absolute;margin-left:33.599998pt;margin-top:.360339pt;width:101.2pt;height:581.7pt;mso-position-horizontal-relative:page;mso-position-vertical-relative:paragraph;z-index:-216424" coordorigin="672,7" coordsize="2024,11634">
            <v:shape style="position:absolute;left:672;top:7;width:2023;height:1877" type="#_x0000_t75" stroked="false">
              <v:imagedata r:id="rId5" o:title=""/>
            </v:shape>
            <v:shape style="position:absolute;left:1388;top:1900;width:319;height:9711" coordorigin="1388,1900" coordsize="319,9711" path="m1404,1900l1388,11611m1707,1900l1691,9270e" filled="false" stroked="true" strokeweight="3pt" strokecolor="#000000">
              <v:path arrowok="t"/>
            </v:shape>
            <w10:wrap type="none"/>
          </v:group>
        </w:pict>
      </w:r>
      <w:r>
        <w:rPr>
          <w:rFonts w:ascii="Times New Roman" w:hAnsi="Times New Roman"/>
          <w:sz w:val="28"/>
        </w:rPr>
        <w:t>UNIVERSIDAD AUTÓNOMA DEL ESTADO DE MÉXICO MAESTRÍA Y DOCTORADO EN</w:t>
      </w:r>
    </w:p>
    <w:p>
      <w:pPr>
        <w:spacing w:before="5"/>
        <w:ind w:left="2276" w:right="529" w:firstLine="0"/>
        <w:jc w:val="center"/>
        <w:rPr>
          <w:rFonts w:ascii="Times New Roman"/>
          <w:sz w:val="28"/>
        </w:rPr>
      </w:pPr>
      <w:r>
        <w:rPr>
          <w:rFonts w:ascii="Times New Roman"/>
          <w:sz w:val="28"/>
        </w:rPr>
        <w:t>CIENCIAS AGROPECUARIAS Y RECURSOS NATURALES</w:t>
      </w:r>
    </w:p>
    <w:p>
      <w:pPr>
        <w:pStyle w:val="BodyText"/>
        <w:rPr>
          <w:rFonts w:ascii="Times New Roman"/>
          <w:sz w:val="28"/>
        </w:rPr>
      </w:pPr>
    </w:p>
    <w:p>
      <w:pPr>
        <w:pStyle w:val="BodyText"/>
        <w:rPr>
          <w:rFonts w:ascii="Times New Roman"/>
          <w:sz w:val="28"/>
        </w:rPr>
      </w:pPr>
    </w:p>
    <w:p>
      <w:pPr>
        <w:pStyle w:val="BodyText"/>
        <w:rPr>
          <w:rFonts w:ascii="Times New Roman"/>
          <w:sz w:val="28"/>
        </w:rPr>
      </w:pPr>
    </w:p>
    <w:p>
      <w:pPr>
        <w:spacing w:before="161"/>
        <w:ind w:left="2447" w:right="468" w:firstLine="0"/>
        <w:jc w:val="left"/>
        <w:rPr>
          <w:rFonts w:ascii="Times New Roman" w:hAnsi="Times New Roman"/>
          <w:i/>
          <w:sz w:val="28"/>
        </w:rPr>
      </w:pPr>
      <w:r>
        <w:rPr>
          <w:rFonts w:ascii="Times New Roman" w:hAnsi="Times New Roman"/>
          <w:sz w:val="28"/>
        </w:rPr>
        <w:t>DETECCIÓN DE </w:t>
      </w:r>
      <w:r>
        <w:rPr>
          <w:rFonts w:ascii="Times New Roman" w:hAnsi="Times New Roman"/>
          <w:i/>
          <w:sz w:val="28"/>
        </w:rPr>
        <w:t>Staphylococcus aureus ORSA/MRSA</w:t>
      </w:r>
    </w:p>
    <w:p>
      <w:pPr>
        <w:pStyle w:val="BodyText"/>
        <w:spacing w:before="4"/>
        <w:rPr>
          <w:rFonts w:ascii="Times New Roman"/>
          <w:i/>
        </w:rPr>
      </w:pPr>
    </w:p>
    <w:p>
      <w:pPr>
        <w:spacing w:line="448" w:lineRule="auto" w:before="0"/>
        <w:ind w:left="2586" w:right="468" w:hanging="1061"/>
        <w:jc w:val="left"/>
        <w:rPr>
          <w:rFonts w:ascii="Times New Roman"/>
          <w:sz w:val="28"/>
        </w:rPr>
      </w:pPr>
      <w:r>
        <w:rPr>
          <w:rFonts w:ascii="Times New Roman"/>
          <w:sz w:val="28"/>
        </w:rPr>
        <w:t>EN QUESOS FRESCOS ARTESANALES COMERCIALIZADOS EN MERCADOS POPULARES EN EL VALLE DE TOLUCA</w:t>
      </w:r>
    </w:p>
    <w:p>
      <w:pPr>
        <w:pStyle w:val="BodyText"/>
        <w:spacing w:before="2"/>
        <w:rPr>
          <w:rFonts w:ascii="Times New Roman"/>
          <w:sz w:val="33"/>
        </w:rPr>
      </w:pPr>
    </w:p>
    <w:p>
      <w:pPr>
        <w:spacing w:before="1"/>
        <w:ind w:left="2276" w:right="528" w:firstLine="0"/>
        <w:jc w:val="center"/>
        <w:rPr>
          <w:rFonts w:ascii="Times New Roman"/>
          <w:b/>
          <w:sz w:val="72"/>
        </w:rPr>
      </w:pPr>
      <w:r>
        <w:rPr>
          <w:rFonts w:ascii="Times New Roman"/>
          <w:b/>
          <w:sz w:val="72"/>
        </w:rPr>
        <w:t>TESIS</w:t>
      </w:r>
    </w:p>
    <w:p>
      <w:pPr>
        <w:pStyle w:val="BodyText"/>
        <w:spacing w:before="5"/>
        <w:rPr>
          <w:rFonts w:ascii="Times New Roman"/>
          <w:b/>
          <w:sz w:val="77"/>
        </w:rPr>
      </w:pPr>
    </w:p>
    <w:p>
      <w:pPr>
        <w:spacing w:before="1"/>
        <w:ind w:left="2273" w:right="529" w:firstLine="0"/>
        <w:jc w:val="center"/>
        <w:rPr>
          <w:rFonts w:ascii="Times New Roman"/>
          <w:sz w:val="28"/>
        </w:rPr>
      </w:pPr>
      <w:r>
        <w:rPr>
          <w:rFonts w:ascii="Times New Roman"/>
          <w:sz w:val="28"/>
        </w:rPr>
        <w:t>QUE PARA OBTENER EL GRADO DE</w:t>
      </w:r>
    </w:p>
    <w:p>
      <w:pPr>
        <w:pStyle w:val="BodyText"/>
        <w:rPr>
          <w:rFonts w:ascii="Times New Roman"/>
          <w:sz w:val="28"/>
        </w:rPr>
      </w:pPr>
    </w:p>
    <w:p>
      <w:pPr>
        <w:pStyle w:val="BodyText"/>
        <w:spacing w:before="10"/>
        <w:rPr>
          <w:rFonts w:ascii="Times New Roman"/>
          <w:sz w:val="27"/>
        </w:rPr>
      </w:pPr>
    </w:p>
    <w:p>
      <w:pPr>
        <w:spacing w:line="360" w:lineRule="auto" w:before="0"/>
        <w:ind w:left="3134" w:right="1383" w:firstLine="0"/>
        <w:jc w:val="center"/>
        <w:rPr>
          <w:rFonts w:ascii="Times New Roman"/>
          <w:sz w:val="28"/>
        </w:rPr>
      </w:pPr>
      <w:r>
        <w:rPr>
          <w:rFonts w:ascii="Times New Roman"/>
          <w:sz w:val="28"/>
        </w:rPr>
        <w:t>MAESTRA EN CIENCIAS AGROPECUARIAS Y RECURSOS NATURALES</w:t>
      </w:r>
    </w:p>
    <w:p>
      <w:pPr>
        <w:pStyle w:val="BodyText"/>
        <w:rPr>
          <w:rFonts w:ascii="Times New Roman"/>
          <w:sz w:val="28"/>
        </w:rPr>
      </w:pPr>
    </w:p>
    <w:p>
      <w:pPr>
        <w:pStyle w:val="BodyText"/>
        <w:rPr>
          <w:rFonts w:ascii="Times New Roman"/>
          <w:sz w:val="28"/>
        </w:rPr>
      </w:pPr>
    </w:p>
    <w:p>
      <w:pPr>
        <w:pStyle w:val="BodyText"/>
        <w:spacing w:before="6"/>
        <w:rPr>
          <w:rFonts w:ascii="Times New Roman"/>
          <w:sz w:val="28"/>
        </w:rPr>
      </w:pPr>
    </w:p>
    <w:p>
      <w:pPr>
        <w:spacing w:before="0"/>
        <w:ind w:left="2274" w:right="529" w:firstLine="0"/>
        <w:jc w:val="center"/>
        <w:rPr>
          <w:rFonts w:ascii="Times New Roman"/>
          <w:sz w:val="28"/>
        </w:rPr>
      </w:pPr>
      <w:r>
        <w:rPr>
          <w:rFonts w:ascii="Times New Roman"/>
          <w:sz w:val="28"/>
        </w:rPr>
        <w:t>PRESENTA:</w:t>
      </w:r>
    </w:p>
    <w:p>
      <w:pPr>
        <w:pStyle w:val="Heading1"/>
        <w:spacing w:before="166"/>
        <w:ind w:left="2273" w:right="529"/>
        <w:rPr>
          <w:rFonts w:ascii="Times New Roman"/>
        </w:rPr>
      </w:pPr>
      <w:r>
        <w:rPr>
          <w:rFonts w:ascii="Times New Roman"/>
        </w:rPr>
        <w:t>LIC. EN G. EDAENA PAMELA DIAZ GALINDO</w:t>
      </w:r>
    </w:p>
    <w:p>
      <w:pPr>
        <w:pStyle w:val="BodyText"/>
        <w:rPr>
          <w:rFonts w:ascii="Times New Roman"/>
          <w:b/>
          <w:sz w:val="28"/>
        </w:rPr>
      </w:pPr>
    </w:p>
    <w:p>
      <w:pPr>
        <w:pStyle w:val="BodyText"/>
        <w:rPr>
          <w:rFonts w:ascii="Times New Roman"/>
          <w:b/>
          <w:sz w:val="28"/>
        </w:rPr>
      </w:pPr>
    </w:p>
    <w:p>
      <w:pPr>
        <w:pStyle w:val="BodyText"/>
        <w:spacing w:before="7"/>
        <w:rPr>
          <w:rFonts w:ascii="Times New Roman"/>
          <w:b/>
          <w:sz w:val="35"/>
        </w:rPr>
      </w:pPr>
    </w:p>
    <w:p>
      <w:pPr>
        <w:spacing w:before="0"/>
        <w:ind w:left="4579" w:right="0" w:firstLine="0"/>
        <w:jc w:val="left"/>
        <w:rPr>
          <w:rFonts w:ascii="Times New Roman" w:hAnsi="Times New Roman"/>
          <w:sz w:val="20"/>
        </w:rPr>
      </w:pPr>
      <w:r>
        <w:rPr>
          <w:rFonts w:ascii="Times New Roman" w:hAnsi="Times New Roman"/>
          <w:sz w:val="20"/>
        </w:rPr>
        <w:t>El Cerrillo Piedras Blancas, Toluca, Estado de México, Enero 2016</w:t>
      </w:r>
    </w:p>
    <w:p>
      <w:pPr>
        <w:spacing w:after="0"/>
        <w:jc w:val="left"/>
        <w:rPr>
          <w:rFonts w:ascii="Times New Roman" w:hAnsi="Times New Roman"/>
          <w:sz w:val="20"/>
        </w:rPr>
        <w:sectPr>
          <w:type w:val="continuous"/>
          <w:pgSz w:w="12240" w:h="15840"/>
          <w:pgMar w:top="1300" w:bottom="280" w:left="560" w:right="1600"/>
        </w:sectPr>
      </w:pPr>
    </w:p>
    <w:p>
      <w:pPr>
        <w:pStyle w:val="BodyText"/>
        <w:spacing w:before="9"/>
        <w:rPr>
          <w:rFonts w:ascii="Times New Roman"/>
          <w:sz w:val="17"/>
        </w:rPr>
      </w:pPr>
    </w:p>
    <w:p>
      <w:pPr>
        <w:spacing w:line="360" w:lineRule="auto" w:before="66"/>
        <w:ind w:left="2276" w:right="529" w:firstLine="0"/>
        <w:jc w:val="center"/>
        <w:rPr>
          <w:rFonts w:ascii="Times New Roman" w:hAnsi="Times New Roman"/>
          <w:sz w:val="26"/>
        </w:rPr>
      </w:pPr>
      <w:r>
        <w:rPr/>
        <w:pict>
          <v:group style="position:absolute;margin-left:33.599998pt;margin-top:-10.263293pt;width:101.2pt;height:576.4pt;mso-position-horizontal-relative:page;mso-position-vertical-relative:paragraph;z-index:-216400" coordorigin="672,-205" coordsize="2024,11528">
            <v:shape style="position:absolute;left:672;top:-205;width:2023;height:1877" type="#_x0000_t75" stroked="false">
              <v:imagedata r:id="rId5" o:title=""/>
            </v:shape>
            <v:shape style="position:absolute;left:1518;top:1582;width:316;height:9711" coordorigin="1518,1582" coordsize="316,9711" path="m1534,1582l1518,11293m1834,1582l1818,8952e" filled="false" stroked="true" strokeweight="3pt" strokecolor="#000000">
              <v:path arrowok="t"/>
            </v:shape>
            <w10:wrap type="none"/>
          </v:group>
        </w:pict>
      </w:r>
      <w:r>
        <w:rPr>
          <w:rFonts w:ascii="Times New Roman" w:hAnsi="Times New Roman"/>
          <w:sz w:val="26"/>
        </w:rPr>
        <w:t>UNIVERSIDAD AUTÓNOMA DEL ESTADO DE MÉXICO MAESTRÍA Y DOCTORADO EN</w:t>
      </w:r>
    </w:p>
    <w:p>
      <w:pPr>
        <w:spacing w:before="6"/>
        <w:ind w:left="2273" w:right="529" w:firstLine="0"/>
        <w:jc w:val="center"/>
        <w:rPr>
          <w:rFonts w:ascii="Times New Roman"/>
          <w:sz w:val="26"/>
        </w:rPr>
      </w:pPr>
      <w:r>
        <w:rPr>
          <w:rFonts w:ascii="Times New Roman"/>
          <w:sz w:val="26"/>
        </w:rPr>
        <w:t>CIENCIAS AGROPECUARIAS Y RECURSOS NATURALES</w:t>
      </w:r>
    </w:p>
    <w:p>
      <w:pPr>
        <w:pStyle w:val="BodyText"/>
        <w:rPr>
          <w:rFonts w:ascii="Times New Roman"/>
          <w:sz w:val="26"/>
        </w:rPr>
      </w:pPr>
    </w:p>
    <w:p>
      <w:pPr>
        <w:pStyle w:val="BodyText"/>
        <w:spacing w:before="9"/>
        <w:rPr>
          <w:rFonts w:ascii="Times New Roman"/>
          <w:sz w:val="25"/>
        </w:rPr>
      </w:pPr>
    </w:p>
    <w:p>
      <w:pPr>
        <w:spacing w:before="0"/>
        <w:ind w:left="2673" w:right="468" w:firstLine="0"/>
        <w:jc w:val="left"/>
        <w:rPr>
          <w:rFonts w:ascii="Times New Roman" w:hAnsi="Times New Roman"/>
          <w:i/>
          <w:sz w:val="26"/>
        </w:rPr>
      </w:pPr>
      <w:r>
        <w:rPr>
          <w:rFonts w:ascii="Times New Roman" w:hAnsi="Times New Roman"/>
          <w:sz w:val="26"/>
        </w:rPr>
        <w:t>DETECCIÓN DE </w:t>
      </w:r>
      <w:r>
        <w:rPr>
          <w:rFonts w:ascii="Times New Roman" w:hAnsi="Times New Roman"/>
          <w:i/>
          <w:sz w:val="26"/>
        </w:rPr>
        <w:t>Staphylococcus aureus ORSA/MRSA</w:t>
      </w:r>
    </w:p>
    <w:p>
      <w:pPr>
        <w:spacing w:line="360" w:lineRule="auto" w:before="150"/>
        <w:ind w:left="2826" w:right="468" w:hanging="1013"/>
        <w:jc w:val="left"/>
        <w:rPr>
          <w:rFonts w:ascii="Times New Roman"/>
          <w:sz w:val="26"/>
        </w:rPr>
      </w:pPr>
      <w:r>
        <w:rPr>
          <w:rFonts w:ascii="Times New Roman"/>
          <w:sz w:val="26"/>
        </w:rPr>
        <w:t>EN QUESOS FRESCOS ARTESANALES COMERCIALIZADOS EN MERCADOS POPULARES EN EL VALLE DE TOLUCA</w:t>
      </w:r>
    </w:p>
    <w:p>
      <w:pPr>
        <w:pStyle w:val="BodyText"/>
        <w:spacing w:before="11"/>
        <w:rPr>
          <w:rFonts w:ascii="Times New Roman"/>
          <w:sz w:val="28"/>
        </w:rPr>
      </w:pPr>
    </w:p>
    <w:p>
      <w:pPr>
        <w:spacing w:before="0"/>
        <w:ind w:left="2276" w:right="528" w:firstLine="0"/>
        <w:jc w:val="center"/>
        <w:rPr>
          <w:rFonts w:ascii="Times New Roman"/>
          <w:b/>
          <w:sz w:val="72"/>
        </w:rPr>
      </w:pPr>
      <w:r>
        <w:rPr>
          <w:rFonts w:ascii="Times New Roman"/>
          <w:b/>
          <w:sz w:val="72"/>
        </w:rPr>
        <w:t>TESIS</w:t>
      </w:r>
    </w:p>
    <w:p>
      <w:pPr>
        <w:spacing w:before="316"/>
        <w:ind w:left="2271" w:right="529" w:firstLine="0"/>
        <w:jc w:val="center"/>
        <w:rPr>
          <w:rFonts w:ascii="Times New Roman"/>
          <w:sz w:val="26"/>
        </w:rPr>
      </w:pPr>
      <w:r>
        <w:rPr>
          <w:rFonts w:ascii="Times New Roman"/>
          <w:sz w:val="26"/>
        </w:rPr>
        <w:t>QUE PARA OBTENER EL GRADO DE</w:t>
      </w:r>
    </w:p>
    <w:p>
      <w:pPr>
        <w:pStyle w:val="BodyText"/>
        <w:rPr>
          <w:rFonts w:ascii="Times New Roman"/>
          <w:sz w:val="26"/>
        </w:rPr>
      </w:pPr>
    </w:p>
    <w:p>
      <w:pPr>
        <w:pStyle w:val="BodyText"/>
        <w:rPr>
          <w:rFonts w:ascii="Times New Roman"/>
          <w:sz w:val="26"/>
        </w:rPr>
      </w:pPr>
    </w:p>
    <w:p>
      <w:pPr>
        <w:spacing w:line="360" w:lineRule="auto" w:before="0"/>
        <w:ind w:left="3309" w:right="1565" w:firstLine="0"/>
        <w:jc w:val="center"/>
        <w:rPr>
          <w:rFonts w:ascii="Times New Roman"/>
          <w:sz w:val="26"/>
        </w:rPr>
      </w:pPr>
      <w:r>
        <w:rPr>
          <w:rFonts w:ascii="Times New Roman"/>
          <w:sz w:val="26"/>
        </w:rPr>
        <w:t>MAESTRA EN CIENCIAS AGROPECUARIAS Y RECURSOS NATURALES</w:t>
      </w:r>
    </w:p>
    <w:p>
      <w:pPr>
        <w:pStyle w:val="BodyText"/>
        <w:rPr>
          <w:rFonts w:ascii="Times New Roman"/>
          <w:sz w:val="26"/>
        </w:rPr>
      </w:pPr>
    </w:p>
    <w:p>
      <w:pPr>
        <w:spacing w:before="153"/>
        <w:ind w:left="2273" w:right="529" w:firstLine="0"/>
        <w:jc w:val="center"/>
        <w:rPr>
          <w:rFonts w:ascii="Times New Roman"/>
          <w:sz w:val="26"/>
        </w:rPr>
      </w:pPr>
      <w:r>
        <w:rPr>
          <w:rFonts w:ascii="Times New Roman"/>
          <w:sz w:val="26"/>
        </w:rPr>
        <w:t>PRESENTA</w:t>
      </w:r>
    </w:p>
    <w:p>
      <w:pPr>
        <w:spacing w:before="157"/>
        <w:ind w:left="2273" w:right="529" w:firstLine="0"/>
        <w:jc w:val="center"/>
        <w:rPr>
          <w:rFonts w:ascii="Times New Roman"/>
          <w:b/>
          <w:sz w:val="26"/>
        </w:rPr>
      </w:pPr>
      <w:r>
        <w:rPr>
          <w:rFonts w:ascii="Times New Roman"/>
          <w:b/>
          <w:sz w:val="26"/>
        </w:rPr>
        <w:t>LIC. EN G. EDAENA PAMELA DIAZ GALINDO</w:t>
      </w:r>
    </w:p>
    <w:p>
      <w:pPr>
        <w:pStyle w:val="BodyText"/>
        <w:rPr>
          <w:rFonts w:ascii="Times New Roman"/>
          <w:b/>
          <w:sz w:val="26"/>
        </w:rPr>
      </w:pPr>
    </w:p>
    <w:p>
      <w:pPr>
        <w:pStyle w:val="BodyText"/>
        <w:spacing w:before="7"/>
        <w:rPr>
          <w:rFonts w:ascii="Times New Roman"/>
          <w:b/>
          <w:sz w:val="25"/>
        </w:rPr>
      </w:pPr>
    </w:p>
    <w:p>
      <w:pPr>
        <w:spacing w:before="0"/>
        <w:ind w:left="2276" w:right="529" w:firstLine="0"/>
        <w:jc w:val="center"/>
        <w:rPr>
          <w:b/>
          <w:sz w:val="20"/>
        </w:rPr>
      </w:pPr>
      <w:r>
        <w:rPr>
          <w:b/>
          <w:sz w:val="20"/>
        </w:rPr>
        <w:t>COMITÉ DE TUTORES</w:t>
      </w:r>
    </w:p>
    <w:p>
      <w:pPr>
        <w:pStyle w:val="BodyText"/>
        <w:rPr>
          <w:b/>
          <w:sz w:val="20"/>
        </w:rPr>
      </w:pPr>
    </w:p>
    <w:p>
      <w:pPr>
        <w:pStyle w:val="BodyText"/>
        <w:spacing w:before="1"/>
        <w:rPr>
          <w:b/>
          <w:sz w:val="20"/>
        </w:rPr>
      </w:pPr>
    </w:p>
    <w:p>
      <w:pPr>
        <w:spacing w:before="0"/>
        <w:ind w:left="2274" w:right="529" w:firstLine="0"/>
        <w:jc w:val="center"/>
        <w:rPr>
          <w:sz w:val="20"/>
        </w:rPr>
      </w:pPr>
      <w:r>
        <w:rPr>
          <w:sz w:val="20"/>
        </w:rPr>
        <w:t>DIRECTOR DE TESIS</w:t>
      </w:r>
    </w:p>
    <w:p>
      <w:pPr>
        <w:spacing w:before="113"/>
        <w:ind w:left="2274" w:right="529" w:firstLine="0"/>
        <w:jc w:val="center"/>
        <w:rPr>
          <w:b/>
          <w:sz w:val="20"/>
        </w:rPr>
      </w:pPr>
      <w:r>
        <w:rPr>
          <w:b/>
          <w:sz w:val="20"/>
        </w:rPr>
        <w:t>DR. VALENTE VELAZQUEZ ORDOÑEZ</w:t>
      </w:r>
    </w:p>
    <w:p>
      <w:pPr>
        <w:pStyle w:val="BodyText"/>
        <w:spacing w:before="8"/>
        <w:rPr>
          <w:b/>
          <w:sz w:val="20"/>
        </w:rPr>
      </w:pPr>
    </w:p>
    <w:p>
      <w:pPr>
        <w:spacing w:before="0"/>
        <w:ind w:left="2276" w:right="529" w:firstLine="0"/>
        <w:jc w:val="center"/>
        <w:rPr>
          <w:sz w:val="20"/>
        </w:rPr>
      </w:pPr>
      <w:r>
        <w:rPr>
          <w:sz w:val="20"/>
        </w:rPr>
        <w:t>ASESORES</w:t>
      </w:r>
    </w:p>
    <w:p>
      <w:pPr>
        <w:spacing w:before="113"/>
        <w:ind w:left="2274" w:right="529" w:firstLine="0"/>
        <w:jc w:val="center"/>
        <w:rPr>
          <w:b/>
          <w:sz w:val="20"/>
        </w:rPr>
      </w:pPr>
      <w:r>
        <w:rPr>
          <w:b/>
          <w:sz w:val="20"/>
        </w:rPr>
        <w:t>Dra en C ADRIANA CARMEN GUTIERREZ CASTILLO</w:t>
      </w:r>
    </w:p>
    <w:p>
      <w:pPr>
        <w:spacing w:before="113"/>
        <w:ind w:left="3674" w:right="468" w:firstLine="0"/>
        <w:jc w:val="left"/>
        <w:rPr>
          <w:b/>
          <w:sz w:val="20"/>
        </w:rPr>
      </w:pPr>
      <w:r>
        <w:rPr>
          <w:b/>
          <w:sz w:val="20"/>
        </w:rPr>
        <w:t>M. en C. BENJAMÍN VALLADARES CARRANZA</w:t>
      </w:r>
    </w:p>
    <w:p>
      <w:pPr>
        <w:pStyle w:val="BodyText"/>
        <w:rPr>
          <w:b/>
          <w:sz w:val="20"/>
        </w:rPr>
      </w:pPr>
    </w:p>
    <w:p>
      <w:pPr>
        <w:pStyle w:val="BodyText"/>
        <w:spacing w:before="3"/>
        <w:rPr>
          <w:b/>
          <w:sz w:val="20"/>
        </w:rPr>
      </w:pPr>
    </w:p>
    <w:p>
      <w:pPr>
        <w:spacing w:before="0"/>
        <w:ind w:left="2276" w:right="529" w:firstLine="0"/>
        <w:jc w:val="center"/>
        <w:rPr>
          <w:sz w:val="20"/>
        </w:rPr>
      </w:pPr>
      <w:r>
        <w:rPr>
          <w:sz w:val="20"/>
        </w:rPr>
        <w:t>COLABORADORES</w:t>
      </w:r>
    </w:p>
    <w:p>
      <w:pPr>
        <w:spacing w:before="113"/>
        <w:ind w:left="2276" w:right="526" w:firstLine="0"/>
        <w:jc w:val="center"/>
        <w:rPr>
          <w:b/>
          <w:sz w:val="20"/>
        </w:rPr>
      </w:pPr>
      <w:r>
        <w:rPr>
          <w:b/>
          <w:sz w:val="20"/>
        </w:rPr>
        <w:t>Dra. PATRICIA CERVANTES ACOSTA</w:t>
      </w:r>
    </w:p>
    <w:p>
      <w:pPr>
        <w:pStyle w:val="BodyText"/>
        <w:rPr>
          <w:b/>
          <w:sz w:val="20"/>
        </w:rPr>
      </w:pPr>
    </w:p>
    <w:p>
      <w:pPr>
        <w:pStyle w:val="BodyText"/>
        <w:spacing w:before="9"/>
        <w:rPr>
          <w:b/>
          <w:sz w:val="25"/>
        </w:rPr>
      </w:pPr>
    </w:p>
    <w:p>
      <w:pPr>
        <w:spacing w:before="0"/>
        <w:ind w:left="4579" w:right="0" w:firstLine="0"/>
        <w:jc w:val="left"/>
        <w:rPr>
          <w:rFonts w:ascii="Times New Roman" w:hAnsi="Times New Roman"/>
          <w:sz w:val="20"/>
        </w:rPr>
      </w:pPr>
      <w:r>
        <w:rPr>
          <w:rFonts w:ascii="Times New Roman" w:hAnsi="Times New Roman"/>
          <w:sz w:val="20"/>
        </w:rPr>
        <w:t>El Cerrillo Piedras Blancas, Toluca, Estado de México, Enero 2016</w:t>
      </w:r>
    </w:p>
    <w:p>
      <w:pPr>
        <w:spacing w:after="0"/>
        <w:jc w:val="left"/>
        <w:rPr>
          <w:rFonts w:ascii="Times New Roman" w:hAnsi="Times New Roman"/>
          <w:sz w:val="20"/>
        </w:rPr>
        <w:sectPr>
          <w:pgSz w:w="12240" w:h="15840"/>
          <w:pgMar w:top="1140" w:bottom="280" w:left="560" w:right="1600"/>
        </w:sectPr>
      </w:pPr>
    </w:p>
    <w:p>
      <w:pPr>
        <w:pStyle w:val="BodyText"/>
        <w:spacing w:before="9"/>
        <w:rPr>
          <w:rFonts w:ascii="Times New Roman"/>
          <w:sz w:val="12"/>
        </w:rPr>
      </w:pPr>
    </w:p>
    <w:p>
      <w:pPr>
        <w:pStyle w:val="Heading2"/>
        <w:ind w:left="2251" w:right="1550"/>
      </w:pPr>
      <w:bookmarkStart w:name="_bookmark0" w:id="1"/>
      <w:bookmarkEnd w:id="1"/>
      <w:r>
        <w:rPr>
          <w:b w:val="0"/>
        </w:rPr>
      </w:r>
      <w:r>
        <w:rPr/>
        <w:t>AGRADECIMIENTOS INSTITUCIONALES</w:t>
      </w:r>
    </w:p>
    <w:p>
      <w:pPr>
        <w:pStyle w:val="ListParagraph"/>
        <w:numPr>
          <w:ilvl w:val="0"/>
          <w:numId w:val="1"/>
        </w:numPr>
        <w:tabs>
          <w:tab w:pos="862" w:val="left" w:leader="none"/>
        </w:tabs>
        <w:spacing w:line="470" w:lineRule="auto" w:before="137" w:after="0"/>
        <w:ind w:left="862" w:right="138" w:hanging="360"/>
        <w:jc w:val="both"/>
        <w:rPr>
          <w:sz w:val="20"/>
        </w:rPr>
      </w:pPr>
      <w:r>
        <w:rPr>
          <w:sz w:val="20"/>
        </w:rPr>
        <w:t>Al Consejo Nacional de Ciencia y Tecnología (CONACyT) por la beca otorgada con el número de registro de becario 543391, para cursar los estudios de Maestría en Ciencias Agropecuarias y Recursos</w:t>
      </w:r>
      <w:r>
        <w:rPr>
          <w:spacing w:val="-11"/>
          <w:sz w:val="20"/>
        </w:rPr>
        <w:t> </w:t>
      </w:r>
      <w:r>
        <w:rPr>
          <w:sz w:val="20"/>
        </w:rPr>
        <w:t>Naturales.</w:t>
      </w:r>
    </w:p>
    <w:p>
      <w:pPr>
        <w:pStyle w:val="ListParagraph"/>
        <w:numPr>
          <w:ilvl w:val="0"/>
          <w:numId w:val="1"/>
        </w:numPr>
        <w:tabs>
          <w:tab w:pos="862" w:val="left" w:leader="none"/>
        </w:tabs>
        <w:spacing w:line="463" w:lineRule="auto" w:before="17" w:after="0"/>
        <w:ind w:left="862" w:right="147" w:hanging="360"/>
        <w:jc w:val="both"/>
        <w:rPr>
          <w:sz w:val="20"/>
        </w:rPr>
      </w:pPr>
      <w:r>
        <w:rPr>
          <w:sz w:val="20"/>
        </w:rPr>
        <w:t>Al Consejo Mexiquense de Ciencia y Tecnología (COMECYT) por la beca de titulación otorgada.</w:t>
      </w:r>
    </w:p>
    <w:p>
      <w:pPr>
        <w:pStyle w:val="ListParagraph"/>
        <w:numPr>
          <w:ilvl w:val="0"/>
          <w:numId w:val="1"/>
        </w:numPr>
        <w:tabs>
          <w:tab w:pos="861" w:val="left" w:leader="none"/>
          <w:tab w:pos="862" w:val="left" w:leader="none"/>
        </w:tabs>
        <w:spacing w:line="240" w:lineRule="auto" w:before="24" w:after="0"/>
        <w:ind w:left="862" w:right="0" w:hanging="360"/>
        <w:jc w:val="left"/>
        <w:rPr>
          <w:sz w:val="20"/>
        </w:rPr>
      </w:pPr>
      <w:r>
        <w:rPr>
          <w:sz w:val="20"/>
        </w:rPr>
        <w:t>A la beca de Apoyos Complementarios para Mujeres Indígenas Becarias CONACYT</w:t>
      </w:r>
      <w:r>
        <w:rPr>
          <w:spacing w:val="-23"/>
          <w:sz w:val="20"/>
        </w:rPr>
        <w:t> </w:t>
      </w:r>
      <w:r>
        <w:rPr>
          <w:sz w:val="20"/>
        </w:rPr>
        <w:t>2014.</w:t>
      </w:r>
    </w:p>
    <w:p>
      <w:pPr>
        <w:pStyle w:val="BodyText"/>
        <w:spacing w:before="7"/>
        <w:rPr>
          <w:sz w:val="19"/>
        </w:rPr>
      </w:pPr>
    </w:p>
    <w:p>
      <w:pPr>
        <w:pStyle w:val="ListParagraph"/>
        <w:numPr>
          <w:ilvl w:val="0"/>
          <w:numId w:val="1"/>
        </w:numPr>
        <w:tabs>
          <w:tab w:pos="862" w:val="left" w:leader="none"/>
        </w:tabs>
        <w:spacing w:line="465" w:lineRule="auto" w:before="0" w:after="0"/>
        <w:ind w:left="862" w:right="136" w:hanging="360"/>
        <w:jc w:val="both"/>
        <w:rPr>
          <w:sz w:val="20"/>
        </w:rPr>
      </w:pPr>
      <w:r>
        <w:rPr>
          <w:sz w:val="20"/>
        </w:rPr>
        <w:t>Al proyecto de Investigación: Variación genética de aislamientos de </w:t>
      </w:r>
      <w:r>
        <w:rPr>
          <w:i/>
          <w:sz w:val="20"/>
        </w:rPr>
        <w:t>S. aureus </w:t>
      </w:r>
      <w:r>
        <w:rPr>
          <w:sz w:val="20"/>
        </w:rPr>
        <w:t>MRSA obtenidos de vacas lecheras en unidades de producción familiar Clave</w:t>
      </w:r>
      <w:r>
        <w:rPr>
          <w:spacing w:val="-27"/>
          <w:sz w:val="20"/>
        </w:rPr>
        <w:t> </w:t>
      </w:r>
      <w:r>
        <w:rPr>
          <w:sz w:val="20"/>
        </w:rPr>
        <w:t>3848/2013CHT.</w:t>
      </w:r>
    </w:p>
    <w:p>
      <w:pPr>
        <w:pStyle w:val="ListParagraph"/>
        <w:numPr>
          <w:ilvl w:val="0"/>
          <w:numId w:val="1"/>
        </w:numPr>
        <w:tabs>
          <w:tab w:pos="862" w:val="left" w:leader="none"/>
        </w:tabs>
        <w:spacing w:line="470" w:lineRule="auto" w:before="21" w:after="0"/>
        <w:ind w:left="862" w:right="143" w:hanging="360"/>
        <w:jc w:val="both"/>
        <w:rPr>
          <w:sz w:val="20"/>
        </w:rPr>
      </w:pPr>
      <w:r>
        <w:rPr>
          <w:sz w:val="20"/>
        </w:rPr>
        <w:t>Al Centro de Investigación y Estudios Avanzados en Salud Animal de la Facultad de Medicina</w:t>
      </w:r>
      <w:r>
        <w:rPr>
          <w:spacing w:val="-6"/>
          <w:sz w:val="20"/>
        </w:rPr>
        <w:t> </w:t>
      </w:r>
      <w:r>
        <w:rPr>
          <w:sz w:val="20"/>
        </w:rPr>
        <w:t>Veterinaria</w:t>
      </w:r>
      <w:r>
        <w:rPr>
          <w:spacing w:val="-2"/>
          <w:sz w:val="20"/>
        </w:rPr>
        <w:t> </w:t>
      </w:r>
      <w:r>
        <w:rPr>
          <w:sz w:val="20"/>
        </w:rPr>
        <w:t>y</w:t>
      </w:r>
      <w:r>
        <w:rPr>
          <w:spacing w:val="-9"/>
          <w:sz w:val="20"/>
        </w:rPr>
        <w:t> </w:t>
      </w:r>
      <w:r>
        <w:rPr>
          <w:sz w:val="20"/>
        </w:rPr>
        <w:t>Zootecnia</w:t>
      </w:r>
      <w:r>
        <w:rPr>
          <w:spacing w:val="-6"/>
          <w:sz w:val="20"/>
        </w:rPr>
        <w:t> </w:t>
      </w:r>
      <w:r>
        <w:rPr>
          <w:sz w:val="20"/>
        </w:rPr>
        <w:t>de</w:t>
      </w:r>
      <w:r>
        <w:rPr>
          <w:spacing w:val="-6"/>
          <w:sz w:val="20"/>
        </w:rPr>
        <w:t> </w:t>
      </w:r>
      <w:r>
        <w:rPr>
          <w:sz w:val="20"/>
        </w:rPr>
        <w:t>la</w:t>
      </w:r>
      <w:r>
        <w:rPr>
          <w:spacing w:val="-6"/>
          <w:sz w:val="20"/>
        </w:rPr>
        <w:t> </w:t>
      </w:r>
      <w:r>
        <w:rPr>
          <w:sz w:val="20"/>
        </w:rPr>
        <w:t>Universidad</w:t>
      </w:r>
      <w:r>
        <w:rPr>
          <w:spacing w:val="-4"/>
          <w:sz w:val="20"/>
        </w:rPr>
        <w:t> </w:t>
      </w:r>
      <w:r>
        <w:rPr>
          <w:sz w:val="20"/>
        </w:rPr>
        <w:t>Autónoma</w:t>
      </w:r>
      <w:r>
        <w:rPr>
          <w:spacing w:val="-6"/>
          <w:sz w:val="20"/>
        </w:rPr>
        <w:t> </w:t>
      </w:r>
      <w:r>
        <w:rPr>
          <w:sz w:val="20"/>
        </w:rPr>
        <w:t>del</w:t>
      </w:r>
      <w:r>
        <w:rPr>
          <w:spacing w:val="-6"/>
          <w:sz w:val="20"/>
        </w:rPr>
        <w:t> </w:t>
      </w:r>
      <w:r>
        <w:rPr>
          <w:sz w:val="20"/>
        </w:rPr>
        <w:t>Estado</w:t>
      </w:r>
      <w:r>
        <w:rPr>
          <w:spacing w:val="-6"/>
          <w:sz w:val="20"/>
        </w:rPr>
        <w:t> </w:t>
      </w:r>
      <w:r>
        <w:rPr>
          <w:sz w:val="20"/>
        </w:rPr>
        <w:t>de</w:t>
      </w:r>
      <w:r>
        <w:rPr>
          <w:spacing w:val="-6"/>
          <w:sz w:val="20"/>
        </w:rPr>
        <w:t> </w:t>
      </w:r>
      <w:r>
        <w:rPr>
          <w:sz w:val="20"/>
        </w:rPr>
        <w:t>México,</w:t>
      </w:r>
      <w:r>
        <w:rPr>
          <w:spacing w:val="-6"/>
          <w:sz w:val="20"/>
        </w:rPr>
        <w:t> </w:t>
      </w:r>
      <w:r>
        <w:rPr>
          <w:sz w:val="20"/>
        </w:rPr>
        <w:t>por</w:t>
      </w:r>
      <w:r>
        <w:rPr>
          <w:spacing w:val="-5"/>
          <w:sz w:val="20"/>
        </w:rPr>
        <w:t> </w:t>
      </w:r>
      <w:r>
        <w:rPr>
          <w:sz w:val="20"/>
        </w:rPr>
        <w:t>las facilidades otorgadas en la realización de este</w:t>
      </w:r>
      <w:r>
        <w:rPr>
          <w:spacing w:val="-15"/>
          <w:sz w:val="20"/>
        </w:rPr>
        <w:t> </w:t>
      </w:r>
      <w:r>
        <w:rPr>
          <w:sz w:val="20"/>
        </w:rPr>
        <w:t>trabajo.</w:t>
      </w:r>
    </w:p>
    <w:p>
      <w:pPr>
        <w:pStyle w:val="ListParagraph"/>
        <w:numPr>
          <w:ilvl w:val="0"/>
          <w:numId w:val="1"/>
        </w:numPr>
        <w:tabs>
          <w:tab w:pos="862" w:val="left" w:leader="none"/>
        </w:tabs>
        <w:spacing w:line="470" w:lineRule="auto" w:before="17" w:after="0"/>
        <w:ind w:left="862" w:right="140" w:hanging="360"/>
        <w:jc w:val="both"/>
        <w:rPr>
          <w:sz w:val="20"/>
        </w:rPr>
      </w:pPr>
      <w:r>
        <w:rPr>
          <w:sz w:val="20"/>
        </w:rPr>
        <w:t>A mis asesores Dr. Valente Velázquez Ordoñez, Mtro. Benjamín Valladares Carranza y a la Dra. Adriana del Carmen Gutiérrez Castillo por el apoyo y tiempo que brindaron para elaboración de esta</w:t>
      </w:r>
      <w:r>
        <w:rPr>
          <w:spacing w:val="-10"/>
          <w:sz w:val="20"/>
        </w:rPr>
        <w:t> </w:t>
      </w:r>
      <w:r>
        <w:rPr>
          <w:sz w:val="20"/>
        </w:rPr>
        <w:t>tesis.</w:t>
      </w:r>
    </w:p>
    <w:p>
      <w:pPr>
        <w:pStyle w:val="ListParagraph"/>
        <w:numPr>
          <w:ilvl w:val="0"/>
          <w:numId w:val="1"/>
        </w:numPr>
        <w:tabs>
          <w:tab w:pos="862" w:val="left" w:leader="none"/>
        </w:tabs>
        <w:spacing w:line="463" w:lineRule="auto" w:before="17" w:after="0"/>
        <w:ind w:left="862" w:right="146" w:hanging="360"/>
        <w:jc w:val="both"/>
        <w:rPr>
          <w:sz w:val="20"/>
        </w:rPr>
      </w:pPr>
      <w:r>
        <w:rPr>
          <w:sz w:val="20"/>
        </w:rPr>
        <w:t>Al</w:t>
      </w:r>
      <w:r>
        <w:rPr>
          <w:spacing w:val="-6"/>
          <w:sz w:val="20"/>
        </w:rPr>
        <w:t> </w:t>
      </w:r>
      <w:r>
        <w:rPr>
          <w:sz w:val="20"/>
        </w:rPr>
        <w:t>Instituto</w:t>
      </w:r>
      <w:r>
        <w:rPr>
          <w:spacing w:val="-6"/>
          <w:sz w:val="20"/>
        </w:rPr>
        <w:t> </w:t>
      </w:r>
      <w:r>
        <w:rPr>
          <w:sz w:val="20"/>
        </w:rPr>
        <w:t>de</w:t>
      </w:r>
      <w:r>
        <w:rPr>
          <w:spacing w:val="-6"/>
          <w:sz w:val="20"/>
        </w:rPr>
        <w:t> </w:t>
      </w:r>
      <w:r>
        <w:rPr>
          <w:sz w:val="20"/>
        </w:rPr>
        <w:t>Ciencias</w:t>
      </w:r>
      <w:r>
        <w:rPr>
          <w:spacing w:val="-5"/>
          <w:sz w:val="20"/>
        </w:rPr>
        <w:t> </w:t>
      </w:r>
      <w:r>
        <w:rPr>
          <w:sz w:val="20"/>
        </w:rPr>
        <w:t>Agropecuarias</w:t>
      </w:r>
      <w:r>
        <w:rPr>
          <w:spacing w:val="-3"/>
          <w:sz w:val="20"/>
        </w:rPr>
        <w:t> </w:t>
      </w:r>
      <w:r>
        <w:rPr>
          <w:sz w:val="20"/>
        </w:rPr>
        <w:t>y</w:t>
      </w:r>
      <w:r>
        <w:rPr>
          <w:spacing w:val="-9"/>
          <w:sz w:val="20"/>
        </w:rPr>
        <w:t> </w:t>
      </w:r>
      <w:r>
        <w:rPr>
          <w:sz w:val="20"/>
        </w:rPr>
        <w:t>Rurales</w:t>
      </w:r>
      <w:r>
        <w:rPr>
          <w:spacing w:val="-5"/>
          <w:sz w:val="20"/>
        </w:rPr>
        <w:t> </w:t>
      </w:r>
      <w:r>
        <w:rPr>
          <w:sz w:val="20"/>
        </w:rPr>
        <w:t>por</w:t>
      </w:r>
      <w:r>
        <w:rPr>
          <w:spacing w:val="-5"/>
          <w:sz w:val="20"/>
        </w:rPr>
        <w:t> </w:t>
      </w:r>
      <w:r>
        <w:rPr>
          <w:sz w:val="20"/>
        </w:rPr>
        <w:t>las</w:t>
      </w:r>
      <w:r>
        <w:rPr>
          <w:spacing w:val="-4"/>
          <w:sz w:val="20"/>
        </w:rPr>
        <w:t> </w:t>
      </w:r>
      <w:r>
        <w:rPr>
          <w:sz w:val="20"/>
        </w:rPr>
        <w:t>facilidades</w:t>
      </w:r>
      <w:r>
        <w:rPr>
          <w:spacing w:val="-3"/>
          <w:sz w:val="20"/>
        </w:rPr>
        <w:t> </w:t>
      </w:r>
      <w:r>
        <w:rPr>
          <w:sz w:val="20"/>
        </w:rPr>
        <w:t>y</w:t>
      </w:r>
      <w:r>
        <w:rPr>
          <w:spacing w:val="-9"/>
          <w:sz w:val="20"/>
        </w:rPr>
        <w:t> </w:t>
      </w:r>
      <w:r>
        <w:rPr>
          <w:sz w:val="20"/>
        </w:rPr>
        <w:t>capacitación</w:t>
      </w:r>
      <w:r>
        <w:rPr>
          <w:spacing w:val="-4"/>
          <w:sz w:val="20"/>
        </w:rPr>
        <w:t> </w:t>
      </w:r>
      <w:r>
        <w:rPr>
          <w:sz w:val="20"/>
        </w:rPr>
        <w:t>para</w:t>
      </w:r>
      <w:r>
        <w:rPr>
          <w:spacing w:val="-6"/>
          <w:sz w:val="20"/>
        </w:rPr>
        <w:t> </w:t>
      </w:r>
      <w:r>
        <w:rPr>
          <w:sz w:val="20"/>
        </w:rPr>
        <w:t>usar las instalaciones y el equipo en las determinaciones</w:t>
      </w:r>
      <w:r>
        <w:rPr>
          <w:spacing w:val="-18"/>
          <w:sz w:val="20"/>
        </w:rPr>
        <w:t> </w:t>
      </w:r>
      <w:r>
        <w:rPr>
          <w:sz w:val="20"/>
        </w:rPr>
        <w:t>fisicoquímicas.</w:t>
      </w:r>
    </w:p>
    <w:p>
      <w:pPr>
        <w:pStyle w:val="ListParagraph"/>
        <w:numPr>
          <w:ilvl w:val="0"/>
          <w:numId w:val="1"/>
        </w:numPr>
        <w:tabs>
          <w:tab w:pos="862" w:val="left" w:leader="none"/>
        </w:tabs>
        <w:spacing w:line="475" w:lineRule="auto" w:before="24" w:after="0"/>
        <w:ind w:left="862" w:right="141" w:hanging="360"/>
        <w:jc w:val="both"/>
        <w:rPr>
          <w:sz w:val="20"/>
        </w:rPr>
      </w:pPr>
      <w:r>
        <w:rPr>
          <w:sz w:val="20"/>
        </w:rPr>
        <w:t>Al laboratorio de Ciencias Ambientales de los Servicios Externos de la Facultad de</w:t>
      </w:r>
      <w:r>
        <w:rPr>
          <w:spacing w:val="-30"/>
          <w:sz w:val="20"/>
        </w:rPr>
        <w:t> </w:t>
      </w:r>
      <w:r>
        <w:rPr>
          <w:sz w:val="20"/>
        </w:rPr>
        <w:t>Química de la Universidad Autónoma del Estado de México pero especialmente al Químico Sergio Maya y al Técnico Roberto por la capacitación para la realización de las pruebas de humedad, cenizas y cloruro de</w:t>
      </w:r>
      <w:r>
        <w:rPr>
          <w:spacing w:val="-12"/>
          <w:sz w:val="20"/>
        </w:rPr>
        <w:t> </w:t>
      </w:r>
      <w:r>
        <w:rPr>
          <w:sz w:val="20"/>
        </w:rPr>
        <w:t>Sodio</w:t>
      </w:r>
    </w:p>
    <w:p>
      <w:pPr>
        <w:spacing w:after="0" w:line="475" w:lineRule="auto"/>
        <w:jc w:val="both"/>
        <w:rPr>
          <w:sz w:val="20"/>
        </w:rPr>
        <w:sectPr>
          <w:headerReference w:type="default" r:id="rId6"/>
          <w:footerReference w:type="default" r:id="rId7"/>
          <w:pgSz w:w="12240" w:h="15840"/>
          <w:pgMar w:header="728" w:footer="1135" w:top="1200" w:bottom="1320" w:left="1560" w:right="1560"/>
          <w:pgNumType w:start="2"/>
        </w:sectPr>
      </w:pPr>
    </w:p>
    <w:p>
      <w:pPr>
        <w:pStyle w:val="BodyText"/>
        <w:rPr>
          <w:sz w:val="20"/>
        </w:rPr>
      </w:pPr>
    </w:p>
    <w:p>
      <w:pPr>
        <w:pStyle w:val="BodyText"/>
        <w:rPr>
          <w:sz w:val="20"/>
        </w:rPr>
      </w:pPr>
    </w:p>
    <w:p>
      <w:pPr>
        <w:pStyle w:val="BodyText"/>
        <w:rPr>
          <w:sz w:val="20"/>
        </w:rPr>
      </w:pPr>
    </w:p>
    <w:p>
      <w:pPr>
        <w:pStyle w:val="BodyText"/>
        <w:spacing w:before="9"/>
      </w:pPr>
    </w:p>
    <w:p>
      <w:pPr>
        <w:pStyle w:val="Heading2"/>
        <w:ind w:left="2578" w:right="1550"/>
      </w:pPr>
      <w:bookmarkStart w:name="_bookmark1" w:id="2"/>
      <w:bookmarkEnd w:id="2"/>
      <w:r>
        <w:rPr>
          <w:b w:val="0"/>
        </w:rPr>
      </w:r>
      <w:r>
        <w:rPr/>
        <w:t>AGRADECIMIENTOS ESPECIALES</w:t>
      </w:r>
    </w:p>
    <w:p>
      <w:pPr>
        <w:pStyle w:val="BodyText"/>
        <w:rPr>
          <w:b/>
        </w:rPr>
      </w:pPr>
    </w:p>
    <w:p>
      <w:pPr>
        <w:pStyle w:val="BodyText"/>
        <w:rPr>
          <w:b/>
        </w:rPr>
      </w:pPr>
    </w:p>
    <w:p>
      <w:pPr>
        <w:spacing w:before="164"/>
        <w:ind w:left="142" w:right="1550" w:firstLine="0"/>
        <w:jc w:val="left"/>
        <w:rPr>
          <w:sz w:val="20"/>
        </w:rPr>
      </w:pPr>
      <w:r>
        <w:rPr>
          <w:sz w:val="20"/>
        </w:rPr>
        <w:t>A Dios por darme la vida y guiar mi camino.</w:t>
      </w:r>
    </w:p>
    <w:p>
      <w:pPr>
        <w:pStyle w:val="BodyText"/>
        <w:rPr>
          <w:sz w:val="20"/>
        </w:rPr>
      </w:pPr>
    </w:p>
    <w:p>
      <w:pPr>
        <w:spacing w:line="477" w:lineRule="auto" w:before="1"/>
        <w:ind w:left="142" w:right="1550" w:firstLine="0"/>
        <w:jc w:val="left"/>
        <w:rPr>
          <w:sz w:val="20"/>
        </w:rPr>
      </w:pPr>
      <w:r>
        <w:rPr>
          <w:sz w:val="20"/>
        </w:rPr>
        <w:t>A mi mamá por educarme con amor, paciencia y haberme formado como persona. A mi papá por enseñarme las facetas de la vida.</w:t>
      </w:r>
    </w:p>
    <w:p>
      <w:pPr>
        <w:spacing w:line="480" w:lineRule="auto" w:before="10"/>
        <w:ind w:left="142" w:right="63" w:firstLine="0"/>
        <w:jc w:val="left"/>
        <w:rPr>
          <w:sz w:val="20"/>
        </w:rPr>
      </w:pPr>
      <w:r>
        <w:rPr>
          <w:sz w:val="20"/>
        </w:rPr>
        <w:t>A mi hermana Lily por acompañarme en muchas aventuras buenas y malas y ser siempre mi cómplice.</w:t>
      </w:r>
    </w:p>
    <w:p>
      <w:pPr>
        <w:spacing w:line="480" w:lineRule="auto" w:before="5"/>
        <w:ind w:left="142" w:right="63" w:firstLine="0"/>
        <w:jc w:val="left"/>
        <w:rPr>
          <w:sz w:val="20"/>
        </w:rPr>
      </w:pPr>
      <w:r>
        <w:rPr>
          <w:sz w:val="20"/>
        </w:rPr>
        <w:t>A Hernando por financiar y facilitar el muestreo y procesamiento de datos de la tesis pero especialmente por estar conmigo siempre.</w:t>
      </w:r>
    </w:p>
    <w:p>
      <w:pPr>
        <w:spacing w:line="480" w:lineRule="auto" w:before="5"/>
        <w:ind w:left="142" w:right="63" w:firstLine="0"/>
        <w:jc w:val="left"/>
        <w:rPr>
          <w:sz w:val="20"/>
        </w:rPr>
      </w:pPr>
      <w:r>
        <w:rPr>
          <w:sz w:val="20"/>
        </w:rPr>
        <w:t>A mis compañeros de CIESA: Víctor, Vladimir, Fernando, Wael, Juan Carlos (Qfb) Selene porque la estancia en los laboratorios y fuera de ellos fue más agradable en su compañía.</w:t>
      </w:r>
    </w:p>
    <w:p>
      <w:pPr>
        <w:spacing w:line="477" w:lineRule="auto" w:before="7"/>
        <w:ind w:left="142" w:right="63" w:firstLine="0"/>
        <w:jc w:val="left"/>
        <w:rPr>
          <w:sz w:val="20"/>
        </w:rPr>
      </w:pPr>
      <w:r>
        <w:rPr>
          <w:sz w:val="20"/>
        </w:rPr>
        <w:t>Pero sobre todo a mi jefa de laboratorio Ana María Gamma por todos los conocimientos y técnicas de laboratorio que me enseñó.</w:t>
      </w:r>
    </w:p>
    <w:p>
      <w:pPr>
        <w:spacing w:line="480" w:lineRule="auto" w:before="9"/>
        <w:ind w:left="142" w:right="63" w:firstLine="0"/>
        <w:jc w:val="left"/>
        <w:rPr>
          <w:sz w:val="20"/>
        </w:rPr>
      </w:pPr>
      <w:r>
        <w:rPr>
          <w:sz w:val="20"/>
        </w:rPr>
        <w:t>A mis compañeros del ICAR: Dalia, Isra y Felipe por ser tan buenas personitas y enseñarme las técnicas y a usar los equipos, además de la ayuda que me brindaron en mi estancia.</w:t>
      </w:r>
    </w:p>
    <w:p>
      <w:pPr>
        <w:spacing w:after="0" w:line="480" w:lineRule="auto"/>
        <w:jc w:val="left"/>
        <w:rPr>
          <w:sz w:val="20"/>
        </w:rPr>
        <w:sectPr>
          <w:pgSz w:w="12240" w:h="15840"/>
          <w:pgMar w:header="728" w:footer="1135" w:top="1200" w:bottom="1320" w:left="1560" w:right="1560"/>
        </w:sectPr>
      </w:pPr>
    </w:p>
    <w:p>
      <w:pPr>
        <w:pStyle w:val="BodyText"/>
        <w:spacing w:before="9"/>
        <w:rPr>
          <w:sz w:val="12"/>
        </w:rPr>
      </w:pPr>
    </w:p>
    <w:p>
      <w:pPr>
        <w:pStyle w:val="Heading2"/>
        <w:ind w:left="0" w:right="2"/>
        <w:jc w:val="center"/>
      </w:pPr>
      <w:bookmarkStart w:name="_bookmark2" w:id="3"/>
      <w:bookmarkEnd w:id="3"/>
      <w:r>
        <w:rPr>
          <w:b w:val="0"/>
        </w:rPr>
      </w:r>
      <w:r>
        <w:rPr/>
        <w:t>DEDICATORIAS</w:t>
      </w:r>
    </w:p>
    <w:p>
      <w:pPr>
        <w:pStyle w:val="BodyText"/>
        <w:rPr>
          <w:b/>
        </w:rPr>
      </w:pPr>
    </w:p>
    <w:p>
      <w:pPr>
        <w:pStyle w:val="BodyText"/>
        <w:rPr>
          <w:b/>
        </w:rPr>
      </w:pPr>
    </w:p>
    <w:p>
      <w:pPr>
        <w:pStyle w:val="BodyText"/>
        <w:spacing w:before="5"/>
        <w:rPr>
          <w:b/>
          <w:sz w:val="31"/>
        </w:rPr>
      </w:pPr>
    </w:p>
    <w:p>
      <w:pPr>
        <w:spacing w:before="0"/>
        <w:ind w:left="142" w:right="1550" w:firstLine="0"/>
        <w:jc w:val="left"/>
        <w:rPr>
          <w:sz w:val="20"/>
        </w:rPr>
      </w:pPr>
      <w:r>
        <w:rPr>
          <w:sz w:val="20"/>
        </w:rPr>
        <w:t>Este trabajo se lo dedico de manera especial a mi familia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9"/>
        </w:rPr>
      </w:pPr>
    </w:p>
    <w:p>
      <w:pPr>
        <w:spacing w:line="672" w:lineRule="auto" w:before="0"/>
        <w:ind w:left="1913" w:right="1861" w:firstLine="151"/>
        <w:jc w:val="left"/>
        <w:rPr>
          <w:sz w:val="20"/>
        </w:rPr>
      </w:pPr>
      <w:r>
        <w:rPr>
          <w:sz w:val="20"/>
        </w:rPr>
        <w:t>El conocimiento es poder. La información es libertadora. La educación es la premisa del progreso, en toda sociedad,</w:t>
      </w:r>
    </w:p>
    <w:p>
      <w:pPr>
        <w:spacing w:before="9"/>
        <w:ind w:left="0" w:right="1" w:firstLine="0"/>
        <w:jc w:val="center"/>
        <w:rPr>
          <w:sz w:val="20"/>
        </w:rPr>
      </w:pPr>
      <w:r>
        <w:rPr>
          <w:sz w:val="20"/>
        </w:rPr>
        <w:t>en toda Familia.</w:t>
      </w:r>
    </w:p>
    <w:p>
      <w:pPr>
        <w:pStyle w:val="BodyText"/>
        <w:rPr>
          <w:sz w:val="20"/>
        </w:rPr>
      </w:pPr>
    </w:p>
    <w:p>
      <w:pPr>
        <w:pStyle w:val="BodyText"/>
        <w:spacing w:before="10"/>
        <w:rPr>
          <w:sz w:val="15"/>
        </w:rPr>
      </w:pPr>
    </w:p>
    <w:p>
      <w:pPr>
        <w:spacing w:before="0"/>
        <w:ind w:left="0" w:right="0" w:firstLine="0"/>
        <w:jc w:val="center"/>
        <w:rPr>
          <w:sz w:val="20"/>
        </w:rPr>
      </w:pPr>
      <w:r>
        <w:rPr>
          <w:sz w:val="20"/>
        </w:rPr>
        <w:t>Kofi Annan</w:t>
      </w:r>
    </w:p>
    <w:p>
      <w:pPr>
        <w:spacing w:after="0"/>
        <w:jc w:val="center"/>
        <w:rPr>
          <w:sz w:val="20"/>
        </w:rPr>
        <w:sectPr>
          <w:pgSz w:w="12240" w:h="15840"/>
          <w:pgMar w:header="728" w:footer="1135" w:top="1200" w:bottom="1320" w:left="1560" w:right="1560"/>
        </w:sectPr>
      </w:pPr>
    </w:p>
    <w:p>
      <w:pPr>
        <w:pStyle w:val="BodyText"/>
        <w:spacing w:before="3"/>
        <w:rPr>
          <w:sz w:val="12"/>
        </w:rPr>
      </w:pPr>
    </w:p>
    <w:p>
      <w:pPr>
        <w:spacing w:before="73"/>
        <w:ind w:left="0" w:right="0" w:firstLine="0"/>
        <w:jc w:val="center"/>
        <w:rPr>
          <w:b/>
          <w:sz w:val="22"/>
        </w:rPr>
      </w:pPr>
      <w:r>
        <w:rPr>
          <w:b/>
          <w:sz w:val="22"/>
        </w:rPr>
        <w:t>CONTENIDO</w:t>
      </w:r>
    </w:p>
    <w:p>
      <w:pPr>
        <w:spacing w:after="0"/>
        <w:jc w:val="center"/>
        <w:rPr>
          <w:sz w:val="22"/>
        </w:rPr>
        <w:sectPr>
          <w:pgSz w:w="12240" w:h="15840"/>
          <w:pgMar w:header="728" w:footer="1135" w:top="1200" w:bottom="1719" w:left="1560" w:right="1560"/>
        </w:sectPr>
      </w:pPr>
    </w:p>
    <w:sdt>
      <w:sdtPr>
        <w:docPartObj>
          <w:docPartGallery w:val="Table of Contents"/>
          <w:docPartUnique/>
        </w:docPartObj>
      </w:sdtPr>
      <w:sdtEndPr/>
      <w:sdtContent>
        <w:p>
          <w:pPr>
            <w:pStyle w:val="TOC1"/>
            <w:tabs>
              <w:tab w:pos="8828" w:val="right" w:leader="dot"/>
            </w:tabs>
            <w:spacing w:before="24"/>
            <w:rPr>
              <w:rFonts w:ascii="Calibri"/>
              <w:b w:val="0"/>
            </w:rPr>
          </w:pPr>
          <w:hyperlink w:history="true" w:anchor="_bookmark0">
            <w:r>
              <w:rPr/>
              <w:t>AGRADECIMIENTOS</w:t>
            </w:r>
            <w:r>
              <w:rPr>
                <w:spacing w:val="-2"/>
              </w:rPr>
              <w:t> </w:t>
            </w:r>
            <w:r>
              <w:rPr/>
              <w:t>INSTITUCIONALES</w:t>
            </w:r>
            <w:r>
              <w:rPr>
                <w:rFonts w:ascii="Calibri"/>
                <w:b w:val="0"/>
              </w:rPr>
              <w:tab/>
              <w:t>ii</w:t>
            </w:r>
          </w:hyperlink>
        </w:p>
        <w:p>
          <w:pPr>
            <w:pStyle w:val="TOC1"/>
            <w:tabs>
              <w:tab w:pos="8828" w:val="right" w:leader="dot"/>
            </w:tabs>
            <w:rPr>
              <w:rFonts w:ascii="Calibri"/>
              <w:b w:val="0"/>
            </w:rPr>
          </w:pPr>
          <w:hyperlink w:history="true" w:anchor="_bookmark1">
            <w:r>
              <w:rPr/>
              <w:t>AGRADECIMIENTOS</w:t>
            </w:r>
            <w:r>
              <w:rPr>
                <w:spacing w:val="-2"/>
              </w:rPr>
              <w:t> </w:t>
            </w:r>
            <w:r>
              <w:rPr/>
              <w:t>ESPECIALES</w:t>
            </w:r>
            <w:r>
              <w:rPr>
                <w:rFonts w:ascii="Calibri"/>
                <w:b w:val="0"/>
              </w:rPr>
              <w:tab/>
              <w:t>iii</w:t>
            </w:r>
          </w:hyperlink>
        </w:p>
        <w:p>
          <w:pPr>
            <w:pStyle w:val="TOC3"/>
            <w:tabs>
              <w:tab w:pos="8969" w:val="right" w:leader="dot"/>
            </w:tabs>
            <w:ind w:left="142"/>
            <w:jc w:val="left"/>
            <w:rPr>
              <w:rFonts w:ascii="Calibri"/>
              <w:b w:val="0"/>
            </w:rPr>
          </w:pPr>
          <w:hyperlink w:history="true" w:anchor="_bookmark2">
            <w:r>
              <w:rPr/>
              <w:t>DEDICATORIAS</w:t>
            </w:r>
            <w:r>
              <w:rPr>
                <w:rFonts w:ascii="Calibri"/>
                <w:b w:val="0"/>
              </w:rPr>
              <w:tab/>
              <w:t>iv</w:t>
            </w:r>
          </w:hyperlink>
        </w:p>
        <w:p>
          <w:pPr>
            <w:pStyle w:val="TOC5"/>
            <w:tabs>
              <w:tab w:pos="8969" w:val="right" w:leader="dot"/>
            </w:tabs>
            <w:spacing w:before="123"/>
            <w:ind w:left="142"/>
            <w:jc w:val="left"/>
            <w:rPr>
              <w:rFonts w:ascii="Calibri"/>
              <w:b w:val="0"/>
              <w:i w:val="0"/>
              <w:sz w:val="20"/>
            </w:rPr>
          </w:pPr>
          <w:hyperlink w:history="true" w:anchor="_bookmark3">
            <w:r>
              <w:rPr>
                <w:i w:val="0"/>
                <w:sz w:val="20"/>
              </w:rPr>
              <w:t>INDICE DE CUADROS</w:t>
            </w:r>
            <w:r>
              <w:rPr>
                <w:rFonts w:ascii="Calibri"/>
                <w:b w:val="0"/>
                <w:i w:val="0"/>
                <w:sz w:val="20"/>
              </w:rPr>
              <w:tab/>
              <w:t>viii</w:t>
            </w:r>
          </w:hyperlink>
        </w:p>
        <w:p>
          <w:pPr>
            <w:pStyle w:val="TOC1"/>
            <w:tabs>
              <w:tab w:pos="8828" w:val="right" w:leader="dot"/>
            </w:tabs>
            <w:spacing w:before="125"/>
            <w:rPr>
              <w:rFonts w:ascii="Calibri"/>
              <w:b w:val="0"/>
            </w:rPr>
          </w:pPr>
          <w:hyperlink w:history="true" w:anchor="_bookmark4">
            <w:r>
              <w:rPr/>
              <w:t>INDICE DE FIGURAS</w:t>
            </w:r>
            <w:r>
              <w:rPr>
                <w:rFonts w:ascii="Calibri"/>
                <w:b w:val="0"/>
              </w:rPr>
              <w:tab/>
              <w:t>ix</w:t>
            </w:r>
          </w:hyperlink>
        </w:p>
        <w:p>
          <w:pPr>
            <w:pStyle w:val="TOC1"/>
            <w:tabs>
              <w:tab w:pos="8828" w:val="right" w:leader="dot"/>
            </w:tabs>
            <w:rPr>
              <w:rFonts w:ascii="Calibri" w:hAnsi="Calibri"/>
              <w:b w:val="0"/>
            </w:rPr>
          </w:pPr>
          <w:hyperlink w:history="true" w:anchor="_bookmark5">
            <w:r>
              <w:rPr/>
              <w:t>INDICE DE GRÁFICAS</w:t>
            </w:r>
            <w:r>
              <w:rPr>
                <w:spacing w:val="2"/>
              </w:rPr>
              <w:t> </w:t>
            </w:r>
            <w:r>
              <w:rPr/>
              <w:t>Y</w:t>
            </w:r>
            <w:r>
              <w:rPr>
                <w:spacing w:val="2"/>
              </w:rPr>
              <w:t> </w:t>
            </w:r>
            <w:r>
              <w:rPr/>
              <w:t>DIAGRAMAS</w:t>
            </w:r>
            <w:r>
              <w:rPr>
                <w:rFonts w:ascii="Calibri" w:hAnsi="Calibri"/>
                <w:b w:val="0"/>
              </w:rPr>
              <w:tab/>
              <w:t>x</w:t>
            </w:r>
          </w:hyperlink>
        </w:p>
        <w:p>
          <w:pPr>
            <w:pStyle w:val="TOC1"/>
            <w:tabs>
              <w:tab w:pos="8828" w:val="right" w:leader="dot"/>
            </w:tabs>
            <w:spacing w:before="125"/>
            <w:ind w:right="4"/>
            <w:rPr>
              <w:rFonts w:ascii="Calibri"/>
              <w:b w:val="0"/>
            </w:rPr>
          </w:pPr>
          <w:hyperlink w:history="true" w:anchor="_bookmark6">
            <w:r>
              <w:rPr/>
              <w:t>ABREVIATURAS</w:t>
            </w:r>
            <w:r>
              <w:rPr>
                <w:rFonts w:ascii="Calibri"/>
                <w:b w:val="0"/>
              </w:rPr>
              <w:tab/>
              <w:t>xi</w:t>
            </w:r>
          </w:hyperlink>
        </w:p>
        <w:p>
          <w:pPr>
            <w:pStyle w:val="TOC2"/>
            <w:tabs>
              <w:tab w:pos="8828" w:val="right" w:leader="dot"/>
            </w:tabs>
            <w:rPr>
              <w:rFonts w:ascii="Calibri"/>
              <w:b w:val="0"/>
              <w:i w:val="0"/>
              <w:sz w:val="20"/>
            </w:rPr>
          </w:pPr>
          <w:hyperlink w:history="true" w:anchor="_bookmark7">
            <w:r>
              <w:rPr>
                <w:i w:val="0"/>
                <w:sz w:val="20"/>
              </w:rPr>
              <w:t>RESUMEN</w:t>
            </w:r>
            <w:r>
              <w:rPr>
                <w:rFonts w:ascii="Calibri"/>
                <w:b w:val="0"/>
                <w:i w:val="0"/>
                <w:sz w:val="20"/>
              </w:rPr>
              <w:tab/>
              <w:t>xiii</w:t>
            </w:r>
          </w:hyperlink>
        </w:p>
        <w:p>
          <w:pPr>
            <w:pStyle w:val="TOC3"/>
            <w:numPr>
              <w:ilvl w:val="0"/>
              <w:numId w:val="2"/>
            </w:numPr>
            <w:tabs>
              <w:tab w:pos="309" w:val="left" w:leader="none"/>
              <w:tab w:pos="8828" w:val="right" w:leader="dot"/>
            </w:tabs>
            <w:spacing w:line="240" w:lineRule="auto" w:before="123" w:after="0"/>
            <w:ind w:left="308" w:right="4" w:hanging="166"/>
            <w:jc w:val="center"/>
            <w:rPr>
              <w:rFonts w:ascii="Calibri" w:hAnsi="Calibri"/>
              <w:b w:val="0"/>
            </w:rPr>
          </w:pPr>
          <w:hyperlink w:history="true" w:anchor="_bookmark8">
            <w:r>
              <w:rPr/>
              <w:t>INTRODUCCIÓN</w:t>
            </w:r>
            <w:r>
              <w:rPr>
                <w:rFonts w:ascii="Calibri" w:hAnsi="Calibri"/>
                <w:b w:val="0"/>
              </w:rPr>
              <w:tab/>
              <w:t>1</w:t>
            </w:r>
          </w:hyperlink>
        </w:p>
        <w:p>
          <w:pPr>
            <w:pStyle w:val="TOC3"/>
            <w:numPr>
              <w:ilvl w:val="0"/>
              <w:numId w:val="2"/>
            </w:numPr>
            <w:tabs>
              <w:tab w:pos="363" w:val="left" w:leader="none"/>
              <w:tab w:pos="8828" w:val="right" w:leader="dot"/>
            </w:tabs>
            <w:spacing w:line="240" w:lineRule="auto" w:before="125" w:after="0"/>
            <w:ind w:left="362" w:right="4" w:hanging="220"/>
            <w:jc w:val="center"/>
            <w:rPr>
              <w:rFonts w:ascii="Calibri" w:hAnsi="Calibri"/>
              <w:b w:val="0"/>
            </w:rPr>
          </w:pPr>
          <w:hyperlink w:history="true" w:anchor="_bookmark9">
            <w:r>
              <w:rPr/>
              <w:t>REVISIÓN</w:t>
            </w:r>
            <w:r>
              <w:rPr>
                <w:spacing w:val="-1"/>
              </w:rPr>
              <w:t> </w:t>
            </w:r>
            <w:r>
              <w:rPr/>
              <w:t>DE</w:t>
            </w:r>
            <w:r>
              <w:rPr>
                <w:spacing w:val="-1"/>
              </w:rPr>
              <w:t> </w:t>
            </w:r>
            <w:r>
              <w:rPr/>
              <w:t>LITERATURA</w:t>
            </w:r>
            <w:r>
              <w:rPr>
                <w:rFonts w:ascii="Calibri" w:hAnsi="Calibri"/>
                <w:b w:val="0"/>
              </w:rPr>
              <w:tab/>
              <w:t>2</w:t>
            </w:r>
          </w:hyperlink>
        </w:p>
        <w:p>
          <w:pPr>
            <w:pStyle w:val="TOC5"/>
            <w:numPr>
              <w:ilvl w:val="1"/>
              <w:numId w:val="2"/>
            </w:numPr>
            <w:tabs>
              <w:tab w:pos="363" w:val="left" w:leader="none"/>
              <w:tab w:pos="8828" w:val="right" w:leader="dot"/>
            </w:tabs>
            <w:spacing w:line="240" w:lineRule="auto" w:before="123" w:after="0"/>
            <w:ind w:left="362" w:right="4" w:hanging="220"/>
            <w:jc w:val="center"/>
            <w:rPr>
              <w:b w:val="0"/>
              <w:i w:val="0"/>
              <w:sz w:val="20"/>
            </w:rPr>
          </w:pPr>
          <w:hyperlink w:history="true" w:anchor="_bookmark10">
            <w:r>
              <w:rPr>
                <w:i w:val="0"/>
                <w:sz w:val="20"/>
              </w:rPr>
              <w:t>Biología de</w:t>
            </w:r>
            <w:r>
              <w:rPr>
                <w:i w:val="0"/>
                <w:spacing w:val="2"/>
                <w:sz w:val="20"/>
              </w:rPr>
              <w:t> </w:t>
            </w:r>
            <w:r>
              <w:rPr>
                <w:i/>
                <w:sz w:val="20"/>
              </w:rPr>
              <w:t>Staphylococcus</w:t>
            </w:r>
            <w:r>
              <w:rPr>
                <w:i/>
                <w:spacing w:val="-2"/>
                <w:sz w:val="20"/>
              </w:rPr>
              <w:t> </w:t>
            </w:r>
            <w:r>
              <w:rPr>
                <w:i/>
                <w:sz w:val="20"/>
              </w:rPr>
              <w:t>aureus</w:t>
            </w:r>
            <w:r>
              <w:rPr>
                <w:rFonts w:ascii="Calibri" w:hAnsi="Calibri"/>
                <w:b w:val="0"/>
                <w:i w:val="0"/>
                <w:sz w:val="20"/>
              </w:rPr>
              <w:tab/>
              <w:t>2</w:t>
            </w:r>
          </w:hyperlink>
        </w:p>
        <w:p>
          <w:pPr>
            <w:pStyle w:val="TOC3"/>
            <w:tabs>
              <w:tab w:pos="8821" w:val="right" w:leader="dot"/>
            </w:tabs>
            <w:rPr>
              <w:rFonts w:ascii="Calibri"/>
              <w:b w:val="0"/>
            </w:rPr>
          </w:pPr>
          <w:hyperlink w:history="true" w:anchor="_bookmark11">
            <w:r>
              <w:rPr/>
              <w:t>Factores de</w:t>
            </w:r>
            <w:r>
              <w:rPr>
                <w:spacing w:val="-2"/>
              </w:rPr>
              <w:t> </w:t>
            </w:r>
            <w:r>
              <w:rPr/>
              <w:t>virulencia</w:t>
            </w:r>
            <w:r>
              <w:rPr>
                <w:rFonts w:ascii="Calibri"/>
                <w:b w:val="0"/>
              </w:rPr>
              <w:tab/>
              <w:t>4</w:t>
            </w:r>
          </w:hyperlink>
        </w:p>
        <w:p>
          <w:pPr>
            <w:pStyle w:val="TOC3"/>
            <w:tabs>
              <w:tab w:pos="8821" w:val="right" w:leader="dot"/>
            </w:tabs>
            <w:spacing w:before="123"/>
            <w:rPr>
              <w:rFonts w:ascii="Calibri"/>
              <w:b w:val="0"/>
            </w:rPr>
          </w:pPr>
          <w:hyperlink w:history="true" w:anchor="_bookmark12">
            <w:r>
              <w:rPr/>
              <w:t>Patogenicidad</w:t>
            </w:r>
            <w:r>
              <w:rPr>
                <w:rFonts w:ascii="Calibri"/>
                <w:b w:val="0"/>
              </w:rPr>
              <w:tab/>
              <w:t>7</w:t>
            </w:r>
          </w:hyperlink>
        </w:p>
        <w:p>
          <w:pPr>
            <w:pStyle w:val="TOC5"/>
            <w:numPr>
              <w:ilvl w:val="1"/>
              <w:numId w:val="2"/>
            </w:numPr>
            <w:tabs>
              <w:tab w:pos="363" w:val="left" w:leader="none"/>
              <w:tab w:pos="8828" w:val="right" w:leader="dot"/>
            </w:tabs>
            <w:spacing w:line="240" w:lineRule="auto" w:before="125" w:after="0"/>
            <w:ind w:left="362" w:right="4" w:hanging="220"/>
            <w:jc w:val="center"/>
            <w:rPr>
              <w:b w:val="0"/>
              <w:i w:val="0"/>
              <w:sz w:val="20"/>
            </w:rPr>
          </w:pPr>
          <w:hyperlink w:history="true" w:anchor="_bookmark13">
            <w:r>
              <w:rPr>
                <w:i/>
                <w:sz w:val="20"/>
              </w:rPr>
              <w:t>Staphylococcus aureus</w:t>
            </w:r>
            <w:r>
              <w:rPr>
                <w:i/>
                <w:spacing w:val="-2"/>
                <w:sz w:val="20"/>
              </w:rPr>
              <w:t> </w:t>
            </w:r>
            <w:r>
              <w:rPr>
                <w:i w:val="0"/>
                <w:sz w:val="20"/>
              </w:rPr>
              <w:t>EN</w:t>
            </w:r>
            <w:r>
              <w:rPr>
                <w:i w:val="0"/>
                <w:spacing w:val="3"/>
                <w:sz w:val="20"/>
              </w:rPr>
              <w:t> </w:t>
            </w:r>
            <w:r>
              <w:rPr>
                <w:i w:val="0"/>
                <w:sz w:val="20"/>
              </w:rPr>
              <w:t>ALIMENTOS</w:t>
            </w:r>
            <w:r>
              <w:rPr>
                <w:rFonts w:ascii="Calibri"/>
                <w:b w:val="0"/>
                <w:i w:val="0"/>
                <w:sz w:val="20"/>
              </w:rPr>
              <w:tab/>
              <w:t>8</w:t>
            </w:r>
          </w:hyperlink>
        </w:p>
        <w:p>
          <w:pPr>
            <w:pStyle w:val="TOC4"/>
            <w:numPr>
              <w:ilvl w:val="1"/>
              <w:numId w:val="2"/>
            </w:numPr>
            <w:tabs>
              <w:tab w:pos="363" w:val="left" w:leader="none"/>
              <w:tab w:pos="8828" w:val="right" w:leader="dot"/>
            </w:tabs>
            <w:spacing w:line="240" w:lineRule="auto" w:before="123" w:after="0"/>
            <w:ind w:left="362" w:right="5" w:hanging="220"/>
            <w:jc w:val="center"/>
            <w:rPr>
              <w:b w:val="0"/>
              <w:i w:val="0"/>
            </w:rPr>
          </w:pPr>
          <w:hyperlink w:history="true" w:anchor="_bookmark14">
            <w:r>
              <w:rPr>
                <w:i/>
              </w:rPr>
              <w:t>Biofilm </w:t>
            </w:r>
            <w:r>
              <w:rPr>
                <w:i w:val="0"/>
              </w:rPr>
              <w:t>en</w:t>
            </w:r>
            <w:r>
              <w:rPr>
                <w:i w:val="0"/>
                <w:spacing w:val="1"/>
              </w:rPr>
              <w:t> </w:t>
            </w:r>
            <w:r>
              <w:rPr>
                <w:i/>
              </w:rPr>
              <w:t>Staphylococcus</w:t>
            </w:r>
            <w:r>
              <w:rPr>
                <w:i/>
                <w:spacing w:val="-2"/>
              </w:rPr>
              <w:t> </w:t>
            </w:r>
            <w:r>
              <w:rPr>
                <w:i/>
              </w:rPr>
              <w:t>aureus</w:t>
            </w:r>
            <w:r>
              <w:rPr>
                <w:rFonts w:ascii="Calibri"/>
                <w:b w:val="0"/>
                <w:i w:val="0"/>
              </w:rPr>
              <w:tab/>
              <w:t>10</w:t>
            </w:r>
          </w:hyperlink>
        </w:p>
        <w:p>
          <w:pPr>
            <w:pStyle w:val="TOC5"/>
            <w:numPr>
              <w:ilvl w:val="1"/>
              <w:numId w:val="2"/>
            </w:numPr>
            <w:tabs>
              <w:tab w:pos="363" w:val="left" w:leader="none"/>
              <w:tab w:pos="8828" w:val="right" w:leader="dot"/>
            </w:tabs>
            <w:spacing w:line="240" w:lineRule="auto" w:before="125" w:after="0"/>
            <w:ind w:left="362" w:right="5" w:hanging="220"/>
            <w:jc w:val="center"/>
            <w:rPr>
              <w:b w:val="0"/>
              <w:i w:val="0"/>
              <w:sz w:val="20"/>
            </w:rPr>
          </w:pPr>
          <w:hyperlink w:history="true" w:anchor="_bookmark15">
            <w:r>
              <w:rPr>
                <w:i/>
                <w:sz w:val="20"/>
              </w:rPr>
              <w:t>Staphylococcus aureus </w:t>
            </w:r>
            <w:r>
              <w:rPr>
                <w:i w:val="0"/>
                <w:sz w:val="20"/>
              </w:rPr>
              <w:t>meticilina</w:t>
            </w:r>
            <w:r>
              <w:rPr>
                <w:i w:val="0"/>
                <w:spacing w:val="-1"/>
                <w:sz w:val="20"/>
              </w:rPr>
              <w:t> </w:t>
            </w:r>
            <w:r>
              <w:rPr>
                <w:i w:val="0"/>
                <w:sz w:val="20"/>
              </w:rPr>
              <w:t>resistente</w:t>
            </w:r>
            <w:r>
              <w:rPr>
                <w:i w:val="0"/>
                <w:spacing w:val="-2"/>
                <w:sz w:val="20"/>
              </w:rPr>
              <w:t> </w:t>
            </w:r>
            <w:r>
              <w:rPr>
                <w:i w:val="0"/>
                <w:sz w:val="20"/>
              </w:rPr>
              <w:t>(MRSA)</w:t>
            </w:r>
            <w:r>
              <w:rPr>
                <w:rFonts w:ascii="Calibri"/>
                <w:b w:val="0"/>
                <w:i w:val="0"/>
                <w:sz w:val="20"/>
              </w:rPr>
              <w:tab/>
              <w:t>12</w:t>
            </w:r>
          </w:hyperlink>
        </w:p>
        <w:p>
          <w:pPr>
            <w:pStyle w:val="TOC3"/>
            <w:tabs>
              <w:tab w:pos="8821" w:val="right" w:leader="dot"/>
            </w:tabs>
            <w:rPr>
              <w:rFonts w:ascii="Calibri" w:hAnsi="Calibri"/>
              <w:b w:val="0"/>
            </w:rPr>
          </w:pPr>
          <w:hyperlink w:history="true" w:anchor="_bookmark16">
            <w:r>
              <w:rPr/>
              <w:t>Resistencia a</w:t>
            </w:r>
            <w:r>
              <w:rPr>
                <w:spacing w:val="-2"/>
              </w:rPr>
              <w:t> </w:t>
            </w:r>
            <w:r>
              <w:rPr/>
              <w:t>β-láctamicos</w:t>
            </w:r>
            <w:r>
              <w:rPr>
                <w:rFonts w:ascii="Calibri" w:hAnsi="Calibri"/>
                <w:b w:val="0"/>
              </w:rPr>
              <w:tab/>
              <w:t>14</w:t>
            </w:r>
          </w:hyperlink>
        </w:p>
        <w:p>
          <w:pPr>
            <w:pStyle w:val="TOC3"/>
            <w:tabs>
              <w:tab w:pos="8821" w:val="right" w:leader="dot"/>
            </w:tabs>
            <w:spacing w:before="123"/>
            <w:rPr>
              <w:rFonts w:ascii="Calibri" w:hAnsi="Calibri"/>
              <w:b w:val="0"/>
            </w:rPr>
          </w:pPr>
          <w:hyperlink w:history="true" w:anchor="_bookmark17">
            <w:r>
              <w:rPr/>
              <w:t>Casete cromosómico</w:t>
            </w:r>
            <w:r>
              <w:rPr>
                <w:spacing w:val="-1"/>
              </w:rPr>
              <w:t> </w:t>
            </w:r>
            <w:r>
              <w:rPr/>
              <w:t>estafilocócico</w:t>
            </w:r>
            <w:r>
              <w:rPr>
                <w:spacing w:val="3"/>
              </w:rPr>
              <w:t> </w:t>
            </w:r>
            <w:r>
              <w:rPr>
                <w:i/>
              </w:rPr>
              <w:t>mec</w:t>
            </w:r>
            <w:r>
              <w:rPr>
                <w:rFonts w:ascii="Calibri" w:hAnsi="Calibri"/>
                <w:b w:val="0"/>
              </w:rPr>
              <w:tab/>
              <w:t>16</w:t>
            </w:r>
          </w:hyperlink>
        </w:p>
        <w:p>
          <w:pPr>
            <w:pStyle w:val="TOC3"/>
            <w:tabs>
              <w:tab w:pos="8821" w:val="right" w:leader="dot"/>
            </w:tabs>
            <w:rPr>
              <w:rFonts w:ascii="Calibri"/>
              <w:b w:val="0"/>
            </w:rPr>
          </w:pPr>
          <w:hyperlink w:history="true" w:anchor="_bookmark18">
            <w:r>
              <w:rPr/>
              <w:t>MRSA en</w:t>
            </w:r>
            <w:r>
              <w:rPr>
                <w:spacing w:val="-7"/>
              </w:rPr>
              <w:t> </w:t>
            </w:r>
            <w:r>
              <w:rPr/>
              <w:t>el mundo</w:t>
            </w:r>
            <w:r>
              <w:rPr>
                <w:rFonts w:ascii="Calibri"/>
                <w:b w:val="0"/>
              </w:rPr>
              <w:tab/>
              <w:t>19</w:t>
            </w:r>
          </w:hyperlink>
        </w:p>
        <w:p>
          <w:pPr>
            <w:pStyle w:val="TOC3"/>
            <w:tabs>
              <w:tab w:pos="8821" w:val="right" w:leader="dot"/>
            </w:tabs>
            <w:spacing w:before="123"/>
            <w:rPr>
              <w:rFonts w:ascii="Calibri" w:hAnsi="Calibri"/>
              <w:b w:val="0"/>
            </w:rPr>
          </w:pPr>
          <w:hyperlink w:history="true" w:anchor="_bookmark19">
            <w:r>
              <w:rPr/>
              <w:t>MRSA en animales de compañía y</w:t>
            </w:r>
            <w:r>
              <w:rPr>
                <w:spacing w:val="-7"/>
              </w:rPr>
              <w:t> </w:t>
            </w:r>
            <w:r>
              <w:rPr/>
              <w:t>especies</w:t>
            </w:r>
            <w:r>
              <w:rPr>
                <w:spacing w:val="-2"/>
              </w:rPr>
              <w:t> </w:t>
            </w:r>
            <w:r>
              <w:rPr/>
              <w:t>marinas</w:t>
            </w:r>
            <w:r>
              <w:rPr>
                <w:rFonts w:ascii="Calibri" w:hAnsi="Calibri"/>
                <w:b w:val="0"/>
              </w:rPr>
              <w:tab/>
              <w:t>22</w:t>
            </w:r>
          </w:hyperlink>
        </w:p>
        <w:p>
          <w:pPr>
            <w:pStyle w:val="TOC3"/>
            <w:tabs>
              <w:tab w:pos="8821" w:val="right" w:leader="dot"/>
            </w:tabs>
            <w:rPr>
              <w:rFonts w:ascii="Calibri"/>
              <w:b w:val="0"/>
            </w:rPr>
          </w:pPr>
          <w:hyperlink w:history="true" w:anchor="_bookmark20">
            <w:r>
              <w:rPr/>
              <w:t>MRSA</w:t>
            </w:r>
            <w:r>
              <w:rPr>
                <w:spacing w:val="-6"/>
              </w:rPr>
              <w:t> </w:t>
            </w:r>
            <w:r>
              <w:rPr/>
              <w:t>en</w:t>
            </w:r>
            <w:r>
              <w:rPr>
                <w:spacing w:val="-2"/>
              </w:rPr>
              <w:t> </w:t>
            </w:r>
            <w:r>
              <w:rPr/>
              <w:t>alimentos</w:t>
            </w:r>
            <w:r>
              <w:rPr>
                <w:rFonts w:ascii="Calibri"/>
                <w:b w:val="0"/>
              </w:rPr>
              <w:tab/>
              <w:t>22</w:t>
            </w:r>
          </w:hyperlink>
        </w:p>
        <w:p>
          <w:pPr>
            <w:pStyle w:val="TOC3"/>
            <w:numPr>
              <w:ilvl w:val="1"/>
              <w:numId w:val="2"/>
            </w:numPr>
            <w:tabs>
              <w:tab w:pos="363" w:val="left" w:leader="none"/>
              <w:tab w:pos="8828" w:val="right" w:leader="dot"/>
            </w:tabs>
            <w:spacing w:line="240" w:lineRule="auto" w:before="123" w:after="0"/>
            <w:ind w:left="362" w:right="5" w:hanging="220"/>
            <w:jc w:val="center"/>
            <w:rPr>
              <w:b w:val="0"/>
            </w:rPr>
          </w:pPr>
          <w:hyperlink w:history="true" w:anchor="_bookmark21">
            <w:r>
              <w:rPr/>
              <w:t>QUESO</w:t>
            </w:r>
            <w:r>
              <w:rPr>
                <w:spacing w:val="-1"/>
              </w:rPr>
              <w:t> </w:t>
            </w:r>
            <w:r>
              <w:rPr/>
              <w:t>FRESCO</w:t>
            </w:r>
            <w:r>
              <w:rPr>
                <w:rFonts w:ascii="Calibri"/>
                <w:b w:val="0"/>
              </w:rPr>
              <w:tab/>
              <w:t>25</w:t>
            </w:r>
          </w:hyperlink>
        </w:p>
        <w:p>
          <w:pPr>
            <w:pStyle w:val="TOC3"/>
            <w:tabs>
              <w:tab w:pos="8821" w:val="right" w:leader="dot"/>
            </w:tabs>
            <w:rPr>
              <w:rFonts w:ascii="Calibri" w:hAnsi="Calibri"/>
              <w:b w:val="0"/>
            </w:rPr>
          </w:pPr>
          <w:hyperlink w:history="true" w:anchor="_bookmark22">
            <w:r>
              <w:rPr/>
              <w:t>Sistemas de producción lechera</w:t>
            </w:r>
            <w:r>
              <w:rPr>
                <w:spacing w:val="1"/>
              </w:rPr>
              <w:t> </w:t>
            </w:r>
            <w:r>
              <w:rPr/>
              <w:t>en</w:t>
            </w:r>
            <w:r>
              <w:rPr>
                <w:spacing w:val="-1"/>
              </w:rPr>
              <w:t> </w:t>
            </w:r>
            <w:r>
              <w:rPr/>
              <w:t>México</w:t>
            </w:r>
            <w:r>
              <w:rPr>
                <w:rFonts w:ascii="Calibri" w:hAnsi="Calibri"/>
                <w:b w:val="0"/>
              </w:rPr>
              <w:tab/>
              <w:t>25</w:t>
            </w:r>
          </w:hyperlink>
        </w:p>
        <w:p>
          <w:pPr>
            <w:pStyle w:val="TOC5"/>
            <w:tabs>
              <w:tab w:pos="8821" w:val="right" w:leader="dot"/>
            </w:tabs>
            <w:rPr>
              <w:rFonts w:ascii="Calibri"/>
              <w:b w:val="0"/>
              <w:i w:val="0"/>
              <w:sz w:val="20"/>
            </w:rPr>
          </w:pPr>
          <w:hyperlink w:history="true" w:anchor="_bookmark23">
            <w:r>
              <w:rPr>
                <w:i w:val="0"/>
                <w:sz w:val="20"/>
              </w:rPr>
              <w:t>Queso</w:t>
            </w:r>
            <w:r>
              <w:rPr>
                <w:rFonts w:ascii="Calibri"/>
                <w:b w:val="0"/>
                <w:i w:val="0"/>
                <w:sz w:val="20"/>
              </w:rPr>
              <w:tab/>
              <w:t>26</w:t>
            </w:r>
          </w:hyperlink>
        </w:p>
        <w:p>
          <w:pPr>
            <w:pStyle w:val="TOC3"/>
            <w:tabs>
              <w:tab w:pos="8821" w:val="right" w:leader="dot"/>
            </w:tabs>
            <w:spacing w:before="123"/>
            <w:rPr>
              <w:rFonts w:ascii="Calibri" w:hAnsi="Calibri"/>
              <w:b w:val="0"/>
            </w:rPr>
          </w:pPr>
          <w:hyperlink w:history="true" w:anchor="_bookmark24">
            <w:r>
              <w:rPr/>
              <w:t>Producción de queso en</w:t>
            </w:r>
            <w:r>
              <w:rPr>
                <w:spacing w:val="1"/>
              </w:rPr>
              <w:t> </w:t>
            </w:r>
            <w:r>
              <w:rPr/>
              <w:t>México</w:t>
            </w:r>
            <w:r>
              <w:rPr>
                <w:rFonts w:ascii="Calibri" w:hAnsi="Calibri"/>
                <w:b w:val="0"/>
              </w:rPr>
              <w:tab/>
              <w:t>26</w:t>
            </w:r>
          </w:hyperlink>
        </w:p>
        <w:p>
          <w:pPr>
            <w:pStyle w:val="TOC3"/>
            <w:tabs>
              <w:tab w:pos="8821" w:val="right" w:leader="dot"/>
            </w:tabs>
            <w:rPr>
              <w:rFonts w:ascii="Calibri"/>
              <w:b w:val="0"/>
            </w:rPr>
          </w:pPr>
          <w:hyperlink w:history="true" w:anchor="_bookmark25">
            <w:r>
              <w:rPr/>
              <w:t>Quesos</w:t>
            </w:r>
            <w:r>
              <w:rPr>
                <w:spacing w:val="-2"/>
              </w:rPr>
              <w:t> </w:t>
            </w:r>
            <w:r>
              <w:rPr/>
              <w:t>genuinos</w:t>
            </w:r>
            <w:r>
              <w:rPr>
                <w:spacing w:val="-2"/>
              </w:rPr>
              <w:t> </w:t>
            </w:r>
            <w:r>
              <w:rPr/>
              <w:t>mexicanos</w:t>
            </w:r>
            <w:r>
              <w:rPr>
                <w:rFonts w:ascii="Calibri"/>
                <w:b w:val="0"/>
              </w:rPr>
              <w:tab/>
              <w:t>29</w:t>
            </w:r>
          </w:hyperlink>
        </w:p>
        <w:p>
          <w:pPr>
            <w:pStyle w:val="TOC3"/>
            <w:tabs>
              <w:tab w:pos="8821" w:val="right" w:leader="dot"/>
            </w:tabs>
            <w:spacing w:before="123"/>
            <w:rPr>
              <w:rFonts w:ascii="Calibri" w:hAnsi="Calibri"/>
              <w:b w:val="0"/>
            </w:rPr>
          </w:pPr>
          <w:hyperlink w:history="true" w:anchor="_bookmark26">
            <w:r>
              <w:rPr/>
              <w:t>Clasificación de los quesos</w:t>
            </w:r>
            <w:r>
              <w:rPr>
                <w:spacing w:val="-4"/>
              </w:rPr>
              <w:t> </w:t>
            </w:r>
            <w:r>
              <w:rPr/>
              <w:t>mexicanos</w:t>
            </w:r>
            <w:r>
              <w:rPr>
                <w:spacing w:val="-2"/>
              </w:rPr>
              <w:t> </w:t>
            </w:r>
            <w:r>
              <w:rPr/>
              <w:t>genuinos</w:t>
            </w:r>
            <w:r>
              <w:rPr>
                <w:rFonts w:ascii="Calibri" w:hAnsi="Calibri"/>
                <w:b w:val="0"/>
              </w:rPr>
              <w:tab/>
              <w:t>29</w:t>
            </w:r>
          </w:hyperlink>
        </w:p>
        <w:p>
          <w:pPr>
            <w:pStyle w:val="TOC3"/>
            <w:tabs>
              <w:tab w:pos="8821" w:val="right" w:leader="dot"/>
            </w:tabs>
            <w:rPr>
              <w:rFonts w:ascii="Calibri"/>
              <w:b w:val="0"/>
            </w:rPr>
          </w:pPr>
          <w:hyperlink w:history="true" w:anchor="_bookmark27">
            <w:r>
              <w:rPr/>
              <w:t>Queso</w:t>
            </w:r>
            <w:r>
              <w:rPr>
                <w:spacing w:val="-1"/>
              </w:rPr>
              <w:t> </w:t>
            </w:r>
            <w:r>
              <w:rPr/>
              <w:t>fresco</w:t>
            </w:r>
            <w:r>
              <w:rPr>
                <w:rFonts w:ascii="Calibri"/>
                <w:b w:val="0"/>
              </w:rPr>
              <w:tab/>
              <w:t>30</w:t>
            </w:r>
          </w:hyperlink>
        </w:p>
        <w:p>
          <w:pPr>
            <w:pStyle w:val="TOC3"/>
            <w:tabs>
              <w:tab w:pos="8821" w:val="right" w:leader="dot"/>
            </w:tabs>
            <w:spacing w:before="123"/>
            <w:rPr>
              <w:rFonts w:ascii="Calibri"/>
              <w:b w:val="0"/>
            </w:rPr>
          </w:pPr>
          <w:hyperlink w:history="true" w:anchor="_bookmark28">
            <w:r>
              <w:rPr/>
              <w:t>Calidad de</w:t>
            </w:r>
            <w:r>
              <w:rPr>
                <w:spacing w:val="-1"/>
              </w:rPr>
              <w:t> </w:t>
            </w:r>
            <w:r>
              <w:rPr/>
              <w:t>los</w:t>
            </w:r>
            <w:r>
              <w:rPr>
                <w:spacing w:val="-2"/>
              </w:rPr>
              <w:t> </w:t>
            </w:r>
            <w:r>
              <w:rPr/>
              <w:t>quesos</w:t>
            </w:r>
            <w:r>
              <w:rPr>
                <w:rFonts w:ascii="Calibri"/>
                <w:b w:val="0"/>
              </w:rPr>
              <w:tab/>
              <w:t>33</w:t>
            </w:r>
          </w:hyperlink>
        </w:p>
        <w:p>
          <w:pPr>
            <w:pStyle w:val="TOC5"/>
            <w:tabs>
              <w:tab w:pos="8821" w:val="right" w:leader="dot"/>
            </w:tabs>
            <w:rPr>
              <w:rFonts w:ascii="Calibri" w:hAnsi="Calibri"/>
              <w:b w:val="0"/>
              <w:i w:val="0"/>
              <w:sz w:val="20"/>
            </w:rPr>
          </w:pPr>
          <w:hyperlink w:history="true" w:anchor="_bookmark29">
            <w:r>
              <w:rPr>
                <w:i w:val="0"/>
                <w:sz w:val="20"/>
              </w:rPr>
              <w:t>Contaminación de queso por</w:t>
            </w:r>
            <w:r>
              <w:rPr>
                <w:i w:val="0"/>
                <w:spacing w:val="4"/>
                <w:sz w:val="20"/>
              </w:rPr>
              <w:t> </w:t>
            </w:r>
            <w:r>
              <w:rPr>
                <w:i/>
                <w:sz w:val="20"/>
              </w:rPr>
              <w:t>Staphylococcus</w:t>
            </w:r>
            <w:r>
              <w:rPr>
                <w:i/>
                <w:spacing w:val="-2"/>
                <w:sz w:val="20"/>
              </w:rPr>
              <w:t> </w:t>
            </w:r>
            <w:r>
              <w:rPr>
                <w:i/>
                <w:sz w:val="20"/>
              </w:rPr>
              <w:t>aureus</w:t>
            </w:r>
            <w:r>
              <w:rPr>
                <w:rFonts w:ascii="Calibri" w:hAnsi="Calibri"/>
                <w:b w:val="0"/>
                <w:i w:val="0"/>
                <w:sz w:val="20"/>
              </w:rPr>
              <w:tab/>
              <w:t>33</w:t>
            </w:r>
          </w:hyperlink>
        </w:p>
        <w:p>
          <w:pPr>
            <w:pStyle w:val="TOC3"/>
            <w:numPr>
              <w:ilvl w:val="0"/>
              <w:numId w:val="2"/>
            </w:numPr>
            <w:tabs>
              <w:tab w:pos="419" w:val="left" w:leader="none"/>
              <w:tab w:pos="8828" w:val="right" w:leader="dot"/>
            </w:tabs>
            <w:spacing w:line="240" w:lineRule="auto" w:before="125" w:after="0"/>
            <w:ind w:left="418" w:right="5" w:hanging="276"/>
            <w:jc w:val="center"/>
            <w:rPr>
              <w:rFonts w:ascii="Calibri" w:hAnsi="Calibri"/>
              <w:b w:val="0"/>
            </w:rPr>
          </w:pPr>
          <w:hyperlink w:history="true" w:anchor="_bookmark30">
            <w:r>
              <w:rPr/>
              <w:t>JUSTIFICACIÓN</w:t>
            </w:r>
            <w:r>
              <w:rPr>
                <w:rFonts w:ascii="Calibri" w:hAnsi="Calibri"/>
                <w:b w:val="0"/>
              </w:rPr>
              <w:tab/>
              <w:t>36</w:t>
            </w:r>
          </w:hyperlink>
        </w:p>
        <w:p>
          <w:pPr>
            <w:pStyle w:val="TOC5"/>
            <w:numPr>
              <w:ilvl w:val="0"/>
              <w:numId w:val="2"/>
            </w:numPr>
            <w:tabs>
              <w:tab w:pos="441" w:val="left" w:leader="none"/>
              <w:tab w:pos="8828" w:val="right" w:leader="dot"/>
            </w:tabs>
            <w:spacing w:line="240" w:lineRule="auto" w:before="123" w:after="0"/>
            <w:ind w:left="440" w:right="5" w:hanging="298"/>
            <w:jc w:val="center"/>
            <w:rPr>
              <w:rFonts w:ascii="Calibri" w:hAnsi="Calibri"/>
              <w:b w:val="0"/>
              <w:i w:val="0"/>
              <w:sz w:val="20"/>
            </w:rPr>
          </w:pPr>
          <w:hyperlink w:history="true" w:anchor="_bookmark31">
            <w:r>
              <w:rPr>
                <w:i w:val="0"/>
                <w:sz w:val="20"/>
              </w:rPr>
              <w:t>HIPÓTESIS</w:t>
            </w:r>
            <w:r>
              <w:rPr>
                <w:rFonts w:ascii="Calibri" w:hAnsi="Calibri"/>
                <w:b w:val="0"/>
                <w:i w:val="0"/>
                <w:sz w:val="20"/>
              </w:rPr>
              <w:tab/>
              <w:t>37</w:t>
            </w:r>
          </w:hyperlink>
        </w:p>
        <w:p>
          <w:pPr>
            <w:pStyle w:val="TOC5"/>
            <w:numPr>
              <w:ilvl w:val="0"/>
              <w:numId w:val="2"/>
            </w:numPr>
            <w:tabs>
              <w:tab w:pos="385" w:val="left" w:leader="none"/>
              <w:tab w:pos="8828" w:val="right" w:leader="dot"/>
            </w:tabs>
            <w:spacing w:line="240" w:lineRule="auto" w:before="125" w:after="0"/>
            <w:ind w:left="384" w:right="5" w:hanging="242"/>
            <w:jc w:val="center"/>
            <w:rPr>
              <w:rFonts w:ascii="Calibri"/>
              <w:b w:val="0"/>
              <w:i w:val="0"/>
              <w:sz w:val="20"/>
            </w:rPr>
          </w:pPr>
          <w:hyperlink w:history="true" w:anchor="_bookmark32">
            <w:r>
              <w:rPr>
                <w:i w:val="0"/>
                <w:sz w:val="20"/>
              </w:rPr>
              <w:t>OBJETIVOS</w:t>
            </w:r>
            <w:r>
              <w:rPr>
                <w:rFonts w:ascii="Calibri"/>
                <w:b w:val="0"/>
                <w:i w:val="0"/>
                <w:sz w:val="20"/>
              </w:rPr>
              <w:tab/>
              <w:t>38</w:t>
            </w:r>
          </w:hyperlink>
        </w:p>
        <w:p>
          <w:pPr>
            <w:pStyle w:val="TOC3"/>
            <w:tabs>
              <w:tab w:pos="8821" w:val="right" w:leader="dot"/>
            </w:tabs>
            <w:spacing w:before="123"/>
            <w:rPr>
              <w:rFonts w:ascii="Calibri"/>
              <w:b w:val="0"/>
            </w:rPr>
          </w:pPr>
          <w:hyperlink w:history="true" w:anchor="_bookmark33">
            <w:r>
              <w:rPr/>
              <w:t>Objetivos</w:t>
            </w:r>
            <w:r>
              <w:rPr>
                <w:spacing w:val="-2"/>
              </w:rPr>
              <w:t> </w:t>
            </w:r>
            <w:r>
              <w:rPr/>
              <w:t>generales</w:t>
            </w:r>
            <w:r>
              <w:rPr>
                <w:rFonts w:ascii="Calibri"/>
                <w:b w:val="0"/>
              </w:rPr>
              <w:tab/>
              <w:t>38</w:t>
            </w:r>
          </w:hyperlink>
        </w:p>
        <w:p>
          <w:pPr>
            <w:pStyle w:val="TOC3"/>
            <w:tabs>
              <w:tab w:pos="8821" w:val="right" w:leader="dot"/>
            </w:tabs>
            <w:spacing w:before="218"/>
            <w:rPr>
              <w:rFonts w:ascii="Calibri" w:hAnsi="Calibri"/>
              <w:b w:val="0"/>
            </w:rPr>
          </w:pPr>
          <w:hyperlink w:history="true" w:anchor="_bookmark34">
            <w:r>
              <w:rPr/>
              <w:t>Objetivos</w:t>
            </w:r>
            <w:r>
              <w:rPr>
                <w:spacing w:val="-2"/>
              </w:rPr>
              <w:t> </w:t>
            </w:r>
            <w:r>
              <w:rPr/>
              <w:t>específicos</w:t>
            </w:r>
            <w:r>
              <w:rPr>
                <w:rFonts w:ascii="Calibri" w:hAnsi="Calibri"/>
                <w:b w:val="0"/>
              </w:rPr>
              <w:tab/>
              <w:t>38</w:t>
            </w:r>
          </w:hyperlink>
        </w:p>
        <w:p>
          <w:pPr>
            <w:pStyle w:val="TOC3"/>
            <w:numPr>
              <w:ilvl w:val="0"/>
              <w:numId w:val="2"/>
            </w:numPr>
            <w:tabs>
              <w:tab w:pos="441" w:val="left" w:leader="none"/>
              <w:tab w:pos="8828" w:val="right" w:leader="dot"/>
            </w:tabs>
            <w:spacing w:line="240" w:lineRule="auto" w:before="123" w:after="0"/>
            <w:ind w:left="440" w:right="5" w:hanging="298"/>
            <w:jc w:val="center"/>
            <w:rPr>
              <w:rFonts w:ascii="Calibri" w:hAnsi="Calibri"/>
              <w:b w:val="0"/>
            </w:rPr>
          </w:pPr>
          <w:hyperlink w:history="true" w:anchor="_bookmark35">
            <w:r>
              <w:rPr/>
              <w:t>MATERIAL</w:t>
            </w:r>
            <w:r>
              <w:rPr>
                <w:spacing w:val="1"/>
              </w:rPr>
              <w:t> </w:t>
            </w:r>
            <w:r>
              <w:rPr/>
              <w:t>Y MÉTODOS</w:t>
            </w:r>
            <w:r>
              <w:rPr>
                <w:rFonts w:ascii="Calibri" w:hAnsi="Calibri"/>
                <w:b w:val="0"/>
              </w:rPr>
              <w:tab/>
              <w:t>39</w:t>
            </w:r>
          </w:hyperlink>
        </w:p>
        <w:p>
          <w:pPr>
            <w:pStyle w:val="TOC3"/>
            <w:tabs>
              <w:tab w:pos="8821" w:val="right" w:leader="dot"/>
            </w:tabs>
            <w:rPr>
              <w:rFonts w:ascii="Calibri" w:hAnsi="Calibri"/>
              <w:b w:val="0"/>
            </w:rPr>
          </w:pPr>
          <w:hyperlink w:history="true" w:anchor="_bookmark36">
            <w:r>
              <w:rPr/>
              <w:t>ANÁLISIS</w:t>
            </w:r>
            <w:r>
              <w:rPr>
                <w:spacing w:val="-2"/>
              </w:rPr>
              <w:t> </w:t>
            </w:r>
            <w:r>
              <w:rPr/>
              <w:t>FISICOQUIMICOS</w:t>
            </w:r>
            <w:r>
              <w:rPr>
                <w:rFonts w:ascii="Calibri" w:hAnsi="Calibri"/>
                <w:b w:val="0"/>
              </w:rPr>
              <w:tab/>
              <w:t>39</w:t>
            </w:r>
          </w:hyperlink>
        </w:p>
        <w:p>
          <w:pPr>
            <w:pStyle w:val="TOC9"/>
            <w:tabs>
              <w:tab w:pos="8970" w:val="right" w:leader="dot"/>
            </w:tabs>
            <w:rPr>
              <w:rFonts w:ascii="Calibri" w:hAnsi="Calibri"/>
              <w:b w:val="0"/>
            </w:rPr>
          </w:pPr>
          <w:hyperlink w:history="true" w:anchor="_bookmark37">
            <w:r>
              <w:rPr/>
              <w:t>Determinación de humedad en</w:t>
            </w:r>
            <w:r>
              <w:rPr>
                <w:spacing w:val="-4"/>
              </w:rPr>
              <w:t> </w:t>
            </w:r>
            <w:r>
              <w:rPr/>
              <w:t>queso</w:t>
            </w:r>
            <w:r>
              <w:rPr>
                <w:spacing w:val="-1"/>
              </w:rPr>
              <w:t> </w:t>
            </w:r>
            <w:r>
              <w:rPr/>
              <w:t>fresco</w:t>
            </w:r>
            <w:r>
              <w:rPr>
                <w:rFonts w:ascii="Calibri" w:hAnsi="Calibri"/>
                <w:b w:val="0"/>
              </w:rPr>
              <w:tab/>
              <w:t>39</w:t>
            </w:r>
          </w:hyperlink>
        </w:p>
        <w:p>
          <w:pPr>
            <w:pStyle w:val="TOC9"/>
            <w:tabs>
              <w:tab w:pos="8970" w:val="right" w:leader="dot"/>
            </w:tabs>
            <w:spacing w:before="123"/>
            <w:rPr>
              <w:rFonts w:ascii="Calibri" w:hAnsi="Calibri"/>
              <w:b w:val="0"/>
            </w:rPr>
          </w:pPr>
          <w:hyperlink w:history="true" w:anchor="_bookmark38">
            <w:r>
              <w:rPr/>
              <w:t>Determinación de materia seca en queso</w:t>
            </w:r>
            <w:r>
              <w:rPr>
                <w:spacing w:val="-2"/>
              </w:rPr>
              <w:t> </w:t>
            </w:r>
            <w:r>
              <w:rPr/>
              <w:t>fresco</w:t>
            </w:r>
            <w:r>
              <w:rPr>
                <w:rFonts w:ascii="Calibri" w:hAnsi="Calibri"/>
                <w:b w:val="0"/>
              </w:rPr>
              <w:tab/>
              <w:t>39</w:t>
            </w:r>
          </w:hyperlink>
        </w:p>
        <w:p>
          <w:pPr>
            <w:pStyle w:val="TOC9"/>
            <w:tabs>
              <w:tab w:pos="8970" w:val="right" w:leader="dot"/>
            </w:tabs>
            <w:rPr>
              <w:rFonts w:ascii="Calibri" w:hAnsi="Calibri"/>
              <w:b w:val="0"/>
            </w:rPr>
          </w:pPr>
          <w:hyperlink w:history="true" w:anchor="_bookmark39">
            <w:r>
              <w:rPr/>
              <w:t>Determinación de cenizas en queso</w:t>
            </w:r>
            <w:r>
              <w:rPr>
                <w:spacing w:val="-1"/>
              </w:rPr>
              <w:t> </w:t>
            </w:r>
            <w:r>
              <w:rPr/>
              <w:t>fresco</w:t>
            </w:r>
            <w:r>
              <w:rPr>
                <w:rFonts w:ascii="Calibri" w:hAnsi="Calibri"/>
                <w:b w:val="0"/>
              </w:rPr>
              <w:tab/>
              <w:t>39</w:t>
            </w:r>
          </w:hyperlink>
        </w:p>
        <w:p>
          <w:pPr>
            <w:pStyle w:val="TOC9"/>
            <w:tabs>
              <w:tab w:pos="8970" w:val="right" w:leader="dot"/>
            </w:tabs>
            <w:spacing w:before="123"/>
            <w:rPr>
              <w:rFonts w:ascii="Calibri" w:hAnsi="Calibri"/>
              <w:b w:val="0"/>
            </w:rPr>
          </w:pPr>
          <w:hyperlink w:history="true" w:anchor="_bookmark40">
            <w:r>
              <w:rPr/>
              <w:t>Determinación de cloruro de sodio (NaCl) en</w:t>
            </w:r>
            <w:r>
              <w:rPr>
                <w:spacing w:val="-2"/>
              </w:rPr>
              <w:t> </w:t>
            </w:r>
            <w:r>
              <w:rPr/>
              <w:t>queso</w:t>
            </w:r>
            <w:r>
              <w:rPr>
                <w:spacing w:val="1"/>
              </w:rPr>
              <w:t> </w:t>
            </w:r>
            <w:r>
              <w:rPr/>
              <w:t>fresco</w:t>
            </w:r>
            <w:r>
              <w:rPr>
                <w:rFonts w:ascii="Calibri" w:hAnsi="Calibri"/>
                <w:b w:val="0"/>
              </w:rPr>
              <w:tab/>
              <w:t>39</w:t>
            </w:r>
          </w:hyperlink>
        </w:p>
        <w:p>
          <w:pPr>
            <w:pStyle w:val="TOC9"/>
            <w:tabs>
              <w:tab w:pos="8970" w:val="right" w:leader="dot"/>
            </w:tabs>
            <w:rPr>
              <w:rFonts w:ascii="Calibri" w:hAnsi="Calibri"/>
              <w:b w:val="0"/>
            </w:rPr>
          </w:pPr>
          <w:hyperlink w:history="true" w:anchor="_bookmark41">
            <w:r>
              <w:rPr/>
              <w:t>Determinación de grasa</w:t>
            </w:r>
            <w:r>
              <w:rPr>
                <w:spacing w:val="-3"/>
              </w:rPr>
              <w:t> </w:t>
            </w:r>
            <w:r>
              <w:rPr/>
              <w:t>en</w:t>
            </w:r>
            <w:r>
              <w:rPr>
                <w:spacing w:val="-1"/>
              </w:rPr>
              <w:t> </w:t>
            </w:r>
            <w:r>
              <w:rPr/>
              <w:t>queso</w:t>
            </w:r>
            <w:r>
              <w:rPr>
                <w:rFonts w:ascii="Calibri" w:hAnsi="Calibri"/>
                <w:b w:val="0"/>
              </w:rPr>
              <w:tab/>
              <w:t>39</w:t>
            </w:r>
          </w:hyperlink>
        </w:p>
        <w:p>
          <w:pPr>
            <w:pStyle w:val="TOC9"/>
            <w:tabs>
              <w:tab w:pos="8970" w:val="right" w:leader="dot"/>
            </w:tabs>
            <w:spacing w:before="123"/>
            <w:rPr>
              <w:rFonts w:ascii="Calibri" w:hAnsi="Calibri"/>
              <w:b w:val="0"/>
            </w:rPr>
          </w:pPr>
          <w:hyperlink w:history="true" w:anchor="_bookmark42">
            <w:r>
              <w:rPr/>
              <w:t>Determinación de proteínas en</w:t>
            </w:r>
            <w:r>
              <w:rPr>
                <w:spacing w:val="-4"/>
              </w:rPr>
              <w:t> </w:t>
            </w:r>
            <w:r>
              <w:rPr/>
              <w:t>queso</w:t>
            </w:r>
            <w:r>
              <w:rPr>
                <w:spacing w:val="-2"/>
              </w:rPr>
              <w:t> </w:t>
            </w:r>
            <w:r>
              <w:rPr/>
              <w:t>fresco</w:t>
            </w:r>
            <w:r>
              <w:rPr>
                <w:rFonts w:ascii="Calibri" w:hAnsi="Calibri"/>
                <w:b w:val="0"/>
              </w:rPr>
              <w:tab/>
              <w:t>40</w:t>
            </w:r>
          </w:hyperlink>
        </w:p>
        <w:p>
          <w:pPr>
            <w:pStyle w:val="TOC3"/>
            <w:tabs>
              <w:tab w:pos="8821" w:val="right" w:leader="dot"/>
            </w:tabs>
            <w:spacing w:before="126"/>
            <w:rPr>
              <w:rFonts w:ascii="Calibri" w:hAnsi="Calibri"/>
              <w:b w:val="0"/>
            </w:rPr>
          </w:pPr>
          <w:hyperlink w:history="true" w:anchor="_bookmark43">
            <w:r>
              <w:rPr/>
              <w:t>ANALISIS</w:t>
            </w:r>
            <w:r>
              <w:rPr>
                <w:spacing w:val="-2"/>
              </w:rPr>
              <w:t> </w:t>
            </w:r>
            <w:r>
              <w:rPr/>
              <w:t>MICROBIOLÓGICOS</w:t>
            </w:r>
            <w:r>
              <w:rPr>
                <w:rFonts w:ascii="Calibri" w:hAnsi="Calibri"/>
                <w:b w:val="0"/>
              </w:rPr>
              <w:tab/>
              <w:t>41</w:t>
            </w:r>
          </w:hyperlink>
        </w:p>
        <w:p>
          <w:pPr>
            <w:tabs>
              <w:tab w:pos="8970" w:val="right" w:leader="dot"/>
            </w:tabs>
            <w:spacing w:before="123"/>
            <w:ind w:left="542" w:right="0" w:firstLine="0"/>
            <w:jc w:val="left"/>
            <w:rPr>
              <w:rFonts w:ascii="Calibri"/>
              <w:sz w:val="20"/>
            </w:rPr>
          </w:pPr>
          <w:hyperlink w:history="true" w:anchor="_bookmark44">
            <w:r>
              <w:rPr>
                <w:b/>
                <w:sz w:val="20"/>
              </w:rPr>
              <w:t>Cuenta total en placa de</w:t>
            </w:r>
            <w:r>
              <w:rPr>
                <w:b/>
                <w:spacing w:val="-3"/>
                <w:sz w:val="20"/>
              </w:rPr>
              <w:t> </w:t>
            </w:r>
            <w:r>
              <w:rPr>
                <w:b/>
                <w:i/>
                <w:sz w:val="20"/>
              </w:rPr>
              <w:t>Staphylcococcus</w:t>
            </w:r>
            <w:r>
              <w:rPr>
                <w:b/>
                <w:i/>
                <w:spacing w:val="1"/>
                <w:sz w:val="20"/>
              </w:rPr>
              <w:t> </w:t>
            </w:r>
            <w:r>
              <w:rPr>
                <w:b/>
                <w:i/>
                <w:sz w:val="20"/>
              </w:rPr>
              <w:t>aureus</w:t>
            </w:r>
            <w:r>
              <w:rPr>
                <w:rFonts w:ascii="Calibri"/>
                <w:sz w:val="20"/>
              </w:rPr>
              <w:tab/>
              <w:t>41</w:t>
            </w:r>
          </w:hyperlink>
        </w:p>
        <w:p>
          <w:pPr>
            <w:tabs>
              <w:tab w:pos="8970" w:val="right" w:leader="dot"/>
            </w:tabs>
            <w:spacing w:line="266" w:lineRule="auto" w:before="121"/>
            <w:ind w:left="542" w:right="147" w:firstLine="0"/>
            <w:jc w:val="left"/>
            <w:rPr>
              <w:rFonts w:ascii="Calibri" w:hAnsi="Calibri"/>
              <w:sz w:val="20"/>
            </w:rPr>
          </w:pPr>
          <w:hyperlink w:history="true" w:anchor="_bookmark45">
            <w:r>
              <w:rPr>
                <w:b/>
                <w:sz w:val="20"/>
              </w:rPr>
              <w:t>Aislamiento e identificación bacteriologica de los aislamientos de </w:t>
            </w:r>
            <w:r>
              <w:rPr>
                <w:b/>
                <w:i/>
                <w:sz w:val="20"/>
              </w:rPr>
              <w:t>Staphylococcus</w:t>
            </w:r>
          </w:hyperlink>
          <w:r>
            <w:rPr>
              <w:b/>
              <w:i/>
              <w:sz w:val="20"/>
            </w:rPr>
            <w:t> </w:t>
          </w:r>
          <w:hyperlink w:history="true" w:anchor="_bookmark45">
            <w:r>
              <w:rPr>
                <w:b/>
                <w:i/>
                <w:sz w:val="20"/>
              </w:rPr>
              <w:t>aureus</w:t>
            </w:r>
            <w:r>
              <w:rPr>
                <w:rFonts w:ascii="Calibri" w:hAnsi="Calibri"/>
                <w:sz w:val="20"/>
              </w:rPr>
              <w:tab/>
              <w:t>42</w:t>
            </w:r>
          </w:hyperlink>
        </w:p>
        <w:p>
          <w:pPr>
            <w:pStyle w:val="TOC9"/>
            <w:tabs>
              <w:tab w:pos="8970" w:val="right" w:leader="dot"/>
            </w:tabs>
            <w:spacing w:before="98"/>
            <w:rPr>
              <w:rFonts w:ascii="Calibri" w:hAnsi="Calibri"/>
              <w:b w:val="0"/>
            </w:rPr>
          </w:pPr>
          <w:hyperlink w:history="true" w:anchor="_bookmark46">
            <w:r>
              <w:rPr/>
              <w:t>Conservación</w:t>
            </w:r>
            <w:r>
              <w:rPr>
                <w:spacing w:val="-1"/>
              </w:rPr>
              <w:t> </w:t>
            </w:r>
            <w:r>
              <w:rPr/>
              <w:t>de</w:t>
            </w:r>
            <w:r>
              <w:rPr>
                <w:spacing w:val="-2"/>
              </w:rPr>
              <w:t> </w:t>
            </w:r>
            <w:r>
              <w:rPr/>
              <w:t>aislamientos</w:t>
            </w:r>
            <w:r>
              <w:rPr>
                <w:rFonts w:ascii="Calibri" w:hAnsi="Calibri"/>
                <w:b w:val="0"/>
              </w:rPr>
              <w:tab/>
              <w:t>42</w:t>
            </w:r>
          </w:hyperlink>
        </w:p>
        <w:p>
          <w:pPr>
            <w:pStyle w:val="TOC8"/>
            <w:tabs>
              <w:tab w:pos="8970" w:val="right" w:leader="dot"/>
            </w:tabs>
            <w:spacing w:line="266" w:lineRule="auto"/>
            <w:rPr>
              <w:rFonts w:ascii="Calibri"/>
              <w:b w:val="0"/>
              <w:i w:val="0"/>
              <w:sz w:val="20"/>
            </w:rPr>
          </w:pPr>
          <w:hyperlink w:history="true" w:anchor="_bookmark47">
            <w:r>
              <w:rPr>
                <w:i w:val="0"/>
                <w:sz w:val="20"/>
              </w:rPr>
              <w:t>CARACTERIZACION DEL ANTIBIOTIPO DE </w:t>
            </w:r>
            <w:r>
              <w:rPr>
                <w:i/>
                <w:sz w:val="20"/>
              </w:rPr>
              <w:t>Staphylococcus aureus </w:t>
            </w:r>
            <w:r>
              <w:rPr>
                <w:i w:val="0"/>
                <w:sz w:val="20"/>
              </w:rPr>
              <w:t>RESISTENTE A </w:t>
            </w:r>
            <w:r>
              <w:rPr>
                <w:i w:val="0"/>
                <w:spacing w:val="2"/>
                <w:sz w:val="20"/>
              </w:rPr>
              <w:t>LA</w:t>
            </w:r>
          </w:hyperlink>
          <w:r>
            <w:rPr>
              <w:i w:val="0"/>
              <w:spacing w:val="2"/>
              <w:sz w:val="20"/>
            </w:rPr>
            <w:t> </w:t>
          </w:r>
          <w:hyperlink w:history="true" w:anchor="_bookmark47">
            <w:r>
              <w:rPr>
                <w:i w:val="0"/>
                <w:sz w:val="20"/>
              </w:rPr>
              <w:t>METICILINA</w:t>
            </w:r>
            <w:r>
              <w:rPr>
                <w:rFonts w:ascii="Calibri"/>
                <w:b w:val="0"/>
                <w:i w:val="0"/>
                <w:sz w:val="20"/>
              </w:rPr>
              <w:tab/>
              <w:t>43</w:t>
            </w:r>
          </w:hyperlink>
        </w:p>
        <w:p>
          <w:pPr>
            <w:tabs>
              <w:tab w:pos="8970" w:val="right" w:leader="dot"/>
            </w:tabs>
            <w:spacing w:before="98"/>
            <w:ind w:left="542" w:right="0" w:firstLine="0"/>
            <w:jc w:val="left"/>
            <w:rPr>
              <w:rFonts w:ascii="Calibri"/>
              <w:sz w:val="20"/>
            </w:rPr>
          </w:pPr>
          <w:hyperlink w:history="true" w:anchor="_bookmark48">
            <w:r>
              <w:rPr>
                <w:b/>
                <w:sz w:val="20"/>
              </w:rPr>
              <w:t>Sensibilidad </w:t>
            </w:r>
            <w:r>
              <w:rPr>
                <w:b/>
                <w:i/>
                <w:sz w:val="20"/>
              </w:rPr>
              <w:t>in vitro </w:t>
            </w:r>
            <w:r>
              <w:rPr>
                <w:b/>
                <w:sz w:val="20"/>
              </w:rPr>
              <w:t>de</w:t>
            </w:r>
            <w:r>
              <w:rPr>
                <w:b/>
                <w:spacing w:val="2"/>
                <w:sz w:val="20"/>
              </w:rPr>
              <w:t> </w:t>
            </w:r>
            <w:r>
              <w:rPr>
                <w:b/>
                <w:i/>
                <w:sz w:val="20"/>
              </w:rPr>
              <w:t>Staphylococcus</w:t>
            </w:r>
            <w:r>
              <w:rPr>
                <w:b/>
                <w:i/>
                <w:spacing w:val="-2"/>
                <w:sz w:val="20"/>
              </w:rPr>
              <w:t> </w:t>
            </w:r>
            <w:r>
              <w:rPr>
                <w:b/>
                <w:i/>
                <w:sz w:val="20"/>
              </w:rPr>
              <w:t>aureus</w:t>
            </w:r>
            <w:r>
              <w:rPr>
                <w:rFonts w:ascii="Calibri"/>
                <w:sz w:val="20"/>
              </w:rPr>
              <w:tab/>
              <w:t>43</w:t>
            </w:r>
          </w:hyperlink>
        </w:p>
        <w:p>
          <w:pPr>
            <w:pStyle w:val="TOC6"/>
            <w:tabs>
              <w:tab w:pos="8970" w:val="right" w:leader="dot"/>
            </w:tabs>
            <w:spacing w:line="271" w:lineRule="auto"/>
            <w:rPr>
              <w:rFonts w:ascii="Calibri" w:hAnsi="Calibri"/>
              <w:b w:val="0"/>
            </w:rPr>
          </w:pPr>
          <w:hyperlink w:history="true" w:anchor="_bookmark49">
            <w:r>
              <w:rPr/>
              <w:t>DETECCIÓN DE AISLAMIENTOS DE MRSA, MEDIANTE LA REACCIÓN EN CADENA DE </w:t>
            </w:r>
            <w:r>
              <w:rPr>
                <w:spacing w:val="2"/>
              </w:rPr>
              <w:t>LA</w:t>
            </w:r>
          </w:hyperlink>
          <w:r>
            <w:rPr>
              <w:spacing w:val="2"/>
            </w:rPr>
            <w:t> </w:t>
          </w:r>
          <w:hyperlink w:history="true" w:anchor="_bookmark49">
            <w:r>
              <w:rPr/>
              <w:t>POLIMERASA</w:t>
            </w:r>
            <w:r>
              <w:rPr>
                <w:rFonts w:ascii="Calibri" w:hAnsi="Calibri"/>
                <w:b w:val="0"/>
              </w:rPr>
              <w:tab/>
              <w:t>44</w:t>
            </w:r>
          </w:hyperlink>
        </w:p>
        <w:p>
          <w:pPr>
            <w:pStyle w:val="TOC9"/>
            <w:tabs>
              <w:tab w:pos="8970" w:val="right" w:leader="dot"/>
            </w:tabs>
            <w:spacing w:before="91"/>
            <w:rPr>
              <w:rFonts w:ascii="Calibri" w:hAnsi="Calibri"/>
              <w:b w:val="0"/>
            </w:rPr>
          </w:pPr>
          <w:hyperlink w:history="true" w:anchor="_bookmark50">
            <w:r>
              <w:rPr/>
              <w:t>Extracción de</w:t>
            </w:r>
            <w:r>
              <w:rPr>
                <w:spacing w:val="2"/>
              </w:rPr>
              <w:t> </w:t>
            </w:r>
            <w:r>
              <w:rPr/>
              <w:t>ADN</w:t>
            </w:r>
            <w:r>
              <w:rPr>
                <w:spacing w:val="-2"/>
              </w:rPr>
              <w:t> </w:t>
            </w:r>
            <w:r>
              <w:rPr/>
              <w:t>bacteriano</w:t>
            </w:r>
            <w:r>
              <w:rPr>
                <w:rFonts w:ascii="Calibri" w:hAnsi="Calibri"/>
                <w:b w:val="0"/>
              </w:rPr>
              <w:tab/>
              <w:t>44</w:t>
            </w:r>
          </w:hyperlink>
        </w:p>
        <w:p>
          <w:pPr>
            <w:pStyle w:val="TOC9"/>
            <w:tabs>
              <w:tab w:pos="8970" w:val="right" w:leader="dot"/>
            </w:tabs>
            <w:rPr>
              <w:rFonts w:ascii="Calibri" w:hAnsi="Calibri"/>
              <w:b w:val="0"/>
            </w:rPr>
          </w:pPr>
          <w:hyperlink w:history="true" w:anchor="_bookmark51">
            <w:r>
              <w:rPr/>
              <w:t>Cuantificación</w:t>
            </w:r>
            <w:r>
              <w:rPr>
                <w:spacing w:val="-1"/>
              </w:rPr>
              <w:t> </w:t>
            </w:r>
            <w:r>
              <w:rPr/>
              <w:t>del</w:t>
            </w:r>
            <w:r>
              <w:rPr>
                <w:spacing w:val="2"/>
              </w:rPr>
              <w:t> </w:t>
            </w:r>
            <w:r>
              <w:rPr/>
              <w:t>ADN</w:t>
            </w:r>
            <w:r>
              <w:rPr>
                <w:rFonts w:ascii="Calibri" w:hAnsi="Calibri"/>
                <w:b w:val="0"/>
              </w:rPr>
              <w:tab/>
              <w:t>44</w:t>
            </w:r>
          </w:hyperlink>
        </w:p>
        <w:p>
          <w:pPr>
            <w:tabs>
              <w:tab w:pos="8970" w:val="right" w:leader="dot"/>
            </w:tabs>
            <w:spacing w:before="123"/>
            <w:ind w:left="542" w:right="0" w:firstLine="0"/>
            <w:jc w:val="left"/>
            <w:rPr>
              <w:rFonts w:ascii="Calibri" w:hAnsi="Calibri"/>
              <w:sz w:val="20"/>
            </w:rPr>
          </w:pPr>
          <w:hyperlink w:history="true" w:anchor="_bookmark52">
            <w:r>
              <w:rPr>
                <w:b/>
                <w:sz w:val="20"/>
              </w:rPr>
              <w:t>Detección de los genes </w:t>
            </w:r>
            <w:r>
              <w:rPr>
                <w:b/>
                <w:i/>
                <w:sz w:val="20"/>
              </w:rPr>
              <w:t>femB </w:t>
            </w:r>
            <w:r>
              <w:rPr>
                <w:b/>
                <w:sz w:val="20"/>
              </w:rPr>
              <w:t>y </w:t>
            </w:r>
            <w:r>
              <w:rPr>
                <w:b/>
                <w:i/>
                <w:sz w:val="20"/>
              </w:rPr>
              <w:t>mecA </w:t>
            </w:r>
            <w:r>
              <w:rPr>
                <w:b/>
                <w:sz w:val="20"/>
              </w:rPr>
              <w:t>por</w:t>
            </w:r>
            <w:r>
              <w:rPr>
                <w:b/>
                <w:spacing w:val="-7"/>
                <w:sz w:val="20"/>
              </w:rPr>
              <w:t> </w:t>
            </w:r>
            <w:r>
              <w:rPr>
                <w:b/>
                <w:sz w:val="20"/>
              </w:rPr>
              <w:t>PCR</w:t>
            </w:r>
            <w:r>
              <w:rPr>
                <w:b/>
                <w:spacing w:val="-2"/>
                <w:sz w:val="20"/>
              </w:rPr>
              <w:t> </w:t>
            </w:r>
            <w:r>
              <w:rPr>
                <w:b/>
                <w:sz w:val="20"/>
              </w:rPr>
              <w:t>multiplex</w:t>
            </w:r>
            <w:r>
              <w:rPr>
                <w:rFonts w:ascii="Calibri" w:hAnsi="Calibri"/>
                <w:sz w:val="20"/>
              </w:rPr>
              <w:tab/>
              <w:t>44</w:t>
            </w:r>
          </w:hyperlink>
        </w:p>
        <w:p>
          <w:pPr>
            <w:pStyle w:val="TOC9"/>
            <w:tabs>
              <w:tab w:pos="8970" w:val="right" w:leader="dot"/>
            </w:tabs>
            <w:rPr>
              <w:rFonts w:ascii="Calibri" w:hAnsi="Calibri"/>
              <w:b w:val="0"/>
            </w:rPr>
          </w:pPr>
          <w:hyperlink w:history="true" w:anchor="_bookmark53">
            <w:r>
              <w:rPr/>
              <w:t>Visualización de</w:t>
            </w:r>
            <w:r>
              <w:rPr>
                <w:spacing w:val="1"/>
              </w:rPr>
              <w:t> </w:t>
            </w:r>
            <w:r>
              <w:rPr/>
              <w:t>los</w:t>
            </w:r>
            <w:r>
              <w:rPr>
                <w:spacing w:val="-2"/>
              </w:rPr>
              <w:t> </w:t>
            </w:r>
            <w:r>
              <w:rPr/>
              <w:t>amplicones</w:t>
            </w:r>
            <w:r>
              <w:rPr>
                <w:rFonts w:ascii="Calibri" w:hAnsi="Calibri"/>
                <w:b w:val="0"/>
              </w:rPr>
              <w:tab/>
              <w:t>45</w:t>
            </w:r>
          </w:hyperlink>
        </w:p>
        <w:p>
          <w:pPr>
            <w:pStyle w:val="TOC5"/>
            <w:tabs>
              <w:tab w:pos="8821" w:val="right" w:leader="dot"/>
            </w:tabs>
            <w:spacing w:before="123"/>
            <w:rPr>
              <w:rFonts w:ascii="Calibri" w:hAnsi="Calibri"/>
              <w:b w:val="0"/>
              <w:i w:val="0"/>
              <w:sz w:val="20"/>
            </w:rPr>
          </w:pPr>
          <w:hyperlink w:history="true" w:anchor="_bookmark54">
            <w:r>
              <w:rPr>
                <w:i w:val="0"/>
                <w:sz w:val="20"/>
              </w:rPr>
              <w:t>Biotipificación de los aislamientos de</w:t>
            </w:r>
            <w:r>
              <w:rPr>
                <w:i w:val="0"/>
                <w:spacing w:val="1"/>
                <w:sz w:val="20"/>
              </w:rPr>
              <w:t> </w:t>
            </w:r>
            <w:r>
              <w:rPr>
                <w:i/>
                <w:sz w:val="20"/>
              </w:rPr>
              <w:t>Staphylococcus</w:t>
            </w:r>
            <w:r>
              <w:rPr>
                <w:i/>
                <w:spacing w:val="-2"/>
                <w:sz w:val="20"/>
              </w:rPr>
              <w:t> </w:t>
            </w:r>
            <w:r>
              <w:rPr>
                <w:i/>
                <w:sz w:val="20"/>
              </w:rPr>
              <w:t>aureus</w:t>
            </w:r>
            <w:r>
              <w:rPr>
                <w:rFonts w:ascii="Calibri" w:hAnsi="Calibri"/>
                <w:b w:val="0"/>
                <w:i w:val="0"/>
                <w:sz w:val="20"/>
              </w:rPr>
              <w:tab/>
              <w:t>46</w:t>
            </w:r>
          </w:hyperlink>
        </w:p>
        <w:p>
          <w:pPr>
            <w:pStyle w:val="TOC5"/>
            <w:tabs>
              <w:tab w:pos="8821" w:val="right" w:leader="dot"/>
            </w:tabs>
            <w:rPr>
              <w:rFonts w:ascii="Calibri" w:hAnsi="Calibri"/>
              <w:b w:val="0"/>
              <w:i w:val="0"/>
              <w:sz w:val="20"/>
            </w:rPr>
          </w:pPr>
          <w:hyperlink w:history="true" w:anchor="_bookmark55">
            <w:r>
              <w:rPr>
                <w:i w:val="0"/>
                <w:sz w:val="20"/>
              </w:rPr>
              <w:t>Identificación fenotípica de </w:t>
            </w:r>
            <w:r>
              <w:rPr>
                <w:i/>
                <w:sz w:val="20"/>
              </w:rPr>
              <w:t>biofilm </w:t>
            </w:r>
            <w:r>
              <w:rPr>
                <w:i w:val="0"/>
                <w:sz w:val="20"/>
              </w:rPr>
              <w:t>en</w:t>
            </w:r>
            <w:r>
              <w:rPr>
                <w:i w:val="0"/>
                <w:spacing w:val="3"/>
                <w:sz w:val="20"/>
              </w:rPr>
              <w:t> </w:t>
            </w:r>
            <w:r>
              <w:rPr>
                <w:i w:val="0"/>
                <w:sz w:val="20"/>
              </w:rPr>
              <w:t>rojo</w:t>
            </w:r>
            <w:r>
              <w:rPr>
                <w:i w:val="0"/>
                <w:spacing w:val="-2"/>
                <w:sz w:val="20"/>
              </w:rPr>
              <w:t> </w:t>
            </w:r>
            <w:r>
              <w:rPr>
                <w:i w:val="0"/>
                <w:sz w:val="20"/>
              </w:rPr>
              <w:t>Congo</w:t>
            </w:r>
            <w:r>
              <w:rPr>
                <w:rFonts w:ascii="Calibri" w:hAnsi="Calibri"/>
                <w:b w:val="0"/>
                <w:i w:val="0"/>
                <w:sz w:val="20"/>
              </w:rPr>
              <w:tab/>
              <w:t>47</w:t>
            </w:r>
          </w:hyperlink>
        </w:p>
        <w:p>
          <w:pPr>
            <w:pStyle w:val="TOC3"/>
            <w:numPr>
              <w:ilvl w:val="0"/>
              <w:numId w:val="2"/>
            </w:numPr>
            <w:tabs>
              <w:tab w:pos="495" w:val="left" w:leader="none"/>
              <w:tab w:pos="8828" w:val="right" w:leader="dot"/>
            </w:tabs>
            <w:spacing w:line="240" w:lineRule="auto" w:before="123" w:after="0"/>
            <w:ind w:left="494" w:right="5" w:hanging="352"/>
            <w:jc w:val="center"/>
            <w:rPr>
              <w:rFonts w:ascii="Calibri"/>
              <w:b w:val="0"/>
            </w:rPr>
          </w:pPr>
          <w:hyperlink w:history="true" w:anchor="_bookmark56">
            <w:r>
              <w:rPr/>
              <w:t>LIMITE DE TIEMPO</w:t>
            </w:r>
            <w:r>
              <w:rPr>
                <w:spacing w:val="-3"/>
              </w:rPr>
              <w:t> </w:t>
            </w:r>
            <w:r>
              <w:rPr/>
              <w:t>Y ESPACIO</w:t>
            </w:r>
            <w:r>
              <w:rPr>
                <w:rFonts w:ascii="Calibri"/>
                <w:b w:val="0"/>
              </w:rPr>
              <w:tab/>
              <w:t>48</w:t>
            </w:r>
          </w:hyperlink>
        </w:p>
        <w:p>
          <w:pPr>
            <w:pStyle w:val="TOC5"/>
            <w:numPr>
              <w:ilvl w:val="0"/>
              <w:numId w:val="2"/>
            </w:numPr>
            <w:tabs>
              <w:tab w:pos="553" w:val="left" w:leader="none"/>
              <w:tab w:pos="8828" w:val="right" w:leader="dot"/>
            </w:tabs>
            <w:spacing w:line="240" w:lineRule="auto" w:before="125" w:after="0"/>
            <w:ind w:left="552" w:right="5" w:hanging="410"/>
            <w:jc w:val="center"/>
            <w:rPr>
              <w:rFonts w:ascii="Calibri"/>
              <w:b w:val="0"/>
              <w:i w:val="0"/>
              <w:sz w:val="20"/>
            </w:rPr>
          </w:pPr>
          <w:hyperlink w:history="true" w:anchor="_bookmark57">
            <w:r>
              <w:rPr>
                <w:i w:val="0"/>
                <w:sz w:val="20"/>
              </w:rPr>
              <w:t>RESULTADOS</w:t>
            </w:r>
            <w:r>
              <w:rPr>
                <w:rFonts w:ascii="Calibri"/>
                <w:b w:val="0"/>
                <w:i w:val="0"/>
                <w:sz w:val="20"/>
              </w:rPr>
              <w:tab/>
              <w:t>49</w:t>
            </w:r>
          </w:hyperlink>
        </w:p>
        <w:p>
          <w:pPr>
            <w:pStyle w:val="TOC5"/>
            <w:numPr>
              <w:ilvl w:val="0"/>
              <w:numId w:val="2"/>
            </w:numPr>
            <w:tabs>
              <w:tab w:pos="441" w:val="left" w:leader="none"/>
              <w:tab w:pos="8828" w:val="right" w:leader="dot"/>
            </w:tabs>
            <w:spacing w:line="240" w:lineRule="auto" w:before="126" w:after="0"/>
            <w:ind w:left="440" w:right="5" w:hanging="298"/>
            <w:jc w:val="center"/>
            <w:rPr>
              <w:rFonts w:ascii="Calibri" w:hAnsi="Calibri"/>
              <w:b w:val="0"/>
              <w:i w:val="0"/>
              <w:sz w:val="20"/>
            </w:rPr>
          </w:pPr>
          <w:hyperlink w:history="true" w:anchor="_bookmark58">
            <w:r>
              <w:rPr>
                <w:i w:val="0"/>
                <w:sz w:val="20"/>
              </w:rPr>
              <w:t>DISCUSIÓN</w:t>
            </w:r>
            <w:r>
              <w:rPr>
                <w:rFonts w:ascii="Calibri" w:hAnsi="Calibri"/>
                <w:b w:val="0"/>
                <w:i w:val="0"/>
                <w:sz w:val="20"/>
              </w:rPr>
              <w:tab/>
              <w:t>86</w:t>
            </w:r>
          </w:hyperlink>
        </w:p>
        <w:p>
          <w:pPr>
            <w:pStyle w:val="TOC3"/>
            <w:numPr>
              <w:ilvl w:val="0"/>
              <w:numId w:val="2"/>
            </w:numPr>
            <w:tabs>
              <w:tab w:pos="385" w:val="left" w:leader="none"/>
              <w:tab w:pos="8828" w:val="right" w:leader="dot"/>
            </w:tabs>
            <w:spacing w:line="240" w:lineRule="auto" w:before="123" w:after="0"/>
            <w:ind w:left="384" w:right="5" w:hanging="242"/>
            <w:jc w:val="center"/>
            <w:rPr>
              <w:rFonts w:ascii="Calibri"/>
              <w:b w:val="0"/>
            </w:rPr>
          </w:pPr>
          <w:hyperlink w:history="true" w:anchor="_bookmark59">
            <w:r>
              <w:rPr/>
              <w:t>CONCLUSIONES</w:t>
            </w:r>
            <w:r>
              <w:rPr>
                <w:rFonts w:ascii="Calibri"/>
                <w:b w:val="0"/>
              </w:rPr>
              <w:tab/>
              <w:t>93</w:t>
            </w:r>
          </w:hyperlink>
        </w:p>
        <w:p>
          <w:pPr>
            <w:pStyle w:val="TOC3"/>
            <w:numPr>
              <w:ilvl w:val="0"/>
              <w:numId w:val="2"/>
            </w:numPr>
            <w:tabs>
              <w:tab w:pos="441" w:val="left" w:leader="none"/>
              <w:tab w:pos="8828" w:val="right" w:leader="dot"/>
            </w:tabs>
            <w:spacing w:line="240" w:lineRule="auto" w:before="125" w:after="0"/>
            <w:ind w:left="440" w:right="5" w:hanging="298"/>
            <w:jc w:val="center"/>
            <w:rPr>
              <w:rFonts w:ascii="Calibri"/>
              <w:b w:val="0"/>
            </w:rPr>
          </w:pPr>
          <w:hyperlink w:history="true" w:anchor="_bookmark60">
            <w:r>
              <w:rPr/>
              <w:t>LITERATURA</w:t>
            </w:r>
            <w:r>
              <w:rPr>
                <w:spacing w:val="-3"/>
              </w:rPr>
              <w:t> </w:t>
            </w:r>
            <w:r>
              <w:rPr/>
              <w:t>CITADA</w:t>
            </w:r>
            <w:r>
              <w:rPr>
                <w:rFonts w:ascii="Calibri"/>
                <w:b w:val="0"/>
              </w:rPr>
              <w:tab/>
              <w:t>94</w:t>
            </w:r>
          </w:hyperlink>
        </w:p>
        <w:p>
          <w:pPr>
            <w:pStyle w:val="TOC5"/>
            <w:numPr>
              <w:ilvl w:val="0"/>
              <w:numId w:val="2"/>
            </w:numPr>
            <w:tabs>
              <w:tab w:pos="500" w:val="left" w:leader="none"/>
              <w:tab w:pos="8826" w:val="right" w:leader="dot"/>
            </w:tabs>
            <w:spacing w:line="240" w:lineRule="auto" w:before="123" w:after="0"/>
            <w:ind w:left="499" w:right="7" w:hanging="357"/>
            <w:jc w:val="center"/>
            <w:rPr>
              <w:rFonts w:ascii="Calibri"/>
              <w:b w:val="0"/>
              <w:i w:val="0"/>
              <w:sz w:val="20"/>
            </w:rPr>
          </w:pPr>
          <w:hyperlink w:history="true" w:anchor="_bookmark61">
            <w:r>
              <w:rPr>
                <w:i w:val="0"/>
                <w:sz w:val="20"/>
              </w:rPr>
              <w:t>A N E X</w:t>
            </w:r>
            <w:r>
              <w:rPr>
                <w:i w:val="0"/>
                <w:spacing w:val="-6"/>
                <w:sz w:val="20"/>
              </w:rPr>
              <w:t> </w:t>
            </w:r>
            <w:r>
              <w:rPr>
                <w:i w:val="0"/>
                <w:sz w:val="20"/>
              </w:rPr>
              <w:t>O</w:t>
            </w:r>
            <w:r>
              <w:rPr>
                <w:i w:val="0"/>
                <w:spacing w:val="1"/>
                <w:sz w:val="20"/>
              </w:rPr>
              <w:t> </w:t>
            </w:r>
            <w:r>
              <w:rPr>
                <w:i w:val="0"/>
                <w:sz w:val="20"/>
              </w:rPr>
              <w:t>S</w:t>
            </w:r>
            <w:r>
              <w:rPr>
                <w:rFonts w:ascii="Calibri"/>
                <w:b w:val="0"/>
                <w:i w:val="0"/>
                <w:sz w:val="20"/>
              </w:rPr>
              <w:tab/>
              <w:t>103</w:t>
            </w:r>
          </w:hyperlink>
        </w:p>
        <w:p>
          <w:pPr>
            <w:pStyle w:val="TOC6"/>
            <w:tabs>
              <w:tab w:pos="8968" w:val="right" w:leader="dot"/>
            </w:tabs>
            <w:spacing w:line="266" w:lineRule="auto" w:before="121"/>
            <w:ind w:right="149"/>
            <w:rPr>
              <w:rFonts w:ascii="Calibri"/>
              <w:b w:val="0"/>
            </w:rPr>
          </w:pPr>
          <w:hyperlink w:history="true" w:anchor="_bookmark62">
            <w:r>
              <w:rPr/>
              <w:t>Anexo 1: CUESTIONARIO PARA COMERCIANTES DE QUESOS FRESCOS EN MERCADOS</w:t>
            </w:r>
          </w:hyperlink>
          <w:r>
            <w:rPr/>
            <w:t> </w:t>
          </w:r>
          <w:hyperlink w:history="true" w:anchor="_bookmark62">
            <w:r>
              <w:rPr/>
              <w:t>POPULARES DEL MUNICIPIO</w:t>
            </w:r>
            <w:r>
              <w:rPr>
                <w:spacing w:val="-2"/>
              </w:rPr>
              <w:t> </w:t>
            </w:r>
            <w:r>
              <w:rPr/>
              <w:t>DE</w:t>
            </w:r>
            <w:r>
              <w:rPr>
                <w:spacing w:val="-2"/>
              </w:rPr>
              <w:t> </w:t>
            </w:r>
            <w:r>
              <w:rPr/>
              <w:t>TOLUCA</w:t>
            </w:r>
            <w:r>
              <w:rPr>
                <w:rFonts w:ascii="Calibri"/>
                <w:b w:val="0"/>
              </w:rPr>
              <w:tab/>
              <w:t>103</w:t>
            </w:r>
          </w:hyperlink>
        </w:p>
        <w:p>
          <w:pPr>
            <w:pStyle w:val="TOC3"/>
            <w:tabs>
              <w:tab w:pos="8816" w:val="right" w:leader="dot"/>
            </w:tabs>
            <w:spacing w:before="98"/>
            <w:ind w:left="189"/>
            <w:rPr>
              <w:rFonts w:ascii="Calibri" w:hAnsi="Calibri"/>
              <w:b w:val="0"/>
            </w:rPr>
          </w:pPr>
          <w:hyperlink w:history="true" w:anchor="_bookmark63">
            <w:r>
              <w:rPr/>
              <w:t>ANEXO 2: DETERMINACIÓN DE HUMEDAD EN</w:t>
            </w:r>
            <w:r>
              <w:rPr>
                <w:spacing w:val="-2"/>
              </w:rPr>
              <w:t> </w:t>
            </w:r>
            <w:r>
              <w:rPr/>
              <w:t>QUESO</w:t>
            </w:r>
            <w:r>
              <w:rPr>
                <w:spacing w:val="-1"/>
              </w:rPr>
              <w:t> </w:t>
            </w:r>
            <w:r>
              <w:rPr/>
              <w:t>FRESCO</w:t>
            </w:r>
            <w:r>
              <w:rPr>
                <w:rFonts w:ascii="Calibri" w:hAnsi="Calibri"/>
                <w:b w:val="0"/>
              </w:rPr>
              <w:tab/>
              <w:t>104</w:t>
            </w:r>
          </w:hyperlink>
        </w:p>
        <w:p>
          <w:pPr>
            <w:pStyle w:val="TOC3"/>
            <w:tabs>
              <w:tab w:pos="8816" w:val="right" w:leader="dot"/>
            </w:tabs>
            <w:spacing w:before="123"/>
            <w:ind w:left="189"/>
            <w:rPr>
              <w:rFonts w:ascii="Calibri" w:hAnsi="Calibri"/>
              <w:b w:val="0"/>
            </w:rPr>
          </w:pPr>
          <w:hyperlink w:history="true" w:anchor="_bookmark64">
            <w:r>
              <w:rPr/>
              <w:t>Anexo 3: DETERMINACIÓN DE CENIZAS EN</w:t>
            </w:r>
            <w:r>
              <w:rPr>
                <w:spacing w:val="-4"/>
              </w:rPr>
              <w:t> </w:t>
            </w:r>
            <w:r>
              <w:rPr/>
              <w:t>QUESO</w:t>
            </w:r>
            <w:r>
              <w:rPr>
                <w:spacing w:val="-1"/>
              </w:rPr>
              <w:t> </w:t>
            </w:r>
            <w:r>
              <w:rPr/>
              <w:t>FRESCO</w:t>
            </w:r>
            <w:r>
              <w:rPr>
                <w:rFonts w:ascii="Calibri" w:hAnsi="Calibri"/>
                <w:b w:val="0"/>
              </w:rPr>
              <w:tab/>
              <w:t>104</w:t>
            </w:r>
          </w:hyperlink>
        </w:p>
        <w:p>
          <w:pPr>
            <w:pStyle w:val="TOC3"/>
            <w:tabs>
              <w:tab w:pos="8816" w:val="right" w:leader="dot"/>
            </w:tabs>
            <w:ind w:left="189"/>
            <w:rPr>
              <w:rFonts w:ascii="Calibri" w:hAnsi="Calibri"/>
              <w:b w:val="0"/>
            </w:rPr>
          </w:pPr>
          <w:hyperlink w:history="true" w:anchor="_bookmark65">
            <w:r>
              <w:rPr/>
              <w:t>ANEXO 4: DETERMINACIÓN DE NaCl EN</w:t>
            </w:r>
            <w:r>
              <w:rPr>
                <w:spacing w:val="-3"/>
              </w:rPr>
              <w:t> </w:t>
            </w:r>
            <w:r>
              <w:rPr/>
              <w:t>QUESO</w:t>
            </w:r>
            <w:r>
              <w:rPr>
                <w:spacing w:val="-1"/>
              </w:rPr>
              <w:t> </w:t>
            </w:r>
            <w:r>
              <w:rPr/>
              <w:t>FRESCO</w:t>
            </w:r>
            <w:r>
              <w:rPr>
                <w:rFonts w:ascii="Calibri" w:hAnsi="Calibri"/>
                <w:b w:val="0"/>
              </w:rPr>
              <w:tab/>
              <w:t>105</w:t>
            </w:r>
          </w:hyperlink>
        </w:p>
        <w:p>
          <w:pPr>
            <w:pStyle w:val="TOC7"/>
            <w:tabs>
              <w:tab w:pos="8968" w:val="right" w:leader="dot"/>
            </w:tabs>
            <w:spacing w:before="218"/>
            <w:rPr>
              <w:rFonts w:ascii="Calibri" w:hAnsi="Calibri"/>
              <w:b w:val="0"/>
            </w:rPr>
          </w:pPr>
          <w:hyperlink w:history="true" w:anchor="_bookmark66">
            <w:r>
              <w:rPr/>
              <w:t>ANEXO 5: DETERMINACIÓN DE GRASA EN</w:t>
            </w:r>
            <w:r>
              <w:rPr>
                <w:spacing w:val="-7"/>
              </w:rPr>
              <w:t> </w:t>
            </w:r>
            <w:r>
              <w:rPr/>
              <w:t>QUESO</w:t>
            </w:r>
            <w:r>
              <w:rPr>
                <w:spacing w:val="-1"/>
              </w:rPr>
              <w:t> </w:t>
            </w:r>
            <w:r>
              <w:rPr/>
              <w:t>FRESCO</w:t>
            </w:r>
            <w:r>
              <w:rPr>
                <w:rFonts w:ascii="Calibri" w:hAnsi="Calibri"/>
                <w:b w:val="0"/>
              </w:rPr>
              <w:tab/>
              <w:t>106</w:t>
            </w:r>
          </w:hyperlink>
        </w:p>
        <w:p>
          <w:pPr>
            <w:pStyle w:val="TOC7"/>
            <w:tabs>
              <w:tab w:pos="8968" w:val="right" w:leader="dot"/>
            </w:tabs>
            <w:spacing w:before="123"/>
            <w:rPr>
              <w:rFonts w:ascii="Calibri" w:hAnsi="Calibri"/>
              <w:b w:val="0"/>
            </w:rPr>
          </w:pPr>
          <w:hyperlink w:history="true" w:anchor="_bookmark67">
            <w:r>
              <w:rPr/>
              <w:t>ANEXO 6: DETERMINACIÓN DE PROTEINA EN</w:t>
            </w:r>
            <w:r>
              <w:rPr>
                <w:spacing w:val="-6"/>
              </w:rPr>
              <w:t> </w:t>
            </w:r>
            <w:r>
              <w:rPr/>
              <w:t>QUESO</w:t>
            </w:r>
            <w:r>
              <w:rPr>
                <w:spacing w:val="-1"/>
              </w:rPr>
              <w:t> </w:t>
            </w:r>
            <w:r>
              <w:rPr/>
              <w:t>FRESCO</w:t>
            </w:r>
            <w:r>
              <w:rPr>
                <w:rFonts w:ascii="Calibri" w:hAnsi="Calibri"/>
                <w:b w:val="0"/>
              </w:rPr>
              <w:tab/>
              <w:t>107</w:t>
            </w:r>
          </w:hyperlink>
        </w:p>
        <w:p>
          <w:pPr>
            <w:pStyle w:val="TOC7"/>
            <w:tabs>
              <w:tab w:pos="8968" w:val="right" w:leader="dot"/>
            </w:tabs>
            <w:spacing w:before="125"/>
            <w:rPr>
              <w:rFonts w:ascii="Calibri" w:hAnsi="Calibri"/>
              <w:b w:val="0"/>
            </w:rPr>
          </w:pPr>
          <w:hyperlink w:history="true" w:anchor="_bookmark68">
            <w:r>
              <w:rPr/>
              <w:t>Anexo 7:</w:t>
            </w:r>
            <w:r>
              <w:rPr>
                <w:spacing w:val="-2"/>
              </w:rPr>
              <w:t> </w:t>
            </w:r>
            <w:r>
              <w:rPr/>
              <w:t>MÉTODO</w:t>
            </w:r>
            <w:r>
              <w:rPr>
                <w:spacing w:val="-3"/>
              </w:rPr>
              <w:t> </w:t>
            </w:r>
            <w:r>
              <w:rPr/>
              <w:t>McFARLAND</w:t>
            </w:r>
            <w:r>
              <w:rPr>
                <w:rFonts w:ascii="Calibri" w:hAnsi="Calibri"/>
                <w:b w:val="0"/>
              </w:rPr>
              <w:tab/>
              <w:t>108</w:t>
            </w:r>
          </w:hyperlink>
        </w:p>
        <w:p>
          <w:pPr>
            <w:pStyle w:val="TOC7"/>
            <w:tabs>
              <w:tab w:pos="8968" w:val="right" w:leader="dot"/>
            </w:tabs>
            <w:spacing w:line="266" w:lineRule="auto" w:before="121"/>
            <w:ind w:right="149"/>
            <w:rPr>
              <w:rFonts w:ascii="Calibri" w:hAnsi="Calibri"/>
              <w:b w:val="0"/>
            </w:rPr>
          </w:pPr>
          <w:hyperlink w:history="true" w:anchor="_bookmark69">
            <w:r>
              <w:rPr/>
              <w:t>Anexo 8: NORMA OFICIAL MEXICANA NOM-115-SSA1-1994, BIENES Y SERVICIOS.</w:t>
            </w:r>
          </w:hyperlink>
          <w:r>
            <w:rPr/>
            <w:t> </w:t>
          </w:r>
          <w:hyperlink w:history="true" w:anchor="_bookmark69">
            <w:r>
              <w:rPr/>
              <w:t>MÉTODO PARA </w:t>
            </w:r>
            <w:r>
              <w:rPr>
                <w:spacing w:val="2"/>
              </w:rPr>
              <w:t>LA </w:t>
            </w:r>
            <w:r>
              <w:rPr/>
              <w:t>DETERMINACIÓN DE </w:t>
            </w:r>
            <w:r>
              <w:rPr>
                <w:i/>
              </w:rPr>
              <w:t>Staphylococcus aureus</w:t>
            </w:r>
            <w:r>
              <w:rPr>
                <w:i/>
                <w:spacing w:val="-12"/>
              </w:rPr>
              <w:t> </w:t>
            </w:r>
            <w:r>
              <w:rPr/>
              <w:t>EN</w:t>
            </w:r>
            <w:r>
              <w:rPr>
                <w:spacing w:val="2"/>
              </w:rPr>
              <w:t> </w:t>
            </w:r>
            <w:r>
              <w:rPr/>
              <w:t>ALIMENTOS</w:t>
            </w:r>
            <w:r>
              <w:rPr>
                <w:rFonts w:ascii="Calibri" w:hAnsi="Calibri"/>
                <w:b w:val="0"/>
              </w:rPr>
              <w:tab/>
              <w:t>109</w:t>
            </w:r>
          </w:hyperlink>
        </w:p>
        <w:p>
          <w:pPr>
            <w:pStyle w:val="TOC7"/>
            <w:tabs>
              <w:tab w:pos="8968" w:val="right" w:leader="dot"/>
            </w:tabs>
            <w:spacing w:line="266" w:lineRule="auto" w:before="92"/>
            <w:ind w:right="149"/>
            <w:rPr>
              <w:rFonts w:ascii="Calibri" w:hAnsi="Calibri"/>
              <w:b w:val="0"/>
            </w:rPr>
          </w:pPr>
          <w:hyperlink w:history="true" w:anchor="_bookmark70">
            <w:r>
              <w:rPr/>
              <w:t>Anexo 9: NMX-F-083-1986. ALIMENTOS. DETERMINACIÓN DE HUMEDAD EN PRODUCTOS</w:t>
            </w:r>
          </w:hyperlink>
          <w:r>
            <w:rPr/>
            <w:t> </w:t>
          </w:r>
          <w:hyperlink w:history="true" w:anchor="_bookmark70">
            <w:r>
              <w:rPr/>
              <w:t>ALIMENTICIOS. FOODS. MOISTURE IN FOOD PRODUCTS DETERMINATION. NORMAS</w:t>
            </w:r>
          </w:hyperlink>
          <w:r>
            <w:rPr/>
            <w:t> </w:t>
          </w:r>
          <w:hyperlink w:history="true" w:anchor="_bookmark70">
            <w:r>
              <w:rPr/>
              <w:t>MEXICANAS. DIRECCIÓN GENERAL</w:t>
            </w:r>
            <w:r>
              <w:rPr>
                <w:spacing w:val="2"/>
              </w:rPr>
              <w:t> </w:t>
            </w:r>
            <w:r>
              <w:rPr/>
              <w:t>DE</w:t>
            </w:r>
            <w:r>
              <w:rPr>
                <w:spacing w:val="-2"/>
              </w:rPr>
              <w:t> </w:t>
            </w:r>
            <w:r>
              <w:rPr/>
              <w:t>NORMAS</w:t>
            </w:r>
            <w:r>
              <w:rPr>
                <w:rFonts w:ascii="Calibri" w:hAnsi="Calibri"/>
                <w:b w:val="0"/>
              </w:rPr>
              <w:tab/>
              <w:t>120</w:t>
            </w:r>
          </w:hyperlink>
        </w:p>
        <w:p>
          <w:pPr>
            <w:pStyle w:val="TOC7"/>
            <w:tabs>
              <w:tab w:pos="8968" w:val="right" w:leader="dot"/>
            </w:tabs>
            <w:rPr>
              <w:rFonts w:ascii="Calibri" w:hAnsi="Calibri"/>
              <w:b w:val="0"/>
            </w:rPr>
          </w:pPr>
          <w:hyperlink w:history="true" w:anchor="_bookmark71">
            <w:r>
              <w:rPr/>
              <w:t>Anexo 12: DETERMINACIÓN DE</w:t>
            </w:r>
            <w:r>
              <w:rPr>
                <w:spacing w:val="-6"/>
              </w:rPr>
              <w:t> </w:t>
            </w:r>
            <w:r>
              <w:rPr/>
              <w:t>NITRÓGENO</w:t>
            </w:r>
            <w:r>
              <w:rPr>
                <w:spacing w:val="-1"/>
              </w:rPr>
              <w:t> </w:t>
            </w:r>
            <w:r>
              <w:rPr/>
              <w:t>TOTAL</w:t>
            </w:r>
            <w:r>
              <w:rPr>
                <w:rFonts w:ascii="Calibri" w:hAnsi="Calibri"/>
                <w:b w:val="0"/>
              </w:rPr>
              <w:tab/>
              <w:t>126</w:t>
            </w:r>
          </w:hyperlink>
        </w:p>
        <w:p>
          <w:pPr>
            <w:pStyle w:val="TOC7"/>
            <w:tabs>
              <w:tab w:pos="8968" w:val="right" w:leader="dot"/>
            </w:tabs>
            <w:spacing w:line="266" w:lineRule="auto" w:before="118"/>
            <w:ind w:right="149"/>
            <w:rPr>
              <w:rFonts w:ascii="Calibri" w:hAnsi="Calibri"/>
              <w:b w:val="0"/>
            </w:rPr>
          </w:pPr>
          <w:hyperlink w:history="true" w:anchor="_bookmark72">
            <w:r>
              <w:rPr/>
              <w:t>Anexo 13: NMX-F-100-1984. ALIMENTOS. LÁCTEOS. DETERMINACIÓN DE GRASA</w:t>
            </w:r>
          </w:hyperlink>
          <w:r>
            <w:rPr/>
            <w:t> </w:t>
          </w:r>
          <w:hyperlink w:history="true" w:anchor="_bookmark72">
            <w:r>
              <w:rPr/>
              <w:t>BUTÍRICA EN QUESOS. FOODS. LACTEOUS. CHEESE BUTTER FAT DETERMINATION.</w:t>
            </w:r>
          </w:hyperlink>
          <w:r>
            <w:rPr/>
            <w:t> </w:t>
          </w:r>
          <w:hyperlink w:history="true" w:anchor="_bookmark72">
            <w:r>
              <w:rPr/>
              <w:t>NORMAS MEXICANAS. DIRECCIÓN GENERAL</w:t>
            </w:r>
            <w:r>
              <w:rPr>
                <w:spacing w:val="-3"/>
              </w:rPr>
              <w:t> </w:t>
            </w:r>
            <w:r>
              <w:rPr/>
              <w:t>DE NORMAS</w:t>
            </w:r>
            <w:r>
              <w:rPr>
                <w:rFonts w:ascii="Calibri" w:hAnsi="Calibri"/>
                <w:b w:val="0"/>
              </w:rPr>
              <w:tab/>
              <w:t>128</w:t>
            </w:r>
          </w:hyperlink>
        </w:p>
        <w:p>
          <w:pPr>
            <w:pStyle w:val="TOC7"/>
            <w:tabs>
              <w:tab w:pos="8968" w:val="right" w:leader="dot"/>
            </w:tabs>
            <w:rPr>
              <w:rFonts w:ascii="Calibri" w:hAnsi="Calibri"/>
              <w:b w:val="0"/>
            </w:rPr>
          </w:pPr>
          <w:hyperlink w:history="true" w:anchor="_bookmark73">
            <w:r>
              <w:rPr/>
              <w:t>ANEXO 14: PROCEDIMIENTO PARA EXTRACCIÓN</w:t>
            </w:r>
            <w:r>
              <w:rPr>
                <w:spacing w:val="1"/>
              </w:rPr>
              <w:t> </w:t>
            </w:r>
            <w:r>
              <w:rPr/>
              <w:t>DE</w:t>
            </w:r>
            <w:r>
              <w:rPr>
                <w:spacing w:val="2"/>
              </w:rPr>
              <w:t> </w:t>
            </w:r>
            <w:r>
              <w:rPr/>
              <w:t>ADN</w:t>
            </w:r>
            <w:r>
              <w:rPr>
                <w:rFonts w:ascii="Calibri" w:hAnsi="Calibri"/>
                <w:b w:val="0"/>
              </w:rPr>
              <w:tab/>
              <w:t>131</w:t>
            </w:r>
          </w:hyperlink>
        </w:p>
      </w:sdtContent>
    </w:sdt>
    <w:p>
      <w:pPr>
        <w:spacing w:after="0"/>
        <w:rPr>
          <w:rFonts w:ascii="Calibri" w:hAnsi="Calibri"/>
        </w:rPr>
        <w:sectPr>
          <w:type w:val="continuous"/>
          <w:pgSz w:w="12240" w:h="15840"/>
          <w:pgMar w:top="1199" w:bottom="1719" w:left="1560" w:right="1560"/>
        </w:sectPr>
      </w:pPr>
    </w:p>
    <w:p>
      <w:pPr>
        <w:pStyle w:val="BodyText"/>
        <w:spacing w:before="9"/>
        <w:rPr>
          <w:rFonts w:ascii="Calibri"/>
          <w:sz w:val="17"/>
        </w:rPr>
      </w:pPr>
    </w:p>
    <w:p>
      <w:pPr>
        <w:pStyle w:val="Heading2"/>
        <w:spacing w:before="0"/>
        <w:ind w:left="0" w:right="1"/>
        <w:jc w:val="center"/>
      </w:pPr>
      <w:bookmarkStart w:name="_bookmark3" w:id="4"/>
      <w:bookmarkEnd w:id="4"/>
      <w:r>
        <w:rPr>
          <w:b w:val="0"/>
        </w:rPr>
      </w:r>
      <w:r>
        <w:rPr/>
        <w:t>INDICE DE CUADROS</w:t>
      </w:r>
    </w:p>
    <w:p>
      <w:pPr>
        <w:pStyle w:val="BodyText"/>
        <w:rPr>
          <w:b/>
        </w:rPr>
      </w:pPr>
    </w:p>
    <w:p>
      <w:pPr>
        <w:pStyle w:val="BodyText"/>
        <w:spacing w:before="5"/>
        <w:rPr>
          <w:b/>
          <w:sz w:val="21"/>
        </w:rPr>
      </w:pPr>
    </w:p>
    <w:p>
      <w:pPr>
        <w:tabs>
          <w:tab w:pos="8514" w:val="left" w:leader="dot"/>
        </w:tabs>
        <w:spacing w:before="0"/>
        <w:ind w:left="142" w:right="63" w:firstLine="0"/>
        <w:jc w:val="left"/>
        <w:rPr>
          <w:sz w:val="24"/>
        </w:rPr>
      </w:pPr>
      <w:r>
        <w:rPr>
          <w:sz w:val="24"/>
        </w:rPr>
        <w:t>Cuadro 1: Características de</w:t>
      </w:r>
      <w:r>
        <w:rPr>
          <w:spacing w:val="-5"/>
          <w:sz w:val="24"/>
        </w:rPr>
        <w:t> </w:t>
      </w:r>
      <w:r>
        <w:rPr>
          <w:i/>
          <w:sz w:val="24"/>
        </w:rPr>
        <w:t>Staphylococcus</w:t>
      </w:r>
      <w:r>
        <w:rPr>
          <w:i/>
          <w:spacing w:val="-4"/>
          <w:sz w:val="24"/>
        </w:rPr>
        <w:t> </w:t>
      </w:r>
      <w:r>
        <w:rPr>
          <w:i/>
          <w:sz w:val="24"/>
        </w:rPr>
        <w:t>aureus</w:t>
      </w:r>
      <w:r>
        <w:rPr>
          <w:sz w:val="24"/>
        </w:rPr>
        <w:tab/>
        <w:t>3</w:t>
      </w:r>
    </w:p>
    <w:p>
      <w:pPr>
        <w:tabs>
          <w:tab w:pos="8514" w:val="left" w:leader="dot"/>
        </w:tabs>
        <w:spacing w:before="41"/>
        <w:ind w:left="142" w:right="63" w:firstLine="0"/>
        <w:jc w:val="left"/>
        <w:rPr>
          <w:sz w:val="24"/>
        </w:rPr>
      </w:pPr>
      <w:r>
        <w:rPr>
          <w:sz w:val="24"/>
        </w:rPr>
        <w:t>Cuadro 2: Factores de crecimiento de</w:t>
      </w:r>
      <w:r>
        <w:rPr>
          <w:spacing w:val="-8"/>
          <w:sz w:val="24"/>
        </w:rPr>
        <w:t> </w:t>
      </w:r>
      <w:r>
        <w:rPr>
          <w:i/>
          <w:sz w:val="24"/>
        </w:rPr>
        <w:t>Staphylococcus</w:t>
      </w:r>
      <w:r>
        <w:rPr>
          <w:i/>
          <w:spacing w:val="-3"/>
          <w:sz w:val="24"/>
        </w:rPr>
        <w:t> </w:t>
      </w:r>
      <w:r>
        <w:rPr>
          <w:i/>
          <w:sz w:val="24"/>
        </w:rPr>
        <w:t>aureus</w:t>
      </w:r>
      <w:r>
        <w:rPr>
          <w:sz w:val="24"/>
        </w:rPr>
        <w:tab/>
        <w:t>3</w:t>
      </w:r>
    </w:p>
    <w:p>
      <w:pPr>
        <w:tabs>
          <w:tab w:pos="8514" w:val="left" w:leader="dot"/>
        </w:tabs>
        <w:spacing w:before="43"/>
        <w:ind w:left="142" w:right="63" w:firstLine="0"/>
        <w:jc w:val="left"/>
        <w:rPr>
          <w:sz w:val="24"/>
        </w:rPr>
      </w:pPr>
      <w:r>
        <w:rPr>
          <w:sz w:val="24"/>
        </w:rPr>
        <w:t>Cuadro 3: Factores de Virulencia de</w:t>
      </w:r>
      <w:r>
        <w:rPr>
          <w:spacing w:val="-10"/>
          <w:sz w:val="24"/>
        </w:rPr>
        <w:t> </w:t>
      </w:r>
      <w:r>
        <w:rPr>
          <w:i/>
          <w:sz w:val="24"/>
        </w:rPr>
        <w:t>Staphylococcus</w:t>
      </w:r>
      <w:r>
        <w:rPr>
          <w:i/>
          <w:spacing w:val="-2"/>
          <w:sz w:val="24"/>
        </w:rPr>
        <w:t> </w:t>
      </w:r>
      <w:r>
        <w:rPr>
          <w:i/>
          <w:sz w:val="24"/>
        </w:rPr>
        <w:t>aureus</w:t>
      </w:r>
      <w:r>
        <w:rPr>
          <w:sz w:val="24"/>
        </w:rPr>
        <w:tab/>
        <w:t>4</w:t>
      </w:r>
    </w:p>
    <w:p>
      <w:pPr>
        <w:pStyle w:val="BodyText"/>
        <w:tabs>
          <w:tab w:pos="8382" w:val="left" w:leader="dot"/>
        </w:tabs>
        <w:spacing w:before="41"/>
        <w:ind w:left="142" w:right="63"/>
      </w:pPr>
      <w:r>
        <w:rPr/>
        <w:t>Cuadro 4: Fases del desarrollo de </w:t>
      </w:r>
      <w:r>
        <w:rPr>
          <w:i/>
        </w:rPr>
        <w:t>biofilm</w:t>
      </w:r>
      <w:r>
        <w:rPr>
          <w:i/>
          <w:spacing w:val="-12"/>
        </w:rPr>
        <w:t> </w:t>
      </w:r>
      <w:r>
        <w:rPr/>
        <w:t>en</w:t>
      </w:r>
      <w:r>
        <w:rPr>
          <w:spacing w:val="-4"/>
        </w:rPr>
        <w:t> </w:t>
      </w:r>
      <w:r>
        <w:rPr/>
        <w:t>estafilococos</w:t>
        <w:tab/>
        <w:t>12</w:t>
      </w:r>
    </w:p>
    <w:p>
      <w:pPr>
        <w:pStyle w:val="BodyText"/>
        <w:tabs>
          <w:tab w:pos="8382" w:val="left" w:leader="dot"/>
        </w:tabs>
        <w:spacing w:before="43"/>
        <w:ind w:left="142" w:right="63"/>
      </w:pPr>
      <w:r>
        <w:rPr/>
        <w:t>Cuadro 5: Clasificación</w:t>
      </w:r>
      <w:r>
        <w:rPr>
          <w:spacing w:val="-4"/>
        </w:rPr>
        <w:t> </w:t>
      </w:r>
      <w:r>
        <w:rPr/>
        <w:t>de</w:t>
      </w:r>
      <w:r>
        <w:rPr>
          <w:spacing w:val="-3"/>
        </w:rPr>
        <w:t> </w:t>
      </w:r>
      <w:r>
        <w:rPr/>
        <w:t>MRSA</w:t>
        <w:tab/>
        <w:t>20</w:t>
      </w:r>
    </w:p>
    <w:p>
      <w:pPr>
        <w:pStyle w:val="BodyText"/>
        <w:spacing w:before="41"/>
        <w:ind w:left="142" w:right="63"/>
      </w:pPr>
      <w:r>
        <w:rPr/>
        <w:t>Cuadro 6: Secuencias  de  los  iniciadores  utilizados en la  PCR y tamaños</w:t>
      </w:r>
    </w:p>
    <w:p>
      <w:pPr>
        <w:pStyle w:val="BodyText"/>
        <w:tabs>
          <w:tab w:pos="8382" w:val="left" w:leader="dot"/>
        </w:tabs>
        <w:spacing w:before="43"/>
        <w:ind w:left="142" w:right="63"/>
      </w:pPr>
      <w:r>
        <w:rPr/>
        <w:t>de  los productos de los</w:t>
      </w:r>
      <w:r>
        <w:rPr>
          <w:spacing w:val="-10"/>
        </w:rPr>
        <w:t> </w:t>
      </w:r>
      <w:r>
        <w:rPr/>
        <w:t>productos</w:t>
      </w:r>
      <w:r>
        <w:rPr>
          <w:spacing w:val="-3"/>
        </w:rPr>
        <w:t> </w:t>
      </w:r>
      <w:r>
        <w:rPr/>
        <w:t>esperados</w:t>
        <w:tab/>
        <w:t>44</w:t>
      </w:r>
    </w:p>
    <w:p>
      <w:pPr>
        <w:pStyle w:val="BodyText"/>
        <w:tabs>
          <w:tab w:pos="2597" w:val="left" w:leader="none"/>
        </w:tabs>
        <w:spacing w:before="41"/>
        <w:ind w:left="142" w:right="1550"/>
      </w:pPr>
      <w:r>
        <w:rPr/>
        <w:t>Cuadro</w:t>
      </w:r>
      <w:r>
        <w:rPr>
          <w:spacing w:val="-5"/>
        </w:rPr>
        <w:t> </w:t>
      </w:r>
      <w:r>
        <w:rPr/>
        <w:t>7:</w:t>
      </w:r>
      <w:r>
        <w:rPr>
          <w:spacing w:val="-3"/>
        </w:rPr>
        <w:t> </w:t>
      </w:r>
      <w:r>
        <w:rPr/>
        <w:t>Morfología</w:t>
        <w:tab/>
        <w:t>de  crecimiento  en  agar  Soya</w:t>
      </w:r>
      <w:r>
        <w:rPr>
          <w:spacing w:val="54"/>
        </w:rPr>
        <w:t> </w:t>
      </w:r>
      <w:r>
        <w:rPr/>
        <w:t>Tripticaseína</w:t>
      </w:r>
    </w:p>
    <w:p>
      <w:pPr>
        <w:pStyle w:val="BodyText"/>
        <w:tabs>
          <w:tab w:pos="8382" w:val="left" w:leader="dot"/>
        </w:tabs>
        <w:spacing w:before="41"/>
        <w:ind w:left="142" w:right="63"/>
      </w:pPr>
      <w:r>
        <w:rPr/>
        <w:t>y</w:t>
      </w:r>
      <w:r>
        <w:rPr>
          <w:spacing w:val="-3"/>
        </w:rPr>
        <w:t> </w:t>
      </w:r>
      <w:r>
        <w:rPr/>
        <w:t>cristal</w:t>
      </w:r>
      <w:r>
        <w:rPr>
          <w:spacing w:val="-1"/>
        </w:rPr>
        <w:t> </w:t>
      </w:r>
      <w:r>
        <w:rPr/>
        <w:t>Violeta</w:t>
        <w:tab/>
        <w:t>46</w:t>
      </w:r>
    </w:p>
    <w:p>
      <w:pPr>
        <w:tabs>
          <w:tab w:pos="8382" w:val="left" w:leader="dot"/>
        </w:tabs>
        <w:spacing w:before="38"/>
        <w:ind w:left="142" w:right="63" w:firstLine="0"/>
        <w:jc w:val="left"/>
        <w:rPr>
          <w:sz w:val="24"/>
        </w:rPr>
      </w:pPr>
      <w:r>
        <w:rPr>
          <w:sz w:val="24"/>
        </w:rPr>
        <w:t>Cuadro 8: Biotipos de</w:t>
      </w:r>
      <w:r>
        <w:rPr>
          <w:spacing w:val="-8"/>
          <w:sz w:val="24"/>
        </w:rPr>
        <w:t> </w:t>
      </w:r>
      <w:r>
        <w:rPr>
          <w:i/>
          <w:sz w:val="24"/>
        </w:rPr>
        <w:t>Staphylococcus</w:t>
      </w:r>
      <w:r>
        <w:rPr>
          <w:i/>
          <w:spacing w:val="-2"/>
          <w:sz w:val="24"/>
        </w:rPr>
        <w:t> </w:t>
      </w:r>
      <w:r>
        <w:rPr>
          <w:i/>
          <w:sz w:val="24"/>
        </w:rPr>
        <w:t>aureus</w:t>
      </w:r>
      <w:r>
        <w:rPr>
          <w:sz w:val="24"/>
        </w:rPr>
        <w:tab/>
        <w:t>46</w:t>
      </w:r>
    </w:p>
    <w:p>
      <w:pPr>
        <w:pStyle w:val="BodyText"/>
        <w:tabs>
          <w:tab w:pos="8382" w:val="left" w:leader="dot"/>
        </w:tabs>
        <w:spacing w:before="45"/>
        <w:ind w:left="142" w:right="63"/>
      </w:pPr>
      <w:r>
        <w:rPr/>
        <w:t>Cuadro 9: Procedencia del queso fresco en</w:t>
      </w:r>
      <w:r>
        <w:rPr>
          <w:spacing w:val="-16"/>
        </w:rPr>
        <w:t> </w:t>
      </w:r>
      <w:r>
        <w:rPr/>
        <w:t>mercados</w:t>
      </w:r>
      <w:r>
        <w:rPr>
          <w:spacing w:val="-3"/>
        </w:rPr>
        <w:t> </w:t>
      </w:r>
      <w:r>
        <w:rPr/>
        <w:t>populares</w:t>
        <w:tab/>
        <w:t>49</w:t>
      </w:r>
    </w:p>
    <w:p>
      <w:pPr>
        <w:pStyle w:val="BodyText"/>
        <w:tabs>
          <w:tab w:pos="8382" w:val="left" w:leader="dot"/>
        </w:tabs>
        <w:spacing w:before="41"/>
        <w:ind w:left="142" w:right="63"/>
      </w:pPr>
      <w:r>
        <w:rPr/>
        <w:t>Cuadro 10: Procedencia del queso fresco en</w:t>
      </w:r>
      <w:r>
        <w:rPr>
          <w:spacing w:val="-20"/>
        </w:rPr>
        <w:t> </w:t>
      </w:r>
      <w:r>
        <w:rPr/>
        <w:t>mercados</w:t>
      </w:r>
      <w:r>
        <w:rPr>
          <w:spacing w:val="-2"/>
        </w:rPr>
        <w:t> </w:t>
      </w:r>
      <w:r>
        <w:rPr/>
        <w:t>populares</w:t>
        <w:tab/>
        <w:t>50</w:t>
      </w:r>
    </w:p>
    <w:p>
      <w:pPr>
        <w:pStyle w:val="BodyText"/>
        <w:spacing w:before="41"/>
        <w:ind w:left="142" w:right="1550"/>
      </w:pPr>
      <w:r>
        <w:rPr/>
        <w:t>Cuadro 11: Caracterización del queso fresco que se comercializa en</w:t>
      </w:r>
    </w:p>
    <w:p>
      <w:pPr>
        <w:pStyle w:val="BodyText"/>
        <w:tabs>
          <w:tab w:pos="8382" w:val="left" w:leader="dot"/>
        </w:tabs>
        <w:spacing w:before="41"/>
        <w:ind w:left="142" w:right="63"/>
      </w:pPr>
      <w:r>
        <w:rPr/>
        <w:t>mercados populares del municipio</w:t>
      </w:r>
      <w:r>
        <w:rPr>
          <w:spacing w:val="-8"/>
        </w:rPr>
        <w:t> </w:t>
      </w:r>
      <w:r>
        <w:rPr/>
        <w:t>de</w:t>
      </w:r>
      <w:r>
        <w:rPr>
          <w:spacing w:val="-4"/>
        </w:rPr>
        <w:t> </w:t>
      </w:r>
      <w:r>
        <w:rPr/>
        <w:t>Toluca</w:t>
        <w:tab/>
        <w:t>51</w:t>
      </w:r>
    </w:p>
    <w:p>
      <w:pPr>
        <w:pStyle w:val="BodyText"/>
        <w:spacing w:before="43"/>
        <w:ind w:left="142" w:right="1550"/>
      </w:pPr>
      <w:r>
        <w:rPr/>
        <w:t>Cuadro 12: Valores de parámetros fisicoquímicos en los quesos</w:t>
      </w:r>
    </w:p>
    <w:p>
      <w:pPr>
        <w:pStyle w:val="BodyText"/>
        <w:tabs>
          <w:tab w:pos="8382" w:val="left" w:leader="dot"/>
        </w:tabs>
        <w:spacing w:before="41"/>
        <w:ind w:left="142" w:right="63"/>
      </w:pPr>
      <w:r>
        <w:rPr/>
        <w:t>frescos</w:t>
      </w:r>
      <w:r>
        <w:rPr>
          <w:spacing w:val="-2"/>
        </w:rPr>
        <w:t> </w:t>
      </w:r>
      <w:r>
        <w:rPr/>
        <w:t>por</w:t>
      </w:r>
      <w:r>
        <w:rPr>
          <w:spacing w:val="-2"/>
        </w:rPr>
        <w:t> </w:t>
      </w:r>
      <w:r>
        <w:rPr/>
        <w:t>municipio</w:t>
        <w:tab/>
        <w:t>52</w:t>
      </w:r>
    </w:p>
    <w:p>
      <w:pPr>
        <w:pStyle w:val="BodyText"/>
        <w:tabs>
          <w:tab w:pos="8382" w:val="left" w:leader="dot"/>
        </w:tabs>
        <w:spacing w:before="41"/>
        <w:ind w:left="142" w:right="63"/>
      </w:pPr>
      <w:r>
        <w:rPr/>
        <w:t>Cuadro 13: Valores de pH en los quesos frescos mostrados</w:t>
      </w:r>
      <w:r>
        <w:rPr>
          <w:spacing w:val="-21"/>
        </w:rPr>
        <w:t> </w:t>
      </w:r>
      <w:r>
        <w:rPr/>
        <w:t>por</w:t>
      </w:r>
      <w:r>
        <w:rPr>
          <w:spacing w:val="-1"/>
        </w:rPr>
        <w:t> </w:t>
      </w:r>
      <w:r>
        <w:rPr/>
        <w:t>municipio</w:t>
        <w:tab/>
        <w:t>53</w:t>
      </w:r>
    </w:p>
    <w:p>
      <w:pPr>
        <w:pStyle w:val="BodyText"/>
        <w:spacing w:before="41"/>
        <w:ind w:left="142" w:right="1550"/>
      </w:pPr>
      <w:r>
        <w:rPr/>
        <w:t>Cuadro 14: Valores de humedad en  los  quesos frescos mostrados</w:t>
      </w:r>
    </w:p>
    <w:p>
      <w:pPr>
        <w:pStyle w:val="BodyText"/>
        <w:tabs>
          <w:tab w:pos="8382" w:val="left" w:leader="dot"/>
        </w:tabs>
        <w:spacing w:before="43"/>
        <w:ind w:left="142" w:right="63"/>
      </w:pPr>
      <w:r>
        <w:rPr/>
        <w:t>por</w:t>
      </w:r>
      <w:r>
        <w:rPr>
          <w:spacing w:val="-1"/>
        </w:rPr>
        <w:t> </w:t>
      </w:r>
      <w:r>
        <w:rPr/>
        <w:t>municipio</w:t>
        <w:tab/>
        <w:t>54</w:t>
      </w:r>
    </w:p>
    <w:p>
      <w:pPr>
        <w:pStyle w:val="BodyText"/>
        <w:spacing w:before="41"/>
        <w:ind w:left="142" w:right="63"/>
      </w:pPr>
      <w:r>
        <w:rPr/>
        <w:t>Cuadro 15: Valores de materia seca en los quesos frescos mostrados</w:t>
      </w:r>
    </w:p>
    <w:p>
      <w:pPr>
        <w:pStyle w:val="BodyText"/>
        <w:tabs>
          <w:tab w:pos="8382" w:val="left" w:leader="dot"/>
        </w:tabs>
        <w:spacing w:before="41"/>
        <w:ind w:left="142" w:right="63"/>
      </w:pPr>
      <w:r>
        <w:rPr/>
        <w:t>por</w:t>
      </w:r>
      <w:r>
        <w:rPr>
          <w:spacing w:val="-1"/>
        </w:rPr>
        <w:t> </w:t>
      </w:r>
      <w:r>
        <w:rPr/>
        <w:t>municipio.</w:t>
        <w:tab/>
        <w:t>55</w:t>
      </w:r>
    </w:p>
    <w:p>
      <w:pPr>
        <w:pStyle w:val="BodyText"/>
        <w:spacing w:before="41"/>
        <w:ind w:left="142" w:right="1550"/>
      </w:pPr>
      <w:r>
        <w:rPr/>
        <w:t>Cuadro 16: Valores de cenizas en los quesos frescos mostrados por</w:t>
      </w:r>
    </w:p>
    <w:p>
      <w:pPr>
        <w:pStyle w:val="BodyText"/>
        <w:tabs>
          <w:tab w:pos="8382" w:val="left" w:leader="dot"/>
        </w:tabs>
        <w:spacing w:before="41"/>
        <w:ind w:left="142" w:right="63"/>
      </w:pPr>
      <w:r>
        <w:rPr/>
        <w:t>municipio</w:t>
        <w:tab/>
        <w:t>55</w:t>
      </w:r>
    </w:p>
    <w:p>
      <w:pPr>
        <w:pStyle w:val="BodyText"/>
        <w:spacing w:before="43"/>
        <w:ind w:left="142" w:right="1550"/>
      </w:pPr>
      <w:r>
        <w:rPr/>
        <w:t>Cuadro 17: Valores de NaCl en los quesos frescos mostrados por</w:t>
      </w:r>
    </w:p>
    <w:p>
      <w:pPr>
        <w:pStyle w:val="BodyText"/>
        <w:tabs>
          <w:tab w:pos="8382" w:val="left" w:leader="dot"/>
        </w:tabs>
        <w:spacing w:before="41"/>
        <w:ind w:left="142" w:right="63"/>
      </w:pPr>
      <w:r>
        <w:rPr/>
        <w:t>municipio</w:t>
        <w:tab/>
        <w:t>56</w:t>
      </w:r>
    </w:p>
    <w:p>
      <w:pPr>
        <w:pStyle w:val="BodyText"/>
        <w:spacing w:before="41"/>
        <w:ind w:left="142" w:right="1550"/>
      </w:pPr>
      <w:r>
        <w:rPr/>
        <w:t>Cuadro 18: Valores de proteína en los quesos frescos mostrados</w:t>
      </w:r>
    </w:p>
    <w:p>
      <w:pPr>
        <w:pStyle w:val="BodyText"/>
        <w:tabs>
          <w:tab w:pos="8382" w:val="left" w:leader="dot"/>
        </w:tabs>
        <w:spacing w:before="41"/>
        <w:ind w:left="142" w:right="63"/>
      </w:pPr>
      <w:r>
        <w:rPr/>
        <w:t>por</w:t>
      </w:r>
      <w:r>
        <w:rPr>
          <w:spacing w:val="-1"/>
        </w:rPr>
        <w:t> </w:t>
      </w:r>
      <w:r>
        <w:rPr/>
        <w:t>municipio</w:t>
        <w:tab/>
        <w:t>57</w:t>
      </w:r>
    </w:p>
    <w:p>
      <w:pPr>
        <w:pStyle w:val="BodyText"/>
        <w:spacing w:before="43"/>
        <w:ind w:left="142" w:right="1550"/>
      </w:pPr>
      <w:r>
        <w:rPr/>
        <w:t>Cuadro 19: Valores de grasa en los quesos frescos mostrados por</w:t>
      </w:r>
    </w:p>
    <w:p>
      <w:pPr>
        <w:pStyle w:val="BodyText"/>
        <w:tabs>
          <w:tab w:pos="8382" w:val="left" w:leader="dot"/>
        </w:tabs>
        <w:spacing w:before="41"/>
        <w:ind w:left="142" w:right="63"/>
      </w:pPr>
      <w:r>
        <w:rPr/>
        <w:t>municipio</w:t>
        <w:tab/>
        <w:t>58</w:t>
      </w:r>
    </w:p>
    <w:p>
      <w:pPr>
        <w:pStyle w:val="BodyText"/>
        <w:spacing w:before="41"/>
        <w:ind w:left="142" w:right="1550"/>
      </w:pPr>
      <w:r>
        <w:rPr/>
        <w:t>Cuadro 20: Valores de peso en los quesos frescos mostrados por</w:t>
      </w:r>
    </w:p>
    <w:p>
      <w:pPr>
        <w:pStyle w:val="BodyText"/>
        <w:tabs>
          <w:tab w:pos="8382" w:val="left" w:leader="dot"/>
        </w:tabs>
        <w:spacing w:before="41"/>
        <w:ind w:left="142" w:right="63"/>
      </w:pPr>
      <w:r>
        <w:rPr/>
        <w:t>municipio</w:t>
        <w:tab/>
        <w:t>59</w:t>
      </w:r>
    </w:p>
    <w:p>
      <w:pPr>
        <w:pStyle w:val="BodyText"/>
        <w:spacing w:before="43"/>
        <w:ind w:left="142" w:right="1550"/>
      </w:pPr>
      <w:r>
        <w:rPr/>
        <w:t>Cuadro 21: Distribución geográfica de los aislamientos de</w:t>
      </w:r>
    </w:p>
    <w:p>
      <w:pPr>
        <w:tabs>
          <w:tab w:pos="8382" w:val="left" w:leader="dot"/>
        </w:tabs>
        <w:spacing w:before="38"/>
        <w:ind w:left="142" w:right="63" w:firstLine="0"/>
        <w:jc w:val="left"/>
        <w:rPr>
          <w:sz w:val="24"/>
        </w:rPr>
      </w:pPr>
      <w:r>
        <w:rPr>
          <w:i/>
          <w:sz w:val="24"/>
        </w:rPr>
        <w:t>Staphylococcus</w:t>
      </w:r>
      <w:r>
        <w:rPr>
          <w:i/>
          <w:spacing w:val="-3"/>
          <w:sz w:val="24"/>
        </w:rPr>
        <w:t> </w:t>
      </w:r>
      <w:r>
        <w:rPr>
          <w:i/>
          <w:sz w:val="24"/>
        </w:rPr>
        <w:t>aureus</w:t>
      </w:r>
      <w:r>
        <w:rPr>
          <w:sz w:val="24"/>
        </w:rPr>
        <w:tab/>
        <w:t>61</w:t>
      </w:r>
    </w:p>
    <w:p>
      <w:pPr>
        <w:spacing w:before="41"/>
        <w:ind w:left="142" w:right="1550" w:firstLine="0"/>
        <w:jc w:val="left"/>
        <w:rPr>
          <w:i/>
          <w:sz w:val="24"/>
        </w:rPr>
      </w:pPr>
      <w:r>
        <w:rPr>
          <w:sz w:val="24"/>
        </w:rPr>
        <w:t>Cuadro 22: Sensibilidad i</w:t>
      </w:r>
      <w:r>
        <w:rPr>
          <w:i/>
          <w:sz w:val="24"/>
        </w:rPr>
        <w:t>n vitro </w:t>
      </w:r>
      <w:r>
        <w:rPr>
          <w:sz w:val="24"/>
        </w:rPr>
        <w:t>de aislamientos de </w:t>
      </w:r>
      <w:r>
        <w:rPr>
          <w:i/>
          <w:sz w:val="24"/>
        </w:rPr>
        <w:t>Staphylcocccus</w:t>
      </w:r>
    </w:p>
    <w:p>
      <w:pPr>
        <w:pStyle w:val="BodyText"/>
        <w:tabs>
          <w:tab w:pos="8382" w:val="left" w:leader="dot"/>
        </w:tabs>
        <w:spacing w:before="41"/>
        <w:ind w:left="142" w:right="63"/>
      </w:pPr>
      <w:r>
        <w:rPr>
          <w:i/>
        </w:rPr>
        <w:t>aureus </w:t>
      </w:r>
      <w:r>
        <w:rPr/>
        <w:t>a</w:t>
      </w:r>
      <w:r>
        <w:rPr>
          <w:spacing w:val="-5"/>
        </w:rPr>
        <w:t> </w:t>
      </w:r>
      <w:r>
        <w:rPr/>
        <w:t>diferentes</w:t>
      </w:r>
      <w:r>
        <w:rPr>
          <w:spacing w:val="-2"/>
        </w:rPr>
        <w:t> </w:t>
      </w:r>
      <w:r>
        <w:rPr/>
        <w:t>antibióticos.</w:t>
        <w:tab/>
        <w:t>61</w:t>
      </w:r>
    </w:p>
    <w:p>
      <w:pPr>
        <w:pStyle w:val="BodyText"/>
        <w:tabs>
          <w:tab w:pos="8382" w:val="left" w:leader="dot"/>
        </w:tabs>
        <w:spacing w:before="43"/>
        <w:ind w:left="142" w:right="63"/>
      </w:pPr>
      <w:r>
        <w:rPr/>
        <w:t>Cuadro 23: Biotipos de aislamientos de</w:t>
      </w:r>
      <w:r>
        <w:rPr>
          <w:spacing w:val="-12"/>
        </w:rPr>
        <w:t> </w:t>
      </w:r>
      <w:r>
        <w:rPr>
          <w:i/>
        </w:rPr>
        <w:t>S.</w:t>
      </w:r>
      <w:r>
        <w:rPr>
          <w:i/>
          <w:spacing w:val="-3"/>
        </w:rPr>
        <w:t> </w:t>
      </w:r>
      <w:r>
        <w:rPr>
          <w:i/>
        </w:rPr>
        <w:t>aureus</w:t>
      </w:r>
      <w:r>
        <w:rPr/>
        <w:tab/>
        <w:t>63</w:t>
      </w:r>
    </w:p>
    <w:p>
      <w:pPr>
        <w:spacing w:after="0"/>
        <w:sectPr>
          <w:pgSz w:w="12240" w:h="15840"/>
          <w:pgMar w:header="728" w:footer="1135" w:top="1200" w:bottom="1320" w:left="1560" w:right="1560"/>
        </w:sectPr>
      </w:pPr>
    </w:p>
    <w:p>
      <w:pPr>
        <w:pStyle w:val="BodyText"/>
        <w:rPr>
          <w:sz w:val="20"/>
        </w:rPr>
      </w:pPr>
    </w:p>
    <w:p>
      <w:pPr>
        <w:pStyle w:val="BodyText"/>
        <w:spacing w:before="7"/>
        <w:rPr>
          <w:sz w:val="26"/>
        </w:rPr>
      </w:pPr>
    </w:p>
    <w:p>
      <w:pPr>
        <w:pStyle w:val="Heading2"/>
        <w:spacing w:before="69"/>
        <w:ind w:left="0" w:right="2"/>
        <w:jc w:val="center"/>
      </w:pPr>
      <w:bookmarkStart w:name="_bookmark4" w:id="5"/>
      <w:bookmarkEnd w:id="5"/>
      <w:r>
        <w:rPr>
          <w:b w:val="0"/>
        </w:rPr>
      </w:r>
      <w:r>
        <w:rPr/>
        <w:t>INDICE DE FIGURAS</w:t>
      </w:r>
    </w:p>
    <w:p>
      <w:pPr>
        <w:tabs>
          <w:tab w:pos="8648" w:val="right" w:leader="dot"/>
        </w:tabs>
        <w:spacing w:before="523"/>
        <w:ind w:left="142" w:right="0" w:firstLine="0"/>
        <w:jc w:val="left"/>
        <w:rPr>
          <w:sz w:val="24"/>
        </w:rPr>
      </w:pPr>
      <w:r>
        <w:rPr>
          <w:sz w:val="24"/>
        </w:rPr>
        <w:t>Figura 1: Factores de virulencia de</w:t>
      </w:r>
      <w:r>
        <w:rPr>
          <w:spacing w:val="-3"/>
          <w:sz w:val="24"/>
        </w:rPr>
        <w:t> </w:t>
      </w:r>
      <w:r>
        <w:rPr>
          <w:i/>
          <w:sz w:val="24"/>
        </w:rPr>
        <w:t>Staphylococcus</w:t>
      </w:r>
      <w:r>
        <w:rPr>
          <w:i/>
          <w:spacing w:val="-1"/>
          <w:sz w:val="24"/>
        </w:rPr>
        <w:t> </w:t>
      </w:r>
      <w:r>
        <w:rPr>
          <w:i/>
          <w:sz w:val="24"/>
        </w:rPr>
        <w:t>aureus</w:t>
      </w:r>
      <w:r>
        <w:rPr>
          <w:sz w:val="24"/>
        </w:rPr>
        <w:tab/>
        <w:t>7</w:t>
      </w:r>
    </w:p>
    <w:p>
      <w:pPr>
        <w:pStyle w:val="BodyText"/>
        <w:tabs>
          <w:tab w:pos="8651" w:val="right" w:leader="dot"/>
        </w:tabs>
        <w:spacing w:before="161"/>
        <w:ind w:left="142"/>
      </w:pPr>
      <w:r>
        <w:rPr/>
        <w:t>Figura 2: Fases del desarrollo de </w:t>
      </w:r>
      <w:r>
        <w:rPr>
          <w:i/>
        </w:rPr>
        <w:t>biofilm</w:t>
      </w:r>
      <w:r>
        <w:rPr>
          <w:i/>
          <w:spacing w:val="-8"/>
        </w:rPr>
        <w:t> </w:t>
      </w:r>
      <w:r>
        <w:rPr/>
        <w:t>en</w:t>
      </w:r>
      <w:r>
        <w:rPr>
          <w:spacing w:val="-1"/>
        </w:rPr>
        <w:t> </w:t>
      </w:r>
      <w:r>
        <w:rPr/>
        <w:t>estafilococos</w:t>
        <w:tab/>
        <w:t>11</w:t>
      </w:r>
    </w:p>
    <w:p>
      <w:pPr>
        <w:pStyle w:val="BodyText"/>
        <w:tabs>
          <w:tab w:pos="8651" w:val="right" w:leader="dot"/>
        </w:tabs>
        <w:spacing w:before="163"/>
        <w:ind w:left="142"/>
      </w:pPr>
      <w:r>
        <w:rPr/>
        <w:t>Figura 3: Mecanismo de resistencia a β-lactámicos en</w:t>
      </w:r>
      <w:r>
        <w:rPr>
          <w:spacing w:val="-5"/>
        </w:rPr>
        <w:t> </w:t>
      </w:r>
      <w:r>
        <w:rPr>
          <w:i/>
        </w:rPr>
        <w:t>S.</w:t>
      </w:r>
      <w:r>
        <w:rPr>
          <w:i/>
          <w:spacing w:val="-1"/>
        </w:rPr>
        <w:t> </w:t>
      </w:r>
      <w:r>
        <w:rPr>
          <w:i/>
        </w:rPr>
        <w:t>aureus</w:t>
      </w:r>
      <w:r>
        <w:rPr/>
        <w:tab/>
        <w:t>15</w:t>
      </w:r>
    </w:p>
    <w:p>
      <w:pPr>
        <w:pStyle w:val="BodyText"/>
        <w:tabs>
          <w:tab w:pos="8651" w:val="right" w:leader="dot"/>
        </w:tabs>
        <w:spacing w:before="161"/>
        <w:ind w:left="142"/>
      </w:pPr>
      <w:r>
        <w:rPr/>
        <w:t>Figura 4: Estructura del casete estafilocócico</w:t>
      </w:r>
      <w:r>
        <w:rPr>
          <w:spacing w:val="-5"/>
        </w:rPr>
        <w:t> </w:t>
      </w:r>
      <w:r>
        <w:rPr/>
        <w:t>cromosomal</w:t>
      </w:r>
      <w:r>
        <w:rPr>
          <w:spacing w:val="-1"/>
        </w:rPr>
        <w:t> </w:t>
      </w:r>
      <w:r>
        <w:rPr/>
        <w:t>(</w:t>
      </w:r>
      <w:r>
        <w:rPr>
          <w:i/>
        </w:rPr>
        <w:t>SCCmec</w:t>
      </w:r>
      <w:r>
        <w:rPr/>
        <w:t>).</w:t>
        <w:tab/>
        <w:t>16</w:t>
      </w:r>
    </w:p>
    <w:p>
      <w:pPr>
        <w:pStyle w:val="BodyText"/>
        <w:tabs>
          <w:tab w:pos="8651" w:val="right" w:leader="dot"/>
        </w:tabs>
        <w:spacing w:before="161"/>
        <w:ind w:left="142"/>
      </w:pPr>
      <w:r>
        <w:rPr/>
        <w:t>Figura 5: Organización genómica de </w:t>
      </w:r>
      <w:r>
        <w:rPr>
          <w:i/>
        </w:rPr>
        <w:t>SCCmec </w:t>
      </w:r>
      <w:r>
        <w:rPr/>
        <w:t>I al V</w:t>
      </w:r>
      <w:r>
        <w:rPr>
          <w:spacing w:val="-2"/>
        </w:rPr>
        <w:t> </w:t>
      </w:r>
      <w:r>
        <w:rPr/>
        <w:t>y</w:t>
      </w:r>
      <w:r>
        <w:rPr>
          <w:spacing w:val="-3"/>
        </w:rPr>
        <w:t> </w:t>
      </w:r>
      <w:r>
        <w:rPr/>
        <w:t>variantes</w:t>
        <w:tab/>
        <w:t>18</w:t>
      </w:r>
    </w:p>
    <w:p>
      <w:pPr>
        <w:pStyle w:val="BodyText"/>
        <w:tabs>
          <w:tab w:pos="8651" w:val="right" w:leader="dot"/>
        </w:tabs>
        <w:spacing w:before="164"/>
        <w:ind w:left="142"/>
      </w:pPr>
      <w:r>
        <w:rPr/>
        <w:t>Figura 6: Prevalencia mundial de MRSA mostrado</w:t>
      </w:r>
      <w:r>
        <w:rPr>
          <w:spacing w:val="-9"/>
        </w:rPr>
        <w:t> </w:t>
      </w:r>
      <w:r>
        <w:rPr/>
        <w:t>por</w:t>
      </w:r>
      <w:r>
        <w:rPr>
          <w:spacing w:val="-1"/>
        </w:rPr>
        <w:t> </w:t>
      </w:r>
      <w:r>
        <w:rPr/>
        <w:t>país</w:t>
        <w:tab/>
        <w:t>19</w:t>
      </w:r>
    </w:p>
    <w:p>
      <w:pPr>
        <w:pStyle w:val="BodyText"/>
        <w:spacing w:before="163"/>
        <w:ind w:left="142" w:right="1550"/>
      </w:pPr>
      <w:r>
        <w:rPr/>
        <w:t>Figura 7: Presentación esquemática de las fuentes potenciales de</w:t>
      </w:r>
    </w:p>
    <w:p>
      <w:pPr>
        <w:spacing w:before="158"/>
        <w:ind w:left="142" w:right="1550" w:firstLine="0"/>
        <w:jc w:val="left"/>
        <w:rPr>
          <w:sz w:val="24"/>
        </w:rPr>
      </w:pPr>
      <w:r>
        <w:rPr>
          <w:i/>
          <w:sz w:val="24"/>
        </w:rPr>
        <w:t>Staphylococcus aureus </w:t>
      </w:r>
      <w:r>
        <w:rPr>
          <w:sz w:val="24"/>
        </w:rPr>
        <w:t>(MRSA), contaminación a nivel de la granja,</w:t>
      </w:r>
    </w:p>
    <w:p>
      <w:pPr>
        <w:pStyle w:val="BodyText"/>
        <w:tabs>
          <w:tab w:pos="8651" w:val="right" w:leader="dot"/>
        </w:tabs>
        <w:spacing w:before="163"/>
        <w:ind w:left="142"/>
      </w:pPr>
      <w:r>
        <w:rPr/>
        <w:t>rastros, lácteos y venta al</w:t>
      </w:r>
      <w:r>
        <w:rPr>
          <w:spacing w:val="-2"/>
        </w:rPr>
        <w:t> </w:t>
      </w:r>
      <w:r>
        <w:rPr/>
        <w:t>por</w:t>
      </w:r>
      <w:r>
        <w:rPr>
          <w:spacing w:val="-1"/>
        </w:rPr>
        <w:t> </w:t>
      </w:r>
      <w:r>
        <w:rPr/>
        <w:t>menor.</w:t>
        <w:tab/>
        <w:t>24</w:t>
      </w:r>
    </w:p>
    <w:p>
      <w:pPr>
        <w:pStyle w:val="BodyText"/>
        <w:tabs>
          <w:tab w:pos="8651" w:val="right" w:leader="dot"/>
        </w:tabs>
        <w:spacing w:line="384" w:lineRule="auto" w:before="158"/>
        <w:ind w:left="142" w:right="466"/>
      </w:pPr>
      <w:r>
        <w:rPr/>
        <w:t>Figura 8: Identificación bacteriológica de </w:t>
      </w:r>
      <w:r>
        <w:rPr>
          <w:i/>
        </w:rPr>
        <w:t>S. aureus </w:t>
      </w:r>
      <w:r>
        <w:rPr/>
        <w:t>por métodos  microbiológicos</w:t>
      </w:r>
      <w:r>
        <w:rPr>
          <w:spacing w:val="-1"/>
        </w:rPr>
        <w:t> </w:t>
      </w:r>
      <w:r>
        <w:rPr/>
        <w:t>y</w:t>
      </w:r>
      <w:r>
        <w:rPr>
          <w:spacing w:val="-4"/>
        </w:rPr>
        <w:t> </w:t>
      </w:r>
      <w:r>
        <w:rPr/>
        <w:t>bioquímicos</w:t>
        <w:tab/>
        <w:t>42</w:t>
      </w:r>
    </w:p>
    <w:p>
      <w:pPr>
        <w:pStyle w:val="BodyText"/>
        <w:tabs>
          <w:tab w:pos="8651" w:val="right" w:leader="dot"/>
        </w:tabs>
        <w:ind w:left="142"/>
      </w:pPr>
      <w:r>
        <w:rPr/>
        <w:t>Figura 9: Procedencia de los quesos en mercados y tianguis</w:t>
      </w:r>
      <w:r>
        <w:rPr>
          <w:spacing w:val="-16"/>
        </w:rPr>
        <w:t> </w:t>
      </w:r>
      <w:r>
        <w:rPr/>
        <w:t>en</w:t>
      </w:r>
      <w:r>
        <w:rPr>
          <w:spacing w:val="-3"/>
        </w:rPr>
        <w:t> </w:t>
      </w:r>
      <w:r>
        <w:rPr/>
        <w:t>Toluca</w:t>
        <w:tab/>
        <w:t>50</w:t>
      </w:r>
    </w:p>
    <w:p>
      <w:pPr>
        <w:tabs>
          <w:tab w:pos="8651" w:val="right" w:leader="dot"/>
        </w:tabs>
        <w:spacing w:before="159"/>
        <w:ind w:left="142" w:right="0" w:firstLine="0"/>
        <w:jc w:val="left"/>
        <w:rPr>
          <w:sz w:val="24"/>
        </w:rPr>
      </w:pPr>
      <w:r>
        <w:rPr>
          <w:sz w:val="24"/>
        </w:rPr>
        <w:t>Figura 10: PCR del gen </w:t>
      </w:r>
      <w:r>
        <w:rPr>
          <w:i/>
          <w:sz w:val="24"/>
        </w:rPr>
        <w:t>mecA </w:t>
      </w:r>
      <w:r>
        <w:rPr>
          <w:sz w:val="24"/>
        </w:rPr>
        <w:t>y </w:t>
      </w:r>
      <w:r>
        <w:rPr>
          <w:i/>
          <w:sz w:val="24"/>
        </w:rPr>
        <w:t>femB</w:t>
      </w:r>
      <w:r>
        <w:rPr>
          <w:i/>
          <w:spacing w:val="-2"/>
          <w:sz w:val="24"/>
        </w:rPr>
        <w:t> </w:t>
      </w:r>
      <w:r>
        <w:rPr>
          <w:sz w:val="24"/>
        </w:rPr>
        <w:t>de </w:t>
      </w:r>
      <w:r>
        <w:rPr>
          <w:i/>
          <w:sz w:val="24"/>
        </w:rPr>
        <w:t>S.aureus</w:t>
      </w:r>
      <w:r>
        <w:rPr>
          <w:sz w:val="24"/>
        </w:rPr>
        <w:tab/>
        <w:t>63</w:t>
      </w:r>
    </w:p>
    <w:p>
      <w:pPr>
        <w:pStyle w:val="BodyText"/>
        <w:spacing w:before="161"/>
        <w:ind w:left="142" w:right="1550"/>
      </w:pPr>
      <w:r>
        <w:rPr/>
        <w:t>Figura 11: Crecimiento de aislamientos de </w:t>
      </w:r>
      <w:r>
        <w:rPr>
          <w:i/>
        </w:rPr>
        <w:t>S. aureus </w:t>
      </w:r>
      <w:r>
        <w:rPr/>
        <w:t>en agar TSA y</w:t>
      </w:r>
    </w:p>
    <w:p>
      <w:pPr>
        <w:pStyle w:val="BodyText"/>
        <w:tabs>
          <w:tab w:pos="8651" w:val="right" w:leader="dot"/>
        </w:tabs>
        <w:spacing w:before="163"/>
        <w:ind w:left="142"/>
      </w:pPr>
      <w:r>
        <w:rPr/>
        <w:t>Cristal violeta y prueba de coagulasa en plasma</w:t>
      </w:r>
      <w:r>
        <w:rPr>
          <w:spacing w:val="-11"/>
        </w:rPr>
        <w:t> </w:t>
      </w:r>
      <w:r>
        <w:rPr/>
        <w:t>de</w:t>
      </w:r>
      <w:r>
        <w:rPr>
          <w:spacing w:val="-3"/>
        </w:rPr>
        <w:t> </w:t>
      </w:r>
      <w:r>
        <w:rPr/>
        <w:t>bovino</w:t>
        <w:tab/>
        <w:t>64</w:t>
      </w:r>
    </w:p>
    <w:p>
      <w:pPr>
        <w:spacing w:before="161"/>
        <w:ind w:left="142" w:right="1550" w:firstLine="0"/>
        <w:jc w:val="left"/>
        <w:rPr>
          <w:sz w:val="24"/>
        </w:rPr>
      </w:pPr>
      <w:r>
        <w:rPr>
          <w:sz w:val="24"/>
        </w:rPr>
        <w:t>Figura 12: </w:t>
      </w:r>
      <w:r>
        <w:rPr>
          <w:i/>
          <w:sz w:val="24"/>
        </w:rPr>
        <w:t>biofilm </w:t>
      </w:r>
      <w:r>
        <w:rPr>
          <w:sz w:val="24"/>
        </w:rPr>
        <w:t>en aislamientos de </w:t>
      </w:r>
      <w:r>
        <w:rPr>
          <w:i/>
          <w:sz w:val="24"/>
        </w:rPr>
        <w:t>S. aureus </w:t>
      </w:r>
      <w:r>
        <w:rPr>
          <w:sz w:val="24"/>
        </w:rPr>
        <w:t>crecimiento en agar</w:t>
      </w:r>
    </w:p>
    <w:p>
      <w:pPr>
        <w:pStyle w:val="BodyText"/>
        <w:tabs>
          <w:tab w:pos="8651" w:val="right" w:leader="dot"/>
        </w:tabs>
        <w:spacing w:before="163"/>
        <w:ind w:left="142"/>
      </w:pPr>
      <w:r>
        <w:rPr/>
        <w:t>Rojo</w:t>
      </w:r>
      <w:r>
        <w:rPr>
          <w:spacing w:val="-1"/>
        </w:rPr>
        <w:t> </w:t>
      </w:r>
      <w:r>
        <w:rPr/>
        <w:t>Congo</w:t>
        <w:tab/>
        <w:t>64</w:t>
      </w:r>
    </w:p>
    <w:p>
      <w:pPr>
        <w:spacing w:after="0"/>
        <w:sectPr>
          <w:footerReference w:type="default" r:id="rId8"/>
          <w:pgSz w:w="12240" w:h="15840"/>
          <w:pgMar w:footer="1135" w:header="728" w:top="1200" w:bottom="1320" w:left="1560" w:right="1560"/>
          <w:pgNumType w:start="9"/>
        </w:sectPr>
      </w:pPr>
    </w:p>
    <w:p>
      <w:pPr>
        <w:pStyle w:val="BodyText"/>
        <w:spacing w:before="9"/>
        <w:rPr>
          <w:sz w:val="18"/>
        </w:rPr>
      </w:pPr>
    </w:p>
    <w:p>
      <w:pPr>
        <w:pStyle w:val="Heading2"/>
        <w:spacing w:before="1"/>
        <w:ind w:left="2405" w:right="1550"/>
      </w:pPr>
      <w:bookmarkStart w:name="_bookmark5" w:id="6"/>
      <w:bookmarkEnd w:id="6"/>
      <w:r>
        <w:rPr>
          <w:b w:val="0"/>
        </w:rPr>
      </w:r>
      <w:r>
        <w:rPr/>
        <w:t>INDICE DE GRÁFICAS Y DIAGRAMAS</w:t>
      </w:r>
    </w:p>
    <w:p>
      <w:pPr>
        <w:pStyle w:val="BodyText"/>
        <w:rPr>
          <w:b/>
        </w:rPr>
      </w:pPr>
    </w:p>
    <w:p>
      <w:pPr>
        <w:pStyle w:val="BodyText"/>
        <w:spacing w:before="1"/>
        <w:rPr>
          <w:b/>
          <w:sz w:val="26"/>
        </w:rPr>
      </w:pPr>
    </w:p>
    <w:p>
      <w:pPr>
        <w:pStyle w:val="BodyText"/>
        <w:tabs>
          <w:tab w:pos="8382" w:val="left" w:leader="dot"/>
        </w:tabs>
        <w:ind w:left="142" w:right="63"/>
      </w:pPr>
      <w:r>
        <w:rPr/>
        <w:t>Gráfica 1: Frecuencia en el número de vendedores de</w:t>
      </w:r>
      <w:r>
        <w:rPr>
          <w:spacing w:val="-18"/>
        </w:rPr>
        <w:t> </w:t>
      </w:r>
      <w:r>
        <w:rPr/>
        <w:t>queso</w:t>
      </w:r>
      <w:r>
        <w:rPr>
          <w:spacing w:val="-3"/>
        </w:rPr>
        <w:t> </w:t>
      </w:r>
      <w:r>
        <w:rPr/>
        <w:t>fresco</w:t>
        <w:tab/>
        <w:t>51</w:t>
      </w:r>
    </w:p>
    <w:p>
      <w:pPr>
        <w:pStyle w:val="BodyText"/>
        <w:tabs>
          <w:tab w:pos="8382" w:val="left" w:leader="dot"/>
        </w:tabs>
        <w:spacing w:before="161"/>
        <w:ind w:left="142" w:right="63"/>
      </w:pPr>
      <w:r>
        <w:rPr/>
        <w:t>Gráfica 2: Condiciones de venta del</w:t>
      </w:r>
      <w:r>
        <w:rPr>
          <w:spacing w:val="-15"/>
        </w:rPr>
        <w:t> </w:t>
      </w:r>
      <w:r>
        <w:rPr/>
        <w:t>queso</w:t>
      </w:r>
      <w:r>
        <w:rPr>
          <w:spacing w:val="-4"/>
        </w:rPr>
        <w:t> </w:t>
      </w:r>
      <w:r>
        <w:rPr/>
        <w:t>fresco</w:t>
        <w:tab/>
        <w:t>60</w:t>
      </w:r>
    </w:p>
    <w:p>
      <w:pPr>
        <w:tabs>
          <w:tab w:pos="8382" w:val="left" w:leader="dot"/>
        </w:tabs>
        <w:spacing w:line="278" w:lineRule="auto" w:before="158"/>
        <w:ind w:left="142" w:right="466" w:firstLine="0"/>
        <w:jc w:val="left"/>
        <w:rPr>
          <w:sz w:val="24"/>
        </w:rPr>
      </w:pPr>
      <w:r>
        <w:rPr>
          <w:sz w:val="24"/>
        </w:rPr>
        <w:t>Gráfica 3: Sensibilidad </w:t>
      </w:r>
      <w:r>
        <w:rPr>
          <w:i/>
          <w:sz w:val="24"/>
        </w:rPr>
        <w:t>in vitro </w:t>
      </w:r>
      <w:r>
        <w:rPr>
          <w:sz w:val="24"/>
        </w:rPr>
        <w:t>de aislamientos de </w:t>
      </w:r>
      <w:r>
        <w:rPr>
          <w:i/>
          <w:sz w:val="24"/>
        </w:rPr>
        <w:t>Staphylococcus aureus </w:t>
      </w:r>
      <w:r>
        <w:rPr>
          <w:sz w:val="24"/>
        </w:rPr>
        <w:t>a diferentes</w:t>
      </w:r>
      <w:r>
        <w:rPr>
          <w:spacing w:val="-2"/>
          <w:sz w:val="24"/>
        </w:rPr>
        <w:t> </w:t>
      </w:r>
      <w:r>
        <w:rPr>
          <w:sz w:val="24"/>
        </w:rPr>
        <w:t>antibióticos</w:t>
        <w:tab/>
        <w:t>62</w:t>
      </w:r>
    </w:p>
    <w:p>
      <w:pPr>
        <w:pStyle w:val="BodyText"/>
        <w:tabs>
          <w:tab w:pos="8382" w:val="left" w:leader="dot"/>
        </w:tabs>
        <w:spacing w:line="276" w:lineRule="auto" w:before="120"/>
        <w:ind w:left="142" w:right="466"/>
      </w:pPr>
      <w:r>
        <w:rPr/>
        <w:t>Diagrama 1: Proceso de producción de queso  fresco en la región central México</w:t>
        <w:tab/>
        <w:t>32</w:t>
      </w:r>
    </w:p>
    <w:p>
      <w:pPr>
        <w:spacing w:after="0" w:line="276" w:lineRule="auto"/>
        <w:sectPr>
          <w:pgSz w:w="12240" w:h="15840"/>
          <w:pgMar w:header="728" w:footer="1135" w:top="1200" w:bottom="1320" w:left="1560" w:right="1560"/>
        </w:sectPr>
      </w:pPr>
    </w:p>
    <w:p>
      <w:pPr>
        <w:pStyle w:val="BodyText"/>
        <w:spacing w:before="9"/>
        <w:rPr>
          <w:sz w:val="12"/>
        </w:rPr>
      </w:pPr>
    </w:p>
    <w:p>
      <w:pPr>
        <w:pStyle w:val="Heading2"/>
        <w:ind w:left="3644" w:right="3589"/>
        <w:jc w:val="center"/>
      </w:pPr>
      <w:bookmarkStart w:name="_bookmark6" w:id="7"/>
      <w:bookmarkEnd w:id="7"/>
      <w:r>
        <w:rPr>
          <w:b w:val="0"/>
        </w:rPr>
      </w:r>
      <w:r>
        <w:rPr/>
        <w:t>ABREVIATURAS</w:t>
      </w:r>
    </w:p>
    <w:p>
      <w:pPr>
        <w:pStyle w:val="BodyText"/>
        <w:rPr>
          <w:b/>
          <w:sz w:val="20"/>
        </w:rPr>
      </w:pPr>
    </w:p>
    <w:p>
      <w:pPr>
        <w:pStyle w:val="BodyText"/>
        <w:rPr>
          <w:b/>
          <w:sz w:val="20"/>
        </w:rPr>
      </w:pPr>
    </w:p>
    <w:p>
      <w:pPr>
        <w:pStyle w:val="BodyText"/>
        <w:spacing w:before="8"/>
        <w:rPr>
          <w:b/>
          <w:sz w:val="12"/>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16"/>
        <w:gridCol w:w="7018"/>
      </w:tblGrid>
      <w:tr>
        <w:trPr>
          <w:trHeight w:val="386" w:hRule="exact"/>
        </w:trPr>
        <w:tc>
          <w:tcPr>
            <w:tcW w:w="1416" w:type="dxa"/>
          </w:tcPr>
          <w:p>
            <w:pPr>
              <w:pStyle w:val="TableParagraph"/>
              <w:spacing w:line="245" w:lineRule="exact"/>
              <w:ind w:left="200"/>
              <w:jc w:val="left"/>
              <w:rPr>
                <w:b/>
                <w:sz w:val="24"/>
              </w:rPr>
            </w:pPr>
            <w:r>
              <w:rPr>
                <w:b/>
                <w:w w:val="99"/>
                <w:sz w:val="24"/>
              </w:rPr>
              <w:t>A</w:t>
            </w:r>
          </w:p>
        </w:tc>
        <w:tc>
          <w:tcPr>
            <w:tcW w:w="7018" w:type="dxa"/>
          </w:tcPr>
          <w:p>
            <w:pPr>
              <w:pStyle w:val="TableParagraph"/>
              <w:spacing w:line="245" w:lineRule="exact"/>
              <w:ind w:left="106" w:right="181"/>
              <w:jc w:val="left"/>
              <w:rPr>
                <w:sz w:val="24"/>
              </w:rPr>
            </w:pPr>
            <w:r>
              <w:rPr>
                <w:sz w:val="24"/>
              </w:rPr>
              <w:t>Adenina</w:t>
            </w:r>
          </w:p>
        </w:tc>
      </w:tr>
      <w:tr>
        <w:trPr>
          <w:trHeight w:val="534" w:hRule="exact"/>
        </w:trPr>
        <w:tc>
          <w:tcPr>
            <w:tcW w:w="1416" w:type="dxa"/>
          </w:tcPr>
          <w:p>
            <w:pPr>
              <w:pStyle w:val="TableParagraph"/>
              <w:spacing w:before="115"/>
              <w:ind w:left="200" w:right="489"/>
              <w:jc w:val="left"/>
              <w:rPr>
                <w:b/>
                <w:sz w:val="24"/>
              </w:rPr>
            </w:pPr>
            <w:r>
              <w:rPr>
                <w:b/>
                <w:sz w:val="24"/>
              </w:rPr>
              <w:t>ADN</w:t>
            </w:r>
          </w:p>
        </w:tc>
        <w:tc>
          <w:tcPr>
            <w:tcW w:w="7018" w:type="dxa"/>
          </w:tcPr>
          <w:p>
            <w:pPr>
              <w:pStyle w:val="TableParagraph"/>
              <w:spacing w:before="115"/>
              <w:ind w:left="106" w:right="181"/>
              <w:jc w:val="left"/>
              <w:rPr>
                <w:sz w:val="24"/>
              </w:rPr>
            </w:pPr>
            <w:r>
              <w:rPr>
                <w:sz w:val="24"/>
              </w:rPr>
              <w:t>Ácido desoxirribonucleico</w:t>
            </w:r>
          </w:p>
        </w:tc>
      </w:tr>
      <w:tr>
        <w:trPr>
          <w:trHeight w:val="534" w:hRule="exact"/>
        </w:trPr>
        <w:tc>
          <w:tcPr>
            <w:tcW w:w="1416" w:type="dxa"/>
          </w:tcPr>
          <w:p>
            <w:pPr>
              <w:pStyle w:val="TableParagraph"/>
              <w:spacing w:before="117"/>
              <w:ind w:left="200" w:right="489"/>
              <w:jc w:val="left"/>
              <w:rPr>
                <w:b/>
                <w:sz w:val="24"/>
              </w:rPr>
            </w:pPr>
            <w:r>
              <w:rPr>
                <w:b/>
                <w:sz w:val="24"/>
              </w:rPr>
              <w:t>AMC</w:t>
            </w:r>
          </w:p>
        </w:tc>
        <w:tc>
          <w:tcPr>
            <w:tcW w:w="7018" w:type="dxa"/>
          </w:tcPr>
          <w:p>
            <w:pPr>
              <w:pStyle w:val="TableParagraph"/>
              <w:spacing w:before="117"/>
              <w:ind w:left="106" w:right="181"/>
              <w:jc w:val="left"/>
              <w:rPr>
                <w:sz w:val="24"/>
              </w:rPr>
            </w:pPr>
            <w:r>
              <w:rPr>
                <w:sz w:val="24"/>
              </w:rPr>
              <w:t>Amoxicilina/ácido clavulánico</w:t>
            </w:r>
          </w:p>
        </w:tc>
      </w:tr>
      <w:tr>
        <w:trPr>
          <w:trHeight w:val="533" w:hRule="exact"/>
        </w:trPr>
        <w:tc>
          <w:tcPr>
            <w:tcW w:w="1416" w:type="dxa"/>
          </w:tcPr>
          <w:p>
            <w:pPr>
              <w:pStyle w:val="TableParagraph"/>
              <w:spacing w:before="115"/>
              <w:ind w:left="200" w:right="489"/>
              <w:jc w:val="left"/>
              <w:rPr>
                <w:b/>
                <w:sz w:val="24"/>
              </w:rPr>
            </w:pPr>
            <w:r>
              <w:rPr>
                <w:b/>
                <w:sz w:val="24"/>
              </w:rPr>
              <w:t>AMP</w:t>
            </w:r>
          </w:p>
        </w:tc>
        <w:tc>
          <w:tcPr>
            <w:tcW w:w="7018" w:type="dxa"/>
          </w:tcPr>
          <w:p>
            <w:pPr>
              <w:pStyle w:val="TableParagraph"/>
              <w:spacing w:before="115"/>
              <w:ind w:left="106" w:right="181"/>
              <w:jc w:val="left"/>
              <w:rPr>
                <w:sz w:val="24"/>
              </w:rPr>
            </w:pPr>
            <w:r>
              <w:rPr>
                <w:sz w:val="24"/>
              </w:rPr>
              <w:t>Ampicilina</w:t>
            </w:r>
          </w:p>
        </w:tc>
      </w:tr>
      <w:tr>
        <w:trPr>
          <w:trHeight w:val="533" w:hRule="exact"/>
        </w:trPr>
        <w:tc>
          <w:tcPr>
            <w:tcW w:w="1416" w:type="dxa"/>
          </w:tcPr>
          <w:p>
            <w:pPr>
              <w:pStyle w:val="TableParagraph"/>
              <w:spacing w:before="115"/>
              <w:ind w:left="200"/>
              <w:jc w:val="left"/>
              <w:rPr>
                <w:b/>
                <w:sz w:val="24"/>
              </w:rPr>
            </w:pPr>
            <w:r>
              <w:rPr>
                <w:b/>
                <w:w w:val="99"/>
                <w:sz w:val="24"/>
              </w:rPr>
              <w:t>C</w:t>
            </w:r>
          </w:p>
        </w:tc>
        <w:tc>
          <w:tcPr>
            <w:tcW w:w="7018" w:type="dxa"/>
          </w:tcPr>
          <w:p>
            <w:pPr>
              <w:pStyle w:val="TableParagraph"/>
              <w:spacing w:before="115"/>
              <w:ind w:left="106" w:right="181"/>
              <w:jc w:val="left"/>
              <w:rPr>
                <w:sz w:val="24"/>
              </w:rPr>
            </w:pPr>
            <w:r>
              <w:rPr>
                <w:sz w:val="24"/>
              </w:rPr>
              <w:t>Citosina</w:t>
            </w:r>
          </w:p>
        </w:tc>
      </w:tr>
      <w:tr>
        <w:trPr>
          <w:trHeight w:val="950" w:hRule="exact"/>
        </w:trPr>
        <w:tc>
          <w:tcPr>
            <w:tcW w:w="1416" w:type="dxa"/>
          </w:tcPr>
          <w:p>
            <w:pPr>
              <w:pStyle w:val="TableParagraph"/>
              <w:spacing w:line="360" w:lineRule="auto" w:before="118"/>
              <w:ind w:left="200" w:right="489"/>
              <w:jc w:val="left"/>
              <w:rPr>
                <w:b/>
                <w:sz w:val="24"/>
              </w:rPr>
            </w:pPr>
            <w:r>
              <w:rPr>
                <w:b/>
                <w:sz w:val="24"/>
              </w:rPr>
              <w:t>CA- MRSA</w:t>
            </w:r>
          </w:p>
        </w:tc>
        <w:tc>
          <w:tcPr>
            <w:tcW w:w="7018" w:type="dxa"/>
          </w:tcPr>
          <w:p>
            <w:pPr>
              <w:pStyle w:val="TableParagraph"/>
              <w:spacing w:line="360" w:lineRule="auto" w:before="116"/>
              <w:ind w:left="106" w:right="181"/>
              <w:jc w:val="left"/>
              <w:rPr>
                <w:sz w:val="24"/>
              </w:rPr>
            </w:pPr>
            <w:r>
              <w:rPr>
                <w:i/>
                <w:sz w:val="24"/>
              </w:rPr>
              <w:t>Staphylococcus aureus </w:t>
            </w:r>
            <w:r>
              <w:rPr>
                <w:sz w:val="24"/>
              </w:rPr>
              <w:t>resistente a la meticilina de adquisición comunitaria</w:t>
            </w:r>
          </w:p>
        </w:tc>
      </w:tr>
      <w:tr>
        <w:trPr>
          <w:trHeight w:val="534" w:hRule="exact"/>
        </w:trPr>
        <w:tc>
          <w:tcPr>
            <w:tcW w:w="1416" w:type="dxa"/>
          </w:tcPr>
          <w:p>
            <w:pPr>
              <w:pStyle w:val="TableParagraph"/>
              <w:spacing w:before="117"/>
              <w:ind w:left="200" w:right="489"/>
              <w:jc w:val="left"/>
              <w:rPr>
                <w:b/>
                <w:sz w:val="24"/>
              </w:rPr>
            </w:pPr>
            <w:r>
              <w:rPr>
                <w:b/>
                <w:sz w:val="24"/>
              </w:rPr>
              <w:t>CAZ</w:t>
            </w:r>
          </w:p>
        </w:tc>
        <w:tc>
          <w:tcPr>
            <w:tcW w:w="7018" w:type="dxa"/>
          </w:tcPr>
          <w:p>
            <w:pPr>
              <w:pStyle w:val="TableParagraph"/>
              <w:spacing w:before="117"/>
              <w:ind w:left="106" w:right="181"/>
              <w:jc w:val="left"/>
              <w:rPr>
                <w:sz w:val="24"/>
              </w:rPr>
            </w:pPr>
            <w:r>
              <w:rPr>
                <w:sz w:val="24"/>
              </w:rPr>
              <w:t>Ceftazidima</w:t>
            </w:r>
          </w:p>
        </w:tc>
      </w:tr>
      <w:tr>
        <w:trPr>
          <w:trHeight w:val="534" w:hRule="exact"/>
        </w:trPr>
        <w:tc>
          <w:tcPr>
            <w:tcW w:w="1416" w:type="dxa"/>
          </w:tcPr>
          <w:p>
            <w:pPr>
              <w:pStyle w:val="TableParagraph"/>
              <w:spacing w:before="115"/>
              <w:ind w:left="200" w:right="489"/>
              <w:jc w:val="left"/>
              <w:rPr>
                <w:b/>
                <w:sz w:val="24"/>
              </w:rPr>
            </w:pPr>
            <w:r>
              <w:rPr>
                <w:b/>
                <w:sz w:val="24"/>
              </w:rPr>
              <w:t>CFC</w:t>
            </w:r>
          </w:p>
        </w:tc>
        <w:tc>
          <w:tcPr>
            <w:tcW w:w="7018" w:type="dxa"/>
          </w:tcPr>
          <w:p>
            <w:pPr>
              <w:pStyle w:val="TableParagraph"/>
              <w:spacing w:before="115"/>
              <w:ind w:left="106" w:right="181"/>
              <w:jc w:val="left"/>
              <w:rPr>
                <w:sz w:val="24"/>
              </w:rPr>
            </w:pPr>
            <w:r>
              <w:rPr>
                <w:sz w:val="24"/>
              </w:rPr>
              <w:t>Cefalotina</w:t>
            </w:r>
          </w:p>
        </w:tc>
      </w:tr>
      <w:tr>
        <w:trPr>
          <w:trHeight w:val="534" w:hRule="exact"/>
        </w:trPr>
        <w:tc>
          <w:tcPr>
            <w:tcW w:w="1416" w:type="dxa"/>
          </w:tcPr>
          <w:p>
            <w:pPr>
              <w:pStyle w:val="TableParagraph"/>
              <w:spacing w:before="117"/>
              <w:ind w:left="200" w:right="489"/>
              <w:jc w:val="left"/>
              <w:rPr>
                <w:b/>
                <w:sz w:val="24"/>
              </w:rPr>
            </w:pPr>
            <w:r>
              <w:rPr>
                <w:b/>
                <w:sz w:val="24"/>
              </w:rPr>
              <w:t>CLSI</w:t>
            </w:r>
          </w:p>
        </w:tc>
        <w:tc>
          <w:tcPr>
            <w:tcW w:w="7018" w:type="dxa"/>
          </w:tcPr>
          <w:p>
            <w:pPr>
              <w:pStyle w:val="TableParagraph"/>
              <w:spacing w:before="117"/>
              <w:ind w:left="106" w:right="181"/>
              <w:jc w:val="left"/>
              <w:rPr>
                <w:sz w:val="24"/>
              </w:rPr>
            </w:pPr>
            <w:r>
              <w:rPr>
                <w:sz w:val="24"/>
              </w:rPr>
              <w:t>Clinical and Laboratory Standars Institute</w:t>
            </w:r>
          </w:p>
        </w:tc>
      </w:tr>
      <w:tr>
        <w:trPr>
          <w:trHeight w:val="534" w:hRule="exact"/>
        </w:trPr>
        <w:tc>
          <w:tcPr>
            <w:tcW w:w="1416" w:type="dxa"/>
          </w:tcPr>
          <w:p>
            <w:pPr>
              <w:pStyle w:val="TableParagraph"/>
              <w:spacing w:before="115"/>
              <w:ind w:left="200" w:right="489"/>
              <w:jc w:val="left"/>
              <w:rPr>
                <w:b/>
                <w:sz w:val="24"/>
              </w:rPr>
            </w:pPr>
            <w:r>
              <w:rPr>
                <w:b/>
                <w:sz w:val="24"/>
              </w:rPr>
              <w:t>CRX</w:t>
            </w:r>
          </w:p>
        </w:tc>
        <w:tc>
          <w:tcPr>
            <w:tcW w:w="7018" w:type="dxa"/>
          </w:tcPr>
          <w:p>
            <w:pPr>
              <w:pStyle w:val="TableParagraph"/>
              <w:spacing w:before="115"/>
              <w:ind w:left="106" w:right="181"/>
              <w:jc w:val="left"/>
              <w:rPr>
                <w:sz w:val="24"/>
              </w:rPr>
            </w:pPr>
            <w:r>
              <w:rPr>
                <w:sz w:val="24"/>
              </w:rPr>
              <w:t>Cefuroxima</w:t>
            </w:r>
          </w:p>
        </w:tc>
      </w:tr>
      <w:tr>
        <w:trPr>
          <w:trHeight w:val="534" w:hRule="exact"/>
        </w:trPr>
        <w:tc>
          <w:tcPr>
            <w:tcW w:w="1416" w:type="dxa"/>
          </w:tcPr>
          <w:p>
            <w:pPr>
              <w:pStyle w:val="TableParagraph"/>
              <w:spacing w:before="117"/>
              <w:ind w:left="200" w:right="489"/>
              <w:jc w:val="left"/>
              <w:rPr>
                <w:b/>
                <w:sz w:val="24"/>
              </w:rPr>
            </w:pPr>
            <w:r>
              <w:rPr>
                <w:b/>
                <w:sz w:val="24"/>
              </w:rPr>
              <w:t>CTX</w:t>
            </w:r>
          </w:p>
        </w:tc>
        <w:tc>
          <w:tcPr>
            <w:tcW w:w="7018" w:type="dxa"/>
          </w:tcPr>
          <w:p>
            <w:pPr>
              <w:pStyle w:val="TableParagraph"/>
              <w:spacing w:before="117"/>
              <w:ind w:left="106" w:right="181"/>
              <w:jc w:val="left"/>
              <w:rPr>
                <w:sz w:val="24"/>
              </w:rPr>
            </w:pPr>
            <w:r>
              <w:rPr>
                <w:sz w:val="24"/>
              </w:rPr>
              <w:t>Cefotaxima</w:t>
            </w:r>
          </w:p>
        </w:tc>
      </w:tr>
      <w:tr>
        <w:trPr>
          <w:trHeight w:val="534" w:hRule="exact"/>
        </w:trPr>
        <w:tc>
          <w:tcPr>
            <w:tcW w:w="1416" w:type="dxa"/>
          </w:tcPr>
          <w:p>
            <w:pPr>
              <w:pStyle w:val="TableParagraph"/>
              <w:spacing w:before="115"/>
              <w:ind w:left="200"/>
              <w:jc w:val="left"/>
              <w:rPr>
                <w:b/>
                <w:sz w:val="24"/>
              </w:rPr>
            </w:pPr>
            <w:r>
              <w:rPr>
                <w:b/>
                <w:sz w:val="24"/>
              </w:rPr>
              <w:t>dNTPs</w:t>
            </w:r>
          </w:p>
        </w:tc>
        <w:tc>
          <w:tcPr>
            <w:tcW w:w="7018" w:type="dxa"/>
          </w:tcPr>
          <w:p>
            <w:pPr>
              <w:pStyle w:val="TableParagraph"/>
              <w:spacing w:before="115"/>
              <w:ind w:left="106" w:right="181"/>
              <w:jc w:val="left"/>
              <w:rPr>
                <w:sz w:val="24"/>
              </w:rPr>
            </w:pPr>
            <w:r>
              <w:rPr>
                <w:sz w:val="24"/>
              </w:rPr>
              <w:t>Desoxinucleótidos</w:t>
            </w:r>
          </w:p>
        </w:tc>
      </w:tr>
      <w:tr>
        <w:trPr>
          <w:trHeight w:val="534" w:hRule="exact"/>
        </w:trPr>
        <w:tc>
          <w:tcPr>
            <w:tcW w:w="1416" w:type="dxa"/>
          </w:tcPr>
          <w:p>
            <w:pPr>
              <w:pStyle w:val="TableParagraph"/>
              <w:spacing w:before="117"/>
              <w:ind w:left="200" w:right="489"/>
              <w:jc w:val="left"/>
              <w:rPr>
                <w:b/>
                <w:sz w:val="24"/>
              </w:rPr>
            </w:pPr>
            <w:r>
              <w:rPr>
                <w:b/>
                <w:sz w:val="24"/>
              </w:rPr>
              <w:t>ERI</w:t>
            </w:r>
          </w:p>
        </w:tc>
        <w:tc>
          <w:tcPr>
            <w:tcW w:w="7018" w:type="dxa"/>
          </w:tcPr>
          <w:p>
            <w:pPr>
              <w:pStyle w:val="TableParagraph"/>
              <w:spacing w:before="117"/>
              <w:ind w:left="106" w:right="181"/>
              <w:jc w:val="left"/>
              <w:rPr>
                <w:sz w:val="24"/>
              </w:rPr>
            </w:pPr>
            <w:r>
              <w:rPr>
                <w:sz w:val="24"/>
              </w:rPr>
              <w:t>Eritromicina</w:t>
            </w:r>
          </w:p>
        </w:tc>
      </w:tr>
      <w:tr>
        <w:trPr>
          <w:trHeight w:val="534" w:hRule="exact"/>
        </w:trPr>
        <w:tc>
          <w:tcPr>
            <w:tcW w:w="1416" w:type="dxa"/>
          </w:tcPr>
          <w:p>
            <w:pPr>
              <w:pStyle w:val="TableParagraph"/>
              <w:spacing w:before="115"/>
              <w:ind w:left="200" w:right="489"/>
              <w:jc w:val="left"/>
              <w:rPr>
                <w:b/>
                <w:sz w:val="24"/>
              </w:rPr>
            </w:pPr>
            <w:r>
              <w:rPr>
                <w:b/>
                <w:sz w:val="24"/>
              </w:rPr>
              <w:t>FOX</w:t>
            </w:r>
          </w:p>
        </w:tc>
        <w:tc>
          <w:tcPr>
            <w:tcW w:w="7018" w:type="dxa"/>
          </w:tcPr>
          <w:p>
            <w:pPr>
              <w:pStyle w:val="TableParagraph"/>
              <w:spacing w:before="115"/>
              <w:ind w:left="106" w:right="181"/>
              <w:jc w:val="left"/>
              <w:rPr>
                <w:sz w:val="24"/>
              </w:rPr>
            </w:pPr>
            <w:r>
              <w:rPr>
                <w:sz w:val="24"/>
              </w:rPr>
              <w:t>Cefoxicina</w:t>
            </w:r>
          </w:p>
        </w:tc>
      </w:tr>
      <w:tr>
        <w:trPr>
          <w:trHeight w:val="534" w:hRule="exact"/>
        </w:trPr>
        <w:tc>
          <w:tcPr>
            <w:tcW w:w="1416" w:type="dxa"/>
          </w:tcPr>
          <w:p>
            <w:pPr>
              <w:pStyle w:val="TableParagraph"/>
              <w:spacing w:before="117"/>
              <w:ind w:left="200"/>
              <w:jc w:val="left"/>
              <w:rPr>
                <w:b/>
                <w:sz w:val="24"/>
              </w:rPr>
            </w:pPr>
            <w:r>
              <w:rPr>
                <w:b/>
                <w:sz w:val="24"/>
              </w:rPr>
              <w:t>G</w:t>
            </w:r>
          </w:p>
        </w:tc>
        <w:tc>
          <w:tcPr>
            <w:tcW w:w="7018" w:type="dxa"/>
          </w:tcPr>
          <w:p>
            <w:pPr>
              <w:pStyle w:val="TableParagraph"/>
              <w:spacing w:before="117"/>
              <w:ind w:left="106" w:right="181"/>
              <w:jc w:val="left"/>
              <w:rPr>
                <w:sz w:val="24"/>
              </w:rPr>
            </w:pPr>
            <w:r>
              <w:rPr>
                <w:sz w:val="24"/>
              </w:rPr>
              <w:t>Guanina</w:t>
            </w:r>
          </w:p>
        </w:tc>
      </w:tr>
      <w:tr>
        <w:trPr>
          <w:trHeight w:val="533" w:hRule="exact"/>
        </w:trPr>
        <w:tc>
          <w:tcPr>
            <w:tcW w:w="1416" w:type="dxa"/>
          </w:tcPr>
          <w:p>
            <w:pPr>
              <w:pStyle w:val="TableParagraph"/>
              <w:spacing w:before="115"/>
              <w:ind w:left="200" w:right="489"/>
              <w:jc w:val="left"/>
              <w:rPr>
                <w:b/>
                <w:sz w:val="24"/>
              </w:rPr>
            </w:pPr>
            <w:r>
              <w:rPr>
                <w:b/>
                <w:sz w:val="24"/>
              </w:rPr>
              <w:t>GEN</w:t>
            </w:r>
          </w:p>
        </w:tc>
        <w:tc>
          <w:tcPr>
            <w:tcW w:w="7018" w:type="dxa"/>
          </w:tcPr>
          <w:p>
            <w:pPr>
              <w:pStyle w:val="TableParagraph"/>
              <w:spacing w:before="115"/>
              <w:ind w:left="106" w:right="181"/>
              <w:jc w:val="left"/>
              <w:rPr>
                <w:sz w:val="24"/>
              </w:rPr>
            </w:pPr>
            <w:r>
              <w:rPr>
                <w:sz w:val="24"/>
              </w:rPr>
              <w:t>Gentamicina</w:t>
            </w:r>
          </w:p>
        </w:tc>
      </w:tr>
      <w:tr>
        <w:trPr>
          <w:trHeight w:val="949" w:hRule="exact"/>
        </w:trPr>
        <w:tc>
          <w:tcPr>
            <w:tcW w:w="1416" w:type="dxa"/>
          </w:tcPr>
          <w:p>
            <w:pPr>
              <w:pStyle w:val="TableParagraph"/>
              <w:spacing w:line="360" w:lineRule="auto" w:before="118"/>
              <w:ind w:left="200" w:right="489"/>
              <w:jc w:val="left"/>
              <w:rPr>
                <w:b/>
                <w:sz w:val="24"/>
              </w:rPr>
            </w:pPr>
            <w:r>
              <w:rPr>
                <w:b/>
                <w:sz w:val="24"/>
              </w:rPr>
              <w:t>HA- MRSA</w:t>
            </w:r>
          </w:p>
        </w:tc>
        <w:tc>
          <w:tcPr>
            <w:tcW w:w="7018" w:type="dxa"/>
          </w:tcPr>
          <w:p>
            <w:pPr>
              <w:pStyle w:val="TableParagraph"/>
              <w:spacing w:line="360" w:lineRule="auto" w:before="116"/>
              <w:ind w:left="106" w:right="181"/>
              <w:jc w:val="left"/>
              <w:rPr>
                <w:sz w:val="24"/>
              </w:rPr>
            </w:pPr>
            <w:r>
              <w:rPr>
                <w:i/>
                <w:sz w:val="24"/>
              </w:rPr>
              <w:t>Staphylococcus aureus </w:t>
            </w:r>
            <w:r>
              <w:rPr>
                <w:sz w:val="24"/>
              </w:rPr>
              <w:t>resistente a la meticilina de adquisición hospitalaria</w:t>
            </w:r>
          </w:p>
        </w:tc>
      </w:tr>
      <w:tr>
        <w:trPr>
          <w:trHeight w:val="533" w:hRule="exact"/>
        </w:trPr>
        <w:tc>
          <w:tcPr>
            <w:tcW w:w="1416" w:type="dxa"/>
          </w:tcPr>
          <w:p>
            <w:pPr>
              <w:pStyle w:val="TableParagraph"/>
              <w:spacing w:before="117"/>
              <w:ind w:left="200" w:right="489"/>
              <w:jc w:val="left"/>
              <w:rPr>
                <w:b/>
                <w:sz w:val="24"/>
              </w:rPr>
            </w:pPr>
            <w:r>
              <w:rPr>
                <w:b/>
                <w:sz w:val="24"/>
              </w:rPr>
              <w:t>Kb</w:t>
            </w:r>
          </w:p>
        </w:tc>
        <w:tc>
          <w:tcPr>
            <w:tcW w:w="7018" w:type="dxa"/>
          </w:tcPr>
          <w:p>
            <w:pPr>
              <w:pStyle w:val="TableParagraph"/>
              <w:spacing w:before="117"/>
              <w:ind w:left="106" w:right="181"/>
              <w:jc w:val="left"/>
              <w:rPr>
                <w:sz w:val="24"/>
              </w:rPr>
            </w:pPr>
            <w:r>
              <w:rPr>
                <w:sz w:val="24"/>
              </w:rPr>
              <w:t>Kilo bases</w:t>
            </w:r>
          </w:p>
        </w:tc>
      </w:tr>
      <w:tr>
        <w:trPr>
          <w:trHeight w:val="535" w:hRule="exact"/>
        </w:trPr>
        <w:tc>
          <w:tcPr>
            <w:tcW w:w="1416" w:type="dxa"/>
          </w:tcPr>
          <w:p>
            <w:pPr>
              <w:pStyle w:val="TableParagraph"/>
              <w:spacing w:before="117"/>
              <w:ind w:left="200"/>
              <w:jc w:val="left"/>
              <w:rPr>
                <w:b/>
                <w:sz w:val="24"/>
              </w:rPr>
            </w:pPr>
            <w:r>
              <w:rPr>
                <w:b/>
                <w:sz w:val="24"/>
              </w:rPr>
              <w:t>LA-MRSA</w:t>
            </w:r>
          </w:p>
        </w:tc>
        <w:tc>
          <w:tcPr>
            <w:tcW w:w="7018" w:type="dxa"/>
          </w:tcPr>
          <w:p>
            <w:pPr>
              <w:pStyle w:val="TableParagraph"/>
              <w:spacing w:before="114"/>
              <w:ind w:left="106" w:right="181"/>
              <w:jc w:val="left"/>
              <w:rPr>
                <w:sz w:val="24"/>
              </w:rPr>
            </w:pPr>
            <w:r>
              <w:rPr>
                <w:i/>
                <w:sz w:val="24"/>
              </w:rPr>
              <w:t>Staphylococcus resistente </w:t>
            </w:r>
            <w:r>
              <w:rPr>
                <w:sz w:val="24"/>
              </w:rPr>
              <w:t>a la meticilina asociado al ganado</w:t>
            </w:r>
          </w:p>
        </w:tc>
      </w:tr>
      <w:tr>
        <w:trPr>
          <w:trHeight w:val="534" w:hRule="exact"/>
        </w:trPr>
        <w:tc>
          <w:tcPr>
            <w:tcW w:w="1416" w:type="dxa"/>
          </w:tcPr>
          <w:p>
            <w:pPr>
              <w:pStyle w:val="TableParagraph"/>
              <w:spacing w:before="117"/>
              <w:ind w:left="200"/>
              <w:jc w:val="left"/>
              <w:rPr>
                <w:b/>
                <w:sz w:val="24"/>
              </w:rPr>
            </w:pPr>
            <w:r>
              <w:rPr>
                <w:b/>
                <w:w w:val="99"/>
                <w:sz w:val="24"/>
              </w:rPr>
              <w:t>M</w:t>
            </w:r>
          </w:p>
        </w:tc>
        <w:tc>
          <w:tcPr>
            <w:tcW w:w="7018" w:type="dxa"/>
          </w:tcPr>
          <w:p>
            <w:pPr>
              <w:pStyle w:val="TableParagraph"/>
              <w:spacing w:before="117"/>
              <w:ind w:left="106" w:right="181"/>
              <w:jc w:val="left"/>
              <w:rPr>
                <w:sz w:val="24"/>
              </w:rPr>
            </w:pPr>
            <w:r>
              <w:rPr>
                <w:sz w:val="24"/>
              </w:rPr>
              <w:t>Molar</w:t>
            </w:r>
          </w:p>
        </w:tc>
      </w:tr>
      <w:tr>
        <w:trPr>
          <w:trHeight w:val="386" w:hRule="exact"/>
        </w:trPr>
        <w:tc>
          <w:tcPr>
            <w:tcW w:w="1416" w:type="dxa"/>
          </w:tcPr>
          <w:p>
            <w:pPr>
              <w:pStyle w:val="TableParagraph"/>
              <w:spacing w:before="115"/>
              <w:ind w:left="200" w:right="489"/>
              <w:jc w:val="left"/>
              <w:rPr>
                <w:b/>
                <w:sz w:val="24"/>
              </w:rPr>
            </w:pPr>
            <w:r>
              <w:rPr>
                <w:b/>
                <w:sz w:val="24"/>
              </w:rPr>
              <w:t>MH</w:t>
            </w:r>
          </w:p>
        </w:tc>
        <w:tc>
          <w:tcPr>
            <w:tcW w:w="7018" w:type="dxa"/>
          </w:tcPr>
          <w:p>
            <w:pPr>
              <w:pStyle w:val="TableParagraph"/>
              <w:spacing w:before="115"/>
              <w:ind w:left="106" w:right="181"/>
              <w:jc w:val="left"/>
              <w:rPr>
                <w:sz w:val="24"/>
              </w:rPr>
            </w:pPr>
            <w:r>
              <w:rPr>
                <w:sz w:val="24"/>
              </w:rPr>
              <w:t>Mueller-Hinton (medio de cultivo)</w:t>
            </w:r>
          </w:p>
        </w:tc>
      </w:tr>
    </w:tbl>
    <w:p>
      <w:pPr>
        <w:spacing w:after="0"/>
        <w:jc w:val="left"/>
        <w:rPr>
          <w:sz w:val="24"/>
        </w:rPr>
        <w:sectPr>
          <w:pgSz w:w="12240" w:h="15840"/>
          <w:pgMar w:header="728" w:footer="1135" w:top="1200" w:bottom="1320" w:left="1500" w:right="1560"/>
        </w:sectPr>
      </w:pPr>
    </w:p>
    <w:p>
      <w:pPr>
        <w:pStyle w:val="BodyText"/>
        <w:spacing w:before="7"/>
        <w:rPr>
          <w:rFonts w:ascii="Times New Roman"/>
          <w:sz w:val="2"/>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2"/>
        <w:gridCol w:w="7604"/>
      </w:tblGrid>
      <w:tr>
        <w:trPr>
          <w:trHeight w:val="639" w:hRule="exact"/>
        </w:trPr>
        <w:tc>
          <w:tcPr>
            <w:tcW w:w="1292" w:type="dxa"/>
            <w:tcBorders>
              <w:left w:val="nil"/>
              <w:bottom w:val="nil"/>
              <w:right w:val="nil"/>
            </w:tcBorders>
          </w:tcPr>
          <w:p>
            <w:pPr>
              <w:pStyle w:val="TableParagraph"/>
              <w:spacing w:before="9"/>
              <w:ind w:left="0"/>
              <w:jc w:val="left"/>
              <w:rPr>
                <w:rFonts w:ascii="Times New Roman"/>
                <w:sz w:val="18"/>
              </w:rPr>
            </w:pPr>
          </w:p>
          <w:p>
            <w:pPr>
              <w:pStyle w:val="TableParagraph"/>
              <w:spacing w:before="1"/>
              <w:ind w:left="136"/>
              <w:jc w:val="left"/>
              <w:rPr>
                <w:b/>
                <w:sz w:val="24"/>
              </w:rPr>
            </w:pPr>
            <w:r>
              <w:rPr>
                <w:b/>
                <w:sz w:val="24"/>
              </w:rPr>
              <w:t>mL</w:t>
            </w:r>
          </w:p>
        </w:tc>
        <w:tc>
          <w:tcPr>
            <w:tcW w:w="7604" w:type="dxa"/>
            <w:tcBorders>
              <w:left w:val="nil"/>
              <w:bottom w:val="nil"/>
              <w:right w:val="nil"/>
            </w:tcBorders>
          </w:tcPr>
          <w:p>
            <w:pPr>
              <w:pStyle w:val="TableParagraph"/>
              <w:spacing w:before="9"/>
              <w:ind w:left="0"/>
              <w:jc w:val="left"/>
              <w:rPr>
                <w:rFonts w:ascii="Times New Roman"/>
                <w:sz w:val="18"/>
              </w:rPr>
            </w:pPr>
          </w:p>
          <w:p>
            <w:pPr>
              <w:pStyle w:val="TableParagraph"/>
              <w:spacing w:before="1"/>
              <w:ind w:left="167"/>
              <w:jc w:val="left"/>
              <w:rPr>
                <w:sz w:val="24"/>
              </w:rPr>
            </w:pPr>
            <w:r>
              <w:rPr>
                <w:sz w:val="24"/>
              </w:rPr>
              <w:t>Mililitro</w:t>
            </w:r>
          </w:p>
        </w:tc>
      </w:tr>
      <w:tr>
        <w:trPr>
          <w:trHeight w:val="533" w:hRule="exact"/>
        </w:trPr>
        <w:tc>
          <w:tcPr>
            <w:tcW w:w="1292" w:type="dxa"/>
            <w:tcBorders>
              <w:top w:val="nil"/>
              <w:left w:val="nil"/>
              <w:bottom w:val="nil"/>
              <w:right w:val="nil"/>
            </w:tcBorders>
          </w:tcPr>
          <w:p>
            <w:pPr>
              <w:pStyle w:val="TableParagraph"/>
              <w:spacing w:before="115"/>
              <w:ind w:left="136"/>
              <w:jc w:val="left"/>
              <w:rPr>
                <w:b/>
                <w:sz w:val="24"/>
              </w:rPr>
            </w:pPr>
            <w:r>
              <w:rPr>
                <w:b/>
                <w:sz w:val="24"/>
              </w:rPr>
              <w:t>mM</w:t>
            </w:r>
          </w:p>
        </w:tc>
        <w:tc>
          <w:tcPr>
            <w:tcW w:w="7604" w:type="dxa"/>
            <w:tcBorders>
              <w:top w:val="nil"/>
              <w:left w:val="nil"/>
              <w:bottom w:val="nil"/>
              <w:right w:val="nil"/>
            </w:tcBorders>
          </w:tcPr>
          <w:p>
            <w:pPr>
              <w:pStyle w:val="TableParagraph"/>
              <w:spacing w:before="115"/>
              <w:ind w:left="167"/>
              <w:jc w:val="left"/>
              <w:rPr>
                <w:sz w:val="24"/>
              </w:rPr>
            </w:pPr>
            <w:r>
              <w:rPr>
                <w:sz w:val="24"/>
              </w:rPr>
              <w:t>Minimolar</w:t>
            </w:r>
          </w:p>
        </w:tc>
      </w:tr>
      <w:tr>
        <w:trPr>
          <w:trHeight w:val="535" w:hRule="exact"/>
        </w:trPr>
        <w:tc>
          <w:tcPr>
            <w:tcW w:w="1292" w:type="dxa"/>
            <w:tcBorders>
              <w:top w:val="nil"/>
              <w:left w:val="nil"/>
              <w:bottom w:val="nil"/>
              <w:right w:val="nil"/>
            </w:tcBorders>
          </w:tcPr>
          <w:p>
            <w:pPr>
              <w:pStyle w:val="TableParagraph"/>
              <w:spacing w:before="118"/>
              <w:ind w:left="136"/>
              <w:jc w:val="left"/>
              <w:rPr>
                <w:b/>
                <w:sz w:val="24"/>
              </w:rPr>
            </w:pPr>
            <w:r>
              <w:rPr>
                <w:b/>
                <w:sz w:val="24"/>
              </w:rPr>
              <w:t>MRSA</w:t>
            </w:r>
          </w:p>
        </w:tc>
        <w:tc>
          <w:tcPr>
            <w:tcW w:w="7604" w:type="dxa"/>
            <w:tcBorders>
              <w:top w:val="nil"/>
              <w:left w:val="nil"/>
              <w:bottom w:val="nil"/>
              <w:right w:val="nil"/>
            </w:tcBorders>
          </w:tcPr>
          <w:p>
            <w:pPr>
              <w:pStyle w:val="TableParagraph"/>
              <w:spacing w:before="115"/>
              <w:ind w:left="167"/>
              <w:jc w:val="left"/>
              <w:rPr>
                <w:sz w:val="24"/>
              </w:rPr>
            </w:pPr>
            <w:r>
              <w:rPr>
                <w:i/>
                <w:sz w:val="24"/>
              </w:rPr>
              <w:t>Staphylococcus aureus </w:t>
            </w:r>
            <w:r>
              <w:rPr>
                <w:sz w:val="24"/>
              </w:rPr>
              <w:t>resistente a meticilina</w:t>
            </w:r>
          </w:p>
        </w:tc>
      </w:tr>
      <w:tr>
        <w:trPr>
          <w:trHeight w:val="533" w:hRule="exact"/>
        </w:trPr>
        <w:tc>
          <w:tcPr>
            <w:tcW w:w="1292" w:type="dxa"/>
            <w:tcBorders>
              <w:top w:val="nil"/>
              <w:left w:val="nil"/>
              <w:bottom w:val="nil"/>
              <w:right w:val="nil"/>
            </w:tcBorders>
          </w:tcPr>
          <w:p>
            <w:pPr>
              <w:pStyle w:val="TableParagraph"/>
              <w:spacing w:before="115"/>
              <w:ind w:left="136"/>
              <w:jc w:val="left"/>
              <w:rPr>
                <w:b/>
                <w:sz w:val="24"/>
              </w:rPr>
            </w:pPr>
            <w:r>
              <w:rPr>
                <w:b/>
                <w:sz w:val="24"/>
              </w:rPr>
              <w:t>MSA</w:t>
            </w:r>
          </w:p>
        </w:tc>
        <w:tc>
          <w:tcPr>
            <w:tcW w:w="7604" w:type="dxa"/>
            <w:tcBorders>
              <w:top w:val="nil"/>
              <w:left w:val="nil"/>
              <w:bottom w:val="nil"/>
              <w:right w:val="nil"/>
            </w:tcBorders>
          </w:tcPr>
          <w:p>
            <w:pPr>
              <w:pStyle w:val="TableParagraph"/>
              <w:spacing w:before="115"/>
              <w:ind w:left="167"/>
              <w:jc w:val="left"/>
              <w:rPr>
                <w:sz w:val="24"/>
              </w:rPr>
            </w:pPr>
            <w:r>
              <w:rPr>
                <w:sz w:val="24"/>
              </w:rPr>
              <w:t>Mannitol Salt agar(medio de cultivo)</w:t>
            </w:r>
          </w:p>
        </w:tc>
      </w:tr>
      <w:tr>
        <w:trPr>
          <w:trHeight w:val="535" w:hRule="exact"/>
        </w:trPr>
        <w:tc>
          <w:tcPr>
            <w:tcW w:w="1292" w:type="dxa"/>
            <w:tcBorders>
              <w:top w:val="nil"/>
              <w:left w:val="nil"/>
              <w:bottom w:val="nil"/>
              <w:right w:val="nil"/>
            </w:tcBorders>
          </w:tcPr>
          <w:p>
            <w:pPr>
              <w:pStyle w:val="TableParagraph"/>
              <w:spacing w:before="118"/>
              <w:ind w:left="136"/>
              <w:jc w:val="left"/>
              <w:rPr>
                <w:b/>
                <w:sz w:val="24"/>
              </w:rPr>
            </w:pPr>
            <w:r>
              <w:rPr>
                <w:b/>
                <w:sz w:val="24"/>
              </w:rPr>
              <w:t>MSSA</w:t>
            </w:r>
          </w:p>
        </w:tc>
        <w:tc>
          <w:tcPr>
            <w:tcW w:w="7604" w:type="dxa"/>
            <w:tcBorders>
              <w:top w:val="nil"/>
              <w:left w:val="nil"/>
              <w:bottom w:val="nil"/>
              <w:right w:val="nil"/>
            </w:tcBorders>
          </w:tcPr>
          <w:p>
            <w:pPr>
              <w:pStyle w:val="TableParagraph"/>
              <w:spacing w:before="115"/>
              <w:ind w:left="167"/>
              <w:jc w:val="left"/>
              <w:rPr>
                <w:sz w:val="24"/>
              </w:rPr>
            </w:pPr>
            <w:r>
              <w:rPr>
                <w:i/>
                <w:sz w:val="24"/>
              </w:rPr>
              <w:t>Staphylococcus aureus </w:t>
            </w:r>
            <w:r>
              <w:rPr>
                <w:sz w:val="24"/>
              </w:rPr>
              <w:t>sensible a meticilina</w:t>
            </w:r>
          </w:p>
        </w:tc>
      </w:tr>
      <w:tr>
        <w:trPr>
          <w:trHeight w:val="534" w:hRule="exact"/>
        </w:trPr>
        <w:tc>
          <w:tcPr>
            <w:tcW w:w="1292" w:type="dxa"/>
            <w:tcBorders>
              <w:top w:val="nil"/>
              <w:left w:val="nil"/>
              <w:bottom w:val="nil"/>
              <w:right w:val="nil"/>
            </w:tcBorders>
          </w:tcPr>
          <w:p>
            <w:pPr>
              <w:pStyle w:val="TableParagraph"/>
              <w:spacing w:before="115"/>
              <w:ind w:left="136"/>
              <w:jc w:val="left"/>
              <w:rPr>
                <w:b/>
                <w:sz w:val="24"/>
              </w:rPr>
            </w:pPr>
            <w:r>
              <w:rPr>
                <w:b/>
                <w:sz w:val="24"/>
              </w:rPr>
              <w:t>ORF</w:t>
            </w:r>
          </w:p>
        </w:tc>
        <w:tc>
          <w:tcPr>
            <w:tcW w:w="7604" w:type="dxa"/>
            <w:tcBorders>
              <w:top w:val="nil"/>
              <w:left w:val="nil"/>
              <w:bottom w:val="nil"/>
              <w:right w:val="nil"/>
            </w:tcBorders>
          </w:tcPr>
          <w:p>
            <w:pPr>
              <w:pStyle w:val="TableParagraph"/>
              <w:spacing w:before="115"/>
              <w:ind w:left="167"/>
              <w:jc w:val="left"/>
              <w:rPr>
                <w:sz w:val="24"/>
              </w:rPr>
            </w:pPr>
            <w:r>
              <w:rPr>
                <w:sz w:val="24"/>
              </w:rPr>
              <w:t>Open reading frame (marco de lectura abierto)</w:t>
            </w:r>
          </w:p>
        </w:tc>
      </w:tr>
      <w:tr>
        <w:trPr>
          <w:trHeight w:val="534" w:hRule="exact"/>
        </w:trPr>
        <w:tc>
          <w:tcPr>
            <w:tcW w:w="1292" w:type="dxa"/>
            <w:tcBorders>
              <w:top w:val="nil"/>
              <w:left w:val="nil"/>
              <w:bottom w:val="nil"/>
              <w:right w:val="nil"/>
            </w:tcBorders>
          </w:tcPr>
          <w:p>
            <w:pPr>
              <w:pStyle w:val="TableParagraph"/>
              <w:spacing w:before="117"/>
              <w:ind w:left="136"/>
              <w:jc w:val="left"/>
              <w:rPr>
                <w:b/>
                <w:sz w:val="24"/>
              </w:rPr>
            </w:pPr>
            <w:r>
              <w:rPr>
                <w:b/>
                <w:sz w:val="24"/>
              </w:rPr>
              <w:t>OXA</w:t>
            </w:r>
          </w:p>
        </w:tc>
        <w:tc>
          <w:tcPr>
            <w:tcW w:w="7604" w:type="dxa"/>
            <w:tcBorders>
              <w:top w:val="nil"/>
              <w:left w:val="nil"/>
              <w:bottom w:val="nil"/>
              <w:right w:val="nil"/>
            </w:tcBorders>
          </w:tcPr>
          <w:p>
            <w:pPr>
              <w:pStyle w:val="TableParagraph"/>
              <w:spacing w:before="117"/>
              <w:ind w:left="167"/>
              <w:jc w:val="left"/>
              <w:rPr>
                <w:sz w:val="24"/>
              </w:rPr>
            </w:pPr>
            <w:r>
              <w:rPr>
                <w:sz w:val="24"/>
              </w:rPr>
              <w:t>Oxacilina</w:t>
            </w:r>
          </w:p>
        </w:tc>
      </w:tr>
      <w:tr>
        <w:trPr>
          <w:trHeight w:val="534" w:hRule="exact"/>
        </w:trPr>
        <w:tc>
          <w:tcPr>
            <w:tcW w:w="1292" w:type="dxa"/>
            <w:tcBorders>
              <w:top w:val="nil"/>
              <w:left w:val="nil"/>
              <w:bottom w:val="nil"/>
              <w:right w:val="nil"/>
            </w:tcBorders>
          </w:tcPr>
          <w:p>
            <w:pPr>
              <w:pStyle w:val="TableParagraph"/>
              <w:spacing w:before="115"/>
              <w:ind w:left="136"/>
              <w:jc w:val="left"/>
              <w:rPr>
                <w:b/>
                <w:sz w:val="24"/>
              </w:rPr>
            </w:pPr>
            <w:r>
              <w:rPr>
                <w:b/>
                <w:sz w:val="24"/>
              </w:rPr>
              <w:t>Pb</w:t>
            </w:r>
          </w:p>
        </w:tc>
        <w:tc>
          <w:tcPr>
            <w:tcW w:w="7604" w:type="dxa"/>
            <w:tcBorders>
              <w:top w:val="nil"/>
              <w:left w:val="nil"/>
              <w:bottom w:val="nil"/>
              <w:right w:val="nil"/>
            </w:tcBorders>
          </w:tcPr>
          <w:p>
            <w:pPr>
              <w:pStyle w:val="TableParagraph"/>
              <w:spacing w:before="115"/>
              <w:ind w:left="167"/>
              <w:jc w:val="left"/>
              <w:rPr>
                <w:sz w:val="24"/>
              </w:rPr>
            </w:pPr>
            <w:r>
              <w:rPr>
                <w:sz w:val="24"/>
              </w:rPr>
              <w:t>Pares de bases</w:t>
            </w:r>
          </w:p>
        </w:tc>
      </w:tr>
      <w:tr>
        <w:trPr>
          <w:trHeight w:val="534" w:hRule="exact"/>
        </w:trPr>
        <w:tc>
          <w:tcPr>
            <w:tcW w:w="1292" w:type="dxa"/>
            <w:tcBorders>
              <w:top w:val="nil"/>
              <w:left w:val="nil"/>
              <w:bottom w:val="nil"/>
              <w:right w:val="nil"/>
            </w:tcBorders>
          </w:tcPr>
          <w:p>
            <w:pPr>
              <w:pStyle w:val="TableParagraph"/>
              <w:spacing w:before="117"/>
              <w:ind w:left="136"/>
              <w:jc w:val="left"/>
              <w:rPr>
                <w:b/>
                <w:sz w:val="24"/>
              </w:rPr>
            </w:pPr>
            <w:r>
              <w:rPr>
                <w:b/>
                <w:sz w:val="24"/>
              </w:rPr>
              <w:t>PBP</w:t>
            </w:r>
          </w:p>
        </w:tc>
        <w:tc>
          <w:tcPr>
            <w:tcW w:w="7604" w:type="dxa"/>
            <w:tcBorders>
              <w:top w:val="nil"/>
              <w:left w:val="nil"/>
              <w:bottom w:val="nil"/>
              <w:right w:val="nil"/>
            </w:tcBorders>
          </w:tcPr>
          <w:p>
            <w:pPr>
              <w:pStyle w:val="TableParagraph"/>
              <w:spacing w:before="117"/>
              <w:ind w:left="167"/>
              <w:jc w:val="left"/>
              <w:rPr>
                <w:sz w:val="24"/>
              </w:rPr>
            </w:pPr>
            <w:r>
              <w:rPr>
                <w:sz w:val="24"/>
              </w:rPr>
              <w:t>Penicillin Binding Protein (proteína de unión a la penicilina)</w:t>
            </w:r>
          </w:p>
        </w:tc>
      </w:tr>
      <w:tr>
        <w:trPr>
          <w:trHeight w:val="534" w:hRule="exact"/>
        </w:trPr>
        <w:tc>
          <w:tcPr>
            <w:tcW w:w="1292" w:type="dxa"/>
            <w:tcBorders>
              <w:top w:val="nil"/>
              <w:left w:val="nil"/>
              <w:bottom w:val="nil"/>
              <w:right w:val="nil"/>
            </w:tcBorders>
          </w:tcPr>
          <w:p>
            <w:pPr>
              <w:pStyle w:val="TableParagraph"/>
              <w:spacing w:before="115"/>
              <w:ind w:left="136"/>
              <w:jc w:val="left"/>
              <w:rPr>
                <w:b/>
                <w:sz w:val="24"/>
              </w:rPr>
            </w:pPr>
            <w:r>
              <w:rPr>
                <w:b/>
                <w:sz w:val="24"/>
              </w:rPr>
              <w:t>PCR</w:t>
            </w:r>
          </w:p>
        </w:tc>
        <w:tc>
          <w:tcPr>
            <w:tcW w:w="7604" w:type="dxa"/>
            <w:tcBorders>
              <w:top w:val="nil"/>
              <w:left w:val="nil"/>
              <w:bottom w:val="nil"/>
              <w:right w:val="nil"/>
            </w:tcBorders>
          </w:tcPr>
          <w:p>
            <w:pPr>
              <w:pStyle w:val="TableParagraph"/>
              <w:spacing w:before="115"/>
              <w:ind w:left="167"/>
              <w:jc w:val="left"/>
              <w:rPr>
                <w:sz w:val="24"/>
              </w:rPr>
            </w:pPr>
            <w:r>
              <w:rPr>
                <w:sz w:val="24"/>
              </w:rPr>
              <w:t>Polymerase Chain Reaction (Reacción en cadena de la polimerasa)</w:t>
            </w:r>
          </w:p>
        </w:tc>
      </w:tr>
      <w:tr>
        <w:trPr>
          <w:trHeight w:val="534" w:hRule="exact"/>
        </w:trPr>
        <w:tc>
          <w:tcPr>
            <w:tcW w:w="1292" w:type="dxa"/>
            <w:tcBorders>
              <w:top w:val="nil"/>
              <w:left w:val="nil"/>
              <w:bottom w:val="nil"/>
              <w:right w:val="nil"/>
            </w:tcBorders>
          </w:tcPr>
          <w:p>
            <w:pPr>
              <w:pStyle w:val="TableParagraph"/>
              <w:spacing w:before="117"/>
              <w:ind w:left="136"/>
              <w:jc w:val="left"/>
              <w:rPr>
                <w:b/>
                <w:sz w:val="24"/>
              </w:rPr>
            </w:pPr>
            <w:r>
              <w:rPr>
                <w:b/>
                <w:sz w:val="24"/>
              </w:rPr>
              <w:t>PEN</w:t>
            </w:r>
          </w:p>
        </w:tc>
        <w:tc>
          <w:tcPr>
            <w:tcW w:w="7604" w:type="dxa"/>
            <w:tcBorders>
              <w:top w:val="nil"/>
              <w:left w:val="nil"/>
              <w:bottom w:val="nil"/>
              <w:right w:val="nil"/>
            </w:tcBorders>
          </w:tcPr>
          <w:p>
            <w:pPr>
              <w:pStyle w:val="TableParagraph"/>
              <w:spacing w:before="117"/>
              <w:ind w:left="167"/>
              <w:jc w:val="left"/>
              <w:rPr>
                <w:sz w:val="24"/>
              </w:rPr>
            </w:pPr>
            <w:r>
              <w:rPr>
                <w:sz w:val="24"/>
              </w:rPr>
              <w:t>Penicilina</w:t>
            </w:r>
          </w:p>
        </w:tc>
      </w:tr>
      <w:tr>
        <w:trPr>
          <w:trHeight w:val="534" w:hRule="exact"/>
        </w:trPr>
        <w:tc>
          <w:tcPr>
            <w:tcW w:w="1292" w:type="dxa"/>
            <w:tcBorders>
              <w:top w:val="nil"/>
              <w:left w:val="nil"/>
              <w:bottom w:val="nil"/>
              <w:right w:val="nil"/>
            </w:tcBorders>
          </w:tcPr>
          <w:p>
            <w:pPr>
              <w:pStyle w:val="TableParagraph"/>
              <w:spacing w:before="115"/>
              <w:ind w:left="136"/>
              <w:jc w:val="left"/>
              <w:rPr>
                <w:b/>
                <w:sz w:val="24"/>
              </w:rPr>
            </w:pPr>
            <w:r>
              <w:rPr>
                <w:b/>
                <w:sz w:val="24"/>
              </w:rPr>
              <w:t>PVL</w:t>
            </w:r>
          </w:p>
        </w:tc>
        <w:tc>
          <w:tcPr>
            <w:tcW w:w="7604" w:type="dxa"/>
            <w:tcBorders>
              <w:top w:val="nil"/>
              <w:left w:val="nil"/>
              <w:bottom w:val="nil"/>
              <w:right w:val="nil"/>
            </w:tcBorders>
          </w:tcPr>
          <w:p>
            <w:pPr>
              <w:pStyle w:val="TableParagraph"/>
              <w:spacing w:before="115"/>
              <w:ind w:left="167"/>
              <w:jc w:val="left"/>
              <w:rPr>
                <w:sz w:val="24"/>
              </w:rPr>
            </w:pPr>
            <w:r>
              <w:rPr>
                <w:sz w:val="24"/>
              </w:rPr>
              <w:t>Panton-Valentine Leukocidin (Leucocidina de Panton-Valentine)</w:t>
            </w:r>
          </w:p>
        </w:tc>
      </w:tr>
      <w:tr>
        <w:trPr>
          <w:trHeight w:val="534" w:hRule="exact"/>
        </w:trPr>
        <w:tc>
          <w:tcPr>
            <w:tcW w:w="1292" w:type="dxa"/>
            <w:tcBorders>
              <w:top w:val="nil"/>
              <w:left w:val="nil"/>
              <w:bottom w:val="nil"/>
              <w:right w:val="nil"/>
            </w:tcBorders>
          </w:tcPr>
          <w:p>
            <w:pPr>
              <w:pStyle w:val="TableParagraph"/>
              <w:spacing w:before="117"/>
              <w:ind w:left="136"/>
              <w:jc w:val="left"/>
              <w:rPr>
                <w:b/>
                <w:i/>
                <w:sz w:val="24"/>
              </w:rPr>
            </w:pPr>
            <w:r>
              <w:rPr>
                <w:b/>
                <w:i/>
                <w:sz w:val="24"/>
              </w:rPr>
              <w:t>SCCmec</w:t>
            </w:r>
          </w:p>
        </w:tc>
        <w:tc>
          <w:tcPr>
            <w:tcW w:w="7604" w:type="dxa"/>
            <w:tcBorders>
              <w:top w:val="nil"/>
              <w:left w:val="nil"/>
              <w:bottom w:val="nil"/>
              <w:right w:val="nil"/>
            </w:tcBorders>
          </w:tcPr>
          <w:p>
            <w:pPr>
              <w:pStyle w:val="TableParagraph"/>
              <w:spacing w:before="117"/>
              <w:ind w:left="167"/>
              <w:jc w:val="left"/>
              <w:rPr>
                <w:sz w:val="24"/>
              </w:rPr>
            </w:pPr>
            <w:r>
              <w:rPr>
                <w:sz w:val="24"/>
              </w:rPr>
              <w:t>Casete Cromosómico Estafilocócico del gen mecA</w:t>
            </w:r>
          </w:p>
        </w:tc>
      </w:tr>
      <w:tr>
        <w:trPr>
          <w:trHeight w:val="534" w:hRule="exact"/>
        </w:trPr>
        <w:tc>
          <w:tcPr>
            <w:tcW w:w="1292" w:type="dxa"/>
            <w:tcBorders>
              <w:top w:val="nil"/>
              <w:left w:val="nil"/>
              <w:bottom w:val="nil"/>
              <w:right w:val="nil"/>
            </w:tcBorders>
          </w:tcPr>
          <w:p>
            <w:pPr>
              <w:pStyle w:val="TableParagraph"/>
              <w:spacing w:before="115"/>
              <w:ind w:left="136"/>
              <w:jc w:val="left"/>
              <w:rPr>
                <w:b/>
                <w:sz w:val="24"/>
              </w:rPr>
            </w:pPr>
            <w:r>
              <w:rPr>
                <w:b/>
                <w:sz w:val="24"/>
              </w:rPr>
              <w:t>T</w:t>
            </w:r>
          </w:p>
        </w:tc>
        <w:tc>
          <w:tcPr>
            <w:tcW w:w="7604" w:type="dxa"/>
            <w:tcBorders>
              <w:top w:val="nil"/>
              <w:left w:val="nil"/>
              <w:bottom w:val="nil"/>
              <w:right w:val="nil"/>
            </w:tcBorders>
          </w:tcPr>
          <w:p>
            <w:pPr>
              <w:pStyle w:val="TableParagraph"/>
              <w:spacing w:before="115"/>
              <w:ind w:left="167"/>
              <w:jc w:val="left"/>
              <w:rPr>
                <w:sz w:val="24"/>
              </w:rPr>
            </w:pPr>
            <w:r>
              <w:rPr>
                <w:sz w:val="24"/>
              </w:rPr>
              <w:t>Timina</w:t>
            </w:r>
          </w:p>
        </w:tc>
      </w:tr>
      <w:tr>
        <w:trPr>
          <w:trHeight w:val="534" w:hRule="exact"/>
        </w:trPr>
        <w:tc>
          <w:tcPr>
            <w:tcW w:w="1292" w:type="dxa"/>
            <w:tcBorders>
              <w:top w:val="nil"/>
              <w:left w:val="nil"/>
              <w:bottom w:val="nil"/>
              <w:right w:val="nil"/>
            </w:tcBorders>
          </w:tcPr>
          <w:p>
            <w:pPr>
              <w:pStyle w:val="TableParagraph"/>
              <w:spacing w:before="117"/>
              <w:ind w:left="136"/>
              <w:jc w:val="left"/>
              <w:rPr>
                <w:b/>
                <w:sz w:val="24"/>
              </w:rPr>
            </w:pPr>
            <w:r>
              <w:rPr>
                <w:b/>
                <w:sz w:val="24"/>
              </w:rPr>
              <w:t>TET</w:t>
            </w:r>
          </w:p>
        </w:tc>
        <w:tc>
          <w:tcPr>
            <w:tcW w:w="7604" w:type="dxa"/>
            <w:tcBorders>
              <w:top w:val="nil"/>
              <w:left w:val="nil"/>
              <w:bottom w:val="nil"/>
              <w:right w:val="nil"/>
            </w:tcBorders>
          </w:tcPr>
          <w:p>
            <w:pPr>
              <w:pStyle w:val="TableParagraph"/>
              <w:spacing w:before="117"/>
              <w:ind w:left="167"/>
              <w:jc w:val="left"/>
              <w:rPr>
                <w:sz w:val="24"/>
              </w:rPr>
            </w:pPr>
            <w:r>
              <w:rPr>
                <w:sz w:val="24"/>
              </w:rPr>
              <w:t>Tetraciclina</w:t>
            </w:r>
          </w:p>
        </w:tc>
      </w:tr>
      <w:tr>
        <w:trPr>
          <w:trHeight w:val="534" w:hRule="exact"/>
        </w:trPr>
        <w:tc>
          <w:tcPr>
            <w:tcW w:w="1292" w:type="dxa"/>
            <w:tcBorders>
              <w:top w:val="nil"/>
              <w:left w:val="nil"/>
              <w:bottom w:val="nil"/>
              <w:right w:val="nil"/>
            </w:tcBorders>
          </w:tcPr>
          <w:p>
            <w:pPr>
              <w:pStyle w:val="TableParagraph"/>
              <w:spacing w:before="115"/>
              <w:ind w:left="136"/>
              <w:jc w:val="left"/>
              <w:rPr>
                <w:b/>
                <w:sz w:val="24"/>
              </w:rPr>
            </w:pPr>
            <w:r>
              <w:rPr>
                <w:b/>
                <w:sz w:val="24"/>
              </w:rPr>
              <w:t>TSST</w:t>
            </w:r>
          </w:p>
        </w:tc>
        <w:tc>
          <w:tcPr>
            <w:tcW w:w="7604" w:type="dxa"/>
            <w:tcBorders>
              <w:top w:val="nil"/>
              <w:left w:val="nil"/>
              <w:bottom w:val="nil"/>
              <w:right w:val="nil"/>
            </w:tcBorders>
          </w:tcPr>
          <w:p>
            <w:pPr>
              <w:pStyle w:val="TableParagraph"/>
              <w:spacing w:before="115"/>
              <w:ind w:left="167"/>
              <w:jc w:val="left"/>
              <w:rPr>
                <w:sz w:val="24"/>
              </w:rPr>
            </w:pPr>
            <w:r>
              <w:rPr>
                <w:sz w:val="24"/>
              </w:rPr>
              <w:t>Toxina del Síndrome de Shock Tóxico</w:t>
            </w:r>
          </w:p>
        </w:tc>
      </w:tr>
      <w:tr>
        <w:trPr>
          <w:trHeight w:val="534" w:hRule="exact"/>
        </w:trPr>
        <w:tc>
          <w:tcPr>
            <w:tcW w:w="1292" w:type="dxa"/>
            <w:tcBorders>
              <w:top w:val="nil"/>
              <w:left w:val="nil"/>
              <w:bottom w:val="nil"/>
              <w:right w:val="nil"/>
            </w:tcBorders>
          </w:tcPr>
          <w:p>
            <w:pPr>
              <w:pStyle w:val="TableParagraph"/>
              <w:spacing w:before="117"/>
              <w:ind w:left="136"/>
              <w:jc w:val="left"/>
              <w:rPr>
                <w:b/>
                <w:sz w:val="24"/>
              </w:rPr>
            </w:pPr>
            <w:r>
              <w:rPr>
                <w:b/>
                <w:sz w:val="24"/>
              </w:rPr>
              <w:t>TUT</w:t>
            </w:r>
          </w:p>
        </w:tc>
        <w:tc>
          <w:tcPr>
            <w:tcW w:w="7604" w:type="dxa"/>
            <w:tcBorders>
              <w:top w:val="nil"/>
              <w:left w:val="nil"/>
              <w:bottom w:val="nil"/>
              <w:right w:val="nil"/>
            </w:tcBorders>
          </w:tcPr>
          <w:p>
            <w:pPr>
              <w:pStyle w:val="TableParagraph"/>
              <w:spacing w:before="117"/>
              <w:ind w:left="167"/>
              <w:jc w:val="left"/>
              <w:rPr>
                <w:sz w:val="24"/>
              </w:rPr>
            </w:pPr>
            <w:r>
              <w:rPr>
                <w:sz w:val="24"/>
              </w:rPr>
              <w:t>Trimetroprim-Sulfametoxazol</w:t>
            </w:r>
          </w:p>
        </w:tc>
      </w:tr>
      <w:tr>
        <w:trPr>
          <w:trHeight w:val="386" w:hRule="exact"/>
        </w:trPr>
        <w:tc>
          <w:tcPr>
            <w:tcW w:w="1292" w:type="dxa"/>
            <w:tcBorders>
              <w:top w:val="nil"/>
              <w:left w:val="nil"/>
              <w:bottom w:val="nil"/>
              <w:right w:val="nil"/>
            </w:tcBorders>
          </w:tcPr>
          <w:p>
            <w:pPr>
              <w:pStyle w:val="TableParagraph"/>
              <w:spacing w:before="115"/>
              <w:ind w:left="136"/>
              <w:jc w:val="left"/>
              <w:rPr>
                <w:b/>
                <w:sz w:val="24"/>
              </w:rPr>
            </w:pPr>
            <w:r>
              <w:rPr>
                <w:b/>
                <w:sz w:val="24"/>
              </w:rPr>
              <w:t>gr.</w:t>
            </w:r>
          </w:p>
        </w:tc>
        <w:tc>
          <w:tcPr>
            <w:tcW w:w="7604" w:type="dxa"/>
            <w:tcBorders>
              <w:top w:val="nil"/>
              <w:left w:val="nil"/>
              <w:bottom w:val="nil"/>
              <w:right w:val="nil"/>
            </w:tcBorders>
          </w:tcPr>
          <w:p>
            <w:pPr>
              <w:pStyle w:val="TableParagraph"/>
              <w:spacing w:before="115"/>
              <w:ind w:left="167"/>
              <w:jc w:val="left"/>
              <w:rPr>
                <w:sz w:val="24"/>
              </w:rPr>
            </w:pPr>
            <w:r>
              <w:rPr>
                <w:sz w:val="24"/>
              </w:rPr>
              <w:t>Gramos</w:t>
            </w:r>
          </w:p>
        </w:tc>
      </w:tr>
    </w:tbl>
    <w:p>
      <w:pPr>
        <w:spacing w:after="0"/>
        <w:jc w:val="left"/>
        <w:rPr>
          <w:sz w:val="24"/>
        </w:rPr>
        <w:sectPr>
          <w:headerReference w:type="default" r:id="rId9"/>
          <w:pgSz w:w="12240" w:h="15840"/>
          <w:pgMar w:header="728" w:footer="1135" w:top="1140" w:bottom="1320" w:left="1560" w:right="1560"/>
        </w:sectPr>
      </w:pPr>
    </w:p>
    <w:p>
      <w:pPr>
        <w:pStyle w:val="BodyText"/>
        <w:spacing w:before="9"/>
        <w:rPr>
          <w:rFonts w:ascii="Times New Roman"/>
          <w:sz w:val="12"/>
        </w:rPr>
      </w:pPr>
    </w:p>
    <w:p>
      <w:pPr>
        <w:pStyle w:val="Heading2"/>
        <w:ind w:left="7" w:right="5"/>
        <w:jc w:val="center"/>
      </w:pPr>
      <w:bookmarkStart w:name="_bookmark7" w:id="8"/>
      <w:bookmarkEnd w:id="8"/>
      <w:r>
        <w:rPr>
          <w:b w:val="0"/>
        </w:rPr>
      </w:r>
      <w:r>
        <w:rPr/>
        <w:t>RESUMEN</w:t>
      </w:r>
    </w:p>
    <w:p>
      <w:pPr>
        <w:spacing w:before="135"/>
        <w:ind w:left="6" w:right="5" w:firstLine="0"/>
        <w:jc w:val="center"/>
        <w:rPr>
          <w:b/>
          <w:i/>
          <w:sz w:val="28"/>
        </w:rPr>
      </w:pPr>
      <w:r>
        <w:rPr>
          <w:b/>
          <w:sz w:val="28"/>
        </w:rPr>
        <w:t>DETECCIÓN DE </w:t>
      </w:r>
      <w:r>
        <w:rPr>
          <w:b/>
          <w:i/>
          <w:sz w:val="28"/>
        </w:rPr>
        <w:t>Staphylococcus aureus ORSA/MRSA</w:t>
      </w:r>
    </w:p>
    <w:p>
      <w:pPr>
        <w:pStyle w:val="Heading1"/>
        <w:spacing w:line="364" w:lineRule="auto" w:before="170"/>
      </w:pPr>
      <w:r>
        <w:rPr/>
        <w:t>EN QUESOS FRESCOS ARTESANALES COMERCIALIZADOS EN MERCADOS POPULARES EN EL VALLE DE TOLUCA</w:t>
      </w:r>
    </w:p>
    <w:p>
      <w:pPr>
        <w:pStyle w:val="BodyText"/>
        <w:spacing w:before="5"/>
        <w:rPr>
          <w:b/>
          <w:sz w:val="37"/>
        </w:rPr>
      </w:pPr>
    </w:p>
    <w:p>
      <w:pPr>
        <w:pStyle w:val="BodyText"/>
        <w:spacing w:line="264" w:lineRule="auto" w:before="1"/>
        <w:ind w:right="6"/>
        <w:jc w:val="center"/>
      </w:pPr>
      <w:r>
        <w:rPr/>
        <w:t>Díaz Galindo, Edaena Pamela; Velázquez Ordoñez, Valente; Gutiérrez Castillo, Adriana del Carmen, Valladares Carranza; Benjamín.</w:t>
      </w:r>
    </w:p>
    <w:p>
      <w:pPr>
        <w:pStyle w:val="BodyText"/>
      </w:pPr>
    </w:p>
    <w:p>
      <w:pPr>
        <w:pStyle w:val="BodyText"/>
        <w:spacing w:before="7"/>
        <w:rPr>
          <w:sz w:val="33"/>
        </w:rPr>
      </w:pPr>
    </w:p>
    <w:p>
      <w:pPr>
        <w:pStyle w:val="BodyText"/>
        <w:spacing w:line="276" w:lineRule="auto"/>
        <w:ind w:left="142" w:right="136"/>
        <w:jc w:val="both"/>
      </w:pPr>
      <w:r>
        <w:rPr>
          <w:i/>
        </w:rPr>
        <w:t>Staphylococcus aureus </w:t>
      </w:r>
      <w:r>
        <w:rPr/>
        <w:t>es considerado la tercer causa más importante entre los patógenos transmitidos por alimentos y rápidamente ha adquirido resistencia a los antibióticos</w:t>
      </w:r>
      <w:r>
        <w:rPr>
          <w:spacing w:val="-13"/>
        </w:rPr>
        <w:t> </w:t>
      </w:r>
      <w:r>
        <w:rPr/>
        <w:t>por</w:t>
      </w:r>
      <w:r>
        <w:rPr>
          <w:spacing w:val="-13"/>
        </w:rPr>
        <w:t> </w:t>
      </w:r>
      <w:r>
        <w:rPr/>
        <w:t>lo</w:t>
      </w:r>
      <w:r>
        <w:rPr>
          <w:spacing w:val="-12"/>
        </w:rPr>
        <w:t> </w:t>
      </w:r>
      <w:r>
        <w:rPr/>
        <w:t>que</w:t>
      </w:r>
      <w:r>
        <w:rPr>
          <w:spacing w:val="-12"/>
        </w:rPr>
        <w:t> </w:t>
      </w:r>
      <w:r>
        <w:rPr/>
        <w:t>la</w:t>
      </w:r>
      <w:r>
        <w:rPr>
          <w:spacing w:val="-12"/>
        </w:rPr>
        <w:t> </w:t>
      </w:r>
      <w:r>
        <w:rPr/>
        <w:t>portación</w:t>
      </w:r>
      <w:r>
        <w:rPr>
          <w:spacing w:val="-14"/>
        </w:rPr>
        <w:t> </w:t>
      </w:r>
      <w:r>
        <w:rPr/>
        <w:t>asintomática</w:t>
      </w:r>
      <w:r>
        <w:rPr>
          <w:spacing w:val="-12"/>
        </w:rPr>
        <w:t> </w:t>
      </w:r>
      <w:r>
        <w:rPr/>
        <w:t>en</w:t>
      </w:r>
      <w:r>
        <w:rPr>
          <w:spacing w:val="-14"/>
        </w:rPr>
        <w:t> </w:t>
      </w:r>
      <w:r>
        <w:rPr/>
        <w:t>humanos</w:t>
      </w:r>
      <w:r>
        <w:rPr>
          <w:spacing w:val="-13"/>
        </w:rPr>
        <w:t> </w:t>
      </w:r>
      <w:r>
        <w:rPr/>
        <w:t>y</w:t>
      </w:r>
      <w:r>
        <w:rPr>
          <w:spacing w:val="-15"/>
        </w:rPr>
        <w:t> </w:t>
      </w:r>
      <w:r>
        <w:rPr/>
        <w:t>animales</w:t>
      </w:r>
      <w:r>
        <w:rPr>
          <w:spacing w:val="-13"/>
        </w:rPr>
        <w:t> </w:t>
      </w:r>
      <w:r>
        <w:rPr/>
        <w:t>lo</w:t>
      </w:r>
      <w:r>
        <w:rPr>
          <w:spacing w:val="-12"/>
        </w:rPr>
        <w:t> </w:t>
      </w:r>
      <w:r>
        <w:rPr/>
        <w:t>convierte en</w:t>
      </w:r>
      <w:r>
        <w:rPr>
          <w:spacing w:val="-13"/>
        </w:rPr>
        <w:t> </w:t>
      </w:r>
      <w:r>
        <w:rPr/>
        <w:t>un</w:t>
      </w:r>
      <w:r>
        <w:rPr>
          <w:spacing w:val="-13"/>
        </w:rPr>
        <w:t> </w:t>
      </w:r>
      <w:r>
        <w:rPr/>
        <w:t>serio</w:t>
      </w:r>
      <w:r>
        <w:rPr>
          <w:spacing w:val="-16"/>
        </w:rPr>
        <w:t> </w:t>
      </w:r>
      <w:r>
        <w:rPr/>
        <w:t>problema</w:t>
      </w:r>
      <w:r>
        <w:rPr>
          <w:spacing w:val="-13"/>
        </w:rPr>
        <w:t> </w:t>
      </w:r>
      <w:r>
        <w:rPr/>
        <w:t>cuando</w:t>
      </w:r>
      <w:r>
        <w:rPr>
          <w:spacing w:val="-13"/>
        </w:rPr>
        <w:t> </w:t>
      </w:r>
      <w:r>
        <w:rPr/>
        <w:t>es</w:t>
      </w:r>
      <w:r>
        <w:rPr>
          <w:spacing w:val="-14"/>
        </w:rPr>
        <w:t> </w:t>
      </w:r>
      <w:r>
        <w:rPr/>
        <w:t>transferido</w:t>
      </w:r>
      <w:r>
        <w:rPr>
          <w:spacing w:val="-16"/>
        </w:rPr>
        <w:t> </w:t>
      </w:r>
      <w:r>
        <w:rPr/>
        <w:t>a</w:t>
      </w:r>
      <w:r>
        <w:rPr>
          <w:spacing w:val="-13"/>
        </w:rPr>
        <w:t> </w:t>
      </w:r>
      <w:r>
        <w:rPr/>
        <w:t>los</w:t>
      </w:r>
      <w:r>
        <w:rPr>
          <w:spacing w:val="-13"/>
        </w:rPr>
        <w:t> </w:t>
      </w:r>
      <w:r>
        <w:rPr/>
        <w:t>alimentos.</w:t>
      </w:r>
      <w:r>
        <w:rPr>
          <w:spacing w:val="-13"/>
        </w:rPr>
        <w:t> </w:t>
      </w:r>
      <w:r>
        <w:rPr/>
        <w:t>El</w:t>
      </w:r>
      <w:r>
        <w:rPr>
          <w:spacing w:val="-14"/>
        </w:rPr>
        <w:t> </w:t>
      </w:r>
      <w:r>
        <w:rPr/>
        <w:t>queso</w:t>
      </w:r>
      <w:r>
        <w:rPr>
          <w:spacing w:val="-15"/>
        </w:rPr>
        <w:t> </w:t>
      </w:r>
      <w:r>
        <w:rPr/>
        <w:t>es</w:t>
      </w:r>
      <w:r>
        <w:rPr>
          <w:spacing w:val="-14"/>
        </w:rPr>
        <w:t> </w:t>
      </w:r>
      <w:r>
        <w:rPr/>
        <w:t>un</w:t>
      </w:r>
      <w:r>
        <w:rPr>
          <w:spacing w:val="-13"/>
        </w:rPr>
        <w:t> </w:t>
      </w:r>
      <w:r>
        <w:rPr/>
        <w:t>alimento listo</w:t>
      </w:r>
      <w:r>
        <w:rPr>
          <w:spacing w:val="-3"/>
        </w:rPr>
        <w:t> </w:t>
      </w:r>
      <w:r>
        <w:rPr/>
        <w:t>para</w:t>
      </w:r>
      <w:r>
        <w:rPr>
          <w:spacing w:val="-4"/>
        </w:rPr>
        <w:t> </w:t>
      </w:r>
      <w:r>
        <w:rPr/>
        <w:t>consumir</w:t>
      </w:r>
      <w:r>
        <w:rPr>
          <w:spacing w:val="-6"/>
        </w:rPr>
        <w:t> </w:t>
      </w:r>
      <w:r>
        <w:rPr/>
        <w:t>que</w:t>
      </w:r>
      <w:r>
        <w:rPr>
          <w:spacing w:val="-4"/>
        </w:rPr>
        <w:t> </w:t>
      </w:r>
      <w:r>
        <w:rPr/>
        <w:t>tiene</w:t>
      </w:r>
      <w:r>
        <w:rPr>
          <w:spacing w:val="-6"/>
        </w:rPr>
        <w:t> </w:t>
      </w:r>
      <w:r>
        <w:rPr/>
        <w:t>una</w:t>
      </w:r>
      <w:r>
        <w:rPr>
          <w:spacing w:val="-4"/>
        </w:rPr>
        <w:t> </w:t>
      </w:r>
      <w:r>
        <w:rPr/>
        <w:t>importante</w:t>
      </w:r>
      <w:r>
        <w:rPr>
          <w:spacing w:val="-6"/>
        </w:rPr>
        <w:t> </w:t>
      </w:r>
      <w:r>
        <w:rPr/>
        <w:t>calidad</w:t>
      </w:r>
      <w:r>
        <w:rPr>
          <w:spacing w:val="-4"/>
        </w:rPr>
        <w:t> </w:t>
      </w:r>
      <w:r>
        <w:rPr/>
        <w:t>nutricional</w:t>
      </w:r>
      <w:r>
        <w:rPr>
          <w:spacing w:val="-5"/>
        </w:rPr>
        <w:t> </w:t>
      </w:r>
      <w:r>
        <w:rPr/>
        <w:t>y</w:t>
      </w:r>
      <w:r>
        <w:rPr>
          <w:spacing w:val="-7"/>
        </w:rPr>
        <w:t> </w:t>
      </w:r>
      <w:r>
        <w:rPr/>
        <w:t>es</w:t>
      </w:r>
      <w:r>
        <w:rPr>
          <w:spacing w:val="-4"/>
        </w:rPr>
        <w:t> </w:t>
      </w:r>
      <w:r>
        <w:rPr/>
        <w:t>un</w:t>
      </w:r>
      <w:r>
        <w:rPr>
          <w:spacing w:val="-4"/>
        </w:rPr>
        <w:t> </w:t>
      </w:r>
      <w:r>
        <w:rPr/>
        <w:t>vehículo</w:t>
      </w:r>
      <w:r>
        <w:rPr>
          <w:spacing w:val="-4"/>
        </w:rPr>
        <w:t> </w:t>
      </w:r>
      <w:r>
        <w:rPr/>
        <w:t>de crecimiento eficiente para transmitir enfermedades bacterianas cuando son consumidos sin pasteurización lo que ha llevado a que </w:t>
      </w:r>
      <w:r>
        <w:rPr>
          <w:i/>
        </w:rPr>
        <w:t>S. aureus </w:t>
      </w:r>
      <w:r>
        <w:rPr/>
        <w:t>sea frecuentemente aislado en estos productos. Los objetivos de este trabajo fueron 1) Determinar la presencia </w:t>
      </w:r>
      <w:r>
        <w:rPr>
          <w:i/>
        </w:rPr>
        <w:t>S. aureus </w:t>
      </w:r>
      <w:r>
        <w:rPr/>
        <w:t>por resistente a la meticilina (MRSA), la sensibilidad </w:t>
      </w:r>
      <w:r>
        <w:rPr>
          <w:i/>
        </w:rPr>
        <w:t>in vitro </w:t>
      </w:r>
      <w:r>
        <w:rPr/>
        <w:t>de los aislamientos, la detección del gen </w:t>
      </w:r>
      <w:r>
        <w:rPr>
          <w:i/>
        </w:rPr>
        <w:t>mecA </w:t>
      </w:r>
      <w:r>
        <w:rPr/>
        <w:t>y </w:t>
      </w:r>
      <w:r>
        <w:rPr>
          <w:i/>
        </w:rPr>
        <w:t>femB </w:t>
      </w:r>
      <w:r>
        <w:rPr/>
        <w:t>que codifican resistencia a antibióticos, el origen presuntivo mediante la técnica de biotipificación y la presencia de </w:t>
      </w:r>
      <w:r>
        <w:rPr>
          <w:i/>
        </w:rPr>
        <w:t>biofilm</w:t>
      </w:r>
      <w:r>
        <w:rPr/>
        <w:t>; y 2) determinar las características fisicoquímicas del queso fresco que se comercializa en el municipio de Toluca, Estado</w:t>
      </w:r>
      <w:r>
        <w:rPr>
          <w:spacing w:val="-7"/>
        </w:rPr>
        <w:t> </w:t>
      </w:r>
      <w:r>
        <w:rPr/>
        <w:t>de</w:t>
      </w:r>
      <w:r>
        <w:rPr>
          <w:spacing w:val="-7"/>
        </w:rPr>
        <w:t> </w:t>
      </w:r>
      <w:r>
        <w:rPr/>
        <w:t>México;</w:t>
      </w:r>
      <w:r>
        <w:rPr>
          <w:spacing w:val="-7"/>
        </w:rPr>
        <w:t> </w:t>
      </w:r>
      <w:r>
        <w:rPr/>
        <w:t>así</w:t>
      </w:r>
      <w:r>
        <w:rPr>
          <w:spacing w:val="-11"/>
        </w:rPr>
        <w:t> </w:t>
      </w:r>
      <w:r>
        <w:rPr/>
        <w:t>como</w:t>
      </w:r>
      <w:r>
        <w:rPr>
          <w:spacing w:val="-8"/>
        </w:rPr>
        <w:t> </w:t>
      </w:r>
      <w:r>
        <w:rPr/>
        <w:t>el</w:t>
      </w:r>
      <w:r>
        <w:rPr>
          <w:spacing w:val="-10"/>
        </w:rPr>
        <w:t> </w:t>
      </w:r>
      <w:r>
        <w:rPr/>
        <w:t>origen,</w:t>
      </w:r>
      <w:r>
        <w:rPr>
          <w:spacing w:val="-9"/>
        </w:rPr>
        <w:t> </w:t>
      </w:r>
      <w:r>
        <w:rPr/>
        <w:t>formas</w:t>
      </w:r>
      <w:r>
        <w:rPr>
          <w:spacing w:val="-9"/>
        </w:rPr>
        <w:t> </w:t>
      </w:r>
      <w:r>
        <w:rPr/>
        <w:t>de</w:t>
      </w:r>
      <w:r>
        <w:rPr>
          <w:spacing w:val="-7"/>
        </w:rPr>
        <w:t> </w:t>
      </w:r>
      <w:r>
        <w:rPr/>
        <w:t>comercialización</w:t>
      </w:r>
      <w:r>
        <w:rPr>
          <w:spacing w:val="-7"/>
        </w:rPr>
        <w:t> </w:t>
      </w:r>
      <w:r>
        <w:rPr/>
        <w:t>y</w:t>
      </w:r>
      <w:r>
        <w:rPr>
          <w:spacing w:val="-9"/>
        </w:rPr>
        <w:t> </w:t>
      </w:r>
      <w:r>
        <w:rPr/>
        <w:t>condiciones</w:t>
      </w:r>
      <w:r>
        <w:rPr>
          <w:spacing w:val="-9"/>
        </w:rPr>
        <w:t> </w:t>
      </w:r>
      <w:r>
        <w:rPr/>
        <w:t>de venta dada la importancia regional y económica del sistema de producción lechera y de la quesería artesanal en la zona. Se realizó un estudio transversal y muestreo por conveniencia, se adquirieron 64 piezas de quesos frescos en mercados itinerantes (tianguis) y fijos durante el periodo </w:t>
      </w:r>
      <w:r>
        <w:rPr>
          <w:spacing w:val="3"/>
        </w:rPr>
        <w:t>de </w:t>
      </w:r>
      <w:r>
        <w:rPr/>
        <w:t>agosto-octubre de 2014. El pH y la</w:t>
      </w:r>
      <w:r>
        <w:rPr>
          <w:spacing w:val="-5"/>
        </w:rPr>
        <w:t> </w:t>
      </w:r>
      <w:r>
        <w:rPr/>
        <w:t>temperatura</w:t>
      </w:r>
      <w:r>
        <w:rPr>
          <w:spacing w:val="-8"/>
        </w:rPr>
        <w:t> </w:t>
      </w:r>
      <w:r>
        <w:rPr/>
        <w:t>de</w:t>
      </w:r>
      <w:r>
        <w:rPr>
          <w:spacing w:val="-5"/>
        </w:rPr>
        <w:t> </w:t>
      </w:r>
      <w:r>
        <w:rPr/>
        <w:t>los</w:t>
      </w:r>
      <w:r>
        <w:rPr>
          <w:spacing w:val="-5"/>
        </w:rPr>
        <w:t> </w:t>
      </w:r>
      <w:r>
        <w:rPr/>
        <w:t>quesos</w:t>
      </w:r>
      <w:r>
        <w:rPr>
          <w:spacing w:val="-8"/>
        </w:rPr>
        <w:t> </w:t>
      </w:r>
      <w:r>
        <w:rPr/>
        <w:t>se</w:t>
      </w:r>
      <w:r>
        <w:rPr>
          <w:spacing w:val="-7"/>
        </w:rPr>
        <w:t> </w:t>
      </w:r>
      <w:r>
        <w:rPr/>
        <w:t>determinaron</w:t>
      </w:r>
      <w:r>
        <w:rPr>
          <w:spacing w:val="-7"/>
        </w:rPr>
        <w:t> </w:t>
      </w:r>
      <w:r>
        <w:rPr/>
        <w:t>en</w:t>
      </w:r>
      <w:r>
        <w:rPr>
          <w:spacing w:val="-7"/>
        </w:rPr>
        <w:t> </w:t>
      </w:r>
      <w:r>
        <w:rPr/>
        <w:t>el</w:t>
      </w:r>
      <w:r>
        <w:rPr>
          <w:spacing w:val="-6"/>
        </w:rPr>
        <w:t> </w:t>
      </w:r>
      <w:r>
        <w:rPr/>
        <w:t>punto</w:t>
      </w:r>
      <w:r>
        <w:rPr>
          <w:spacing w:val="-7"/>
        </w:rPr>
        <w:t> </w:t>
      </w:r>
      <w:r>
        <w:rPr/>
        <w:t>de</w:t>
      </w:r>
      <w:r>
        <w:rPr>
          <w:spacing w:val="-5"/>
        </w:rPr>
        <w:t> </w:t>
      </w:r>
      <w:r>
        <w:rPr/>
        <w:t>venta,</w:t>
      </w:r>
      <w:r>
        <w:rPr>
          <w:spacing w:val="-7"/>
        </w:rPr>
        <w:t> </w:t>
      </w:r>
      <w:r>
        <w:rPr/>
        <w:t>posteriormente mediante métodos oficiales se determinó el contenido de humedad, materia seca, cenizas,</w:t>
      </w:r>
      <w:r>
        <w:rPr>
          <w:spacing w:val="-11"/>
        </w:rPr>
        <w:t> </w:t>
      </w:r>
      <w:r>
        <w:rPr/>
        <w:t>grasa,</w:t>
      </w:r>
      <w:r>
        <w:rPr>
          <w:spacing w:val="-11"/>
        </w:rPr>
        <w:t> </w:t>
      </w:r>
      <w:r>
        <w:rPr/>
        <w:t>proteína</w:t>
      </w:r>
      <w:r>
        <w:rPr>
          <w:spacing w:val="-11"/>
        </w:rPr>
        <w:t> </w:t>
      </w:r>
      <w:r>
        <w:rPr/>
        <w:t>y</w:t>
      </w:r>
      <w:r>
        <w:rPr>
          <w:spacing w:val="-14"/>
        </w:rPr>
        <w:t> </w:t>
      </w:r>
      <w:r>
        <w:rPr/>
        <w:t>NaCl.</w:t>
      </w:r>
      <w:r>
        <w:rPr>
          <w:spacing w:val="-12"/>
        </w:rPr>
        <w:t> </w:t>
      </w:r>
      <w:r>
        <w:rPr/>
        <w:t>La</w:t>
      </w:r>
      <w:r>
        <w:rPr>
          <w:spacing w:val="-11"/>
        </w:rPr>
        <w:t> </w:t>
      </w:r>
      <w:r>
        <w:rPr/>
        <w:t>procedencia</w:t>
      </w:r>
      <w:r>
        <w:rPr>
          <w:spacing w:val="-11"/>
        </w:rPr>
        <w:t> </w:t>
      </w:r>
      <w:r>
        <w:rPr/>
        <w:t>de</w:t>
      </w:r>
      <w:r>
        <w:rPr>
          <w:spacing w:val="-11"/>
        </w:rPr>
        <w:t> </w:t>
      </w:r>
      <w:r>
        <w:rPr/>
        <w:t>los</w:t>
      </w:r>
      <w:r>
        <w:rPr>
          <w:spacing w:val="-11"/>
        </w:rPr>
        <w:t> </w:t>
      </w:r>
      <w:r>
        <w:rPr/>
        <w:t>quesos</w:t>
      </w:r>
      <w:r>
        <w:rPr>
          <w:spacing w:val="-6"/>
        </w:rPr>
        <w:t> </w:t>
      </w:r>
      <w:r>
        <w:rPr/>
        <w:t>se</w:t>
      </w:r>
      <w:r>
        <w:rPr>
          <w:spacing w:val="-13"/>
        </w:rPr>
        <w:t> </w:t>
      </w:r>
      <w:r>
        <w:rPr/>
        <w:t>estableció</w:t>
      </w:r>
      <w:r>
        <w:rPr>
          <w:spacing w:val="-13"/>
        </w:rPr>
        <w:t> </w:t>
      </w:r>
      <w:r>
        <w:rPr/>
        <w:t>a</w:t>
      </w:r>
      <w:r>
        <w:rPr>
          <w:spacing w:val="-11"/>
        </w:rPr>
        <w:t> </w:t>
      </w:r>
      <w:r>
        <w:rPr/>
        <w:t>partir de la fuente de suministro en cuatro regiones: (A) Valle de Toluca; (B), otros municipios del Estado de México; (C) origen desconocido y (D) otros estados del país. Después de la realización de las pruebas bioquímicas se obtuvieron 17 aislamientos</w:t>
      </w:r>
      <w:r>
        <w:rPr>
          <w:spacing w:val="-7"/>
        </w:rPr>
        <w:t> </w:t>
      </w:r>
      <w:r>
        <w:rPr/>
        <w:t>de</w:t>
      </w:r>
      <w:r>
        <w:rPr>
          <w:spacing w:val="-4"/>
        </w:rPr>
        <w:t> </w:t>
      </w:r>
      <w:r>
        <w:rPr>
          <w:i/>
        </w:rPr>
        <w:t>Staphylococcus</w:t>
      </w:r>
      <w:r>
        <w:rPr>
          <w:i/>
          <w:spacing w:val="-7"/>
        </w:rPr>
        <w:t> </w:t>
      </w:r>
      <w:r>
        <w:rPr>
          <w:i/>
        </w:rPr>
        <w:t>aureus</w:t>
      </w:r>
      <w:r>
        <w:rPr/>
        <w:t>.</w:t>
      </w:r>
      <w:r>
        <w:rPr>
          <w:spacing w:val="-6"/>
        </w:rPr>
        <w:t> </w:t>
      </w:r>
      <w:r>
        <w:rPr/>
        <w:t>El</w:t>
      </w:r>
      <w:r>
        <w:rPr>
          <w:spacing w:val="-5"/>
        </w:rPr>
        <w:t> </w:t>
      </w:r>
      <w:r>
        <w:rPr/>
        <w:t>patrón</w:t>
      </w:r>
      <w:r>
        <w:rPr>
          <w:spacing w:val="-6"/>
        </w:rPr>
        <w:t> </w:t>
      </w:r>
      <w:r>
        <w:rPr/>
        <w:t>de</w:t>
      </w:r>
      <w:r>
        <w:rPr>
          <w:spacing w:val="-6"/>
        </w:rPr>
        <w:t> </w:t>
      </w:r>
      <w:r>
        <w:rPr/>
        <w:t>sensibilidad</w:t>
      </w:r>
      <w:r>
        <w:rPr>
          <w:spacing w:val="-4"/>
        </w:rPr>
        <w:t> </w:t>
      </w:r>
      <w:r>
        <w:rPr>
          <w:i/>
        </w:rPr>
        <w:t>in</w:t>
      </w:r>
      <w:r>
        <w:rPr>
          <w:i/>
          <w:spacing w:val="-6"/>
        </w:rPr>
        <w:t> </w:t>
      </w:r>
      <w:r>
        <w:rPr>
          <w:i/>
        </w:rPr>
        <w:t>vitro</w:t>
      </w:r>
      <w:r>
        <w:rPr>
          <w:i/>
          <w:spacing w:val="-6"/>
        </w:rPr>
        <w:t> </w:t>
      </w:r>
      <w:r>
        <w:rPr/>
        <w:t>mostró</w:t>
      </w:r>
      <w:r>
        <w:rPr>
          <w:spacing w:val="-6"/>
        </w:rPr>
        <w:t> </w:t>
      </w:r>
      <w:r>
        <w:rPr/>
        <w:t>un alto porcentaje de resistencia a los β-lactámicos, se observaron altos porcentajes de resistencia en Penicilina (17/100%), ampicilina (16/94%), ceftazidima (16/94%), cefotaxima (10/58.8%) y amoxicilina/ácido clavulanico (9/53%). Sin embargo los aislamientos   también   mostraron   sensibilidad   a   antibióticos   como </w:t>
      </w:r>
      <w:r>
        <w:rPr>
          <w:spacing w:val="10"/>
        </w:rPr>
        <w:t> </w:t>
      </w:r>
      <w:r>
        <w:rPr/>
        <w:t>cefalotina</w:t>
      </w:r>
    </w:p>
    <w:p>
      <w:pPr>
        <w:spacing w:after="0" w:line="276" w:lineRule="auto"/>
        <w:jc w:val="both"/>
        <w:sectPr>
          <w:headerReference w:type="default" r:id="rId10"/>
          <w:pgSz w:w="12240" w:h="15840"/>
          <w:pgMar w:header="728" w:footer="1135" w:top="1200" w:bottom="1320" w:left="1560" w:right="1560"/>
        </w:sectPr>
      </w:pPr>
    </w:p>
    <w:p>
      <w:pPr>
        <w:pStyle w:val="BodyText"/>
        <w:spacing w:before="9"/>
        <w:rPr>
          <w:sz w:val="12"/>
        </w:rPr>
      </w:pPr>
    </w:p>
    <w:p>
      <w:pPr>
        <w:pStyle w:val="BodyText"/>
        <w:spacing w:line="276" w:lineRule="auto" w:before="70"/>
        <w:ind w:left="142" w:right="132"/>
        <w:jc w:val="both"/>
      </w:pPr>
      <w:r>
        <w:rPr/>
        <w:t>(16/94%), tetraciclina (16/94%), trimetoprim-sulfametoxazol (16/94%), gentamicina (14/82.3%), oxacilina (13/76%), cefoxitina (15/88.2%), cefuroxima (12/70.5%), eritromicina (9/53%) respectivamente. Los 17 aislamientos de </w:t>
      </w:r>
      <w:r>
        <w:rPr>
          <w:i/>
        </w:rPr>
        <w:t>S. aureus </w:t>
      </w:r>
      <w:r>
        <w:rPr/>
        <w:t>se confirmaron al ser positivos al gen </w:t>
      </w:r>
      <w:r>
        <w:rPr>
          <w:i/>
        </w:rPr>
        <w:t>femB </w:t>
      </w:r>
      <w:r>
        <w:rPr/>
        <w:t>y no se detectó el gen </w:t>
      </w:r>
      <w:r>
        <w:rPr>
          <w:i/>
        </w:rPr>
        <w:t>mecA </w:t>
      </w:r>
      <w:r>
        <w:rPr/>
        <w:t>por PCR por lo que fueron considerados como </w:t>
      </w:r>
      <w:r>
        <w:rPr>
          <w:i/>
        </w:rPr>
        <w:t>Staphylococcus aureus </w:t>
      </w:r>
      <w:r>
        <w:rPr/>
        <w:t>sensibles a la meticilina (MSSA). La biotipificación mostró que 4(23.5%) fueron del ecovar humano, 2(11.8%) fueron del ecovar aves de corral, 1(5.9%) pertenecieron al ecovar ovino, y 10(58.8%) no tuvieron hospedero específico; finalmente 8 (47%) presentaron la coloración característica por la técnica de Rojo Congo. Se observó que la presentación del queso en su forma circular fue la misma en todos los puntos de venta con un rango de peso de 100 a 250 gr., los rangos para los parámetros fisicoquímicos</w:t>
      </w:r>
      <w:r>
        <w:rPr>
          <w:spacing w:val="-16"/>
        </w:rPr>
        <w:t> </w:t>
      </w:r>
      <w:r>
        <w:rPr/>
        <w:t>fueron</w:t>
      </w:r>
      <w:r>
        <w:rPr>
          <w:spacing w:val="-13"/>
        </w:rPr>
        <w:t> </w:t>
      </w:r>
      <w:r>
        <w:rPr/>
        <w:t>pH</w:t>
      </w:r>
      <w:r>
        <w:rPr>
          <w:spacing w:val="-14"/>
        </w:rPr>
        <w:t> </w:t>
      </w:r>
      <w:r>
        <w:rPr/>
        <w:t>(4.84-6.07),</w:t>
      </w:r>
      <w:r>
        <w:rPr>
          <w:spacing w:val="-14"/>
        </w:rPr>
        <w:t> </w:t>
      </w:r>
      <w:r>
        <w:rPr/>
        <w:t>humedad</w:t>
      </w:r>
      <w:r>
        <w:rPr>
          <w:spacing w:val="-13"/>
        </w:rPr>
        <w:t> </w:t>
      </w:r>
      <w:r>
        <w:rPr/>
        <w:t>(42.71-66.66%),</w:t>
      </w:r>
      <w:r>
        <w:rPr>
          <w:spacing w:val="-14"/>
        </w:rPr>
        <w:t> </w:t>
      </w:r>
      <w:r>
        <w:rPr/>
        <w:t>materia</w:t>
      </w:r>
      <w:r>
        <w:rPr>
          <w:spacing w:val="-13"/>
        </w:rPr>
        <w:t> </w:t>
      </w:r>
      <w:r>
        <w:rPr/>
        <w:t>seca</w:t>
      </w:r>
      <w:r>
        <w:rPr>
          <w:spacing w:val="-13"/>
        </w:rPr>
        <w:t> </w:t>
      </w:r>
      <w:r>
        <w:rPr/>
        <w:t>(1.68-</w:t>
      </w:r>
    </w:p>
    <w:p>
      <w:pPr>
        <w:pStyle w:val="BodyText"/>
        <w:spacing w:line="276" w:lineRule="auto" w:before="3"/>
        <w:ind w:left="142" w:right="134"/>
        <w:jc w:val="both"/>
      </w:pPr>
      <w:r>
        <w:rPr/>
        <w:t>3.39%), cenizas (2.65-5.24%), grasa (12-32%), proteína (16.81-26.62%) y NaCl (0.29-1.44%).</w:t>
      </w:r>
      <w:r>
        <w:rPr>
          <w:spacing w:val="-12"/>
        </w:rPr>
        <w:t> </w:t>
      </w:r>
      <w:r>
        <w:rPr/>
        <w:t>Los</w:t>
      </w:r>
      <w:r>
        <w:rPr>
          <w:spacing w:val="-12"/>
        </w:rPr>
        <w:t> </w:t>
      </w:r>
      <w:r>
        <w:rPr/>
        <w:t>resultados</w:t>
      </w:r>
      <w:r>
        <w:rPr>
          <w:spacing w:val="-12"/>
        </w:rPr>
        <w:t> </w:t>
      </w:r>
      <w:r>
        <w:rPr/>
        <w:t>de</w:t>
      </w:r>
      <w:r>
        <w:rPr>
          <w:spacing w:val="-11"/>
        </w:rPr>
        <w:t> </w:t>
      </w:r>
      <w:r>
        <w:rPr/>
        <w:t>esta</w:t>
      </w:r>
      <w:r>
        <w:rPr>
          <w:spacing w:val="-10"/>
        </w:rPr>
        <w:t> </w:t>
      </w:r>
      <w:r>
        <w:rPr/>
        <w:t>investigación</w:t>
      </w:r>
      <w:r>
        <w:rPr>
          <w:spacing w:val="-10"/>
        </w:rPr>
        <w:t> </w:t>
      </w:r>
      <w:r>
        <w:rPr/>
        <w:t>establecen</w:t>
      </w:r>
      <w:r>
        <w:rPr>
          <w:spacing w:val="-9"/>
        </w:rPr>
        <w:t> </w:t>
      </w:r>
      <w:r>
        <w:rPr/>
        <w:t>la</w:t>
      </w:r>
      <w:r>
        <w:rPr>
          <w:spacing w:val="-11"/>
        </w:rPr>
        <w:t> </w:t>
      </w:r>
      <w:r>
        <w:rPr/>
        <w:t>necesidad</w:t>
      </w:r>
      <w:r>
        <w:rPr>
          <w:spacing w:val="-13"/>
        </w:rPr>
        <w:t> </w:t>
      </w:r>
      <w:r>
        <w:rPr/>
        <w:t>mejorar las</w:t>
      </w:r>
      <w:r>
        <w:rPr>
          <w:spacing w:val="-10"/>
        </w:rPr>
        <w:t> </w:t>
      </w:r>
      <w:r>
        <w:rPr/>
        <w:t>políticas</w:t>
      </w:r>
      <w:r>
        <w:rPr>
          <w:spacing w:val="-10"/>
        </w:rPr>
        <w:t> </w:t>
      </w:r>
      <w:r>
        <w:rPr/>
        <w:t>de</w:t>
      </w:r>
      <w:r>
        <w:rPr>
          <w:spacing w:val="-11"/>
        </w:rPr>
        <w:t> </w:t>
      </w:r>
      <w:r>
        <w:rPr/>
        <w:t>higiene</w:t>
      </w:r>
      <w:r>
        <w:rPr>
          <w:spacing w:val="-11"/>
        </w:rPr>
        <w:t> </w:t>
      </w:r>
      <w:r>
        <w:rPr/>
        <w:t>por</w:t>
      </w:r>
      <w:r>
        <w:rPr>
          <w:spacing w:val="-10"/>
        </w:rPr>
        <w:t> </w:t>
      </w:r>
      <w:r>
        <w:rPr/>
        <w:t>las</w:t>
      </w:r>
      <w:r>
        <w:rPr>
          <w:spacing w:val="-11"/>
        </w:rPr>
        <w:t> </w:t>
      </w:r>
      <w:r>
        <w:rPr/>
        <w:t>autoridades,</w:t>
      </w:r>
      <w:r>
        <w:rPr>
          <w:spacing w:val="-10"/>
        </w:rPr>
        <w:t> </w:t>
      </w:r>
      <w:r>
        <w:rPr/>
        <w:t>asimismo</w:t>
      </w:r>
      <w:r>
        <w:rPr>
          <w:spacing w:val="-11"/>
        </w:rPr>
        <w:t> </w:t>
      </w:r>
      <w:r>
        <w:rPr/>
        <w:t>para</w:t>
      </w:r>
      <w:r>
        <w:rPr>
          <w:spacing w:val="-11"/>
        </w:rPr>
        <w:t> </w:t>
      </w:r>
      <w:r>
        <w:rPr/>
        <w:t>promover</w:t>
      </w:r>
      <w:r>
        <w:rPr>
          <w:spacing w:val="-10"/>
        </w:rPr>
        <w:t> </w:t>
      </w:r>
      <w:r>
        <w:rPr/>
        <w:t>el</w:t>
      </w:r>
      <w:r>
        <w:rPr>
          <w:spacing w:val="-10"/>
        </w:rPr>
        <w:t> </w:t>
      </w:r>
      <w:r>
        <w:rPr/>
        <w:t>uso</w:t>
      </w:r>
      <w:r>
        <w:rPr>
          <w:spacing w:val="-9"/>
        </w:rPr>
        <w:t> </w:t>
      </w:r>
      <w:r>
        <w:rPr/>
        <w:t>racional de</w:t>
      </w:r>
      <w:r>
        <w:rPr>
          <w:spacing w:val="-6"/>
        </w:rPr>
        <w:t> </w:t>
      </w:r>
      <w:r>
        <w:rPr/>
        <w:t>los</w:t>
      </w:r>
      <w:r>
        <w:rPr>
          <w:spacing w:val="-6"/>
        </w:rPr>
        <w:t> </w:t>
      </w:r>
      <w:r>
        <w:rPr/>
        <w:t>antibióticos</w:t>
      </w:r>
      <w:r>
        <w:rPr>
          <w:spacing w:val="-9"/>
        </w:rPr>
        <w:t> </w:t>
      </w:r>
      <w:r>
        <w:rPr/>
        <w:t>para</w:t>
      </w:r>
      <w:r>
        <w:rPr>
          <w:spacing w:val="-9"/>
        </w:rPr>
        <w:t> </w:t>
      </w:r>
      <w:r>
        <w:rPr/>
        <w:t>evitar</w:t>
      </w:r>
      <w:r>
        <w:rPr>
          <w:spacing w:val="-7"/>
        </w:rPr>
        <w:t> </w:t>
      </w:r>
      <w:r>
        <w:rPr/>
        <w:t>la</w:t>
      </w:r>
      <w:r>
        <w:rPr>
          <w:spacing w:val="-6"/>
        </w:rPr>
        <w:t> </w:t>
      </w:r>
      <w:r>
        <w:rPr/>
        <w:t>aparición</w:t>
      </w:r>
      <w:r>
        <w:rPr>
          <w:spacing w:val="-6"/>
        </w:rPr>
        <w:t> </w:t>
      </w:r>
      <w:r>
        <w:rPr/>
        <w:t>y</w:t>
      </w:r>
      <w:r>
        <w:rPr>
          <w:spacing w:val="-9"/>
        </w:rPr>
        <w:t> </w:t>
      </w:r>
      <w:r>
        <w:rPr/>
        <w:t>propagación</w:t>
      </w:r>
      <w:r>
        <w:rPr>
          <w:spacing w:val="-8"/>
        </w:rPr>
        <w:t> </w:t>
      </w:r>
      <w:r>
        <w:rPr/>
        <w:t>de</w:t>
      </w:r>
      <w:r>
        <w:rPr>
          <w:spacing w:val="-6"/>
        </w:rPr>
        <w:t> </w:t>
      </w:r>
      <w:r>
        <w:rPr/>
        <w:t>cepas</w:t>
      </w:r>
      <w:r>
        <w:rPr>
          <w:spacing w:val="-7"/>
        </w:rPr>
        <w:t> </w:t>
      </w:r>
      <w:r>
        <w:rPr/>
        <w:t>resistentes</w:t>
      </w:r>
      <w:r>
        <w:rPr>
          <w:spacing w:val="-9"/>
        </w:rPr>
        <w:t> </w:t>
      </w:r>
      <w:r>
        <w:rPr/>
        <w:t>hacia quienes los manipulan y consumen, causando gran impacto en la salud pública. </w:t>
      </w:r>
      <w:r>
        <w:rPr>
          <w:spacing w:val="5"/>
        </w:rPr>
        <w:t>El </w:t>
      </w:r>
      <w:r>
        <w:rPr/>
        <w:t>queso fresco que se comercializa en la Ciudad de Toluca, puede ser considerado como</w:t>
      </w:r>
      <w:r>
        <w:rPr>
          <w:spacing w:val="-7"/>
        </w:rPr>
        <w:t> </w:t>
      </w:r>
      <w:r>
        <w:rPr/>
        <w:t>un</w:t>
      </w:r>
      <w:r>
        <w:rPr>
          <w:spacing w:val="-7"/>
        </w:rPr>
        <w:t> </w:t>
      </w:r>
      <w:r>
        <w:rPr/>
        <w:t>queso</w:t>
      </w:r>
      <w:r>
        <w:rPr>
          <w:spacing w:val="-7"/>
        </w:rPr>
        <w:t> </w:t>
      </w:r>
      <w:r>
        <w:rPr/>
        <w:t>artesanal</w:t>
      </w:r>
      <w:r>
        <w:rPr>
          <w:spacing w:val="-6"/>
        </w:rPr>
        <w:t> </w:t>
      </w:r>
      <w:r>
        <w:rPr/>
        <w:t>propio</w:t>
      </w:r>
      <w:r>
        <w:rPr>
          <w:spacing w:val="-5"/>
        </w:rPr>
        <w:t> </w:t>
      </w:r>
      <w:r>
        <w:rPr/>
        <w:t>de</w:t>
      </w:r>
      <w:r>
        <w:rPr>
          <w:spacing w:val="-5"/>
        </w:rPr>
        <w:t> </w:t>
      </w:r>
      <w:r>
        <w:rPr/>
        <w:t>la</w:t>
      </w:r>
      <w:r>
        <w:rPr>
          <w:spacing w:val="-5"/>
        </w:rPr>
        <w:t> </w:t>
      </w:r>
      <w:r>
        <w:rPr/>
        <w:t>región,</w:t>
      </w:r>
      <w:r>
        <w:rPr>
          <w:spacing w:val="-7"/>
        </w:rPr>
        <w:t> </w:t>
      </w:r>
      <w:r>
        <w:rPr/>
        <w:t>que</w:t>
      </w:r>
      <w:r>
        <w:rPr>
          <w:spacing w:val="-5"/>
        </w:rPr>
        <w:t> </w:t>
      </w:r>
      <w:r>
        <w:rPr/>
        <w:t>debe</w:t>
      </w:r>
      <w:r>
        <w:rPr>
          <w:spacing w:val="-7"/>
        </w:rPr>
        <w:t> </w:t>
      </w:r>
      <w:r>
        <w:rPr/>
        <w:t>de</w:t>
      </w:r>
      <w:r>
        <w:rPr>
          <w:spacing w:val="-5"/>
        </w:rPr>
        <w:t> </w:t>
      </w:r>
      <w:r>
        <w:rPr/>
        <w:t>ser</w:t>
      </w:r>
      <w:r>
        <w:rPr>
          <w:spacing w:val="-6"/>
        </w:rPr>
        <w:t> </w:t>
      </w:r>
      <w:r>
        <w:rPr/>
        <w:t>preservado</w:t>
      </w:r>
      <w:r>
        <w:rPr>
          <w:spacing w:val="-5"/>
        </w:rPr>
        <w:t> </w:t>
      </w:r>
      <w:r>
        <w:rPr/>
        <w:t>como</w:t>
      </w:r>
      <w:r>
        <w:rPr>
          <w:spacing w:val="-5"/>
        </w:rPr>
        <w:t> </w:t>
      </w:r>
      <w:r>
        <w:rPr/>
        <w:t>un interés en la gastronomía mexicana, además de la importancia de mejorar las condiciones de calidad e inocuidad en la</w:t>
      </w:r>
      <w:r>
        <w:rPr>
          <w:spacing w:val="-19"/>
        </w:rPr>
        <w:t> </w:t>
      </w:r>
      <w:r>
        <w:rPr/>
        <w:t>comercialización.</w:t>
      </w:r>
    </w:p>
    <w:p>
      <w:pPr>
        <w:pStyle w:val="BodyText"/>
        <w:spacing w:before="8"/>
        <w:rPr>
          <w:sz w:val="20"/>
        </w:rPr>
      </w:pPr>
    </w:p>
    <w:p>
      <w:pPr>
        <w:pStyle w:val="BodyText"/>
        <w:spacing w:line="278" w:lineRule="auto"/>
        <w:ind w:left="142" w:right="137"/>
        <w:jc w:val="both"/>
      </w:pPr>
      <w:r>
        <w:rPr/>
        <w:t>Palabras clave: Queso fresco, </w:t>
      </w:r>
      <w:r>
        <w:rPr>
          <w:i/>
        </w:rPr>
        <w:t>Staphylococcus aureus</w:t>
      </w:r>
      <w:r>
        <w:rPr/>
        <w:t>, resistencia a meticilina, caracterización fisicoquímica.</w:t>
      </w:r>
    </w:p>
    <w:p>
      <w:pPr>
        <w:spacing w:after="0" w:line="278" w:lineRule="auto"/>
        <w:jc w:val="both"/>
        <w:sectPr>
          <w:pgSz w:w="12240" w:h="15840"/>
          <w:pgMar w:header="728" w:footer="1135" w:top="1200" w:bottom="1320" w:left="1560" w:right="1560"/>
        </w:sectPr>
      </w:pPr>
    </w:p>
    <w:p>
      <w:pPr>
        <w:pStyle w:val="BodyText"/>
        <w:rPr>
          <w:sz w:val="20"/>
        </w:rPr>
      </w:pPr>
    </w:p>
    <w:p>
      <w:pPr>
        <w:pStyle w:val="BodyText"/>
        <w:spacing w:before="10"/>
        <w:rPr>
          <w:sz w:val="26"/>
        </w:rPr>
      </w:pPr>
    </w:p>
    <w:p>
      <w:pPr>
        <w:pStyle w:val="Heading1"/>
        <w:ind w:left="11" w:right="5"/>
      </w:pPr>
      <w:r>
        <w:rPr/>
        <w:t>Summary</w:t>
      </w:r>
    </w:p>
    <w:p>
      <w:pPr>
        <w:spacing w:line="276" w:lineRule="auto" w:before="167"/>
        <w:ind w:left="0" w:right="1" w:firstLine="0"/>
        <w:jc w:val="center"/>
        <w:rPr>
          <w:b/>
          <w:sz w:val="28"/>
        </w:rPr>
      </w:pPr>
      <w:r>
        <w:rPr>
          <w:b/>
          <w:sz w:val="28"/>
        </w:rPr>
        <w:t>Detection of </w:t>
      </w:r>
      <w:r>
        <w:rPr>
          <w:b/>
          <w:i/>
          <w:sz w:val="28"/>
        </w:rPr>
        <w:t>Staphylococcus aureus </w:t>
      </w:r>
      <w:r>
        <w:rPr>
          <w:b/>
          <w:sz w:val="28"/>
        </w:rPr>
        <w:t>ORSA/MRSA in fresh artisan cheeses sold in popular markets in the valley of Toluca</w:t>
      </w:r>
    </w:p>
    <w:p>
      <w:pPr>
        <w:pStyle w:val="BodyText"/>
        <w:rPr>
          <w:b/>
          <w:sz w:val="28"/>
        </w:rPr>
      </w:pPr>
    </w:p>
    <w:p>
      <w:pPr>
        <w:pStyle w:val="BodyText"/>
        <w:spacing w:line="276" w:lineRule="auto" w:before="239"/>
        <w:ind w:left="9" w:right="5"/>
        <w:jc w:val="center"/>
      </w:pPr>
      <w:r>
        <w:rPr/>
        <w:t>Díaz Galindo, Edaena Pamela; Velázquez Ordóñez, Valente; Gutiérrez Castillo, Adriana del Carmen, Valladares Carranza; Benjamín.</w:t>
      </w:r>
    </w:p>
    <w:p>
      <w:pPr>
        <w:pStyle w:val="BodyText"/>
      </w:pPr>
    </w:p>
    <w:p>
      <w:pPr>
        <w:pStyle w:val="BodyText"/>
        <w:spacing w:before="6"/>
      </w:pPr>
    </w:p>
    <w:p>
      <w:pPr>
        <w:pStyle w:val="BodyText"/>
        <w:spacing w:line="276" w:lineRule="auto"/>
        <w:ind w:left="142" w:right="135"/>
        <w:jc w:val="both"/>
      </w:pPr>
      <w:r>
        <w:rPr>
          <w:i/>
        </w:rPr>
        <w:t>Staphylococcus aureus </w:t>
      </w:r>
      <w:r>
        <w:rPr/>
        <w:t>is considered the third most important cause among foodborne pathogens and has quickly acquired resistance to antibiotics by what the asymptomatic transmission by humans and animals makes it a serious problem when is transferred to food. Cheese is a ready-to-eat food that has an important nutritional quality and also is an efficient growth vehicle for transmitting bacterial diseases when consumed without pasteurization which led to the presence of </w:t>
      </w:r>
      <w:r>
        <w:rPr>
          <w:i/>
        </w:rPr>
        <w:t>S. </w:t>
      </w:r>
      <w:r>
        <w:rPr>
          <w:i/>
        </w:rPr>
        <w:t>aureus </w:t>
      </w:r>
      <w:r>
        <w:rPr/>
        <w:t>which is frequently isolated from these products. The study objectives were</w:t>
      </w:r>
    </w:p>
    <w:p>
      <w:pPr>
        <w:pStyle w:val="ListParagraph"/>
        <w:numPr>
          <w:ilvl w:val="0"/>
          <w:numId w:val="3"/>
        </w:numPr>
        <w:tabs>
          <w:tab w:pos="495" w:val="left" w:leader="none"/>
        </w:tabs>
        <w:spacing w:line="276" w:lineRule="auto" w:before="0" w:after="0"/>
        <w:ind w:left="142" w:right="132" w:firstLine="0"/>
        <w:jc w:val="both"/>
        <w:rPr>
          <w:i/>
          <w:sz w:val="24"/>
        </w:rPr>
      </w:pPr>
      <w:r>
        <w:rPr>
          <w:sz w:val="24"/>
        </w:rPr>
        <w:t>Determine the presence </w:t>
      </w:r>
      <w:r>
        <w:rPr>
          <w:i/>
          <w:sz w:val="24"/>
        </w:rPr>
        <w:t>S. aureus </w:t>
      </w:r>
      <w:r>
        <w:rPr>
          <w:sz w:val="24"/>
        </w:rPr>
        <w:t>resistant to methicillin (MRSA), </w:t>
      </w:r>
      <w:r>
        <w:rPr>
          <w:i/>
          <w:sz w:val="24"/>
        </w:rPr>
        <w:t>in vitro </w:t>
      </w:r>
      <w:r>
        <w:rPr>
          <w:sz w:val="24"/>
        </w:rPr>
        <w:t>susceptibility of the isolates, detection of the </w:t>
      </w:r>
      <w:r>
        <w:rPr>
          <w:i/>
          <w:sz w:val="24"/>
        </w:rPr>
        <w:t>mecA </w:t>
      </w:r>
      <w:r>
        <w:rPr>
          <w:sz w:val="24"/>
        </w:rPr>
        <w:t>and </w:t>
      </w:r>
      <w:r>
        <w:rPr>
          <w:i/>
          <w:sz w:val="24"/>
        </w:rPr>
        <w:t>femB </w:t>
      </w:r>
      <w:r>
        <w:rPr>
          <w:sz w:val="24"/>
        </w:rPr>
        <w:t>genes that encode resistance to antibiotics, the presumptive origin using the biotyping technique and the</w:t>
      </w:r>
      <w:r>
        <w:rPr>
          <w:spacing w:val="-9"/>
          <w:sz w:val="24"/>
        </w:rPr>
        <w:t> </w:t>
      </w:r>
      <w:r>
        <w:rPr>
          <w:sz w:val="24"/>
        </w:rPr>
        <w:t>biofilm</w:t>
      </w:r>
      <w:r>
        <w:rPr>
          <w:spacing w:val="-9"/>
          <w:sz w:val="24"/>
        </w:rPr>
        <w:t> </w:t>
      </w:r>
      <w:r>
        <w:rPr>
          <w:sz w:val="24"/>
        </w:rPr>
        <w:t>presence;</w:t>
      </w:r>
      <w:r>
        <w:rPr>
          <w:spacing w:val="-10"/>
          <w:sz w:val="24"/>
        </w:rPr>
        <w:t> </w:t>
      </w:r>
      <w:r>
        <w:rPr>
          <w:sz w:val="24"/>
        </w:rPr>
        <w:t>and,</w:t>
      </w:r>
      <w:r>
        <w:rPr>
          <w:spacing w:val="-10"/>
          <w:sz w:val="24"/>
        </w:rPr>
        <w:t> </w:t>
      </w:r>
      <w:r>
        <w:rPr>
          <w:sz w:val="24"/>
        </w:rPr>
        <w:t>2)</w:t>
      </w:r>
      <w:r>
        <w:rPr>
          <w:spacing w:val="-8"/>
          <w:sz w:val="24"/>
        </w:rPr>
        <w:t> </w:t>
      </w:r>
      <w:r>
        <w:rPr>
          <w:sz w:val="24"/>
        </w:rPr>
        <w:t>Determine</w:t>
      </w:r>
      <w:r>
        <w:rPr>
          <w:spacing w:val="-9"/>
          <w:sz w:val="24"/>
        </w:rPr>
        <w:t> </w:t>
      </w:r>
      <w:r>
        <w:rPr>
          <w:sz w:val="24"/>
        </w:rPr>
        <w:t>the</w:t>
      </w:r>
      <w:r>
        <w:rPr>
          <w:spacing w:val="-9"/>
          <w:sz w:val="24"/>
        </w:rPr>
        <w:t> </w:t>
      </w:r>
      <w:r>
        <w:rPr>
          <w:sz w:val="24"/>
        </w:rPr>
        <w:t>physicochemical</w:t>
      </w:r>
      <w:r>
        <w:rPr>
          <w:spacing w:val="-10"/>
          <w:sz w:val="24"/>
        </w:rPr>
        <w:t> </w:t>
      </w:r>
      <w:r>
        <w:rPr>
          <w:sz w:val="24"/>
        </w:rPr>
        <w:t>characteristics</w:t>
      </w:r>
      <w:r>
        <w:rPr>
          <w:spacing w:val="-8"/>
          <w:sz w:val="24"/>
        </w:rPr>
        <w:t> </w:t>
      </w:r>
      <w:r>
        <w:rPr>
          <w:sz w:val="24"/>
        </w:rPr>
        <w:t>of</w:t>
      </w:r>
      <w:r>
        <w:rPr>
          <w:spacing w:val="-10"/>
          <w:sz w:val="24"/>
        </w:rPr>
        <w:t> </w:t>
      </w:r>
      <w:r>
        <w:rPr>
          <w:sz w:val="24"/>
        </w:rPr>
        <w:t>fresh cheese that is commercialized in the municipality of Toluca, Mexico; as well as information on the milk industry and its link to the artisan cheese production as a traditional food and its regional economic importance were provided. A cross- sectional study was conducted by convenience; were sampled 64 pieces of fresh cheese</w:t>
      </w:r>
      <w:r>
        <w:rPr>
          <w:spacing w:val="-9"/>
          <w:sz w:val="24"/>
        </w:rPr>
        <w:t> </w:t>
      </w:r>
      <w:r>
        <w:rPr>
          <w:sz w:val="24"/>
        </w:rPr>
        <w:t>purchased</w:t>
      </w:r>
      <w:r>
        <w:rPr>
          <w:spacing w:val="-9"/>
          <w:sz w:val="24"/>
        </w:rPr>
        <w:t> </w:t>
      </w:r>
      <w:r>
        <w:rPr>
          <w:sz w:val="24"/>
        </w:rPr>
        <w:t>on</w:t>
      </w:r>
      <w:r>
        <w:rPr>
          <w:spacing w:val="-12"/>
          <w:sz w:val="24"/>
        </w:rPr>
        <w:t> </w:t>
      </w:r>
      <w:r>
        <w:rPr>
          <w:sz w:val="24"/>
        </w:rPr>
        <w:t>fixed</w:t>
      </w:r>
      <w:r>
        <w:rPr>
          <w:spacing w:val="-9"/>
          <w:sz w:val="24"/>
        </w:rPr>
        <w:t> </w:t>
      </w:r>
      <w:r>
        <w:rPr>
          <w:sz w:val="24"/>
        </w:rPr>
        <w:t>and</w:t>
      </w:r>
      <w:r>
        <w:rPr>
          <w:spacing w:val="-9"/>
          <w:sz w:val="24"/>
        </w:rPr>
        <w:t> </w:t>
      </w:r>
      <w:r>
        <w:rPr>
          <w:sz w:val="24"/>
        </w:rPr>
        <w:t>itinerant</w:t>
      </w:r>
      <w:r>
        <w:rPr>
          <w:spacing w:val="-12"/>
          <w:sz w:val="24"/>
        </w:rPr>
        <w:t> </w:t>
      </w:r>
      <w:r>
        <w:rPr>
          <w:sz w:val="24"/>
        </w:rPr>
        <w:t>markets</w:t>
      </w:r>
      <w:r>
        <w:rPr>
          <w:spacing w:val="-10"/>
          <w:sz w:val="24"/>
        </w:rPr>
        <w:t> </w:t>
      </w:r>
      <w:r>
        <w:rPr>
          <w:sz w:val="24"/>
        </w:rPr>
        <w:t>(flea</w:t>
      </w:r>
      <w:r>
        <w:rPr>
          <w:spacing w:val="-11"/>
          <w:sz w:val="24"/>
        </w:rPr>
        <w:t> </w:t>
      </w:r>
      <w:r>
        <w:rPr>
          <w:sz w:val="24"/>
        </w:rPr>
        <w:t>markets)</w:t>
      </w:r>
      <w:r>
        <w:rPr>
          <w:spacing w:val="-11"/>
          <w:sz w:val="24"/>
        </w:rPr>
        <w:t> </w:t>
      </w:r>
      <w:r>
        <w:rPr>
          <w:sz w:val="24"/>
        </w:rPr>
        <w:t>during</w:t>
      </w:r>
      <w:r>
        <w:rPr>
          <w:spacing w:val="-12"/>
          <w:sz w:val="24"/>
        </w:rPr>
        <w:t> </w:t>
      </w:r>
      <w:r>
        <w:rPr>
          <w:sz w:val="24"/>
        </w:rPr>
        <w:t>a</w:t>
      </w:r>
      <w:r>
        <w:rPr>
          <w:spacing w:val="-9"/>
          <w:sz w:val="24"/>
        </w:rPr>
        <w:t> </w:t>
      </w:r>
      <w:r>
        <w:rPr>
          <w:sz w:val="24"/>
        </w:rPr>
        <w:t>period</w:t>
      </w:r>
      <w:r>
        <w:rPr>
          <w:spacing w:val="-12"/>
          <w:sz w:val="24"/>
        </w:rPr>
        <w:t> </w:t>
      </w:r>
      <w:r>
        <w:rPr>
          <w:sz w:val="24"/>
        </w:rPr>
        <w:t>from August to October 2014 Temperature and pH data of the cheeses were determined at the point sale. Temperature and pH of the cheeses were determined at the point of sale, later by official methods moisture content, dry matter, ash, fat, protein and NaCl were determined. Cheese origin was established based on of the supply source in four regions: (a) Toluca valley; (b), other municipalities of the State of Mexico; (c) unknown origin and (d) other states of the country. After biochemical tests completion, 17 isolates of </w:t>
      </w:r>
      <w:r>
        <w:rPr>
          <w:i/>
          <w:sz w:val="24"/>
        </w:rPr>
        <w:t>Staphylococcus aureus </w:t>
      </w:r>
      <w:r>
        <w:rPr>
          <w:sz w:val="24"/>
        </w:rPr>
        <w:t>were obtained. </w:t>
      </w:r>
      <w:r>
        <w:rPr>
          <w:i/>
          <w:sz w:val="24"/>
        </w:rPr>
        <w:t>In vitro </w:t>
      </w:r>
      <w:r>
        <w:rPr>
          <w:sz w:val="24"/>
        </w:rPr>
        <w:t>susceptibility pattern showed a high resistance percentage to the β-lactamics,</w:t>
      </w:r>
      <w:r>
        <w:rPr>
          <w:spacing w:val="-35"/>
          <w:sz w:val="24"/>
        </w:rPr>
        <w:t> </w:t>
      </w:r>
      <w:r>
        <w:rPr>
          <w:sz w:val="24"/>
        </w:rPr>
        <w:t>there were high resistance percentages to penicillin (17/100%), ampicillin (16/94%), ceftazidime (16/94%), cefotaxime (10/58.8%), and amoxicillin/acid clavulanico (9/53%). However the isolates also showed sensitivity to antibiotics as cephalotin (16/94%), tetracycline (16/94%), trimethoprim-sulfamethoxazole (16/94%), gentamicin (14/82.3%), oxacillin (13/76%), cefoxitin (15/18.2%), cefuroxime (12/70.5%), erythromycin  (9/53%) respectively.  Seventeen isolates  of  </w:t>
      </w:r>
      <w:r>
        <w:rPr>
          <w:i/>
          <w:sz w:val="24"/>
        </w:rPr>
        <w:t>S. </w:t>
      </w:r>
      <w:r>
        <w:rPr>
          <w:i/>
          <w:spacing w:val="39"/>
          <w:sz w:val="24"/>
        </w:rPr>
        <w:t> </w:t>
      </w:r>
      <w:r>
        <w:rPr>
          <w:i/>
          <w:sz w:val="24"/>
        </w:rPr>
        <w:t>aureus</w:t>
      </w:r>
    </w:p>
    <w:p>
      <w:pPr>
        <w:spacing w:after="0" w:line="276" w:lineRule="auto"/>
        <w:jc w:val="both"/>
        <w:rPr>
          <w:sz w:val="24"/>
        </w:rPr>
        <w:sectPr>
          <w:pgSz w:w="12240" w:h="15840"/>
          <w:pgMar w:header="728" w:footer="1135" w:top="1200" w:bottom="1320" w:left="1560" w:right="1560"/>
        </w:sectPr>
      </w:pPr>
    </w:p>
    <w:p>
      <w:pPr>
        <w:pStyle w:val="BodyText"/>
        <w:spacing w:before="7"/>
        <w:rPr>
          <w:i/>
          <w:sz w:val="12"/>
        </w:rPr>
      </w:pPr>
    </w:p>
    <w:p>
      <w:pPr>
        <w:pStyle w:val="BodyText"/>
        <w:spacing w:line="276" w:lineRule="auto" w:before="69"/>
        <w:ind w:left="142" w:right="134"/>
        <w:jc w:val="both"/>
      </w:pPr>
      <w:r>
        <w:rPr/>
        <w:t>were confirmed to be positive by PCR for </w:t>
      </w:r>
      <w:r>
        <w:rPr>
          <w:i/>
        </w:rPr>
        <w:t>femB </w:t>
      </w:r>
      <w:r>
        <w:rPr/>
        <w:t>gene not </w:t>
      </w:r>
      <w:r>
        <w:rPr>
          <w:i/>
        </w:rPr>
        <w:t>mecA </w:t>
      </w:r>
      <w:r>
        <w:rPr/>
        <w:t>gene so they were considered</w:t>
      </w:r>
      <w:r>
        <w:rPr>
          <w:spacing w:val="-12"/>
        </w:rPr>
        <w:t> </w:t>
      </w:r>
      <w:r>
        <w:rPr/>
        <w:t>as</w:t>
      </w:r>
      <w:r>
        <w:rPr>
          <w:spacing w:val="-11"/>
        </w:rPr>
        <w:t> </w:t>
      </w:r>
      <w:r>
        <w:rPr>
          <w:i/>
        </w:rPr>
        <w:t>Staphylococcus</w:t>
      </w:r>
      <w:r>
        <w:rPr>
          <w:i/>
          <w:spacing w:val="-13"/>
        </w:rPr>
        <w:t> </w:t>
      </w:r>
      <w:r>
        <w:rPr>
          <w:i/>
        </w:rPr>
        <w:t>aureus</w:t>
      </w:r>
      <w:r>
        <w:rPr>
          <w:i/>
          <w:spacing w:val="-10"/>
        </w:rPr>
        <w:t> </w:t>
      </w:r>
      <w:r>
        <w:rPr/>
        <w:t>sensitive</w:t>
      </w:r>
      <w:r>
        <w:rPr>
          <w:spacing w:val="-10"/>
        </w:rPr>
        <w:t> </w:t>
      </w:r>
      <w:r>
        <w:rPr/>
        <w:t>to</w:t>
      </w:r>
      <w:r>
        <w:rPr>
          <w:spacing w:val="-11"/>
        </w:rPr>
        <w:t> </w:t>
      </w:r>
      <w:r>
        <w:rPr/>
        <w:t>methicillin</w:t>
      </w:r>
      <w:r>
        <w:rPr>
          <w:spacing w:val="-10"/>
        </w:rPr>
        <w:t> </w:t>
      </w:r>
      <w:r>
        <w:rPr/>
        <w:t>(MSSA).</w:t>
      </w:r>
      <w:r>
        <w:rPr>
          <w:spacing w:val="-10"/>
        </w:rPr>
        <w:t> </w:t>
      </w:r>
      <w:r>
        <w:rPr/>
        <w:t>The</w:t>
      </w:r>
      <w:r>
        <w:rPr>
          <w:spacing w:val="-12"/>
        </w:rPr>
        <w:t> </w:t>
      </w:r>
      <w:r>
        <w:rPr/>
        <w:t>biotyping showed</w:t>
      </w:r>
      <w:r>
        <w:rPr>
          <w:spacing w:val="-10"/>
        </w:rPr>
        <w:t> </w:t>
      </w:r>
      <w:r>
        <w:rPr/>
        <w:t>that</w:t>
      </w:r>
      <w:r>
        <w:rPr>
          <w:spacing w:val="-12"/>
        </w:rPr>
        <w:t> </w:t>
      </w:r>
      <w:r>
        <w:rPr/>
        <w:t>4</w:t>
      </w:r>
      <w:r>
        <w:rPr>
          <w:spacing w:val="-10"/>
        </w:rPr>
        <w:t> </w:t>
      </w:r>
      <w:r>
        <w:rPr/>
        <w:t>(23.5%)</w:t>
      </w:r>
      <w:r>
        <w:rPr>
          <w:spacing w:val="-11"/>
        </w:rPr>
        <w:t> </w:t>
      </w:r>
      <w:r>
        <w:rPr/>
        <w:t>were</w:t>
      </w:r>
      <w:r>
        <w:rPr>
          <w:spacing w:val="-10"/>
        </w:rPr>
        <w:t> </w:t>
      </w:r>
      <w:r>
        <w:rPr/>
        <w:t>human</w:t>
      </w:r>
      <w:r>
        <w:rPr>
          <w:spacing w:val="-12"/>
        </w:rPr>
        <w:t> </w:t>
      </w:r>
      <w:r>
        <w:rPr/>
        <w:t>ecovar,</w:t>
      </w:r>
      <w:r>
        <w:rPr>
          <w:spacing w:val="-11"/>
        </w:rPr>
        <w:t> </w:t>
      </w:r>
      <w:r>
        <w:rPr/>
        <w:t>2</w:t>
      </w:r>
      <w:r>
        <w:rPr>
          <w:spacing w:val="-10"/>
        </w:rPr>
        <w:t> </w:t>
      </w:r>
      <w:r>
        <w:rPr/>
        <w:t>(11.8%)</w:t>
      </w:r>
      <w:r>
        <w:rPr>
          <w:spacing w:val="-11"/>
        </w:rPr>
        <w:t> </w:t>
      </w:r>
      <w:r>
        <w:rPr/>
        <w:t>were</w:t>
      </w:r>
      <w:r>
        <w:rPr>
          <w:spacing w:val="-10"/>
        </w:rPr>
        <w:t> </w:t>
      </w:r>
      <w:r>
        <w:rPr/>
        <w:t>poultry</w:t>
      </w:r>
      <w:r>
        <w:rPr>
          <w:spacing w:val="-14"/>
        </w:rPr>
        <w:t> </w:t>
      </w:r>
      <w:r>
        <w:rPr/>
        <w:t>ecovar,</w:t>
      </w:r>
      <w:r>
        <w:rPr>
          <w:spacing w:val="-11"/>
        </w:rPr>
        <w:t> </w:t>
      </w:r>
      <w:r>
        <w:rPr/>
        <w:t>1</w:t>
      </w:r>
      <w:r>
        <w:rPr>
          <w:spacing w:val="-10"/>
        </w:rPr>
        <w:t> </w:t>
      </w:r>
      <w:r>
        <w:rPr/>
        <w:t>(5.9%) belonged to sheep ecovar, and 10 (58.8%) had no specific host; finally 8 (47%) presented the coloration feature by Congo Red technique. It was observed that the presentation</w:t>
      </w:r>
      <w:r>
        <w:rPr>
          <w:spacing w:val="-7"/>
        </w:rPr>
        <w:t> </w:t>
      </w:r>
      <w:r>
        <w:rPr/>
        <w:t>of</w:t>
      </w:r>
      <w:r>
        <w:rPr>
          <w:spacing w:val="-5"/>
        </w:rPr>
        <w:t> </w:t>
      </w:r>
      <w:r>
        <w:rPr/>
        <w:t>the</w:t>
      </w:r>
      <w:r>
        <w:rPr>
          <w:spacing w:val="-7"/>
        </w:rPr>
        <w:t> </w:t>
      </w:r>
      <w:r>
        <w:rPr/>
        <w:t>sampled</w:t>
      </w:r>
      <w:r>
        <w:rPr>
          <w:spacing w:val="-5"/>
        </w:rPr>
        <w:t> </w:t>
      </w:r>
      <w:r>
        <w:rPr/>
        <w:t>cheeses</w:t>
      </w:r>
      <w:r>
        <w:rPr>
          <w:spacing w:val="-5"/>
        </w:rPr>
        <w:t> </w:t>
      </w:r>
      <w:r>
        <w:rPr/>
        <w:t>were</w:t>
      </w:r>
      <w:r>
        <w:rPr>
          <w:spacing w:val="-8"/>
        </w:rPr>
        <w:t> </w:t>
      </w:r>
      <w:r>
        <w:rPr/>
        <w:t>of</w:t>
      </w:r>
      <w:r>
        <w:rPr>
          <w:spacing w:val="-5"/>
        </w:rPr>
        <w:t> </w:t>
      </w:r>
      <w:r>
        <w:rPr/>
        <w:t>circular</w:t>
      </w:r>
      <w:r>
        <w:rPr>
          <w:spacing w:val="-6"/>
        </w:rPr>
        <w:t> </w:t>
      </w:r>
      <w:r>
        <w:rPr/>
        <w:t>shape</w:t>
      </w:r>
      <w:r>
        <w:rPr>
          <w:spacing w:val="-7"/>
        </w:rPr>
        <w:t> </w:t>
      </w:r>
      <w:r>
        <w:rPr/>
        <w:t>at</w:t>
      </w:r>
      <w:r>
        <w:rPr>
          <w:spacing w:val="-7"/>
        </w:rPr>
        <w:t> </w:t>
      </w:r>
      <w:r>
        <w:rPr/>
        <w:t>all</w:t>
      </w:r>
      <w:r>
        <w:rPr>
          <w:spacing w:val="-6"/>
        </w:rPr>
        <w:t> </w:t>
      </w:r>
      <w:r>
        <w:rPr/>
        <w:t>points</w:t>
      </w:r>
      <w:r>
        <w:rPr>
          <w:spacing w:val="-8"/>
        </w:rPr>
        <w:t> </w:t>
      </w:r>
      <w:r>
        <w:rPr/>
        <w:t>of</w:t>
      </w:r>
      <w:r>
        <w:rPr>
          <w:spacing w:val="-5"/>
        </w:rPr>
        <w:t> </w:t>
      </w:r>
      <w:r>
        <w:rPr/>
        <w:t>sale</w:t>
      </w:r>
      <w:r>
        <w:rPr>
          <w:spacing w:val="-7"/>
        </w:rPr>
        <w:t> </w:t>
      </w:r>
      <w:r>
        <w:rPr/>
        <w:t>with a weight range of 100-250 g., the ranges for the physicochemical parameters were pH  (4.84-6.07),  moisture  (42.71-66.66%),  dry  matter  (1.68-3.39%),  ash  </w:t>
      </w:r>
      <w:r>
        <w:rPr>
          <w:spacing w:val="15"/>
        </w:rPr>
        <w:t> </w:t>
      </w:r>
      <w:r>
        <w:rPr/>
        <w:t>(2.65-</w:t>
      </w:r>
    </w:p>
    <w:p>
      <w:pPr>
        <w:pStyle w:val="BodyText"/>
        <w:spacing w:line="276" w:lineRule="auto"/>
        <w:ind w:left="142" w:right="136"/>
        <w:jc w:val="both"/>
      </w:pPr>
      <w:r>
        <w:rPr/>
        <w:t>5.24%), fat (12-32%), protein (16.81-26.62%) and NaCl (0.29-1.44). The results of this research established the need to improve the hygiene policies by authorities, also to promote the rational use of antibiotics to prevent the emergence and spread of</w:t>
      </w:r>
      <w:r>
        <w:rPr>
          <w:spacing w:val="-15"/>
        </w:rPr>
        <w:t> </w:t>
      </w:r>
      <w:r>
        <w:rPr/>
        <w:t>resistant</w:t>
      </w:r>
      <w:r>
        <w:rPr>
          <w:spacing w:val="-17"/>
        </w:rPr>
        <w:t> </w:t>
      </w:r>
      <w:r>
        <w:rPr/>
        <w:t>strains</w:t>
      </w:r>
      <w:r>
        <w:rPr>
          <w:spacing w:val="-17"/>
        </w:rPr>
        <w:t> </w:t>
      </w:r>
      <w:r>
        <w:rPr/>
        <w:t>toward</w:t>
      </w:r>
      <w:r>
        <w:rPr>
          <w:spacing w:val="-17"/>
        </w:rPr>
        <w:t> </w:t>
      </w:r>
      <w:r>
        <w:rPr/>
        <w:t>those</w:t>
      </w:r>
      <w:r>
        <w:rPr>
          <w:spacing w:val="-17"/>
        </w:rPr>
        <w:t> </w:t>
      </w:r>
      <w:r>
        <w:rPr/>
        <w:t>who</w:t>
      </w:r>
      <w:r>
        <w:rPr>
          <w:spacing w:val="-17"/>
        </w:rPr>
        <w:t> </w:t>
      </w:r>
      <w:r>
        <w:rPr/>
        <w:t>manipulate</w:t>
      </w:r>
      <w:r>
        <w:rPr>
          <w:spacing w:val="-16"/>
        </w:rPr>
        <w:t> </w:t>
      </w:r>
      <w:r>
        <w:rPr/>
        <w:t>and</w:t>
      </w:r>
      <w:r>
        <w:rPr>
          <w:spacing w:val="-17"/>
        </w:rPr>
        <w:t> </w:t>
      </w:r>
      <w:r>
        <w:rPr/>
        <w:t>consume,</w:t>
      </w:r>
      <w:r>
        <w:rPr>
          <w:spacing w:val="-17"/>
        </w:rPr>
        <w:t> </w:t>
      </w:r>
      <w:r>
        <w:rPr/>
        <w:t>causing</w:t>
      </w:r>
      <w:r>
        <w:rPr>
          <w:spacing w:val="-18"/>
        </w:rPr>
        <w:t> </w:t>
      </w:r>
      <w:r>
        <w:rPr/>
        <w:t>great</w:t>
      </w:r>
      <w:r>
        <w:rPr>
          <w:spacing w:val="-17"/>
        </w:rPr>
        <w:t> </w:t>
      </w:r>
      <w:r>
        <w:rPr/>
        <w:t>impact in public health. The fresh cheese sold in the city of Toluca, can be considered an own</w:t>
      </w:r>
      <w:r>
        <w:rPr>
          <w:spacing w:val="-6"/>
        </w:rPr>
        <w:t> </w:t>
      </w:r>
      <w:r>
        <w:rPr/>
        <w:t>artisan</w:t>
      </w:r>
      <w:r>
        <w:rPr>
          <w:spacing w:val="-6"/>
        </w:rPr>
        <w:t> </w:t>
      </w:r>
      <w:r>
        <w:rPr/>
        <w:t>cheese</w:t>
      </w:r>
      <w:r>
        <w:rPr>
          <w:spacing w:val="-6"/>
        </w:rPr>
        <w:t> </w:t>
      </w:r>
      <w:r>
        <w:rPr/>
        <w:t>of</w:t>
      </w:r>
      <w:r>
        <w:rPr>
          <w:spacing w:val="-6"/>
        </w:rPr>
        <w:t> </w:t>
      </w:r>
      <w:r>
        <w:rPr/>
        <w:t>the</w:t>
      </w:r>
      <w:r>
        <w:rPr>
          <w:spacing w:val="-6"/>
        </w:rPr>
        <w:t> </w:t>
      </w:r>
      <w:r>
        <w:rPr/>
        <w:t>region</w:t>
      </w:r>
      <w:r>
        <w:rPr>
          <w:spacing w:val="-6"/>
        </w:rPr>
        <w:t> </w:t>
      </w:r>
      <w:r>
        <w:rPr/>
        <w:t>that</w:t>
      </w:r>
      <w:r>
        <w:rPr>
          <w:spacing w:val="-6"/>
        </w:rPr>
        <w:t> </w:t>
      </w:r>
      <w:r>
        <w:rPr/>
        <w:t>should</w:t>
      </w:r>
      <w:r>
        <w:rPr>
          <w:spacing w:val="-9"/>
        </w:rPr>
        <w:t> </w:t>
      </w:r>
      <w:r>
        <w:rPr/>
        <w:t>be</w:t>
      </w:r>
      <w:r>
        <w:rPr>
          <w:spacing w:val="-6"/>
        </w:rPr>
        <w:t> </w:t>
      </w:r>
      <w:r>
        <w:rPr/>
        <w:t>preserved</w:t>
      </w:r>
      <w:r>
        <w:rPr>
          <w:spacing w:val="-6"/>
        </w:rPr>
        <w:t> </w:t>
      </w:r>
      <w:r>
        <w:rPr/>
        <w:t>as</w:t>
      </w:r>
      <w:r>
        <w:rPr>
          <w:spacing w:val="-7"/>
        </w:rPr>
        <w:t> </w:t>
      </w:r>
      <w:r>
        <w:rPr/>
        <w:t>an</w:t>
      </w:r>
      <w:r>
        <w:rPr>
          <w:spacing w:val="-6"/>
        </w:rPr>
        <w:t> </w:t>
      </w:r>
      <w:r>
        <w:rPr/>
        <w:t>interest</w:t>
      </w:r>
      <w:r>
        <w:rPr>
          <w:spacing w:val="-6"/>
        </w:rPr>
        <w:t> </w:t>
      </w:r>
      <w:r>
        <w:rPr/>
        <w:t>in</w:t>
      </w:r>
      <w:r>
        <w:rPr>
          <w:spacing w:val="-6"/>
        </w:rPr>
        <w:t> </w:t>
      </w:r>
      <w:r>
        <w:rPr/>
        <w:t>Mexican cuisine,</w:t>
      </w:r>
      <w:r>
        <w:rPr>
          <w:spacing w:val="-16"/>
        </w:rPr>
        <w:t> </w:t>
      </w:r>
      <w:r>
        <w:rPr/>
        <w:t>in</w:t>
      </w:r>
      <w:r>
        <w:rPr>
          <w:spacing w:val="-16"/>
        </w:rPr>
        <w:t> </w:t>
      </w:r>
      <w:r>
        <w:rPr/>
        <w:t>addition</w:t>
      </w:r>
      <w:r>
        <w:rPr>
          <w:spacing w:val="-16"/>
        </w:rPr>
        <w:t> </w:t>
      </w:r>
      <w:r>
        <w:rPr/>
        <w:t>to</w:t>
      </w:r>
      <w:r>
        <w:rPr>
          <w:spacing w:val="-18"/>
        </w:rPr>
        <w:t> </w:t>
      </w:r>
      <w:r>
        <w:rPr/>
        <w:t>the</w:t>
      </w:r>
      <w:r>
        <w:rPr>
          <w:spacing w:val="-16"/>
        </w:rPr>
        <w:t> </w:t>
      </w:r>
      <w:r>
        <w:rPr/>
        <w:t>importance</w:t>
      </w:r>
      <w:r>
        <w:rPr>
          <w:spacing w:val="-16"/>
        </w:rPr>
        <w:t> </w:t>
      </w:r>
      <w:r>
        <w:rPr/>
        <w:t>of</w:t>
      </w:r>
      <w:r>
        <w:rPr>
          <w:spacing w:val="-14"/>
        </w:rPr>
        <w:t> </w:t>
      </w:r>
      <w:r>
        <w:rPr/>
        <w:t>improving</w:t>
      </w:r>
      <w:r>
        <w:rPr>
          <w:spacing w:val="-17"/>
        </w:rPr>
        <w:t> </w:t>
      </w:r>
      <w:r>
        <w:rPr/>
        <w:t>the</w:t>
      </w:r>
      <w:r>
        <w:rPr>
          <w:spacing w:val="-16"/>
        </w:rPr>
        <w:t> </w:t>
      </w:r>
      <w:r>
        <w:rPr/>
        <w:t>conditions</w:t>
      </w:r>
      <w:r>
        <w:rPr>
          <w:spacing w:val="-19"/>
        </w:rPr>
        <w:t> </w:t>
      </w:r>
      <w:r>
        <w:rPr/>
        <w:t>of</w:t>
      </w:r>
      <w:r>
        <w:rPr>
          <w:spacing w:val="-14"/>
        </w:rPr>
        <w:t> </w:t>
      </w:r>
      <w:r>
        <w:rPr/>
        <w:t>quality</w:t>
      </w:r>
      <w:r>
        <w:rPr>
          <w:spacing w:val="-18"/>
        </w:rPr>
        <w:t> </w:t>
      </w:r>
      <w:r>
        <w:rPr/>
        <w:t>and</w:t>
      </w:r>
      <w:r>
        <w:rPr>
          <w:spacing w:val="-16"/>
        </w:rPr>
        <w:t> </w:t>
      </w:r>
      <w:r>
        <w:rPr/>
        <w:t>safety in</w:t>
      </w:r>
      <w:r>
        <w:rPr>
          <w:spacing w:val="-6"/>
        </w:rPr>
        <w:t> </w:t>
      </w:r>
      <w:r>
        <w:rPr/>
        <w:t>marketing.</w:t>
      </w:r>
    </w:p>
    <w:p>
      <w:pPr>
        <w:pStyle w:val="BodyText"/>
        <w:spacing w:line="278" w:lineRule="auto" w:before="120"/>
        <w:ind w:left="142" w:right="138"/>
        <w:jc w:val="both"/>
      </w:pPr>
      <w:r>
        <w:rPr/>
        <w:t>Key words: fresh cheese, </w:t>
      </w:r>
      <w:r>
        <w:rPr>
          <w:i/>
        </w:rPr>
        <w:t>Staphylococcus aureus</w:t>
      </w:r>
      <w:r>
        <w:rPr/>
        <w:t>, resistance to methicillin, Physiochemical characterization.</w:t>
      </w:r>
    </w:p>
    <w:p>
      <w:pPr>
        <w:spacing w:after="0" w:line="278" w:lineRule="auto"/>
        <w:jc w:val="both"/>
        <w:sectPr>
          <w:pgSz w:w="12240" w:h="15840"/>
          <w:pgMar w:header="728" w:footer="1135" w:top="1200" w:bottom="1320" w:left="1560" w:right="1560"/>
        </w:sectPr>
      </w:pPr>
    </w:p>
    <w:p>
      <w:pPr>
        <w:pStyle w:val="BodyText"/>
        <w:spacing w:before="9"/>
        <w:rPr>
          <w:sz w:val="12"/>
        </w:rPr>
      </w:pPr>
    </w:p>
    <w:p>
      <w:pPr>
        <w:pStyle w:val="Heading2"/>
        <w:numPr>
          <w:ilvl w:val="1"/>
          <w:numId w:val="3"/>
        </w:numPr>
        <w:tabs>
          <w:tab w:pos="3729" w:val="left" w:leader="none"/>
        </w:tabs>
        <w:spacing w:line="240" w:lineRule="auto" w:before="70" w:after="0"/>
        <w:ind w:left="142" w:right="0" w:firstLine="3384"/>
        <w:jc w:val="left"/>
      </w:pPr>
      <w:bookmarkStart w:name="_bookmark8" w:id="9"/>
      <w:bookmarkEnd w:id="9"/>
      <w:r>
        <w:rPr>
          <w:b w:val="0"/>
        </w:rPr>
      </w:r>
      <w:bookmarkStart w:name="_bookmark8" w:id="10"/>
      <w:bookmarkEnd w:id="10"/>
      <w:r>
        <w:rPr/>
        <w:t>INT</w:t>
      </w:r>
      <w:r>
        <w:rPr/>
        <w:t>RODUCCIÓN</w:t>
      </w:r>
    </w:p>
    <w:p>
      <w:pPr>
        <w:pStyle w:val="BodyText"/>
        <w:rPr>
          <w:b/>
        </w:rPr>
      </w:pPr>
    </w:p>
    <w:p>
      <w:pPr>
        <w:pStyle w:val="BodyText"/>
        <w:spacing w:before="1"/>
        <w:rPr>
          <w:b/>
          <w:sz w:val="22"/>
        </w:rPr>
      </w:pPr>
    </w:p>
    <w:p>
      <w:pPr>
        <w:pStyle w:val="BodyText"/>
        <w:spacing w:line="276" w:lineRule="auto"/>
        <w:ind w:left="142" w:right="135"/>
        <w:jc w:val="both"/>
      </w:pPr>
      <w:r>
        <w:rPr>
          <w:i/>
        </w:rPr>
        <w:t>Staphylococcus aureus </w:t>
      </w:r>
      <w:r>
        <w:rPr/>
        <w:t>(</w:t>
      </w:r>
      <w:r>
        <w:rPr>
          <w:i/>
        </w:rPr>
        <w:t>S. aureus</w:t>
      </w:r>
      <w:r>
        <w:rPr/>
        <w:t>) es un habitante común de la microflora natural de</w:t>
      </w:r>
      <w:r>
        <w:rPr>
          <w:spacing w:val="-11"/>
        </w:rPr>
        <w:t> </w:t>
      </w:r>
      <w:r>
        <w:rPr/>
        <w:t>la</w:t>
      </w:r>
      <w:r>
        <w:rPr>
          <w:spacing w:val="-13"/>
        </w:rPr>
        <w:t> </w:t>
      </w:r>
      <w:r>
        <w:rPr/>
        <w:t>piel</w:t>
      </w:r>
      <w:r>
        <w:rPr>
          <w:spacing w:val="-14"/>
        </w:rPr>
        <w:t> </w:t>
      </w:r>
      <w:r>
        <w:rPr/>
        <w:t>y</w:t>
      </w:r>
      <w:r>
        <w:rPr>
          <w:spacing w:val="-14"/>
        </w:rPr>
        <w:t> </w:t>
      </w:r>
      <w:r>
        <w:rPr/>
        <w:t>mucosa</w:t>
      </w:r>
      <w:r>
        <w:rPr>
          <w:spacing w:val="-13"/>
        </w:rPr>
        <w:t> </w:t>
      </w:r>
      <w:r>
        <w:rPr/>
        <w:t>en</w:t>
      </w:r>
      <w:r>
        <w:rPr>
          <w:spacing w:val="-15"/>
        </w:rPr>
        <w:t> </w:t>
      </w:r>
      <w:r>
        <w:rPr/>
        <w:t>humanos</w:t>
      </w:r>
      <w:r>
        <w:rPr>
          <w:spacing w:val="-12"/>
        </w:rPr>
        <w:t> </w:t>
      </w:r>
      <w:r>
        <w:rPr/>
        <w:t>y</w:t>
      </w:r>
      <w:r>
        <w:rPr>
          <w:spacing w:val="-14"/>
        </w:rPr>
        <w:t> </w:t>
      </w:r>
      <w:r>
        <w:rPr/>
        <w:t>animales,</w:t>
      </w:r>
      <w:r>
        <w:rPr>
          <w:spacing w:val="-11"/>
        </w:rPr>
        <w:t> </w:t>
      </w:r>
      <w:r>
        <w:rPr/>
        <w:t>y</w:t>
      </w:r>
      <w:r>
        <w:rPr>
          <w:spacing w:val="-14"/>
        </w:rPr>
        <w:t> </w:t>
      </w:r>
      <w:r>
        <w:rPr/>
        <w:t>también</w:t>
      </w:r>
      <w:r>
        <w:rPr>
          <w:spacing w:val="-13"/>
        </w:rPr>
        <w:t> </w:t>
      </w:r>
      <w:r>
        <w:rPr/>
        <w:t>está</w:t>
      </w:r>
      <w:r>
        <w:rPr>
          <w:spacing w:val="-13"/>
        </w:rPr>
        <w:t> </w:t>
      </w:r>
      <w:r>
        <w:rPr/>
        <w:t>presente</w:t>
      </w:r>
      <w:r>
        <w:rPr>
          <w:spacing w:val="-13"/>
        </w:rPr>
        <w:t> </w:t>
      </w:r>
      <w:r>
        <w:rPr/>
        <w:t>en</w:t>
      </w:r>
      <w:r>
        <w:rPr>
          <w:spacing w:val="-13"/>
        </w:rPr>
        <w:t> </w:t>
      </w:r>
      <w:r>
        <w:rPr/>
        <w:t>el</w:t>
      </w:r>
      <w:r>
        <w:rPr>
          <w:spacing w:val="-14"/>
        </w:rPr>
        <w:t> </w:t>
      </w:r>
      <w:r>
        <w:rPr/>
        <w:t>ambiente (Yeşim</w:t>
      </w:r>
      <w:r>
        <w:rPr>
          <w:spacing w:val="-17"/>
        </w:rPr>
        <w:t> </w:t>
      </w:r>
      <w:r>
        <w:rPr/>
        <w:t>y</w:t>
      </w:r>
      <w:r>
        <w:rPr>
          <w:spacing w:val="-18"/>
        </w:rPr>
        <w:t> </w:t>
      </w:r>
      <w:r>
        <w:rPr/>
        <w:t>Haluk,</w:t>
      </w:r>
      <w:r>
        <w:rPr>
          <w:spacing w:val="-17"/>
        </w:rPr>
        <w:t> </w:t>
      </w:r>
      <w:r>
        <w:rPr/>
        <w:t>2012;</w:t>
      </w:r>
      <w:r>
        <w:rPr>
          <w:spacing w:val="-20"/>
        </w:rPr>
        <w:t> </w:t>
      </w:r>
      <w:r>
        <w:rPr/>
        <w:t>Kamal</w:t>
      </w:r>
      <w:r>
        <w:rPr>
          <w:spacing w:val="-16"/>
        </w:rPr>
        <w:t> </w:t>
      </w:r>
      <w:r>
        <w:rPr>
          <w:i/>
        </w:rPr>
        <w:t>et</w:t>
      </w:r>
      <w:r>
        <w:rPr>
          <w:i/>
          <w:spacing w:val="-17"/>
        </w:rPr>
        <w:t> </w:t>
      </w:r>
      <w:r>
        <w:rPr>
          <w:i/>
        </w:rPr>
        <w:t>al.,</w:t>
      </w:r>
      <w:r>
        <w:rPr>
          <w:i/>
          <w:spacing w:val="-17"/>
        </w:rPr>
        <w:t> </w:t>
      </w:r>
      <w:r>
        <w:rPr/>
        <w:t>2013).</w:t>
      </w:r>
      <w:r>
        <w:rPr>
          <w:spacing w:val="-17"/>
        </w:rPr>
        <w:t> </w:t>
      </w:r>
      <w:r>
        <w:rPr/>
        <w:t>El</w:t>
      </w:r>
      <w:r>
        <w:rPr>
          <w:spacing w:val="-21"/>
        </w:rPr>
        <w:t> </w:t>
      </w:r>
      <w:r>
        <w:rPr/>
        <w:t>hombre</w:t>
      </w:r>
      <w:r>
        <w:rPr>
          <w:spacing w:val="-18"/>
        </w:rPr>
        <w:t> </w:t>
      </w:r>
      <w:r>
        <w:rPr/>
        <w:t>es</w:t>
      </w:r>
      <w:r>
        <w:rPr>
          <w:spacing w:val="-18"/>
        </w:rPr>
        <w:t> </w:t>
      </w:r>
      <w:r>
        <w:rPr/>
        <w:t>señalado</w:t>
      </w:r>
      <w:r>
        <w:rPr>
          <w:spacing w:val="-17"/>
        </w:rPr>
        <w:t> </w:t>
      </w:r>
      <w:r>
        <w:rPr/>
        <w:t>como</w:t>
      </w:r>
      <w:r>
        <w:rPr>
          <w:spacing w:val="-17"/>
        </w:rPr>
        <w:t> </w:t>
      </w:r>
      <w:r>
        <w:rPr/>
        <w:t>el</w:t>
      </w:r>
      <w:r>
        <w:rPr>
          <w:spacing w:val="-18"/>
        </w:rPr>
        <w:t> </w:t>
      </w:r>
      <w:r>
        <w:rPr/>
        <w:t>reservorio principal y se ha señalado al epitelio escamoso húmedo en la mucosa del tabique adyacente al orificio nasal como el principal sitio de colonización en los individuos portadores (Sollid </w:t>
      </w:r>
      <w:r>
        <w:rPr>
          <w:i/>
        </w:rPr>
        <w:t>et al., </w:t>
      </w:r>
      <w:r>
        <w:rPr/>
        <w:t>2014). En la población adulta puede encontrarse en</w:t>
      </w:r>
      <w:r>
        <w:rPr>
          <w:spacing w:val="-39"/>
        </w:rPr>
        <w:t> </w:t>
      </w:r>
      <w:r>
        <w:rPr/>
        <w:t>partes del cuerpo como las axilas (8%), pecho/abdomen (15%), perineo (22%), intestino (17-31%),</w:t>
      </w:r>
      <w:r>
        <w:rPr>
          <w:spacing w:val="-17"/>
        </w:rPr>
        <w:t> </w:t>
      </w:r>
      <w:r>
        <w:rPr/>
        <w:t>vagina</w:t>
      </w:r>
      <w:r>
        <w:rPr>
          <w:spacing w:val="-16"/>
        </w:rPr>
        <w:t> </w:t>
      </w:r>
      <w:r>
        <w:rPr/>
        <w:t>(5%),</w:t>
      </w:r>
      <w:r>
        <w:rPr>
          <w:spacing w:val="-17"/>
        </w:rPr>
        <w:t> </w:t>
      </w:r>
      <w:r>
        <w:rPr/>
        <w:t>la</w:t>
      </w:r>
      <w:r>
        <w:rPr>
          <w:spacing w:val="-17"/>
        </w:rPr>
        <w:t> </w:t>
      </w:r>
      <w:r>
        <w:rPr/>
        <w:t>portación</w:t>
      </w:r>
      <w:r>
        <w:rPr>
          <w:spacing w:val="-19"/>
        </w:rPr>
        <w:t> </w:t>
      </w:r>
      <w:r>
        <w:rPr/>
        <w:t>faríngea</w:t>
      </w:r>
      <w:r>
        <w:rPr>
          <w:spacing w:val="-17"/>
        </w:rPr>
        <w:t> </w:t>
      </w:r>
      <w:r>
        <w:rPr/>
        <w:t>es</w:t>
      </w:r>
      <w:r>
        <w:rPr>
          <w:spacing w:val="-17"/>
        </w:rPr>
        <w:t> </w:t>
      </w:r>
      <w:r>
        <w:rPr/>
        <w:t>altamente</w:t>
      </w:r>
      <w:r>
        <w:rPr>
          <w:spacing w:val="-17"/>
        </w:rPr>
        <w:t> </w:t>
      </w:r>
      <w:r>
        <w:rPr/>
        <w:t>variable</w:t>
      </w:r>
      <w:r>
        <w:rPr>
          <w:spacing w:val="-17"/>
        </w:rPr>
        <w:t> </w:t>
      </w:r>
      <w:r>
        <w:rPr/>
        <w:t>(4-64%),</w:t>
      </w:r>
      <w:r>
        <w:rPr>
          <w:spacing w:val="-17"/>
        </w:rPr>
        <w:t> </w:t>
      </w:r>
      <w:r>
        <w:rPr/>
        <w:t>además es posible encontrarlo en el tracto genital y gastrointestinal, cabello, en ocasiones la ropa (Sollid </w:t>
      </w:r>
      <w:r>
        <w:rPr>
          <w:i/>
        </w:rPr>
        <w:t>et al., </w:t>
      </w:r>
      <w:r>
        <w:rPr/>
        <w:t>2014; André </w:t>
      </w:r>
      <w:r>
        <w:rPr>
          <w:i/>
        </w:rPr>
        <w:t>et al., </w:t>
      </w:r>
      <w:r>
        <w:rPr/>
        <w:t>2008; Sandel y McKillip, 2004; </w:t>
      </w:r>
      <w:r>
        <w:rPr>
          <w:i/>
        </w:rPr>
        <w:t>Medveďová </w:t>
      </w:r>
      <w:r>
        <w:rPr>
          <w:i/>
        </w:rPr>
        <w:t>et</w:t>
      </w:r>
      <w:r>
        <w:rPr>
          <w:i/>
          <w:spacing w:val="-6"/>
        </w:rPr>
        <w:t> </w:t>
      </w:r>
      <w:r>
        <w:rPr>
          <w:i/>
        </w:rPr>
        <w:t>al.,</w:t>
      </w:r>
      <w:r>
        <w:rPr>
          <w:i/>
          <w:spacing w:val="-6"/>
        </w:rPr>
        <w:t> </w:t>
      </w:r>
      <w:r>
        <w:rPr/>
        <w:t>2009;</w:t>
      </w:r>
      <w:r>
        <w:rPr>
          <w:spacing w:val="-6"/>
        </w:rPr>
        <w:t> </w:t>
      </w:r>
      <w:r>
        <w:rPr/>
        <w:t>Bustos</w:t>
      </w:r>
      <w:r>
        <w:rPr>
          <w:spacing w:val="-7"/>
        </w:rPr>
        <w:t> </w:t>
      </w:r>
      <w:r>
        <w:rPr/>
        <w:t>Martínez</w:t>
      </w:r>
      <w:r>
        <w:rPr>
          <w:spacing w:val="-4"/>
        </w:rPr>
        <w:t> </w:t>
      </w:r>
      <w:r>
        <w:rPr>
          <w:i/>
        </w:rPr>
        <w:t>et</w:t>
      </w:r>
      <w:r>
        <w:rPr>
          <w:i/>
          <w:spacing w:val="-4"/>
        </w:rPr>
        <w:t> </w:t>
      </w:r>
      <w:r>
        <w:rPr>
          <w:i/>
        </w:rPr>
        <w:t>al.,</w:t>
      </w:r>
      <w:r>
        <w:rPr>
          <w:i/>
          <w:spacing w:val="-6"/>
        </w:rPr>
        <w:t> </w:t>
      </w:r>
      <w:r>
        <w:rPr/>
        <w:t>2006),</w:t>
      </w:r>
      <w:r>
        <w:rPr>
          <w:spacing w:val="-6"/>
        </w:rPr>
        <w:t> </w:t>
      </w:r>
      <w:r>
        <w:rPr/>
        <w:t>también</w:t>
      </w:r>
      <w:r>
        <w:rPr>
          <w:spacing w:val="-5"/>
        </w:rPr>
        <w:t> </w:t>
      </w:r>
      <w:r>
        <w:rPr/>
        <w:t>en</w:t>
      </w:r>
      <w:r>
        <w:rPr>
          <w:spacing w:val="-8"/>
        </w:rPr>
        <w:t> </w:t>
      </w:r>
      <w:r>
        <w:rPr/>
        <w:t>manos</w:t>
      </w:r>
      <w:r>
        <w:rPr>
          <w:spacing w:val="-4"/>
        </w:rPr>
        <w:t> </w:t>
      </w:r>
      <w:r>
        <w:rPr/>
        <w:t>(Ferreira</w:t>
      </w:r>
      <w:r>
        <w:rPr>
          <w:spacing w:val="-1"/>
        </w:rPr>
        <w:t> </w:t>
      </w:r>
      <w:r>
        <w:rPr>
          <w:i/>
        </w:rPr>
        <w:t>et</w:t>
      </w:r>
      <w:r>
        <w:rPr>
          <w:i/>
          <w:spacing w:val="-6"/>
        </w:rPr>
        <w:t> </w:t>
      </w:r>
      <w:r>
        <w:rPr>
          <w:i/>
        </w:rPr>
        <w:t>al.,</w:t>
      </w:r>
      <w:r>
        <w:rPr>
          <w:i/>
          <w:spacing w:val="-5"/>
        </w:rPr>
        <w:t> </w:t>
      </w:r>
      <w:r>
        <w:rPr/>
        <w:t>2014), garganta, ingle (Leonard y Markey, 2008), y recto (Wendlandt </w:t>
      </w:r>
      <w:r>
        <w:rPr>
          <w:i/>
        </w:rPr>
        <w:t>et al.,</w:t>
      </w:r>
      <w:r>
        <w:rPr>
          <w:i/>
          <w:spacing w:val="-22"/>
        </w:rPr>
        <w:t> </w:t>
      </w:r>
      <w:r>
        <w:rPr/>
        <w:t>2013).</w:t>
      </w:r>
    </w:p>
    <w:p>
      <w:pPr>
        <w:pStyle w:val="BodyText"/>
        <w:spacing w:line="276" w:lineRule="auto" w:before="123"/>
        <w:ind w:left="142" w:right="135"/>
        <w:jc w:val="both"/>
      </w:pPr>
      <w:r>
        <w:rPr/>
        <w:t>La prevalencia varía entre poblaciones, edad, enfermedades subyacentes, raza, ciertos comportamientos y condiciones de vida y la mayoría de las infecciones son causadas</w:t>
      </w:r>
      <w:r>
        <w:rPr>
          <w:spacing w:val="-12"/>
        </w:rPr>
        <w:t> </w:t>
      </w:r>
      <w:r>
        <w:rPr/>
        <w:t>por</w:t>
      </w:r>
      <w:r>
        <w:rPr>
          <w:spacing w:val="-11"/>
        </w:rPr>
        <w:t> </w:t>
      </w:r>
      <w:r>
        <w:rPr/>
        <w:t>cepas</w:t>
      </w:r>
      <w:r>
        <w:rPr>
          <w:spacing w:val="-10"/>
        </w:rPr>
        <w:t> </w:t>
      </w:r>
      <w:r>
        <w:rPr/>
        <w:t>pertenecientes</w:t>
      </w:r>
      <w:r>
        <w:rPr>
          <w:spacing w:val="-10"/>
        </w:rPr>
        <w:t> </w:t>
      </w:r>
      <w:r>
        <w:rPr/>
        <w:t>a</w:t>
      </w:r>
      <w:r>
        <w:rPr>
          <w:spacing w:val="-11"/>
        </w:rPr>
        <w:t> </w:t>
      </w:r>
      <w:r>
        <w:rPr/>
        <w:t>la</w:t>
      </w:r>
      <w:r>
        <w:rPr>
          <w:spacing w:val="-13"/>
        </w:rPr>
        <w:t> </w:t>
      </w:r>
      <w:r>
        <w:rPr/>
        <w:t>flora</w:t>
      </w:r>
      <w:r>
        <w:rPr>
          <w:spacing w:val="-11"/>
        </w:rPr>
        <w:t> </w:t>
      </w:r>
      <w:r>
        <w:rPr/>
        <w:t>del</w:t>
      </w:r>
      <w:r>
        <w:rPr>
          <w:spacing w:val="-12"/>
        </w:rPr>
        <w:t> </w:t>
      </w:r>
      <w:r>
        <w:rPr/>
        <w:t>propio</w:t>
      </w:r>
      <w:r>
        <w:rPr>
          <w:spacing w:val="-11"/>
        </w:rPr>
        <w:t> </w:t>
      </w:r>
      <w:r>
        <w:rPr/>
        <w:t>paciente</w:t>
      </w:r>
      <w:r>
        <w:rPr>
          <w:spacing w:val="-11"/>
        </w:rPr>
        <w:t> </w:t>
      </w:r>
      <w:r>
        <w:rPr/>
        <w:t>(Valsangiacomo</w:t>
      </w:r>
      <w:r>
        <w:rPr>
          <w:spacing w:val="-4"/>
        </w:rPr>
        <w:t> </w:t>
      </w:r>
      <w:r>
        <w:rPr>
          <w:i/>
        </w:rPr>
        <w:t>et </w:t>
      </w:r>
      <w:r>
        <w:rPr>
          <w:i/>
        </w:rPr>
        <w:t>al.,</w:t>
      </w:r>
      <w:r>
        <w:rPr>
          <w:i/>
          <w:spacing w:val="-2"/>
        </w:rPr>
        <w:t> </w:t>
      </w:r>
      <w:r>
        <w:rPr/>
        <w:t>2000).</w:t>
      </w:r>
    </w:p>
    <w:p>
      <w:pPr>
        <w:pStyle w:val="BodyText"/>
        <w:spacing w:line="276" w:lineRule="auto" w:before="120"/>
        <w:ind w:left="142" w:right="135"/>
        <w:jc w:val="both"/>
      </w:pPr>
      <w:r>
        <w:rPr/>
        <w:t>En México muestras de 1234 personas sanas mostraron que </w:t>
      </w:r>
      <w:r>
        <w:rPr>
          <w:i/>
        </w:rPr>
        <w:t>S. aureus </w:t>
      </w:r>
      <w:r>
        <w:rPr/>
        <w:t>es más frecuentemente aislada de la garganta (46.5%) que en la nariz (37.1%) y entre individuos colonizados el 38% fueron exclusivamente portadores en la garganta (Sollid </w:t>
      </w:r>
      <w:r>
        <w:rPr>
          <w:i/>
        </w:rPr>
        <w:t>et al., </w:t>
      </w:r>
      <w:r>
        <w:rPr/>
        <w:t>2014). Portadores asintomáticos tienen un rol importante en el mantenimiento y propagación de este microorganismo, especialmente personas</w:t>
      </w:r>
      <w:r>
        <w:rPr>
          <w:spacing w:val="-35"/>
        </w:rPr>
        <w:t> </w:t>
      </w:r>
      <w:r>
        <w:rPr/>
        <w:t>en actividades profesionales relacionadas con la salud pública o el procesamiento de alimentos (André </w:t>
      </w:r>
      <w:r>
        <w:rPr>
          <w:i/>
        </w:rPr>
        <w:t>et al.,</w:t>
      </w:r>
      <w:r>
        <w:rPr>
          <w:i/>
          <w:spacing w:val="-8"/>
        </w:rPr>
        <w:t> </w:t>
      </w:r>
      <w:r>
        <w:rPr/>
        <w:t>2008).</w:t>
      </w:r>
    </w:p>
    <w:p>
      <w:pPr>
        <w:pStyle w:val="BodyText"/>
        <w:spacing w:line="276" w:lineRule="auto" w:before="120"/>
        <w:ind w:left="142" w:right="137"/>
        <w:jc w:val="both"/>
      </w:pPr>
      <w:r>
        <w:rPr/>
        <w:t>Los animales también son un origen importante de </w:t>
      </w:r>
      <w:r>
        <w:rPr>
          <w:i/>
        </w:rPr>
        <w:t>S. aureus </w:t>
      </w:r>
      <w:r>
        <w:rPr/>
        <w:t>pues muchas veces están</w:t>
      </w:r>
      <w:r>
        <w:rPr>
          <w:spacing w:val="-9"/>
        </w:rPr>
        <w:t> </w:t>
      </w:r>
      <w:r>
        <w:rPr/>
        <w:t>colonizados</w:t>
      </w:r>
      <w:r>
        <w:rPr>
          <w:spacing w:val="-13"/>
        </w:rPr>
        <w:t> </w:t>
      </w:r>
      <w:r>
        <w:rPr/>
        <w:t>masivamente</w:t>
      </w:r>
      <w:r>
        <w:rPr>
          <w:spacing w:val="-11"/>
        </w:rPr>
        <w:t> </w:t>
      </w:r>
      <w:r>
        <w:rPr/>
        <w:t>por</w:t>
      </w:r>
      <w:r>
        <w:rPr>
          <w:spacing w:val="-11"/>
        </w:rPr>
        <w:t> </w:t>
      </w:r>
      <w:r>
        <w:rPr/>
        <w:t>el</w:t>
      </w:r>
      <w:r>
        <w:rPr>
          <w:spacing w:val="-11"/>
        </w:rPr>
        <w:t> </w:t>
      </w:r>
      <w:r>
        <w:rPr/>
        <w:t>microorganismo;</w:t>
      </w:r>
      <w:r>
        <w:rPr>
          <w:spacing w:val="-10"/>
        </w:rPr>
        <w:t> </w:t>
      </w:r>
      <w:r>
        <w:rPr/>
        <w:t>en</w:t>
      </w:r>
      <w:r>
        <w:rPr>
          <w:spacing w:val="-9"/>
        </w:rPr>
        <w:t> </w:t>
      </w:r>
      <w:r>
        <w:rPr/>
        <w:t>el</w:t>
      </w:r>
      <w:r>
        <w:rPr>
          <w:spacing w:val="-11"/>
        </w:rPr>
        <w:t> </w:t>
      </w:r>
      <w:r>
        <w:rPr/>
        <w:t>caso</w:t>
      </w:r>
      <w:r>
        <w:rPr>
          <w:spacing w:val="-9"/>
        </w:rPr>
        <w:t> </w:t>
      </w:r>
      <w:r>
        <w:rPr/>
        <w:t>de</w:t>
      </w:r>
      <w:r>
        <w:rPr>
          <w:spacing w:val="-9"/>
        </w:rPr>
        <w:t> </w:t>
      </w:r>
      <w:r>
        <w:rPr/>
        <w:t>los</w:t>
      </w:r>
      <w:r>
        <w:rPr>
          <w:spacing w:val="-10"/>
        </w:rPr>
        <w:t> </w:t>
      </w:r>
      <w:r>
        <w:rPr/>
        <w:t>rumiantes es frecuentemente asociada con mastitis clínica y subclínica; además se considera que es el patógeno más común de la glándula mamaría de la vaca, lo cual es una preocupación</w:t>
      </w:r>
      <w:r>
        <w:rPr>
          <w:spacing w:val="-4"/>
        </w:rPr>
        <w:t> </w:t>
      </w:r>
      <w:r>
        <w:rPr/>
        <w:t>de</w:t>
      </w:r>
      <w:r>
        <w:rPr>
          <w:spacing w:val="-4"/>
        </w:rPr>
        <w:t> </w:t>
      </w:r>
      <w:r>
        <w:rPr/>
        <w:t>salud</w:t>
      </w:r>
      <w:r>
        <w:rPr>
          <w:spacing w:val="-6"/>
        </w:rPr>
        <w:t> </w:t>
      </w:r>
      <w:r>
        <w:rPr/>
        <w:t>pública</w:t>
      </w:r>
      <w:r>
        <w:rPr>
          <w:spacing w:val="-4"/>
        </w:rPr>
        <w:t> </w:t>
      </w:r>
      <w:r>
        <w:rPr/>
        <w:t>ya</w:t>
      </w:r>
      <w:r>
        <w:rPr>
          <w:spacing w:val="-4"/>
        </w:rPr>
        <w:t> </w:t>
      </w:r>
      <w:r>
        <w:rPr/>
        <w:t>que</w:t>
      </w:r>
      <w:r>
        <w:rPr>
          <w:spacing w:val="-4"/>
        </w:rPr>
        <w:t> </w:t>
      </w:r>
      <w:r>
        <w:rPr/>
        <w:t>se</w:t>
      </w:r>
      <w:r>
        <w:rPr>
          <w:spacing w:val="-4"/>
        </w:rPr>
        <w:t> </w:t>
      </w:r>
      <w:r>
        <w:rPr/>
        <w:t>puede</w:t>
      </w:r>
      <w:r>
        <w:rPr>
          <w:spacing w:val="-4"/>
        </w:rPr>
        <w:t> </w:t>
      </w:r>
      <w:r>
        <w:rPr/>
        <w:t>traducir</w:t>
      </w:r>
      <w:r>
        <w:rPr>
          <w:spacing w:val="-6"/>
        </w:rPr>
        <w:t> </w:t>
      </w:r>
      <w:r>
        <w:rPr/>
        <w:t>en</w:t>
      </w:r>
      <w:r>
        <w:rPr>
          <w:spacing w:val="-4"/>
        </w:rPr>
        <w:t> </w:t>
      </w:r>
      <w:r>
        <w:rPr/>
        <w:t>la</w:t>
      </w:r>
      <w:r>
        <w:rPr>
          <w:spacing w:val="-4"/>
        </w:rPr>
        <w:t> </w:t>
      </w:r>
      <w:r>
        <w:rPr/>
        <w:t>contaminación</w:t>
      </w:r>
      <w:r>
        <w:rPr>
          <w:spacing w:val="-4"/>
        </w:rPr>
        <w:t> </w:t>
      </w:r>
      <w:r>
        <w:rPr/>
        <w:t>de</w:t>
      </w:r>
      <w:r>
        <w:rPr>
          <w:spacing w:val="-4"/>
        </w:rPr>
        <w:t> </w:t>
      </w:r>
      <w:r>
        <w:rPr/>
        <w:t>los alimentos lácteos antes de su tratamiento o durante el procesamiento (Medveďová </w:t>
      </w:r>
      <w:r>
        <w:rPr>
          <w:i/>
        </w:rPr>
        <w:t>et al., </w:t>
      </w:r>
      <w:r>
        <w:rPr/>
        <w:t>2009; Sasidharan </w:t>
      </w:r>
      <w:r>
        <w:rPr>
          <w:i/>
        </w:rPr>
        <w:t>et al.,</w:t>
      </w:r>
      <w:r>
        <w:rPr>
          <w:i/>
          <w:spacing w:val="-13"/>
        </w:rPr>
        <w:t> </w:t>
      </w:r>
      <w:r>
        <w:rPr/>
        <w:t>2011).</w:t>
      </w:r>
    </w:p>
    <w:p>
      <w:pPr>
        <w:spacing w:after="0" w:line="276" w:lineRule="auto"/>
        <w:jc w:val="both"/>
        <w:sectPr>
          <w:footerReference w:type="default" r:id="rId11"/>
          <w:pgSz w:w="12240" w:h="15840"/>
          <w:pgMar w:footer="1135" w:header="728" w:top="1200" w:bottom="1320" w:left="1560" w:right="1560"/>
          <w:pgNumType w:start="1"/>
        </w:sectPr>
      </w:pPr>
    </w:p>
    <w:p>
      <w:pPr>
        <w:pStyle w:val="BodyText"/>
        <w:spacing w:before="9"/>
        <w:rPr>
          <w:sz w:val="12"/>
        </w:rPr>
      </w:pPr>
    </w:p>
    <w:p>
      <w:pPr>
        <w:pStyle w:val="Heading2"/>
        <w:numPr>
          <w:ilvl w:val="1"/>
          <w:numId w:val="3"/>
        </w:numPr>
        <w:tabs>
          <w:tab w:pos="3124" w:val="left" w:leader="none"/>
        </w:tabs>
        <w:spacing w:line="240" w:lineRule="auto" w:before="70" w:after="0"/>
        <w:ind w:left="3123" w:right="0" w:hanging="269"/>
        <w:jc w:val="left"/>
      </w:pPr>
      <w:bookmarkStart w:name="_bookmark9" w:id="11"/>
      <w:bookmarkEnd w:id="11"/>
      <w:r>
        <w:rPr>
          <w:b w:val="0"/>
        </w:rPr>
      </w:r>
      <w:bookmarkStart w:name="_bookmark9" w:id="12"/>
      <w:bookmarkEnd w:id="12"/>
      <w:r>
        <w:rPr/>
        <w:t>REV</w:t>
      </w:r>
      <w:r>
        <w:rPr/>
        <w:t>ISIÓN DE</w:t>
      </w:r>
      <w:r>
        <w:rPr>
          <w:spacing w:val="-8"/>
        </w:rPr>
        <w:t> </w:t>
      </w:r>
      <w:r>
        <w:rPr/>
        <w:t>LITERATURA</w:t>
      </w:r>
    </w:p>
    <w:p>
      <w:pPr>
        <w:pStyle w:val="BodyText"/>
        <w:rPr>
          <w:b/>
        </w:rPr>
      </w:pPr>
    </w:p>
    <w:p>
      <w:pPr>
        <w:pStyle w:val="BodyText"/>
        <w:spacing w:before="3"/>
        <w:rPr>
          <w:b/>
          <w:sz w:val="22"/>
        </w:rPr>
      </w:pPr>
    </w:p>
    <w:p>
      <w:pPr>
        <w:pStyle w:val="ListParagraph"/>
        <w:numPr>
          <w:ilvl w:val="0"/>
          <w:numId w:val="4"/>
        </w:numPr>
        <w:tabs>
          <w:tab w:pos="411" w:val="left" w:leader="none"/>
        </w:tabs>
        <w:spacing w:line="240" w:lineRule="auto" w:before="1" w:after="0"/>
        <w:ind w:left="410" w:right="0" w:hanging="268"/>
        <w:jc w:val="both"/>
        <w:rPr>
          <w:b/>
          <w:i/>
          <w:sz w:val="24"/>
        </w:rPr>
      </w:pPr>
      <w:bookmarkStart w:name="_bookmark10" w:id="13"/>
      <w:bookmarkEnd w:id="13"/>
      <w:r>
        <w:rPr/>
      </w:r>
      <w:bookmarkStart w:name="_bookmark10" w:id="14"/>
      <w:bookmarkEnd w:id="14"/>
      <w:r>
        <w:rPr>
          <w:b/>
          <w:sz w:val="24"/>
        </w:rPr>
        <w:t>B</w:t>
      </w:r>
      <w:r>
        <w:rPr>
          <w:b/>
          <w:sz w:val="24"/>
        </w:rPr>
        <w:t>iología de </w:t>
      </w:r>
      <w:r>
        <w:rPr>
          <w:b/>
          <w:i/>
          <w:sz w:val="24"/>
        </w:rPr>
        <w:t>Staphylococcus</w:t>
      </w:r>
      <w:r>
        <w:rPr>
          <w:b/>
          <w:i/>
          <w:spacing w:val="-10"/>
          <w:sz w:val="24"/>
        </w:rPr>
        <w:t> </w:t>
      </w:r>
      <w:r>
        <w:rPr>
          <w:b/>
          <w:i/>
          <w:sz w:val="24"/>
        </w:rPr>
        <w:t>aureus</w:t>
      </w:r>
    </w:p>
    <w:p>
      <w:pPr>
        <w:pStyle w:val="BodyText"/>
        <w:spacing w:line="276" w:lineRule="auto" w:before="137"/>
        <w:ind w:left="142" w:right="138"/>
        <w:jc w:val="both"/>
      </w:pPr>
      <w:r>
        <w:rPr/>
        <w:t>La</w:t>
      </w:r>
      <w:r>
        <w:rPr>
          <w:spacing w:val="-18"/>
        </w:rPr>
        <w:t> </w:t>
      </w:r>
      <w:r>
        <w:rPr/>
        <w:t>primera</w:t>
      </w:r>
      <w:r>
        <w:rPr>
          <w:spacing w:val="-18"/>
        </w:rPr>
        <w:t> </w:t>
      </w:r>
      <w:r>
        <w:rPr/>
        <w:t>denominación</w:t>
      </w:r>
      <w:r>
        <w:rPr>
          <w:spacing w:val="-18"/>
        </w:rPr>
        <w:t> </w:t>
      </w:r>
      <w:r>
        <w:rPr/>
        <w:t>de</w:t>
      </w:r>
      <w:r>
        <w:rPr>
          <w:spacing w:val="-14"/>
        </w:rPr>
        <w:t> </w:t>
      </w:r>
      <w:r>
        <w:rPr>
          <w:i/>
        </w:rPr>
        <w:t>Staphylococcus</w:t>
      </w:r>
      <w:r>
        <w:rPr>
          <w:i/>
          <w:spacing w:val="-19"/>
        </w:rPr>
        <w:t> </w:t>
      </w:r>
      <w:r>
        <w:rPr/>
        <w:t>fue</w:t>
      </w:r>
      <w:r>
        <w:rPr>
          <w:spacing w:val="-19"/>
        </w:rPr>
        <w:t> </w:t>
      </w:r>
      <w:r>
        <w:rPr/>
        <w:t>mencionada</w:t>
      </w:r>
      <w:r>
        <w:rPr>
          <w:spacing w:val="-19"/>
        </w:rPr>
        <w:t> </w:t>
      </w:r>
      <w:r>
        <w:rPr/>
        <w:t>por</w:t>
      </w:r>
      <w:r>
        <w:rPr>
          <w:spacing w:val="-19"/>
        </w:rPr>
        <w:t> </w:t>
      </w:r>
      <w:r>
        <w:rPr/>
        <w:t>Alexander</w:t>
      </w:r>
      <w:r>
        <w:rPr>
          <w:spacing w:val="-19"/>
        </w:rPr>
        <w:t> </w:t>
      </w:r>
      <w:r>
        <w:rPr/>
        <w:t>Ogston en sus trabajos publicados entre 1879 y 1882, y les dio el nombre de estafilococo (del griego: </w:t>
      </w:r>
      <w:r>
        <w:rPr>
          <w:i/>
        </w:rPr>
        <w:t>staphyle</w:t>
      </w:r>
      <w:r>
        <w:rPr/>
        <w:t>, racimo de uvas y </w:t>
      </w:r>
      <w:r>
        <w:rPr>
          <w:i/>
        </w:rPr>
        <w:t>coccus </w:t>
      </w:r>
      <w:r>
        <w:rPr/>
        <w:t>de un grano de baya) debido al aspecto</w:t>
      </w:r>
      <w:r>
        <w:rPr>
          <w:spacing w:val="-4"/>
        </w:rPr>
        <w:t> </w:t>
      </w:r>
      <w:r>
        <w:rPr/>
        <w:t>que</w:t>
      </w:r>
      <w:r>
        <w:rPr>
          <w:spacing w:val="-6"/>
        </w:rPr>
        <w:t> </w:t>
      </w:r>
      <w:r>
        <w:rPr/>
        <w:t>presentan</w:t>
      </w:r>
      <w:r>
        <w:rPr>
          <w:spacing w:val="-6"/>
        </w:rPr>
        <w:t> </w:t>
      </w:r>
      <w:r>
        <w:rPr/>
        <w:t>al</w:t>
      </w:r>
      <w:r>
        <w:rPr>
          <w:spacing w:val="-5"/>
        </w:rPr>
        <w:t> </w:t>
      </w:r>
      <w:r>
        <w:rPr/>
        <w:t>ser</w:t>
      </w:r>
      <w:r>
        <w:rPr>
          <w:spacing w:val="-7"/>
        </w:rPr>
        <w:t> </w:t>
      </w:r>
      <w:r>
        <w:rPr/>
        <w:t>observados</w:t>
      </w:r>
      <w:r>
        <w:rPr>
          <w:spacing w:val="-7"/>
        </w:rPr>
        <w:t> </w:t>
      </w:r>
      <w:r>
        <w:rPr/>
        <w:t>en</w:t>
      </w:r>
      <w:r>
        <w:rPr>
          <w:spacing w:val="-8"/>
        </w:rPr>
        <w:t> </w:t>
      </w:r>
      <w:r>
        <w:rPr/>
        <w:t>el</w:t>
      </w:r>
      <w:r>
        <w:rPr>
          <w:spacing w:val="-5"/>
        </w:rPr>
        <w:t> </w:t>
      </w:r>
      <w:r>
        <w:rPr/>
        <w:t>microscopio</w:t>
      </w:r>
      <w:r>
        <w:rPr>
          <w:spacing w:val="-4"/>
        </w:rPr>
        <w:t> </w:t>
      </w:r>
      <w:r>
        <w:rPr/>
        <w:t>(Adams</w:t>
      </w:r>
      <w:r>
        <w:rPr>
          <w:spacing w:val="-7"/>
        </w:rPr>
        <w:t> </w:t>
      </w:r>
      <w:r>
        <w:rPr/>
        <w:t>y</w:t>
      </w:r>
      <w:r>
        <w:rPr>
          <w:spacing w:val="-7"/>
        </w:rPr>
        <w:t> </w:t>
      </w:r>
      <w:r>
        <w:rPr/>
        <w:t>Moss,</w:t>
      </w:r>
      <w:r>
        <w:rPr>
          <w:spacing w:val="-4"/>
        </w:rPr>
        <w:t> </w:t>
      </w:r>
      <w:r>
        <w:rPr/>
        <w:t>2002).</w:t>
      </w:r>
    </w:p>
    <w:p>
      <w:pPr>
        <w:pStyle w:val="BodyText"/>
        <w:spacing w:before="4"/>
        <w:rPr>
          <w:sz w:val="27"/>
        </w:rPr>
      </w:pPr>
    </w:p>
    <w:p>
      <w:pPr>
        <w:pStyle w:val="BodyText"/>
        <w:spacing w:line="276" w:lineRule="auto"/>
        <w:ind w:left="142" w:right="135"/>
        <w:jc w:val="both"/>
      </w:pPr>
      <w:r>
        <w:rPr/>
        <w:t>El</w:t>
      </w:r>
      <w:r>
        <w:rPr>
          <w:spacing w:val="-18"/>
        </w:rPr>
        <w:t> </w:t>
      </w:r>
      <w:r>
        <w:rPr/>
        <w:t>género</w:t>
      </w:r>
      <w:r>
        <w:rPr>
          <w:spacing w:val="-16"/>
        </w:rPr>
        <w:t> </w:t>
      </w:r>
      <w:r>
        <w:rPr>
          <w:i/>
        </w:rPr>
        <w:t>Staphylococcus</w:t>
      </w:r>
      <w:r>
        <w:rPr>
          <w:i/>
          <w:spacing w:val="-15"/>
        </w:rPr>
        <w:t> </w:t>
      </w:r>
      <w:r>
        <w:rPr/>
        <w:t>pertenece</w:t>
      </w:r>
      <w:r>
        <w:rPr>
          <w:spacing w:val="-17"/>
        </w:rPr>
        <w:t> </w:t>
      </w:r>
      <w:r>
        <w:rPr/>
        <w:t>la</w:t>
      </w:r>
      <w:r>
        <w:rPr>
          <w:spacing w:val="-19"/>
        </w:rPr>
        <w:t> </w:t>
      </w:r>
      <w:r>
        <w:rPr/>
        <w:t>familia</w:t>
      </w:r>
      <w:r>
        <w:rPr>
          <w:spacing w:val="-15"/>
        </w:rPr>
        <w:t> </w:t>
      </w:r>
      <w:r>
        <w:rPr>
          <w:i/>
        </w:rPr>
        <w:t>Micrococcaceae</w:t>
      </w:r>
      <w:r>
        <w:rPr/>
        <w:t>;</w:t>
      </w:r>
      <w:r>
        <w:rPr>
          <w:spacing w:val="-19"/>
        </w:rPr>
        <w:t> </w:t>
      </w:r>
      <w:r>
        <w:rPr/>
        <w:t>del</w:t>
      </w:r>
      <w:r>
        <w:rPr>
          <w:spacing w:val="-20"/>
        </w:rPr>
        <w:t> </w:t>
      </w:r>
      <w:r>
        <w:rPr/>
        <w:t>cual</w:t>
      </w:r>
      <w:r>
        <w:rPr>
          <w:spacing w:val="-18"/>
        </w:rPr>
        <w:t> </w:t>
      </w:r>
      <w:r>
        <w:rPr/>
        <w:t>se</w:t>
      </w:r>
      <w:r>
        <w:rPr>
          <w:spacing w:val="-17"/>
        </w:rPr>
        <w:t> </w:t>
      </w:r>
      <w:r>
        <w:rPr/>
        <w:t>conocen 33 especies de </w:t>
      </w:r>
      <w:r>
        <w:rPr>
          <w:i/>
        </w:rPr>
        <w:t>Staphylococcus, </w:t>
      </w:r>
      <w:r>
        <w:rPr/>
        <w:t>16 de las cuales se localizan en los humanos formando parte de la microbiota de la piel y mucosas y otras sólo se encuentran</w:t>
      </w:r>
      <w:r>
        <w:rPr>
          <w:spacing w:val="-32"/>
        </w:rPr>
        <w:t> </w:t>
      </w:r>
      <w:r>
        <w:rPr/>
        <w:t>en otros mamíferos y aves; son considerados anaerobios/aerobios facultativos, son bacterias esféricas Gram-positivas generalmente positivas a la prueba de</w:t>
      </w:r>
      <w:r>
        <w:rPr>
          <w:spacing w:val="-30"/>
        </w:rPr>
        <w:t> </w:t>
      </w:r>
      <w:r>
        <w:rPr/>
        <w:t>catalasa, según la especie y dependiendo del tipo de cultivo, las células bacterianas tienen un</w:t>
      </w:r>
      <w:r>
        <w:rPr>
          <w:spacing w:val="-8"/>
        </w:rPr>
        <w:t> </w:t>
      </w:r>
      <w:r>
        <w:rPr/>
        <w:t>diámetro</w:t>
      </w:r>
      <w:r>
        <w:rPr>
          <w:spacing w:val="-9"/>
        </w:rPr>
        <w:t> </w:t>
      </w:r>
      <w:r>
        <w:rPr/>
        <w:t>de</w:t>
      </w:r>
      <w:r>
        <w:rPr>
          <w:spacing w:val="-8"/>
        </w:rPr>
        <w:t> </w:t>
      </w:r>
      <w:r>
        <w:rPr/>
        <w:t>0.5</w:t>
      </w:r>
      <w:r>
        <w:rPr>
          <w:spacing w:val="-8"/>
        </w:rPr>
        <w:t> </w:t>
      </w:r>
      <w:r>
        <w:rPr/>
        <w:t>a</w:t>
      </w:r>
      <w:r>
        <w:rPr>
          <w:spacing w:val="-11"/>
        </w:rPr>
        <w:t> </w:t>
      </w:r>
      <w:r>
        <w:rPr/>
        <w:t>1.5</w:t>
      </w:r>
      <w:r>
        <w:rPr>
          <w:spacing w:val="-8"/>
        </w:rPr>
        <w:t> </w:t>
      </w:r>
      <w:r>
        <w:rPr/>
        <w:t>µm,</w:t>
      </w:r>
      <w:r>
        <w:rPr>
          <w:spacing w:val="-9"/>
        </w:rPr>
        <w:t> </w:t>
      </w:r>
      <w:r>
        <w:rPr/>
        <w:t>el</w:t>
      </w:r>
      <w:r>
        <w:rPr>
          <w:spacing w:val="-10"/>
        </w:rPr>
        <w:t> </w:t>
      </w:r>
      <w:r>
        <w:rPr/>
        <w:t>género</w:t>
      </w:r>
      <w:r>
        <w:rPr>
          <w:spacing w:val="-5"/>
        </w:rPr>
        <w:t> </w:t>
      </w:r>
      <w:r>
        <w:rPr>
          <w:i/>
        </w:rPr>
        <w:t>Staphylococcus</w:t>
      </w:r>
      <w:r>
        <w:rPr>
          <w:i/>
          <w:spacing w:val="-8"/>
        </w:rPr>
        <w:t> </w:t>
      </w:r>
      <w:r>
        <w:rPr/>
        <w:t>se</w:t>
      </w:r>
      <w:r>
        <w:rPr>
          <w:spacing w:val="-11"/>
        </w:rPr>
        <w:t> </w:t>
      </w:r>
      <w:r>
        <w:rPr/>
        <w:t>clasifica</w:t>
      </w:r>
      <w:r>
        <w:rPr>
          <w:spacing w:val="-11"/>
        </w:rPr>
        <w:t> </w:t>
      </w:r>
      <w:r>
        <w:rPr/>
        <w:t>por</w:t>
      </w:r>
      <w:r>
        <w:rPr>
          <w:spacing w:val="-10"/>
        </w:rPr>
        <w:t> </w:t>
      </w:r>
      <w:r>
        <w:rPr/>
        <w:t>la</w:t>
      </w:r>
      <w:r>
        <w:rPr>
          <w:spacing w:val="-9"/>
        </w:rPr>
        <w:t> </w:t>
      </w:r>
      <w:r>
        <w:rPr/>
        <w:t>prueba</w:t>
      </w:r>
      <w:r>
        <w:rPr>
          <w:spacing w:val="-8"/>
        </w:rPr>
        <w:t> </w:t>
      </w:r>
      <w:r>
        <w:rPr/>
        <w:t>de coagulasa en tubo como </w:t>
      </w:r>
      <w:r>
        <w:rPr>
          <w:i/>
        </w:rPr>
        <w:t>Staphylococcus </w:t>
      </w:r>
      <w:r>
        <w:rPr/>
        <w:t>coagulasa positivos y negativos, poseen citocromo y menaquinona en la cadena respiratoria, </w:t>
      </w:r>
      <w:r>
        <w:rPr>
          <w:i/>
        </w:rPr>
        <w:t>Staphylococcus aureus </w:t>
      </w:r>
      <w:r>
        <w:rPr/>
        <w:t>es el agente de mayor importancia clínica y sanitario entre los estafilococos (Sandel y McKillip, 2004; Cervantes-García </w:t>
      </w:r>
      <w:r>
        <w:rPr>
          <w:i/>
        </w:rPr>
        <w:t>et al.,</w:t>
      </w:r>
      <w:r>
        <w:rPr>
          <w:i/>
          <w:spacing w:val="-13"/>
        </w:rPr>
        <w:t> </w:t>
      </w:r>
      <w:r>
        <w:rPr/>
        <w:t>2014).</w:t>
      </w:r>
    </w:p>
    <w:p>
      <w:pPr>
        <w:pStyle w:val="BodyText"/>
        <w:spacing w:before="9"/>
        <w:rPr>
          <w:sz w:val="27"/>
        </w:rPr>
      </w:pPr>
    </w:p>
    <w:p>
      <w:pPr>
        <w:pStyle w:val="BodyText"/>
        <w:spacing w:line="276" w:lineRule="auto"/>
        <w:ind w:left="142" w:right="136"/>
        <w:jc w:val="both"/>
      </w:pPr>
      <w:r>
        <w:rPr>
          <w:i/>
        </w:rPr>
        <w:t>Staphylococcus aureus </w:t>
      </w:r>
      <w:r>
        <w:rPr/>
        <w:t>(S</w:t>
      </w:r>
      <w:r>
        <w:rPr>
          <w:i/>
        </w:rPr>
        <w:t>. aureus)</w:t>
      </w:r>
      <w:r>
        <w:rPr/>
        <w:t>, es una bacteria no móvil, Gram positiva, no formadora de esporas, anaerobia facultativa, que fermenta la mayoría de los azúcares excepto rafinosa y salicina produciendo ácido láctico durante la fermentación (Khakpoor y Safarmashael, 2011). La división celular tiene lugar en más</w:t>
      </w:r>
      <w:r>
        <w:rPr>
          <w:spacing w:val="-14"/>
        </w:rPr>
        <w:t> </w:t>
      </w:r>
      <w:r>
        <w:rPr/>
        <w:t>de</w:t>
      </w:r>
      <w:r>
        <w:rPr>
          <w:spacing w:val="-13"/>
        </w:rPr>
        <w:t> </w:t>
      </w:r>
      <w:r>
        <w:rPr/>
        <w:t>un</w:t>
      </w:r>
      <w:r>
        <w:rPr>
          <w:spacing w:val="-13"/>
        </w:rPr>
        <w:t> </w:t>
      </w:r>
      <w:r>
        <w:rPr/>
        <w:t>plano</w:t>
      </w:r>
      <w:r>
        <w:rPr>
          <w:spacing w:val="-13"/>
        </w:rPr>
        <w:t> </w:t>
      </w:r>
      <w:r>
        <w:rPr/>
        <w:t>por</w:t>
      </w:r>
      <w:r>
        <w:rPr>
          <w:spacing w:val="-15"/>
        </w:rPr>
        <w:t> </w:t>
      </w:r>
      <w:r>
        <w:rPr/>
        <w:t>lo</w:t>
      </w:r>
      <w:r>
        <w:rPr>
          <w:spacing w:val="-13"/>
        </w:rPr>
        <w:t> </w:t>
      </w:r>
      <w:r>
        <w:rPr/>
        <w:t>que</w:t>
      </w:r>
      <w:r>
        <w:rPr>
          <w:spacing w:val="-13"/>
        </w:rPr>
        <w:t> </w:t>
      </w:r>
      <w:r>
        <w:rPr/>
        <w:t>las</w:t>
      </w:r>
      <w:r>
        <w:rPr>
          <w:spacing w:val="-13"/>
        </w:rPr>
        <w:t> </w:t>
      </w:r>
      <w:r>
        <w:rPr/>
        <w:t>células</w:t>
      </w:r>
      <w:r>
        <w:rPr>
          <w:spacing w:val="-14"/>
        </w:rPr>
        <w:t> </w:t>
      </w:r>
      <w:r>
        <w:rPr/>
        <w:t>forman</w:t>
      </w:r>
      <w:r>
        <w:rPr>
          <w:spacing w:val="-16"/>
        </w:rPr>
        <w:t> </w:t>
      </w:r>
      <w:r>
        <w:rPr/>
        <w:t>agrupaciones</w:t>
      </w:r>
      <w:r>
        <w:rPr>
          <w:spacing w:val="-14"/>
        </w:rPr>
        <w:t> </w:t>
      </w:r>
      <w:r>
        <w:rPr/>
        <w:t>irregulares</w:t>
      </w:r>
      <w:r>
        <w:rPr>
          <w:spacing w:val="-14"/>
        </w:rPr>
        <w:t> </w:t>
      </w:r>
      <w:r>
        <w:rPr/>
        <w:t>que</w:t>
      </w:r>
      <w:r>
        <w:rPr>
          <w:spacing w:val="-13"/>
        </w:rPr>
        <w:t> </w:t>
      </w:r>
      <w:r>
        <w:rPr/>
        <w:t>simulan racimos de uvas, aunque también pueden encontrarse como células únicas, en pares, tétradas, en cadenas cortas (Adams y Moss, 2002, Bustos Martínez </w:t>
      </w:r>
      <w:r>
        <w:rPr>
          <w:i/>
        </w:rPr>
        <w:t>et al., </w:t>
      </w:r>
      <w:r>
        <w:rPr/>
        <w:t>2006; Cervantes-García </w:t>
      </w:r>
      <w:r>
        <w:rPr>
          <w:i/>
        </w:rPr>
        <w:t>et al.</w:t>
      </w:r>
      <w:r>
        <w:rPr/>
        <w:t>, 2014)). Es un mesófilo con un intervalo de crecimiento entre 7 y 48 °C y una temperatura óptima de 35-40 °C, crece a valores de pH de 4.8-9.3, la escala de producción de enterotoxina es más reducida produciéndose a pH inferior a 8,0 como se observa en el cuadro 1 (Adams y Moss, 2002, Mai </w:t>
      </w:r>
      <w:r>
        <w:rPr>
          <w:i/>
        </w:rPr>
        <w:t>et al.,</w:t>
      </w:r>
      <w:r>
        <w:rPr>
          <w:i/>
          <w:spacing w:val="-8"/>
        </w:rPr>
        <w:t> </w:t>
      </w:r>
      <w:r>
        <w:rPr/>
        <w:t>2010).</w:t>
      </w:r>
    </w:p>
    <w:p>
      <w:pPr>
        <w:pStyle w:val="BodyText"/>
        <w:rPr>
          <w:sz w:val="28"/>
        </w:rPr>
      </w:pPr>
    </w:p>
    <w:p>
      <w:pPr>
        <w:pStyle w:val="BodyText"/>
        <w:spacing w:line="276" w:lineRule="auto"/>
        <w:ind w:left="142" w:right="144"/>
        <w:jc w:val="both"/>
      </w:pPr>
      <w:r>
        <w:rPr/>
        <w:t>Tienen un contenido de G+C en la composición del DNA de 30 a 40 mol%, poseen una pared celular típica que contiene peptidoglucano y ácidos teicoicos, sensibles a las β-lactamasas, a las tetraciclinas, a los macrólidos, a las lincosamidas, a la novobiocina y al cloranfenicol pero son resistentes a la polimixina y al polieno (Jablonski y Bohach, 2000).</w:t>
      </w:r>
    </w:p>
    <w:p>
      <w:pPr>
        <w:spacing w:after="0" w:line="276" w:lineRule="auto"/>
        <w:jc w:val="both"/>
        <w:sectPr>
          <w:pgSz w:w="12240" w:h="15840"/>
          <w:pgMar w:header="728" w:footer="1135" w:top="1200" w:bottom="1320" w:left="1560" w:right="1560"/>
        </w:sectPr>
      </w:pPr>
    </w:p>
    <w:p>
      <w:pPr>
        <w:pStyle w:val="BodyText"/>
        <w:spacing w:before="7"/>
        <w:rPr>
          <w:sz w:val="12"/>
        </w:rPr>
      </w:pPr>
    </w:p>
    <w:p>
      <w:pPr>
        <w:spacing w:before="69"/>
        <w:ind w:left="142" w:right="1550" w:firstLine="0"/>
        <w:jc w:val="left"/>
        <w:rPr>
          <w:i/>
          <w:sz w:val="24"/>
        </w:rPr>
      </w:pPr>
      <w:r>
        <w:rPr>
          <w:sz w:val="24"/>
        </w:rPr>
        <w:t>Cuadro 1: Características de S</w:t>
      </w:r>
      <w:r>
        <w:rPr>
          <w:i/>
          <w:sz w:val="24"/>
        </w:rPr>
        <w:t>taphylococcus aureus.</w:t>
      </w:r>
    </w:p>
    <w:p>
      <w:pPr>
        <w:pStyle w:val="BodyText"/>
        <w:spacing w:before="8"/>
        <w:rPr>
          <w:i/>
          <w:sz w:val="22"/>
        </w:rPr>
      </w:pPr>
    </w:p>
    <w:tbl>
      <w:tblPr>
        <w:tblW w:w="0" w:type="auto"/>
        <w:jc w:val="left"/>
        <w:tblInd w:w="23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58"/>
        <w:gridCol w:w="1245"/>
      </w:tblGrid>
      <w:tr>
        <w:trPr>
          <w:trHeight w:val="475" w:hRule="exact"/>
        </w:trPr>
        <w:tc>
          <w:tcPr>
            <w:tcW w:w="3258" w:type="dxa"/>
            <w:tcBorders>
              <w:right w:val="nil"/>
            </w:tcBorders>
            <w:shd w:val="clear" w:color="auto" w:fill="808080"/>
          </w:tcPr>
          <w:p>
            <w:pPr>
              <w:pStyle w:val="TableParagraph"/>
              <w:spacing w:line="274" w:lineRule="exact"/>
              <w:jc w:val="left"/>
              <w:rPr>
                <w:sz w:val="24"/>
              </w:rPr>
            </w:pPr>
            <w:r>
              <w:rPr>
                <w:color w:val="FFFFFF"/>
                <w:sz w:val="24"/>
              </w:rPr>
              <w:t>Característica</w:t>
            </w:r>
          </w:p>
        </w:tc>
        <w:tc>
          <w:tcPr>
            <w:tcW w:w="1245" w:type="dxa"/>
            <w:tcBorders>
              <w:left w:val="nil"/>
            </w:tcBorders>
            <w:shd w:val="clear" w:color="auto" w:fill="808080"/>
          </w:tcPr>
          <w:p>
            <w:pPr>
              <w:pStyle w:val="TableParagraph"/>
              <w:spacing w:line="272" w:lineRule="exact"/>
              <w:ind w:left="109"/>
              <w:jc w:val="left"/>
              <w:rPr>
                <w:i/>
                <w:sz w:val="24"/>
              </w:rPr>
            </w:pPr>
            <w:r>
              <w:rPr>
                <w:i/>
                <w:color w:val="FFFFFF"/>
                <w:sz w:val="24"/>
              </w:rPr>
              <w:t>S. aureus</w:t>
            </w:r>
          </w:p>
        </w:tc>
      </w:tr>
      <w:tr>
        <w:trPr>
          <w:trHeight w:val="422" w:hRule="exact"/>
        </w:trPr>
        <w:tc>
          <w:tcPr>
            <w:tcW w:w="3258" w:type="dxa"/>
            <w:tcBorders>
              <w:right w:val="nil"/>
            </w:tcBorders>
          </w:tcPr>
          <w:p>
            <w:pPr>
              <w:pStyle w:val="TableParagraph"/>
              <w:spacing w:line="274" w:lineRule="exact"/>
              <w:jc w:val="left"/>
              <w:rPr>
                <w:sz w:val="24"/>
              </w:rPr>
            </w:pPr>
            <w:r>
              <w:rPr>
                <w:sz w:val="24"/>
              </w:rPr>
              <w:t>Coagulasa</w:t>
            </w:r>
          </w:p>
        </w:tc>
        <w:tc>
          <w:tcPr>
            <w:tcW w:w="1245" w:type="dxa"/>
            <w:tcBorders>
              <w:left w:val="nil"/>
            </w:tcBorders>
          </w:tcPr>
          <w:p>
            <w:pPr>
              <w:pStyle w:val="TableParagraph"/>
              <w:spacing w:line="274" w:lineRule="exact"/>
              <w:ind w:left="109"/>
              <w:jc w:val="left"/>
              <w:rPr>
                <w:sz w:val="24"/>
              </w:rPr>
            </w:pPr>
            <w:r>
              <w:rPr>
                <w:w w:val="100"/>
                <w:sz w:val="24"/>
              </w:rPr>
              <w:t>+</w:t>
            </w:r>
          </w:p>
        </w:tc>
      </w:tr>
      <w:tr>
        <w:trPr>
          <w:trHeight w:val="475" w:hRule="exact"/>
        </w:trPr>
        <w:tc>
          <w:tcPr>
            <w:tcW w:w="3258" w:type="dxa"/>
            <w:tcBorders>
              <w:right w:val="nil"/>
            </w:tcBorders>
          </w:tcPr>
          <w:p>
            <w:pPr>
              <w:pStyle w:val="TableParagraph"/>
              <w:jc w:val="left"/>
              <w:rPr>
                <w:sz w:val="24"/>
              </w:rPr>
            </w:pPr>
            <w:r>
              <w:rPr>
                <w:sz w:val="24"/>
              </w:rPr>
              <w:t>Nucleasa termoestable</w:t>
            </w:r>
          </w:p>
        </w:tc>
        <w:tc>
          <w:tcPr>
            <w:tcW w:w="1245" w:type="dxa"/>
            <w:tcBorders>
              <w:left w:val="nil"/>
            </w:tcBorders>
          </w:tcPr>
          <w:p>
            <w:pPr>
              <w:pStyle w:val="TableParagraph"/>
              <w:ind w:left="109"/>
              <w:jc w:val="left"/>
              <w:rPr>
                <w:sz w:val="24"/>
              </w:rPr>
            </w:pPr>
            <w:r>
              <w:rPr>
                <w:w w:val="100"/>
                <w:sz w:val="24"/>
              </w:rPr>
              <w:t>+</w:t>
            </w:r>
          </w:p>
        </w:tc>
      </w:tr>
      <w:tr>
        <w:trPr>
          <w:trHeight w:val="473" w:hRule="exact"/>
        </w:trPr>
        <w:tc>
          <w:tcPr>
            <w:tcW w:w="3258" w:type="dxa"/>
            <w:tcBorders>
              <w:right w:val="nil"/>
            </w:tcBorders>
          </w:tcPr>
          <w:p>
            <w:pPr>
              <w:pStyle w:val="TableParagraph"/>
              <w:spacing w:line="274" w:lineRule="exact"/>
              <w:jc w:val="left"/>
              <w:rPr>
                <w:sz w:val="24"/>
              </w:rPr>
            </w:pPr>
            <w:r>
              <w:rPr>
                <w:sz w:val="24"/>
              </w:rPr>
              <w:t>Factor de agregación</w:t>
            </w:r>
          </w:p>
        </w:tc>
        <w:tc>
          <w:tcPr>
            <w:tcW w:w="1245" w:type="dxa"/>
            <w:tcBorders>
              <w:left w:val="nil"/>
            </w:tcBorders>
          </w:tcPr>
          <w:p>
            <w:pPr>
              <w:pStyle w:val="TableParagraph"/>
              <w:spacing w:line="274" w:lineRule="exact"/>
              <w:ind w:left="109"/>
              <w:jc w:val="left"/>
              <w:rPr>
                <w:sz w:val="24"/>
              </w:rPr>
            </w:pPr>
            <w:r>
              <w:rPr>
                <w:w w:val="100"/>
                <w:sz w:val="24"/>
              </w:rPr>
              <w:t>+</w:t>
            </w:r>
          </w:p>
        </w:tc>
      </w:tr>
      <w:tr>
        <w:trPr>
          <w:trHeight w:val="475" w:hRule="exact"/>
        </w:trPr>
        <w:tc>
          <w:tcPr>
            <w:tcW w:w="3258" w:type="dxa"/>
            <w:tcBorders>
              <w:right w:val="nil"/>
            </w:tcBorders>
          </w:tcPr>
          <w:p>
            <w:pPr>
              <w:pStyle w:val="TableParagraph"/>
              <w:jc w:val="left"/>
              <w:rPr>
                <w:sz w:val="24"/>
              </w:rPr>
            </w:pPr>
            <w:r>
              <w:rPr>
                <w:sz w:val="24"/>
              </w:rPr>
              <w:t>Pigmento amarillo</w:t>
            </w:r>
          </w:p>
        </w:tc>
        <w:tc>
          <w:tcPr>
            <w:tcW w:w="1245" w:type="dxa"/>
            <w:tcBorders>
              <w:left w:val="nil"/>
            </w:tcBorders>
          </w:tcPr>
          <w:p>
            <w:pPr>
              <w:pStyle w:val="TableParagraph"/>
              <w:ind w:left="109"/>
              <w:jc w:val="left"/>
              <w:rPr>
                <w:sz w:val="24"/>
              </w:rPr>
            </w:pPr>
            <w:r>
              <w:rPr>
                <w:w w:val="100"/>
                <w:sz w:val="24"/>
              </w:rPr>
              <w:t>+</w:t>
            </w:r>
          </w:p>
        </w:tc>
      </w:tr>
      <w:tr>
        <w:trPr>
          <w:trHeight w:val="473" w:hRule="exact"/>
        </w:trPr>
        <w:tc>
          <w:tcPr>
            <w:tcW w:w="3258" w:type="dxa"/>
            <w:tcBorders>
              <w:right w:val="nil"/>
            </w:tcBorders>
          </w:tcPr>
          <w:p>
            <w:pPr>
              <w:pStyle w:val="TableParagraph"/>
              <w:spacing w:line="274" w:lineRule="exact"/>
              <w:jc w:val="left"/>
              <w:rPr>
                <w:sz w:val="24"/>
              </w:rPr>
            </w:pPr>
            <w:r>
              <w:rPr>
                <w:sz w:val="24"/>
              </w:rPr>
              <w:t>Actividad hemolítica</w:t>
            </w:r>
          </w:p>
        </w:tc>
        <w:tc>
          <w:tcPr>
            <w:tcW w:w="1245" w:type="dxa"/>
            <w:tcBorders>
              <w:left w:val="nil"/>
            </w:tcBorders>
          </w:tcPr>
          <w:p>
            <w:pPr>
              <w:pStyle w:val="TableParagraph"/>
              <w:spacing w:line="274" w:lineRule="exact"/>
              <w:ind w:left="109"/>
              <w:jc w:val="left"/>
              <w:rPr>
                <w:sz w:val="24"/>
              </w:rPr>
            </w:pPr>
            <w:r>
              <w:rPr>
                <w:w w:val="100"/>
                <w:sz w:val="24"/>
              </w:rPr>
              <w:t>+</w:t>
            </w:r>
          </w:p>
        </w:tc>
      </w:tr>
      <w:tr>
        <w:trPr>
          <w:trHeight w:val="475" w:hRule="exact"/>
        </w:trPr>
        <w:tc>
          <w:tcPr>
            <w:tcW w:w="3258" w:type="dxa"/>
            <w:tcBorders>
              <w:right w:val="nil"/>
            </w:tcBorders>
          </w:tcPr>
          <w:p>
            <w:pPr>
              <w:pStyle w:val="TableParagraph"/>
              <w:jc w:val="left"/>
              <w:rPr>
                <w:sz w:val="24"/>
              </w:rPr>
            </w:pPr>
            <w:r>
              <w:rPr>
                <w:sz w:val="24"/>
              </w:rPr>
              <w:t>Fosfatasa</w:t>
            </w:r>
          </w:p>
        </w:tc>
        <w:tc>
          <w:tcPr>
            <w:tcW w:w="1245" w:type="dxa"/>
            <w:tcBorders>
              <w:left w:val="nil"/>
            </w:tcBorders>
          </w:tcPr>
          <w:p>
            <w:pPr>
              <w:pStyle w:val="TableParagraph"/>
              <w:ind w:left="109"/>
              <w:jc w:val="left"/>
              <w:rPr>
                <w:sz w:val="24"/>
              </w:rPr>
            </w:pPr>
            <w:r>
              <w:rPr>
                <w:w w:val="100"/>
                <w:sz w:val="24"/>
              </w:rPr>
              <w:t>+</w:t>
            </w:r>
          </w:p>
        </w:tc>
      </w:tr>
      <w:tr>
        <w:trPr>
          <w:trHeight w:val="473" w:hRule="exact"/>
        </w:trPr>
        <w:tc>
          <w:tcPr>
            <w:tcW w:w="3258" w:type="dxa"/>
            <w:tcBorders>
              <w:right w:val="nil"/>
            </w:tcBorders>
          </w:tcPr>
          <w:p>
            <w:pPr>
              <w:pStyle w:val="TableParagraph"/>
              <w:spacing w:line="274" w:lineRule="exact"/>
              <w:jc w:val="left"/>
              <w:rPr>
                <w:sz w:val="24"/>
              </w:rPr>
            </w:pPr>
            <w:r>
              <w:rPr>
                <w:sz w:val="24"/>
              </w:rPr>
              <w:t>Lisostafina</w:t>
            </w:r>
          </w:p>
        </w:tc>
        <w:tc>
          <w:tcPr>
            <w:tcW w:w="1245" w:type="dxa"/>
            <w:tcBorders>
              <w:left w:val="nil"/>
            </w:tcBorders>
          </w:tcPr>
          <w:p>
            <w:pPr>
              <w:pStyle w:val="TableParagraph"/>
              <w:spacing w:line="274" w:lineRule="exact"/>
              <w:ind w:left="109"/>
              <w:jc w:val="left"/>
              <w:rPr>
                <w:sz w:val="24"/>
              </w:rPr>
            </w:pPr>
            <w:r>
              <w:rPr>
                <w:sz w:val="24"/>
              </w:rPr>
              <w:t>Sensible</w:t>
            </w:r>
          </w:p>
        </w:tc>
      </w:tr>
      <w:tr>
        <w:trPr>
          <w:trHeight w:val="475" w:hRule="exact"/>
        </w:trPr>
        <w:tc>
          <w:tcPr>
            <w:tcW w:w="3258" w:type="dxa"/>
            <w:tcBorders>
              <w:right w:val="nil"/>
            </w:tcBorders>
          </w:tcPr>
          <w:p>
            <w:pPr>
              <w:pStyle w:val="TableParagraph"/>
              <w:jc w:val="left"/>
              <w:rPr>
                <w:sz w:val="24"/>
              </w:rPr>
            </w:pPr>
            <w:r>
              <w:rPr>
                <w:sz w:val="24"/>
              </w:rPr>
              <w:t>Hialuronidasa</w:t>
            </w:r>
          </w:p>
        </w:tc>
        <w:tc>
          <w:tcPr>
            <w:tcW w:w="1245" w:type="dxa"/>
            <w:tcBorders>
              <w:left w:val="nil"/>
            </w:tcBorders>
          </w:tcPr>
          <w:p>
            <w:pPr>
              <w:pStyle w:val="TableParagraph"/>
              <w:ind w:left="109"/>
              <w:jc w:val="left"/>
              <w:rPr>
                <w:sz w:val="24"/>
              </w:rPr>
            </w:pPr>
            <w:r>
              <w:rPr>
                <w:w w:val="100"/>
                <w:sz w:val="24"/>
              </w:rPr>
              <w:t>+</w:t>
            </w:r>
          </w:p>
        </w:tc>
      </w:tr>
      <w:tr>
        <w:trPr>
          <w:trHeight w:val="473" w:hRule="exact"/>
        </w:trPr>
        <w:tc>
          <w:tcPr>
            <w:tcW w:w="3258" w:type="dxa"/>
            <w:tcBorders>
              <w:right w:val="nil"/>
            </w:tcBorders>
          </w:tcPr>
          <w:p>
            <w:pPr>
              <w:pStyle w:val="TableParagraph"/>
              <w:spacing w:line="274" w:lineRule="exact"/>
              <w:jc w:val="left"/>
              <w:rPr>
                <w:sz w:val="24"/>
              </w:rPr>
            </w:pPr>
            <w:r>
              <w:rPr>
                <w:sz w:val="24"/>
              </w:rPr>
              <w:t>Fermentación de manitol</w:t>
            </w:r>
          </w:p>
        </w:tc>
        <w:tc>
          <w:tcPr>
            <w:tcW w:w="1245" w:type="dxa"/>
            <w:tcBorders>
              <w:left w:val="nil"/>
            </w:tcBorders>
          </w:tcPr>
          <w:p>
            <w:pPr>
              <w:pStyle w:val="TableParagraph"/>
              <w:spacing w:line="274" w:lineRule="exact"/>
              <w:ind w:left="109"/>
              <w:jc w:val="left"/>
              <w:rPr>
                <w:sz w:val="24"/>
              </w:rPr>
            </w:pPr>
            <w:r>
              <w:rPr>
                <w:w w:val="100"/>
                <w:sz w:val="24"/>
              </w:rPr>
              <w:t>+</w:t>
            </w:r>
          </w:p>
        </w:tc>
      </w:tr>
      <w:tr>
        <w:trPr>
          <w:trHeight w:val="475" w:hRule="exact"/>
        </w:trPr>
        <w:tc>
          <w:tcPr>
            <w:tcW w:w="3258" w:type="dxa"/>
            <w:tcBorders>
              <w:right w:val="nil"/>
            </w:tcBorders>
          </w:tcPr>
          <w:p>
            <w:pPr>
              <w:pStyle w:val="TableParagraph"/>
              <w:jc w:val="left"/>
              <w:rPr>
                <w:sz w:val="24"/>
              </w:rPr>
            </w:pPr>
            <w:r>
              <w:rPr>
                <w:sz w:val="24"/>
              </w:rPr>
              <w:t>Resistencia a la novobiocina</w:t>
            </w:r>
          </w:p>
        </w:tc>
        <w:tc>
          <w:tcPr>
            <w:tcW w:w="1245" w:type="dxa"/>
            <w:tcBorders>
              <w:left w:val="nil"/>
            </w:tcBorders>
          </w:tcPr>
          <w:p>
            <w:pPr>
              <w:pStyle w:val="TableParagraph"/>
              <w:ind w:left="109"/>
              <w:jc w:val="left"/>
              <w:rPr>
                <w:sz w:val="24"/>
              </w:rPr>
            </w:pPr>
            <w:r>
              <w:rPr>
                <w:w w:val="99"/>
                <w:sz w:val="24"/>
              </w:rPr>
              <w:t>-</w:t>
            </w:r>
          </w:p>
        </w:tc>
      </w:tr>
    </w:tbl>
    <w:p>
      <w:pPr>
        <w:pStyle w:val="BodyText"/>
        <w:spacing w:line="274" w:lineRule="exact"/>
        <w:ind w:left="2785" w:right="1550"/>
      </w:pPr>
      <w:r>
        <w:rPr/>
        <w:t>Fuente: Jablonski y Bohach, 2000</w:t>
      </w:r>
    </w:p>
    <w:p>
      <w:pPr>
        <w:pStyle w:val="BodyText"/>
        <w:spacing w:before="6"/>
        <w:rPr>
          <w:sz w:val="22"/>
        </w:rPr>
      </w:pPr>
    </w:p>
    <w:p>
      <w:pPr>
        <w:pStyle w:val="BodyText"/>
        <w:spacing w:line="276" w:lineRule="auto"/>
        <w:ind w:left="142" w:right="136"/>
        <w:jc w:val="both"/>
      </w:pPr>
      <w:r>
        <w:rPr/>
        <w:t>Una característica importante de este microrganismo es su osmotoleracia que permite el crecimiento en un medio que contenga el equivalente de 5-75% (3,5 M) de NaCl e incluso algunas cepas pueden crecer en concentraciones de 20%. </w:t>
      </w:r>
      <w:r>
        <w:rPr>
          <w:position w:val="1"/>
        </w:rPr>
        <w:t>Soporta una actividad acuosa (a</w:t>
      </w:r>
      <w:r>
        <w:rPr>
          <w:sz w:val="16"/>
        </w:rPr>
        <w:t>w</w:t>
      </w:r>
      <w:r>
        <w:rPr>
          <w:position w:val="1"/>
        </w:rPr>
        <w:t>) reducida (0,83), en la que tiene un tiempo de </w:t>
      </w:r>
      <w:r>
        <w:rPr/>
        <w:t>recuperación de 300 minutos y la producción de la enterotoxina a 0,86 como se muestra en el cuadro 2 (Adams y Moss, 2002). Posee resistencia genética a los metales pesados y a los agentes antimicrobianos utilizados en medicina clínica (Jablonski y Bohach, 2000).</w:t>
      </w:r>
    </w:p>
    <w:p>
      <w:pPr>
        <w:pStyle w:val="BodyText"/>
        <w:spacing w:before="9"/>
        <w:rPr>
          <w:sz w:val="23"/>
        </w:rPr>
      </w:pPr>
    </w:p>
    <w:p>
      <w:pPr>
        <w:spacing w:before="0"/>
        <w:ind w:left="142" w:right="0" w:firstLine="0"/>
        <w:jc w:val="both"/>
        <w:rPr>
          <w:i/>
          <w:sz w:val="24"/>
        </w:rPr>
      </w:pPr>
      <w:r>
        <w:rPr>
          <w:sz w:val="24"/>
        </w:rPr>
        <w:t>Cuadro 2: Factores de crecimiento de </w:t>
      </w:r>
      <w:r>
        <w:rPr>
          <w:i/>
          <w:sz w:val="24"/>
        </w:rPr>
        <w:t>Staphylococcus aureus.</w:t>
      </w:r>
    </w:p>
    <w:p>
      <w:pPr>
        <w:pStyle w:val="BodyText"/>
        <w:rPr>
          <w:i/>
          <w:sz w:val="11"/>
        </w:rPr>
      </w:pPr>
    </w:p>
    <w:tbl>
      <w:tblPr>
        <w:tblW w:w="0" w:type="auto"/>
        <w:jc w:val="left"/>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94"/>
        <w:gridCol w:w="1292"/>
        <w:gridCol w:w="2266"/>
      </w:tblGrid>
      <w:tr>
        <w:trPr>
          <w:trHeight w:val="406" w:hRule="exact"/>
        </w:trPr>
        <w:tc>
          <w:tcPr>
            <w:tcW w:w="2494" w:type="dxa"/>
            <w:vMerge w:val="restart"/>
            <w:shd w:val="clear" w:color="auto" w:fill="808080"/>
          </w:tcPr>
          <w:p>
            <w:pPr>
              <w:pStyle w:val="TableParagraph"/>
              <w:spacing w:before="1"/>
              <w:ind w:left="0"/>
              <w:jc w:val="left"/>
              <w:rPr>
                <w:i/>
                <w:sz w:val="34"/>
              </w:rPr>
            </w:pPr>
          </w:p>
          <w:p>
            <w:pPr>
              <w:pStyle w:val="TableParagraph"/>
              <w:ind w:left="883" w:right="881"/>
              <w:rPr>
                <w:sz w:val="24"/>
              </w:rPr>
            </w:pPr>
            <w:r>
              <w:rPr>
                <w:color w:val="FFFFFF"/>
                <w:sz w:val="24"/>
              </w:rPr>
              <w:t>Factor</w:t>
            </w:r>
          </w:p>
        </w:tc>
        <w:tc>
          <w:tcPr>
            <w:tcW w:w="3557" w:type="dxa"/>
            <w:gridSpan w:val="2"/>
            <w:shd w:val="clear" w:color="auto" w:fill="808080"/>
          </w:tcPr>
          <w:p>
            <w:pPr>
              <w:pStyle w:val="TableParagraph"/>
              <w:spacing w:line="272" w:lineRule="exact"/>
              <w:ind w:left="1132"/>
              <w:jc w:val="left"/>
              <w:rPr>
                <w:sz w:val="24"/>
              </w:rPr>
            </w:pPr>
            <w:r>
              <w:rPr>
                <w:color w:val="FFFFFF"/>
                <w:sz w:val="24"/>
              </w:rPr>
              <w:t>Crecimiento</w:t>
            </w:r>
          </w:p>
        </w:tc>
      </w:tr>
      <w:tr>
        <w:trPr>
          <w:trHeight w:val="406" w:hRule="exact"/>
        </w:trPr>
        <w:tc>
          <w:tcPr>
            <w:tcW w:w="2494" w:type="dxa"/>
            <w:vMerge/>
            <w:shd w:val="clear" w:color="auto" w:fill="808080"/>
          </w:tcPr>
          <w:p>
            <w:pPr/>
          </w:p>
        </w:tc>
        <w:tc>
          <w:tcPr>
            <w:tcW w:w="1292" w:type="dxa"/>
          </w:tcPr>
          <w:p>
            <w:pPr>
              <w:pStyle w:val="TableParagraph"/>
              <w:spacing w:line="272" w:lineRule="exact"/>
              <w:ind w:left="83" w:right="83"/>
              <w:rPr>
                <w:sz w:val="24"/>
              </w:rPr>
            </w:pPr>
            <w:r>
              <w:rPr>
                <w:sz w:val="24"/>
              </w:rPr>
              <w:t>Óptimo</w:t>
            </w:r>
          </w:p>
        </w:tc>
        <w:tc>
          <w:tcPr>
            <w:tcW w:w="2266" w:type="dxa"/>
          </w:tcPr>
          <w:p>
            <w:pPr>
              <w:pStyle w:val="TableParagraph"/>
              <w:spacing w:line="272" w:lineRule="exact"/>
              <w:ind w:left="569" w:right="570"/>
              <w:rPr>
                <w:sz w:val="24"/>
              </w:rPr>
            </w:pPr>
            <w:r>
              <w:rPr>
                <w:sz w:val="24"/>
              </w:rPr>
              <w:t>Intervalo</w:t>
            </w:r>
          </w:p>
        </w:tc>
      </w:tr>
      <w:tr>
        <w:trPr>
          <w:trHeight w:val="406" w:hRule="exact"/>
        </w:trPr>
        <w:tc>
          <w:tcPr>
            <w:tcW w:w="2494" w:type="dxa"/>
          </w:tcPr>
          <w:p>
            <w:pPr>
              <w:pStyle w:val="TableParagraph"/>
              <w:spacing w:line="272" w:lineRule="exact"/>
              <w:jc w:val="left"/>
              <w:rPr>
                <w:sz w:val="24"/>
              </w:rPr>
            </w:pPr>
            <w:r>
              <w:rPr>
                <w:sz w:val="24"/>
              </w:rPr>
              <w:t>Temperatura ºC</w:t>
            </w:r>
          </w:p>
        </w:tc>
        <w:tc>
          <w:tcPr>
            <w:tcW w:w="1292" w:type="dxa"/>
          </w:tcPr>
          <w:p>
            <w:pPr>
              <w:pStyle w:val="TableParagraph"/>
              <w:spacing w:line="272" w:lineRule="exact"/>
              <w:ind w:left="83" w:right="82"/>
              <w:rPr>
                <w:sz w:val="24"/>
              </w:rPr>
            </w:pPr>
            <w:r>
              <w:rPr>
                <w:sz w:val="24"/>
              </w:rPr>
              <w:t>35-37</w:t>
            </w:r>
          </w:p>
        </w:tc>
        <w:tc>
          <w:tcPr>
            <w:tcW w:w="2266" w:type="dxa"/>
          </w:tcPr>
          <w:p>
            <w:pPr>
              <w:pStyle w:val="TableParagraph"/>
              <w:spacing w:line="272" w:lineRule="exact"/>
              <w:ind w:left="570" w:right="568"/>
              <w:rPr>
                <w:sz w:val="24"/>
              </w:rPr>
            </w:pPr>
            <w:r>
              <w:rPr>
                <w:sz w:val="24"/>
              </w:rPr>
              <w:t>7-48</w:t>
            </w:r>
          </w:p>
        </w:tc>
      </w:tr>
      <w:tr>
        <w:trPr>
          <w:trHeight w:val="641" w:hRule="exact"/>
        </w:trPr>
        <w:tc>
          <w:tcPr>
            <w:tcW w:w="2494" w:type="dxa"/>
          </w:tcPr>
          <w:p>
            <w:pPr>
              <w:pStyle w:val="TableParagraph"/>
              <w:spacing w:line="272" w:lineRule="exact"/>
              <w:jc w:val="left"/>
              <w:rPr>
                <w:sz w:val="24"/>
              </w:rPr>
            </w:pPr>
            <w:r>
              <w:rPr>
                <w:sz w:val="24"/>
              </w:rPr>
              <w:t>pH</w:t>
            </w:r>
          </w:p>
        </w:tc>
        <w:tc>
          <w:tcPr>
            <w:tcW w:w="1292" w:type="dxa"/>
          </w:tcPr>
          <w:p>
            <w:pPr>
              <w:pStyle w:val="TableParagraph"/>
              <w:spacing w:line="272" w:lineRule="exact"/>
              <w:ind w:left="82" w:right="83"/>
              <w:rPr>
                <w:sz w:val="24"/>
              </w:rPr>
            </w:pPr>
            <w:r>
              <w:rPr>
                <w:sz w:val="24"/>
              </w:rPr>
              <w:t>6,0-7,0</w:t>
            </w:r>
          </w:p>
        </w:tc>
        <w:tc>
          <w:tcPr>
            <w:tcW w:w="2266" w:type="dxa"/>
          </w:tcPr>
          <w:p>
            <w:pPr>
              <w:pStyle w:val="TableParagraph"/>
              <w:spacing w:line="272" w:lineRule="exact"/>
              <w:ind w:left="569" w:right="570"/>
              <w:rPr>
                <w:sz w:val="24"/>
              </w:rPr>
            </w:pPr>
            <w:r>
              <w:rPr>
                <w:sz w:val="24"/>
              </w:rPr>
              <w:t>4,0-9,8</w:t>
            </w:r>
          </w:p>
        </w:tc>
      </w:tr>
      <w:tr>
        <w:trPr>
          <w:trHeight w:val="406" w:hRule="exact"/>
        </w:trPr>
        <w:tc>
          <w:tcPr>
            <w:tcW w:w="2494" w:type="dxa"/>
          </w:tcPr>
          <w:p>
            <w:pPr>
              <w:pStyle w:val="TableParagraph"/>
              <w:spacing w:line="272" w:lineRule="exact"/>
              <w:jc w:val="left"/>
              <w:rPr>
                <w:sz w:val="24"/>
              </w:rPr>
            </w:pPr>
            <w:r>
              <w:rPr>
                <w:sz w:val="24"/>
              </w:rPr>
              <w:t>NaCl</w:t>
            </w:r>
          </w:p>
        </w:tc>
        <w:tc>
          <w:tcPr>
            <w:tcW w:w="1292" w:type="dxa"/>
          </w:tcPr>
          <w:p>
            <w:pPr>
              <w:pStyle w:val="TableParagraph"/>
              <w:spacing w:line="272" w:lineRule="exact"/>
              <w:ind w:left="83" w:right="83"/>
              <w:rPr>
                <w:sz w:val="24"/>
              </w:rPr>
            </w:pPr>
            <w:r>
              <w:rPr>
                <w:sz w:val="24"/>
              </w:rPr>
              <w:t>0,5-4%</w:t>
            </w:r>
          </w:p>
        </w:tc>
        <w:tc>
          <w:tcPr>
            <w:tcW w:w="2266" w:type="dxa"/>
          </w:tcPr>
          <w:p>
            <w:pPr>
              <w:pStyle w:val="TableParagraph"/>
              <w:spacing w:line="272" w:lineRule="exact"/>
              <w:ind w:left="570" w:right="570"/>
              <w:rPr>
                <w:sz w:val="24"/>
              </w:rPr>
            </w:pPr>
            <w:r>
              <w:rPr>
                <w:sz w:val="24"/>
              </w:rPr>
              <w:t>0-20%</w:t>
            </w:r>
          </w:p>
        </w:tc>
      </w:tr>
      <w:tr>
        <w:trPr>
          <w:trHeight w:val="406" w:hRule="exact"/>
        </w:trPr>
        <w:tc>
          <w:tcPr>
            <w:tcW w:w="2494" w:type="dxa"/>
          </w:tcPr>
          <w:p>
            <w:pPr>
              <w:pStyle w:val="TableParagraph"/>
              <w:spacing w:line="271" w:lineRule="exact"/>
              <w:jc w:val="left"/>
              <w:rPr>
                <w:sz w:val="16"/>
              </w:rPr>
            </w:pPr>
            <w:r>
              <w:rPr>
                <w:position w:val="1"/>
                <w:sz w:val="24"/>
              </w:rPr>
              <w:t>Actividad del agua a</w:t>
            </w:r>
            <w:r>
              <w:rPr>
                <w:sz w:val="16"/>
              </w:rPr>
              <w:t>w</w:t>
            </w:r>
          </w:p>
        </w:tc>
        <w:tc>
          <w:tcPr>
            <w:tcW w:w="1292" w:type="dxa"/>
          </w:tcPr>
          <w:p>
            <w:pPr>
              <w:pStyle w:val="TableParagraph"/>
              <w:spacing w:line="272" w:lineRule="exact"/>
              <w:ind w:left="83" w:right="83"/>
              <w:rPr>
                <w:sz w:val="24"/>
              </w:rPr>
            </w:pPr>
            <w:r>
              <w:rPr>
                <w:sz w:val="24"/>
              </w:rPr>
              <w:t>0,98&gt;0,99</w:t>
            </w:r>
          </w:p>
        </w:tc>
        <w:tc>
          <w:tcPr>
            <w:tcW w:w="2266" w:type="dxa"/>
          </w:tcPr>
          <w:p>
            <w:pPr>
              <w:pStyle w:val="TableParagraph"/>
              <w:spacing w:line="272" w:lineRule="exact"/>
              <w:ind w:left="570" w:right="570"/>
              <w:rPr>
                <w:sz w:val="24"/>
              </w:rPr>
            </w:pPr>
            <w:r>
              <w:rPr>
                <w:sz w:val="24"/>
              </w:rPr>
              <w:t>0,83&gt;0,99</w:t>
            </w:r>
          </w:p>
        </w:tc>
      </w:tr>
    </w:tbl>
    <w:p>
      <w:pPr>
        <w:pStyle w:val="BodyText"/>
        <w:spacing w:line="272" w:lineRule="exact"/>
        <w:ind w:left="2998" w:right="1550"/>
      </w:pPr>
      <w:r>
        <w:rPr/>
        <w:t>Fuente: Adams y Moss, 2002</w:t>
      </w:r>
    </w:p>
    <w:p>
      <w:pPr>
        <w:spacing w:after="0" w:line="272" w:lineRule="exact"/>
        <w:sectPr>
          <w:pgSz w:w="12240" w:h="15840"/>
          <w:pgMar w:header="728" w:footer="1135" w:top="1200" w:bottom="1320" w:left="1560" w:right="1560"/>
        </w:sectPr>
      </w:pPr>
    </w:p>
    <w:p>
      <w:pPr>
        <w:pStyle w:val="BodyText"/>
        <w:spacing w:before="7"/>
        <w:rPr>
          <w:sz w:val="12"/>
        </w:rPr>
      </w:pPr>
    </w:p>
    <w:p>
      <w:pPr>
        <w:pStyle w:val="BodyText"/>
        <w:spacing w:before="69"/>
        <w:ind w:left="142" w:right="134"/>
        <w:jc w:val="both"/>
      </w:pPr>
      <w:r>
        <w:rPr/>
        <w:t>La infección exitosa en humanos y animales depende de los factores de virulencia producidos por </w:t>
      </w:r>
      <w:r>
        <w:rPr>
          <w:i/>
        </w:rPr>
        <w:t>S. aureus </w:t>
      </w:r>
      <w:r>
        <w:rPr/>
        <w:t>(Fluit, 2012). La amplia gama de síndromes clínicos resulta de una variedad de componentes extracelulares (Petinaki y Spiliopoulou, 2012),</w:t>
      </w:r>
      <w:r>
        <w:rPr>
          <w:spacing w:val="-5"/>
        </w:rPr>
        <w:t> </w:t>
      </w:r>
      <w:r>
        <w:rPr/>
        <w:t>como</w:t>
      </w:r>
      <w:r>
        <w:rPr>
          <w:spacing w:val="-4"/>
        </w:rPr>
        <w:t> </w:t>
      </w:r>
      <w:r>
        <w:rPr/>
        <w:t>se</w:t>
      </w:r>
      <w:r>
        <w:rPr>
          <w:spacing w:val="-4"/>
        </w:rPr>
        <w:t> </w:t>
      </w:r>
      <w:r>
        <w:rPr/>
        <w:t>muestran</w:t>
      </w:r>
      <w:r>
        <w:rPr>
          <w:spacing w:val="-4"/>
        </w:rPr>
        <w:t> </w:t>
      </w:r>
      <w:r>
        <w:rPr/>
        <w:t>en</w:t>
      </w:r>
      <w:r>
        <w:rPr>
          <w:spacing w:val="-6"/>
        </w:rPr>
        <w:t> </w:t>
      </w:r>
      <w:r>
        <w:rPr/>
        <w:t>el</w:t>
      </w:r>
      <w:r>
        <w:rPr>
          <w:spacing w:val="-5"/>
        </w:rPr>
        <w:t> </w:t>
      </w:r>
      <w:r>
        <w:rPr/>
        <w:t>cuadro</w:t>
      </w:r>
      <w:r>
        <w:rPr>
          <w:spacing w:val="-7"/>
        </w:rPr>
        <w:t> </w:t>
      </w:r>
      <w:r>
        <w:rPr/>
        <w:t>3.</w:t>
      </w:r>
      <w:r>
        <w:rPr>
          <w:spacing w:val="-4"/>
        </w:rPr>
        <w:t> </w:t>
      </w:r>
      <w:r>
        <w:rPr/>
        <w:t>Estos</w:t>
      </w:r>
      <w:r>
        <w:rPr>
          <w:spacing w:val="-4"/>
        </w:rPr>
        <w:t> </w:t>
      </w:r>
      <w:r>
        <w:rPr/>
        <w:t>pueden</w:t>
      </w:r>
      <w:r>
        <w:rPr>
          <w:spacing w:val="-6"/>
        </w:rPr>
        <w:t> </w:t>
      </w:r>
      <w:r>
        <w:rPr/>
        <w:t>promover</w:t>
      </w:r>
      <w:r>
        <w:rPr>
          <w:spacing w:val="-5"/>
        </w:rPr>
        <w:t> </w:t>
      </w:r>
      <w:r>
        <w:rPr/>
        <w:t>la</w:t>
      </w:r>
      <w:r>
        <w:rPr>
          <w:spacing w:val="-4"/>
        </w:rPr>
        <w:t> </w:t>
      </w:r>
      <w:r>
        <w:rPr/>
        <w:t>adhesión</w:t>
      </w:r>
      <w:r>
        <w:rPr>
          <w:spacing w:val="-4"/>
        </w:rPr>
        <w:t> </w:t>
      </w:r>
      <w:r>
        <w:rPr/>
        <w:t>a</w:t>
      </w:r>
      <w:r>
        <w:rPr>
          <w:spacing w:val="-4"/>
        </w:rPr>
        <w:t> </w:t>
      </w:r>
      <w:r>
        <w:rPr/>
        <w:t>los componentes</w:t>
      </w:r>
      <w:r>
        <w:rPr>
          <w:spacing w:val="-7"/>
        </w:rPr>
        <w:t> </w:t>
      </w:r>
      <w:r>
        <w:rPr/>
        <w:t>de</w:t>
      </w:r>
      <w:r>
        <w:rPr>
          <w:spacing w:val="-6"/>
        </w:rPr>
        <w:t> </w:t>
      </w:r>
      <w:r>
        <w:rPr/>
        <w:t>la</w:t>
      </w:r>
      <w:r>
        <w:rPr>
          <w:spacing w:val="-9"/>
        </w:rPr>
        <w:t> </w:t>
      </w:r>
      <w:r>
        <w:rPr/>
        <w:t>matriz</w:t>
      </w:r>
      <w:r>
        <w:rPr>
          <w:spacing w:val="-9"/>
        </w:rPr>
        <w:t> </w:t>
      </w:r>
      <w:r>
        <w:rPr/>
        <w:t>extracelular</w:t>
      </w:r>
      <w:r>
        <w:rPr>
          <w:spacing w:val="-7"/>
        </w:rPr>
        <w:t> </w:t>
      </w:r>
      <w:r>
        <w:rPr/>
        <w:t>del</w:t>
      </w:r>
      <w:r>
        <w:rPr>
          <w:spacing w:val="-7"/>
        </w:rPr>
        <w:t> </w:t>
      </w:r>
      <w:r>
        <w:rPr/>
        <w:t>hospedero</w:t>
      </w:r>
      <w:r>
        <w:rPr>
          <w:spacing w:val="-7"/>
        </w:rPr>
        <w:t> </w:t>
      </w:r>
      <w:r>
        <w:rPr/>
        <w:t>y</w:t>
      </w:r>
      <w:r>
        <w:rPr>
          <w:spacing w:val="-9"/>
        </w:rPr>
        <w:t> </w:t>
      </w:r>
      <w:r>
        <w:rPr/>
        <w:t>combatir</w:t>
      </w:r>
      <w:r>
        <w:rPr>
          <w:spacing w:val="-7"/>
        </w:rPr>
        <w:t> </w:t>
      </w:r>
      <w:r>
        <w:rPr/>
        <w:t>el</w:t>
      </w:r>
      <w:r>
        <w:rPr>
          <w:spacing w:val="-7"/>
        </w:rPr>
        <w:t> </w:t>
      </w:r>
      <w:r>
        <w:rPr/>
        <w:t>sistema</w:t>
      </w:r>
      <w:r>
        <w:rPr>
          <w:spacing w:val="-6"/>
        </w:rPr>
        <w:t> </w:t>
      </w:r>
      <w:r>
        <w:rPr/>
        <w:t>inmune, además de la invasividad y resistencia a antibióticos que presenta (Khakpoor y Safarmashael, 2011). Los factores de virulencia se clasifican en 3 categorías:(1) factores</w:t>
      </w:r>
      <w:r>
        <w:rPr>
          <w:spacing w:val="-11"/>
        </w:rPr>
        <w:t> </w:t>
      </w:r>
      <w:r>
        <w:rPr/>
        <w:t>involucrados</w:t>
      </w:r>
      <w:r>
        <w:rPr>
          <w:spacing w:val="-14"/>
        </w:rPr>
        <w:t> </w:t>
      </w:r>
      <w:r>
        <w:rPr/>
        <w:t>en</w:t>
      </w:r>
      <w:r>
        <w:rPr>
          <w:spacing w:val="-8"/>
        </w:rPr>
        <w:t> </w:t>
      </w:r>
      <w:r>
        <w:rPr/>
        <w:t>la</w:t>
      </w:r>
      <w:r>
        <w:rPr>
          <w:spacing w:val="-11"/>
        </w:rPr>
        <w:t> </w:t>
      </w:r>
      <w:r>
        <w:rPr/>
        <w:t>adherencia</w:t>
      </w:r>
      <w:r>
        <w:rPr>
          <w:spacing w:val="-11"/>
        </w:rPr>
        <w:t> </w:t>
      </w:r>
      <w:r>
        <w:rPr/>
        <w:t>de</w:t>
      </w:r>
      <w:r>
        <w:rPr>
          <w:spacing w:val="-8"/>
        </w:rPr>
        <w:t> </w:t>
      </w:r>
      <w:r>
        <w:rPr/>
        <w:t>la</w:t>
      </w:r>
      <w:r>
        <w:rPr>
          <w:spacing w:val="-11"/>
        </w:rPr>
        <w:t> </w:t>
      </w:r>
      <w:r>
        <w:rPr/>
        <w:t>célula</w:t>
      </w:r>
      <w:r>
        <w:rPr>
          <w:spacing w:val="-7"/>
        </w:rPr>
        <w:t> </w:t>
      </w:r>
      <w:r>
        <w:rPr/>
        <w:t>hospedero</w:t>
      </w:r>
      <w:r>
        <w:rPr>
          <w:spacing w:val="-11"/>
        </w:rPr>
        <w:t> </w:t>
      </w:r>
      <w:r>
        <w:rPr/>
        <w:t>o</w:t>
      </w:r>
      <w:r>
        <w:rPr>
          <w:spacing w:val="-11"/>
        </w:rPr>
        <w:t> </w:t>
      </w:r>
      <w:r>
        <w:rPr/>
        <w:t>matriz</w:t>
      </w:r>
      <w:r>
        <w:rPr>
          <w:spacing w:val="-12"/>
        </w:rPr>
        <w:t> </w:t>
      </w:r>
      <w:r>
        <w:rPr/>
        <w:t>celular</w:t>
      </w:r>
      <w:r>
        <w:rPr>
          <w:spacing w:val="-10"/>
        </w:rPr>
        <w:t> </w:t>
      </w:r>
      <w:r>
        <w:rPr/>
        <w:t>como las</w:t>
      </w:r>
      <w:r>
        <w:rPr>
          <w:spacing w:val="-13"/>
        </w:rPr>
        <w:t> </w:t>
      </w:r>
      <w:r>
        <w:rPr/>
        <w:t>proteínas</w:t>
      </w:r>
      <w:r>
        <w:rPr>
          <w:spacing w:val="-16"/>
        </w:rPr>
        <w:t> </w:t>
      </w:r>
      <w:r>
        <w:rPr/>
        <w:t>de</w:t>
      </w:r>
      <w:r>
        <w:rPr>
          <w:spacing w:val="-15"/>
        </w:rPr>
        <w:t> </w:t>
      </w:r>
      <w:r>
        <w:rPr/>
        <w:t>unión</w:t>
      </w:r>
      <w:r>
        <w:rPr>
          <w:spacing w:val="-18"/>
        </w:rPr>
        <w:t> </w:t>
      </w:r>
      <w:r>
        <w:rPr/>
        <w:t>a</w:t>
      </w:r>
      <w:r>
        <w:rPr>
          <w:spacing w:val="-16"/>
        </w:rPr>
        <w:t> </w:t>
      </w:r>
      <w:r>
        <w:rPr/>
        <w:t>fibrinógeno,</w:t>
      </w:r>
      <w:r>
        <w:rPr>
          <w:spacing w:val="-18"/>
        </w:rPr>
        <w:t> </w:t>
      </w:r>
      <w:r>
        <w:rPr/>
        <w:t>fibronecina</w:t>
      </w:r>
      <w:r>
        <w:rPr>
          <w:spacing w:val="-16"/>
        </w:rPr>
        <w:t> </w:t>
      </w:r>
      <w:r>
        <w:rPr/>
        <w:t>,</w:t>
      </w:r>
      <w:r>
        <w:rPr>
          <w:spacing w:val="-13"/>
        </w:rPr>
        <w:t> </w:t>
      </w:r>
      <w:r>
        <w:rPr/>
        <w:t>colágeno</w:t>
      </w:r>
      <w:r>
        <w:rPr>
          <w:spacing w:val="-15"/>
        </w:rPr>
        <w:t> </w:t>
      </w:r>
      <w:r>
        <w:rPr/>
        <w:t>y</w:t>
      </w:r>
      <w:r>
        <w:rPr>
          <w:spacing w:val="-16"/>
        </w:rPr>
        <w:t> </w:t>
      </w:r>
      <w:r>
        <w:rPr/>
        <w:t>coagulasa;</w:t>
      </w:r>
      <w:r>
        <w:rPr>
          <w:spacing w:val="-16"/>
        </w:rPr>
        <w:t> </w:t>
      </w:r>
      <w:r>
        <w:rPr/>
        <w:t>(2)</w:t>
      </w:r>
      <w:r>
        <w:rPr>
          <w:spacing w:val="-17"/>
        </w:rPr>
        <w:t> </w:t>
      </w:r>
      <w:r>
        <w:rPr/>
        <w:t>factores involucrados en la evasión de las defensas del hospedero como las enterotoxinas estafilocócicas, la toxina 1 del síndrome de choque tóxico (TSST), proteína A, lipasas y polisacáridos capsulares tipos 1,5 y 8; (3) factores involucrados en </w:t>
      </w:r>
      <w:r>
        <w:rPr>
          <w:spacing w:val="4"/>
        </w:rPr>
        <w:t>la </w:t>
      </w:r>
      <w:r>
        <w:rPr/>
        <w:t>invasión</w:t>
      </w:r>
      <w:r>
        <w:rPr>
          <w:spacing w:val="-3"/>
        </w:rPr>
        <w:t> </w:t>
      </w:r>
      <w:r>
        <w:rPr/>
        <w:t>de</w:t>
      </w:r>
      <w:r>
        <w:rPr>
          <w:spacing w:val="-6"/>
        </w:rPr>
        <w:t> </w:t>
      </w:r>
      <w:r>
        <w:rPr/>
        <w:t>la</w:t>
      </w:r>
      <w:r>
        <w:rPr>
          <w:spacing w:val="-4"/>
        </w:rPr>
        <w:t> </w:t>
      </w:r>
      <w:r>
        <w:rPr/>
        <w:t>célula</w:t>
      </w:r>
      <w:r>
        <w:rPr>
          <w:spacing w:val="-6"/>
        </w:rPr>
        <w:t> </w:t>
      </w:r>
      <w:r>
        <w:rPr/>
        <w:t>hospedera</w:t>
      </w:r>
      <w:r>
        <w:rPr>
          <w:spacing w:val="-1"/>
        </w:rPr>
        <w:t> </w:t>
      </w:r>
      <w:r>
        <w:rPr/>
        <w:t>y</w:t>
      </w:r>
      <w:r>
        <w:rPr>
          <w:spacing w:val="-7"/>
        </w:rPr>
        <w:t> </w:t>
      </w:r>
      <w:r>
        <w:rPr/>
        <w:t>penetración</w:t>
      </w:r>
      <w:r>
        <w:rPr>
          <w:spacing w:val="-4"/>
        </w:rPr>
        <w:t> </w:t>
      </w:r>
      <w:r>
        <w:rPr/>
        <w:t>de</w:t>
      </w:r>
      <w:r>
        <w:rPr>
          <w:spacing w:val="-4"/>
        </w:rPr>
        <w:t> </w:t>
      </w:r>
      <w:r>
        <w:rPr/>
        <w:t>los</w:t>
      </w:r>
      <w:r>
        <w:rPr>
          <w:spacing w:val="-6"/>
        </w:rPr>
        <w:t> </w:t>
      </w:r>
      <w:r>
        <w:rPr/>
        <w:t>tejidos</w:t>
      </w:r>
      <w:r>
        <w:rPr>
          <w:spacing w:val="-7"/>
        </w:rPr>
        <w:t> </w:t>
      </w:r>
      <w:r>
        <w:rPr/>
        <w:t>como</w:t>
      </w:r>
      <w:r>
        <w:rPr>
          <w:spacing w:val="-6"/>
        </w:rPr>
        <w:t> </w:t>
      </w:r>
      <w:r>
        <w:rPr/>
        <w:t>α</w:t>
      </w:r>
      <w:r>
        <w:rPr>
          <w:spacing w:val="-6"/>
        </w:rPr>
        <w:t> </w:t>
      </w:r>
      <w:r>
        <w:rPr/>
        <w:t>toxina,</w:t>
      </w:r>
      <w:r>
        <w:rPr>
          <w:spacing w:val="-6"/>
        </w:rPr>
        <w:t> </w:t>
      </w:r>
      <w:r>
        <w:rPr/>
        <w:t>β,</w:t>
      </w:r>
      <w:r>
        <w:rPr>
          <w:spacing w:val="-4"/>
        </w:rPr>
        <w:t> </w:t>
      </w:r>
      <w:r>
        <w:rPr/>
        <w:t>γ,</w:t>
      </w:r>
      <w:r>
        <w:rPr>
          <w:spacing w:val="-6"/>
        </w:rPr>
        <w:t> </w:t>
      </w:r>
      <w:r>
        <w:rPr/>
        <w:t>y</w:t>
      </w:r>
      <w:r>
        <w:rPr>
          <w:spacing w:val="-7"/>
        </w:rPr>
        <w:t> </w:t>
      </w:r>
      <w:r>
        <w:rPr/>
        <w:t>δ hemolisinas (Velázquez-Meza, 2005) y de manera gráfica se muestran en la figura 1.</w:t>
      </w:r>
    </w:p>
    <w:p>
      <w:pPr>
        <w:pStyle w:val="Heading2"/>
        <w:spacing w:before="43"/>
        <w:jc w:val="both"/>
      </w:pPr>
      <w:bookmarkStart w:name="_bookmark11" w:id="15"/>
      <w:bookmarkEnd w:id="15"/>
      <w:r>
        <w:rPr>
          <w:b w:val="0"/>
        </w:rPr>
      </w:r>
      <w:r>
        <w:rPr/>
        <w:t>Factores de virulencia.</w:t>
      </w:r>
    </w:p>
    <w:p>
      <w:pPr>
        <w:spacing w:before="21"/>
        <w:ind w:left="142" w:right="0" w:firstLine="0"/>
        <w:jc w:val="both"/>
        <w:rPr>
          <w:i/>
          <w:sz w:val="24"/>
        </w:rPr>
      </w:pPr>
      <w:r>
        <w:rPr>
          <w:sz w:val="24"/>
        </w:rPr>
        <w:t>Cuadro 3: Factores de Virulencia de </w:t>
      </w:r>
      <w:r>
        <w:rPr>
          <w:i/>
          <w:sz w:val="24"/>
        </w:rPr>
        <w:t>Staphylococcus aureus.</w:t>
      </w:r>
    </w:p>
    <w:p>
      <w:pPr>
        <w:pStyle w:val="BodyText"/>
        <w:spacing w:before="6"/>
        <w:rPr>
          <w:i/>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2"/>
        <w:gridCol w:w="6846"/>
      </w:tblGrid>
      <w:tr>
        <w:trPr>
          <w:trHeight w:val="538" w:hRule="exact"/>
        </w:trPr>
        <w:tc>
          <w:tcPr>
            <w:tcW w:w="1982" w:type="dxa"/>
            <w:shd w:val="clear" w:color="auto" w:fill="808080"/>
          </w:tcPr>
          <w:p>
            <w:pPr>
              <w:pStyle w:val="TableParagraph"/>
              <w:spacing w:line="276" w:lineRule="auto"/>
              <w:ind w:left="544" w:right="544" w:firstLine="19"/>
              <w:jc w:val="left"/>
              <w:rPr>
                <w:sz w:val="20"/>
              </w:rPr>
            </w:pPr>
            <w:r>
              <w:rPr>
                <w:color w:val="FFFFFF"/>
                <w:sz w:val="20"/>
              </w:rPr>
              <w:t>Factor de </w:t>
            </w:r>
            <w:r>
              <w:rPr>
                <w:color w:val="FFFFFF"/>
                <w:w w:val="95"/>
                <w:sz w:val="20"/>
              </w:rPr>
              <w:t>Virulencia</w:t>
            </w:r>
          </w:p>
        </w:tc>
        <w:tc>
          <w:tcPr>
            <w:tcW w:w="6846" w:type="dxa"/>
            <w:shd w:val="clear" w:color="auto" w:fill="808080"/>
          </w:tcPr>
          <w:p>
            <w:pPr>
              <w:pStyle w:val="TableParagraph"/>
              <w:spacing w:line="230" w:lineRule="exact"/>
              <w:ind w:left="3040" w:right="3045"/>
              <w:rPr>
                <w:sz w:val="20"/>
              </w:rPr>
            </w:pPr>
            <w:r>
              <w:rPr>
                <w:color w:val="FFFFFF"/>
                <w:sz w:val="20"/>
              </w:rPr>
              <w:t>Función</w:t>
            </w:r>
          </w:p>
        </w:tc>
      </w:tr>
      <w:tr>
        <w:trPr>
          <w:trHeight w:val="804" w:hRule="exact"/>
        </w:trPr>
        <w:tc>
          <w:tcPr>
            <w:tcW w:w="1982" w:type="dxa"/>
          </w:tcPr>
          <w:p>
            <w:pPr>
              <w:pStyle w:val="TableParagraph"/>
              <w:spacing w:line="276" w:lineRule="auto" w:before="2"/>
              <w:ind w:right="544"/>
              <w:jc w:val="left"/>
              <w:rPr>
                <w:sz w:val="20"/>
              </w:rPr>
            </w:pPr>
            <w:r>
              <w:rPr>
                <w:w w:val="95"/>
                <w:sz w:val="20"/>
              </w:rPr>
              <w:t>Polisacáridos </w:t>
            </w:r>
            <w:r>
              <w:rPr>
                <w:sz w:val="20"/>
              </w:rPr>
              <w:t>capsulares</w:t>
            </w:r>
          </w:p>
        </w:tc>
        <w:tc>
          <w:tcPr>
            <w:tcW w:w="6846" w:type="dxa"/>
          </w:tcPr>
          <w:p>
            <w:pPr>
              <w:pStyle w:val="TableParagraph"/>
              <w:spacing w:line="276" w:lineRule="auto" w:before="2"/>
              <w:ind w:left="100" w:right="108"/>
              <w:jc w:val="both"/>
              <w:rPr>
                <w:sz w:val="20"/>
              </w:rPr>
            </w:pPr>
            <w:r>
              <w:rPr>
                <w:sz w:val="20"/>
              </w:rPr>
              <w:t>Confieren resistencia a la fagocitosis por neutrófilos polimorfonucleares bovinos, considerada como la principal línea de defensa de la glándula mamaría frente a los patógenos invasores.</w:t>
            </w:r>
          </w:p>
        </w:tc>
      </w:tr>
      <w:tr>
        <w:trPr>
          <w:trHeight w:val="1332" w:hRule="exact"/>
        </w:trPr>
        <w:tc>
          <w:tcPr>
            <w:tcW w:w="1982" w:type="dxa"/>
          </w:tcPr>
          <w:p>
            <w:pPr>
              <w:pStyle w:val="TableParagraph"/>
              <w:spacing w:line="276" w:lineRule="auto"/>
              <w:ind w:right="33"/>
              <w:jc w:val="left"/>
              <w:rPr>
                <w:sz w:val="20"/>
              </w:rPr>
            </w:pPr>
            <w:r>
              <w:rPr>
                <w:sz w:val="20"/>
              </w:rPr>
              <w:t>Proteína de unión a fibrinógeno (</w:t>
            </w:r>
            <w:r>
              <w:rPr>
                <w:i/>
                <w:sz w:val="20"/>
              </w:rPr>
              <w:t>clumping factor</w:t>
            </w:r>
            <w:r>
              <w:rPr>
                <w:sz w:val="20"/>
              </w:rPr>
              <w:t>)</w:t>
            </w:r>
          </w:p>
        </w:tc>
        <w:tc>
          <w:tcPr>
            <w:tcW w:w="6846" w:type="dxa"/>
          </w:tcPr>
          <w:p>
            <w:pPr>
              <w:pStyle w:val="TableParagraph"/>
              <w:spacing w:line="276" w:lineRule="auto"/>
              <w:ind w:left="100" w:right="109"/>
              <w:jc w:val="both"/>
              <w:rPr>
                <w:sz w:val="20"/>
              </w:rPr>
            </w:pPr>
            <w:r>
              <w:rPr>
                <w:sz w:val="20"/>
              </w:rPr>
              <w:t>Receptor de fibrinógeno de su superficie celular, denominado factor de agregación (</w:t>
            </w:r>
            <w:r>
              <w:rPr>
                <w:i/>
                <w:sz w:val="20"/>
              </w:rPr>
              <w:t>clumping factor</w:t>
            </w:r>
            <w:r>
              <w:rPr>
                <w:sz w:val="20"/>
              </w:rPr>
              <w:t>).</w:t>
            </w:r>
          </w:p>
          <w:p>
            <w:pPr>
              <w:pStyle w:val="TableParagraph"/>
              <w:spacing w:line="276" w:lineRule="auto"/>
              <w:ind w:left="100" w:right="109"/>
              <w:jc w:val="both"/>
              <w:rPr>
                <w:sz w:val="20"/>
              </w:rPr>
            </w:pPr>
            <w:r>
              <w:rPr>
                <w:sz w:val="20"/>
              </w:rPr>
              <w:t>El </w:t>
            </w:r>
            <w:r>
              <w:rPr>
                <w:i/>
                <w:sz w:val="20"/>
              </w:rPr>
              <w:t>clumping factor </w:t>
            </w:r>
            <w:r>
              <w:rPr>
                <w:sz w:val="20"/>
              </w:rPr>
              <w:t>debe su nombre a que la interacción con el fibrinógeno plasmático conduce a una aglomeración instantánea de las células bacterianas.</w:t>
            </w:r>
          </w:p>
        </w:tc>
      </w:tr>
      <w:tr>
        <w:trPr>
          <w:trHeight w:val="4244" w:hRule="exact"/>
        </w:trPr>
        <w:tc>
          <w:tcPr>
            <w:tcW w:w="1982" w:type="dxa"/>
          </w:tcPr>
          <w:p>
            <w:pPr>
              <w:pStyle w:val="TableParagraph"/>
              <w:spacing w:line="230" w:lineRule="exact"/>
              <w:ind w:right="544"/>
              <w:jc w:val="left"/>
              <w:rPr>
                <w:sz w:val="20"/>
              </w:rPr>
            </w:pPr>
            <w:r>
              <w:rPr>
                <w:sz w:val="20"/>
              </w:rPr>
              <w:t>Toxina α</w:t>
            </w:r>
          </w:p>
        </w:tc>
        <w:tc>
          <w:tcPr>
            <w:tcW w:w="6846" w:type="dxa"/>
          </w:tcPr>
          <w:p>
            <w:pPr>
              <w:pStyle w:val="TableParagraph"/>
              <w:spacing w:line="276" w:lineRule="auto"/>
              <w:ind w:left="100" w:right="106"/>
              <w:jc w:val="both"/>
              <w:rPr>
                <w:sz w:val="20"/>
              </w:rPr>
            </w:pPr>
            <w:r>
              <w:rPr>
                <w:sz w:val="20"/>
              </w:rPr>
              <w:t>Es una proteína tóxica para un amplio rango de células de mamífero, particularmente eritrocitos; su función principal es convertir el tejido del hospedero en nutrientes para la bacteria que la expresa.</w:t>
            </w:r>
          </w:p>
          <w:p>
            <w:pPr>
              <w:pStyle w:val="TableParagraph"/>
              <w:spacing w:line="276" w:lineRule="auto"/>
              <w:ind w:left="100" w:right="110"/>
              <w:jc w:val="both"/>
              <w:rPr>
                <w:sz w:val="20"/>
              </w:rPr>
            </w:pPr>
            <w:r>
              <w:rPr>
                <w:sz w:val="20"/>
              </w:rPr>
              <w:t>Se integra a la membrana de las células blanco, forma heptámeros cilíndricos que son capaces de lisar a las células eucariontes. Los poros que produce permiten la entrada y salida de iones y moléculas pequeñas que eventualmente producen la muerte de las células nucleadas y la lisis osmótica de los eritrocitos.</w:t>
            </w:r>
          </w:p>
          <w:p>
            <w:pPr>
              <w:pStyle w:val="TableParagraph"/>
              <w:spacing w:line="276" w:lineRule="auto" w:before="1"/>
              <w:ind w:left="100" w:right="105"/>
              <w:jc w:val="both"/>
              <w:rPr>
                <w:sz w:val="20"/>
              </w:rPr>
            </w:pPr>
            <w:r>
              <w:rPr>
                <w:sz w:val="20"/>
              </w:rPr>
              <w:t>La formación de poros también produce efectos secundarios que promueven</w:t>
            </w:r>
            <w:r>
              <w:rPr>
                <w:spacing w:val="-13"/>
                <w:sz w:val="20"/>
              </w:rPr>
              <w:t> </w:t>
            </w:r>
            <w:r>
              <w:rPr>
                <w:sz w:val="20"/>
              </w:rPr>
              <w:t>el</w:t>
            </w:r>
            <w:r>
              <w:rPr>
                <w:spacing w:val="-13"/>
                <w:sz w:val="20"/>
              </w:rPr>
              <w:t> </w:t>
            </w:r>
            <w:r>
              <w:rPr>
                <w:sz w:val="20"/>
              </w:rPr>
              <w:t>desarrollo</w:t>
            </w:r>
            <w:r>
              <w:rPr>
                <w:spacing w:val="-13"/>
                <w:sz w:val="20"/>
              </w:rPr>
              <w:t> </w:t>
            </w:r>
            <w:r>
              <w:rPr>
                <w:sz w:val="20"/>
              </w:rPr>
              <w:t>de</w:t>
            </w:r>
            <w:r>
              <w:rPr>
                <w:spacing w:val="-13"/>
                <w:sz w:val="20"/>
              </w:rPr>
              <w:t> </w:t>
            </w:r>
            <w:r>
              <w:rPr>
                <w:sz w:val="20"/>
              </w:rPr>
              <w:t>secuelas</w:t>
            </w:r>
            <w:r>
              <w:rPr>
                <w:spacing w:val="-12"/>
                <w:sz w:val="20"/>
              </w:rPr>
              <w:t> </w:t>
            </w:r>
            <w:r>
              <w:rPr>
                <w:sz w:val="20"/>
              </w:rPr>
              <w:t>patológicas,</w:t>
            </w:r>
            <w:r>
              <w:rPr>
                <w:spacing w:val="-13"/>
                <w:sz w:val="20"/>
              </w:rPr>
              <w:t> </w:t>
            </w:r>
            <w:r>
              <w:rPr>
                <w:sz w:val="20"/>
              </w:rPr>
              <w:t>que</w:t>
            </w:r>
            <w:r>
              <w:rPr>
                <w:spacing w:val="-13"/>
                <w:sz w:val="20"/>
              </w:rPr>
              <w:t> </w:t>
            </w:r>
            <w:r>
              <w:rPr>
                <w:sz w:val="20"/>
              </w:rPr>
              <w:t>incluyen</w:t>
            </w:r>
            <w:r>
              <w:rPr>
                <w:spacing w:val="-11"/>
                <w:sz w:val="20"/>
              </w:rPr>
              <w:t> </w:t>
            </w:r>
            <w:r>
              <w:rPr>
                <w:sz w:val="20"/>
              </w:rPr>
              <w:t>la</w:t>
            </w:r>
            <w:r>
              <w:rPr>
                <w:spacing w:val="-13"/>
                <w:sz w:val="20"/>
              </w:rPr>
              <w:t> </w:t>
            </w:r>
            <w:r>
              <w:rPr>
                <w:sz w:val="20"/>
              </w:rPr>
              <w:t>activación de endonucleasas, exocitosis de plaquetas y liberación de citosinas y mediadores inflamatorios. La producción de tromboxano y protaciclinas activa los mecanismos de vasoconstricción. Al romper la integridad celular aumenta la permeabilidad vascular. El efecto final en el hospedero es el edema pulmonar o síndrome de la dificultad respiratoria. La toxina α es dermonecrótica y letal para ciertos</w:t>
            </w:r>
            <w:r>
              <w:rPr>
                <w:spacing w:val="-15"/>
                <w:sz w:val="20"/>
              </w:rPr>
              <w:t> </w:t>
            </w:r>
            <w:r>
              <w:rPr>
                <w:sz w:val="20"/>
              </w:rPr>
              <w:t>animales.</w:t>
            </w:r>
          </w:p>
        </w:tc>
      </w:tr>
      <w:tr>
        <w:trPr>
          <w:trHeight w:val="804" w:hRule="exact"/>
        </w:trPr>
        <w:tc>
          <w:tcPr>
            <w:tcW w:w="1982" w:type="dxa"/>
          </w:tcPr>
          <w:p>
            <w:pPr>
              <w:pStyle w:val="TableParagraph"/>
              <w:spacing w:line="230" w:lineRule="exact"/>
              <w:ind w:right="544"/>
              <w:jc w:val="left"/>
              <w:rPr>
                <w:sz w:val="20"/>
              </w:rPr>
            </w:pPr>
            <w:r>
              <w:rPr>
                <w:sz w:val="20"/>
              </w:rPr>
              <w:t>Toxina β</w:t>
            </w:r>
          </w:p>
        </w:tc>
        <w:tc>
          <w:tcPr>
            <w:tcW w:w="6846" w:type="dxa"/>
          </w:tcPr>
          <w:p>
            <w:pPr>
              <w:pStyle w:val="TableParagraph"/>
              <w:spacing w:line="276" w:lineRule="auto"/>
              <w:ind w:left="100" w:right="101"/>
              <w:jc w:val="both"/>
              <w:rPr>
                <w:sz w:val="20"/>
              </w:rPr>
            </w:pPr>
            <w:r>
              <w:rPr>
                <w:sz w:val="20"/>
              </w:rPr>
              <w:t>Es una exoproteína hemolítica que hidroliza la esfingomielina presente en la membrana plasmática, lo cual resulta en un incremento de la permeabilidad con pérdida progresiva de la carga de la superficie celular</w:t>
            </w:r>
          </w:p>
        </w:tc>
      </w:tr>
    </w:tbl>
    <w:p>
      <w:pPr>
        <w:spacing w:after="0" w:line="276" w:lineRule="auto"/>
        <w:jc w:val="both"/>
        <w:rPr>
          <w:sz w:val="20"/>
        </w:rPr>
        <w:sectPr>
          <w:pgSz w:w="12240" w:h="15840"/>
          <w:pgMar w:header="728" w:footer="1135" w:top="1200" w:bottom="1320" w:left="1560" w:right="1560"/>
        </w:sectPr>
      </w:pPr>
    </w:p>
    <w:p>
      <w:pPr>
        <w:pStyle w:val="BodyText"/>
        <w:spacing w:before="11"/>
        <w:rPr>
          <w:rFonts w:ascii="Times New Roman"/>
          <w:sz w:val="18"/>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2"/>
        <w:gridCol w:w="6846"/>
      </w:tblGrid>
      <w:tr>
        <w:trPr>
          <w:trHeight w:val="2655" w:hRule="exact"/>
        </w:trPr>
        <w:tc>
          <w:tcPr>
            <w:tcW w:w="1982" w:type="dxa"/>
          </w:tcPr>
          <w:p>
            <w:pPr>
              <w:pStyle w:val="TableParagraph"/>
              <w:ind w:right="544"/>
              <w:jc w:val="left"/>
              <w:rPr>
                <w:sz w:val="20"/>
              </w:rPr>
            </w:pPr>
            <w:r>
              <w:rPr>
                <w:sz w:val="20"/>
              </w:rPr>
              <w:t>Coagulasa</w:t>
            </w:r>
          </w:p>
        </w:tc>
        <w:tc>
          <w:tcPr>
            <w:tcW w:w="6846" w:type="dxa"/>
          </w:tcPr>
          <w:p>
            <w:pPr>
              <w:pStyle w:val="TableParagraph"/>
              <w:spacing w:line="276" w:lineRule="auto"/>
              <w:ind w:left="100" w:right="109"/>
              <w:jc w:val="both"/>
              <w:rPr>
                <w:sz w:val="20"/>
              </w:rPr>
            </w:pPr>
            <w:r>
              <w:rPr>
                <w:sz w:val="20"/>
              </w:rPr>
              <w:t>Causa la formación de una capa de fibrina alrededor del absceso estafilocócico, localiza la infección y protege a la bacteria de la fagocitosis. Existe en dos formas:</w:t>
            </w:r>
          </w:p>
          <w:p>
            <w:pPr>
              <w:pStyle w:val="TableParagraph"/>
              <w:spacing w:line="276" w:lineRule="auto" w:before="3"/>
              <w:ind w:left="100" w:right="107"/>
              <w:jc w:val="both"/>
              <w:rPr>
                <w:sz w:val="20"/>
              </w:rPr>
            </w:pPr>
            <w:r>
              <w:rPr>
                <w:sz w:val="20"/>
              </w:rPr>
              <w:t>Forma</w:t>
            </w:r>
            <w:r>
              <w:rPr>
                <w:spacing w:val="-13"/>
                <w:sz w:val="20"/>
              </w:rPr>
              <w:t> </w:t>
            </w:r>
            <w:r>
              <w:rPr>
                <w:sz w:val="20"/>
              </w:rPr>
              <w:t>unida</w:t>
            </w:r>
            <w:r>
              <w:rPr>
                <w:spacing w:val="-13"/>
                <w:sz w:val="20"/>
              </w:rPr>
              <w:t> </w:t>
            </w:r>
            <w:r>
              <w:rPr>
                <w:sz w:val="20"/>
              </w:rPr>
              <w:t>(también</w:t>
            </w:r>
            <w:r>
              <w:rPr>
                <w:spacing w:val="-11"/>
                <w:sz w:val="20"/>
              </w:rPr>
              <w:t> </w:t>
            </w:r>
            <w:r>
              <w:rPr>
                <w:sz w:val="20"/>
              </w:rPr>
              <w:t>llamada</w:t>
            </w:r>
            <w:r>
              <w:rPr>
                <w:spacing w:val="-13"/>
                <w:sz w:val="20"/>
              </w:rPr>
              <w:t> </w:t>
            </w:r>
            <w:r>
              <w:rPr>
                <w:sz w:val="20"/>
              </w:rPr>
              <w:t>factor</w:t>
            </w:r>
            <w:r>
              <w:rPr>
                <w:spacing w:val="-12"/>
                <w:sz w:val="20"/>
              </w:rPr>
              <w:t> </w:t>
            </w:r>
            <w:r>
              <w:rPr>
                <w:sz w:val="20"/>
              </w:rPr>
              <w:t>de</w:t>
            </w:r>
            <w:r>
              <w:rPr>
                <w:spacing w:val="-13"/>
                <w:sz w:val="20"/>
              </w:rPr>
              <w:t> </w:t>
            </w:r>
            <w:r>
              <w:rPr>
                <w:sz w:val="20"/>
              </w:rPr>
              <w:t>aglomeración):</w:t>
            </w:r>
            <w:r>
              <w:rPr>
                <w:spacing w:val="-13"/>
                <w:sz w:val="20"/>
              </w:rPr>
              <w:t> </w:t>
            </w:r>
            <w:r>
              <w:rPr>
                <w:sz w:val="20"/>
              </w:rPr>
              <w:t>La</w:t>
            </w:r>
            <w:r>
              <w:rPr>
                <w:spacing w:val="-13"/>
                <w:sz w:val="20"/>
              </w:rPr>
              <w:t> </w:t>
            </w:r>
            <w:r>
              <w:rPr>
                <w:sz w:val="20"/>
              </w:rPr>
              <w:t>coagulasa</w:t>
            </w:r>
            <w:r>
              <w:rPr>
                <w:spacing w:val="-10"/>
                <w:sz w:val="20"/>
              </w:rPr>
              <w:t> </w:t>
            </w:r>
            <w:r>
              <w:rPr>
                <w:sz w:val="20"/>
              </w:rPr>
              <w:t>unida a</w:t>
            </w:r>
            <w:r>
              <w:rPr>
                <w:spacing w:val="-12"/>
                <w:sz w:val="20"/>
              </w:rPr>
              <w:t> </w:t>
            </w:r>
            <w:r>
              <w:rPr>
                <w:sz w:val="20"/>
              </w:rPr>
              <w:t>la</w:t>
            </w:r>
            <w:r>
              <w:rPr>
                <w:spacing w:val="-12"/>
                <w:sz w:val="20"/>
              </w:rPr>
              <w:t> </w:t>
            </w:r>
            <w:r>
              <w:rPr>
                <w:sz w:val="20"/>
              </w:rPr>
              <w:t>pared</w:t>
            </w:r>
            <w:r>
              <w:rPr>
                <w:spacing w:val="-10"/>
                <w:sz w:val="20"/>
              </w:rPr>
              <w:t> </w:t>
            </w:r>
            <w:r>
              <w:rPr>
                <w:sz w:val="20"/>
              </w:rPr>
              <w:t>celular</w:t>
            </w:r>
            <w:r>
              <w:rPr>
                <w:spacing w:val="-9"/>
                <w:sz w:val="20"/>
              </w:rPr>
              <w:t> </w:t>
            </w:r>
            <w:r>
              <w:rPr>
                <w:sz w:val="20"/>
              </w:rPr>
              <w:t>del</w:t>
            </w:r>
            <w:r>
              <w:rPr>
                <w:spacing w:val="-12"/>
                <w:sz w:val="20"/>
              </w:rPr>
              <w:t> </w:t>
            </w:r>
            <w:r>
              <w:rPr>
                <w:sz w:val="20"/>
              </w:rPr>
              <w:t>estafilococo</w:t>
            </w:r>
            <w:r>
              <w:rPr>
                <w:spacing w:val="-12"/>
                <w:sz w:val="20"/>
              </w:rPr>
              <w:t> </w:t>
            </w:r>
            <w:r>
              <w:rPr>
                <w:sz w:val="20"/>
              </w:rPr>
              <w:t>se</w:t>
            </w:r>
            <w:r>
              <w:rPr>
                <w:spacing w:val="-10"/>
                <w:sz w:val="20"/>
              </w:rPr>
              <w:t> </w:t>
            </w:r>
            <w:r>
              <w:rPr>
                <w:sz w:val="20"/>
              </w:rPr>
              <w:t>une</w:t>
            </w:r>
            <w:r>
              <w:rPr>
                <w:spacing w:val="-10"/>
                <w:sz w:val="20"/>
              </w:rPr>
              <w:t> </w:t>
            </w:r>
            <w:r>
              <w:rPr>
                <w:sz w:val="20"/>
              </w:rPr>
              <w:t>a</w:t>
            </w:r>
            <w:r>
              <w:rPr>
                <w:spacing w:val="-10"/>
                <w:sz w:val="20"/>
              </w:rPr>
              <w:t> </w:t>
            </w:r>
            <w:r>
              <w:rPr>
                <w:sz w:val="20"/>
              </w:rPr>
              <w:t>la</w:t>
            </w:r>
            <w:r>
              <w:rPr>
                <w:spacing w:val="-10"/>
                <w:sz w:val="20"/>
              </w:rPr>
              <w:t> </w:t>
            </w:r>
            <w:r>
              <w:rPr>
                <w:sz w:val="20"/>
              </w:rPr>
              <w:t>protrombina</w:t>
            </w:r>
            <w:r>
              <w:rPr>
                <w:spacing w:val="-12"/>
                <w:sz w:val="20"/>
              </w:rPr>
              <w:t> </w:t>
            </w:r>
            <w:r>
              <w:rPr>
                <w:sz w:val="20"/>
              </w:rPr>
              <w:t>de</w:t>
            </w:r>
            <w:r>
              <w:rPr>
                <w:spacing w:val="-10"/>
                <w:sz w:val="20"/>
              </w:rPr>
              <w:t> </w:t>
            </w:r>
            <w:r>
              <w:rPr>
                <w:sz w:val="20"/>
              </w:rPr>
              <w:t>este</w:t>
            </w:r>
            <w:r>
              <w:rPr>
                <w:spacing w:val="-12"/>
                <w:sz w:val="20"/>
              </w:rPr>
              <w:t> </w:t>
            </w:r>
            <w:r>
              <w:rPr>
                <w:sz w:val="20"/>
              </w:rPr>
              <w:t>complejo, transforma el fibrinógeno en fibrina insoluble y provoca la aglomeración de los estafilococos. Facilita el desarrollo de sepsis y</w:t>
            </w:r>
            <w:r>
              <w:rPr>
                <w:spacing w:val="-12"/>
                <w:sz w:val="20"/>
              </w:rPr>
              <w:t> </w:t>
            </w:r>
            <w:r>
              <w:rPr>
                <w:sz w:val="20"/>
              </w:rPr>
              <w:t>abscesos.</w:t>
            </w:r>
          </w:p>
          <w:p>
            <w:pPr>
              <w:pStyle w:val="TableParagraph"/>
              <w:spacing w:line="276" w:lineRule="auto"/>
              <w:ind w:left="100" w:right="111"/>
              <w:jc w:val="both"/>
              <w:rPr>
                <w:sz w:val="20"/>
              </w:rPr>
            </w:pPr>
            <w:r>
              <w:rPr>
                <w:sz w:val="20"/>
              </w:rPr>
              <w:t>Forma libre: La coagulasa libre reacciona con el factor reactivo de la coagulasa, presente en el plasma, dando lugar a un complejo análogo a la trombina que reacciona con el fibrinógeno forma el coágulo de fibrina.</w:t>
            </w:r>
          </w:p>
        </w:tc>
      </w:tr>
      <w:tr>
        <w:trPr>
          <w:trHeight w:val="2127" w:hRule="exact"/>
        </w:trPr>
        <w:tc>
          <w:tcPr>
            <w:tcW w:w="1982" w:type="dxa"/>
          </w:tcPr>
          <w:p>
            <w:pPr>
              <w:pStyle w:val="TableParagraph"/>
              <w:spacing w:line="276" w:lineRule="auto"/>
              <w:ind w:right="544"/>
              <w:jc w:val="left"/>
              <w:rPr>
                <w:sz w:val="20"/>
              </w:rPr>
            </w:pPr>
            <w:r>
              <w:rPr>
                <w:sz w:val="20"/>
              </w:rPr>
              <w:t>Enterotoxinas </w:t>
            </w:r>
            <w:r>
              <w:rPr>
                <w:w w:val="95"/>
                <w:sz w:val="20"/>
              </w:rPr>
              <w:t>estafilocócicas</w:t>
            </w:r>
          </w:p>
        </w:tc>
        <w:tc>
          <w:tcPr>
            <w:tcW w:w="6846" w:type="dxa"/>
          </w:tcPr>
          <w:p>
            <w:pPr>
              <w:pStyle w:val="TableParagraph"/>
              <w:spacing w:line="276" w:lineRule="auto"/>
              <w:ind w:left="100"/>
              <w:jc w:val="left"/>
              <w:rPr>
                <w:sz w:val="20"/>
              </w:rPr>
            </w:pPr>
            <w:r>
              <w:rPr>
                <w:sz w:val="20"/>
              </w:rPr>
              <w:t>Forman</w:t>
            </w:r>
            <w:r>
              <w:rPr>
                <w:spacing w:val="-8"/>
                <w:sz w:val="20"/>
              </w:rPr>
              <w:t> </w:t>
            </w:r>
            <w:r>
              <w:rPr>
                <w:sz w:val="20"/>
              </w:rPr>
              <w:t>parte</w:t>
            </w:r>
            <w:r>
              <w:rPr>
                <w:spacing w:val="-8"/>
                <w:sz w:val="20"/>
              </w:rPr>
              <w:t> </w:t>
            </w:r>
            <w:r>
              <w:rPr>
                <w:sz w:val="20"/>
              </w:rPr>
              <w:t>del</w:t>
            </w:r>
            <w:r>
              <w:rPr>
                <w:spacing w:val="-9"/>
                <w:sz w:val="20"/>
              </w:rPr>
              <w:t> </w:t>
            </w:r>
            <w:r>
              <w:rPr>
                <w:sz w:val="20"/>
              </w:rPr>
              <w:t>grupo</w:t>
            </w:r>
            <w:r>
              <w:rPr>
                <w:spacing w:val="-8"/>
                <w:sz w:val="20"/>
              </w:rPr>
              <w:t> </w:t>
            </w:r>
            <w:r>
              <w:rPr>
                <w:sz w:val="20"/>
              </w:rPr>
              <w:t>de</w:t>
            </w:r>
            <w:r>
              <w:rPr>
                <w:spacing w:val="-8"/>
                <w:sz w:val="20"/>
              </w:rPr>
              <w:t> </w:t>
            </w:r>
            <w:r>
              <w:rPr>
                <w:sz w:val="20"/>
              </w:rPr>
              <w:t>toxinas</w:t>
            </w:r>
            <w:r>
              <w:rPr>
                <w:spacing w:val="-7"/>
                <w:sz w:val="20"/>
              </w:rPr>
              <w:t> </w:t>
            </w:r>
            <w:r>
              <w:rPr>
                <w:sz w:val="20"/>
              </w:rPr>
              <w:t>conocidas</w:t>
            </w:r>
            <w:r>
              <w:rPr>
                <w:spacing w:val="-7"/>
                <w:sz w:val="20"/>
              </w:rPr>
              <w:t> </w:t>
            </w:r>
            <w:r>
              <w:rPr>
                <w:sz w:val="20"/>
              </w:rPr>
              <w:t>como</w:t>
            </w:r>
            <w:r>
              <w:rPr>
                <w:spacing w:val="-8"/>
                <w:sz w:val="20"/>
              </w:rPr>
              <w:t> </w:t>
            </w:r>
            <w:r>
              <w:rPr>
                <w:sz w:val="20"/>
              </w:rPr>
              <w:t>superantígenos</w:t>
            </w:r>
            <w:r>
              <w:rPr>
                <w:spacing w:val="-7"/>
                <w:sz w:val="20"/>
              </w:rPr>
              <w:t> </w:t>
            </w:r>
            <w:r>
              <w:rPr>
                <w:sz w:val="20"/>
              </w:rPr>
              <w:t>toxinas pirogénicas.</w:t>
            </w:r>
            <w:r>
              <w:rPr>
                <w:spacing w:val="-13"/>
                <w:sz w:val="20"/>
              </w:rPr>
              <w:t> </w:t>
            </w:r>
            <w:r>
              <w:rPr>
                <w:sz w:val="20"/>
              </w:rPr>
              <w:t>Se</w:t>
            </w:r>
            <w:r>
              <w:rPr>
                <w:spacing w:val="-11"/>
                <w:sz w:val="20"/>
              </w:rPr>
              <w:t> </w:t>
            </w:r>
            <w:r>
              <w:rPr>
                <w:sz w:val="20"/>
              </w:rPr>
              <w:t>conoce</w:t>
            </w:r>
            <w:r>
              <w:rPr>
                <w:spacing w:val="-11"/>
                <w:sz w:val="20"/>
              </w:rPr>
              <w:t> </w:t>
            </w:r>
            <w:r>
              <w:rPr>
                <w:sz w:val="20"/>
              </w:rPr>
              <w:t>una</w:t>
            </w:r>
            <w:r>
              <w:rPr>
                <w:spacing w:val="-11"/>
                <w:sz w:val="20"/>
              </w:rPr>
              <w:t> </w:t>
            </w:r>
            <w:r>
              <w:rPr>
                <w:sz w:val="20"/>
              </w:rPr>
              <w:t>amplia</w:t>
            </w:r>
            <w:r>
              <w:rPr>
                <w:spacing w:val="-11"/>
                <w:sz w:val="20"/>
              </w:rPr>
              <w:t> </w:t>
            </w:r>
            <w:r>
              <w:rPr>
                <w:sz w:val="20"/>
              </w:rPr>
              <w:t>variedad</w:t>
            </w:r>
            <w:r>
              <w:rPr>
                <w:spacing w:val="-13"/>
                <w:sz w:val="20"/>
              </w:rPr>
              <w:t> </w:t>
            </w:r>
            <w:r>
              <w:rPr>
                <w:sz w:val="20"/>
              </w:rPr>
              <w:t>de</w:t>
            </w:r>
            <w:r>
              <w:rPr>
                <w:spacing w:val="-11"/>
                <w:sz w:val="20"/>
              </w:rPr>
              <w:t> </w:t>
            </w:r>
            <w:r>
              <w:rPr>
                <w:sz w:val="20"/>
              </w:rPr>
              <w:t>estás</w:t>
            </w:r>
            <w:r>
              <w:rPr>
                <w:spacing w:val="-12"/>
                <w:sz w:val="20"/>
              </w:rPr>
              <w:t> </w:t>
            </w:r>
            <w:r>
              <w:rPr>
                <w:sz w:val="20"/>
              </w:rPr>
              <w:t>toxinas:</w:t>
            </w:r>
            <w:r>
              <w:rPr>
                <w:spacing w:val="-13"/>
                <w:sz w:val="20"/>
              </w:rPr>
              <w:t> </w:t>
            </w:r>
            <w:r>
              <w:rPr>
                <w:sz w:val="20"/>
              </w:rPr>
              <w:t>en</w:t>
            </w:r>
            <w:r>
              <w:rPr>
                <w:spacing w:val="-13"/>
                <w:sz w:val="20"/>
              </w:rPr>
              <w:t> </w:t>
            </w:r>
            <w:r>
              <w:rPr>
                <w:sz w:val="20"/>
              </w:rPr>
              <w:t>secuencia alfabética de SEA a SEE, de SEG a J, SEK, SEL, SEP, SEM y SEO. Cuando se consumen alimentos contaminados con </w:t>
            </w:r>
            <w:r>
              <w:rPr>
                <w:i/>
                <w:sz w:val="20"/>
              </w:rPr>
              <w:t>S. aureus</w:t>
            </w:r>
            <w:r>
              <w:rPr>
                <w:sz w:val="20"/>
              </w:rPr>
              <w:t>, las enterotoxinas estafilocócicas (SEs) causan gastroenteritis, estimulan el peristaltismo</w:t>
            </w:r>
            <w:r>
              <w:rPr>
                <w:spacing w:val="-15"/>
                <w:sz w:val="20"/>
              </w:rPr>
              <w:t> </w:t>
            </w:r>
            <w:r>
              <w:rPr>
                <w:sz w:val="20"/>
              </w:rPr>
              <w:t>intestinal</w:t>
            </w:r>
            <w:r>
              <w:rPr>
                <w:spacing w:val="-11"/>
                <w:sz w:val="20"/>
              </w:rPr>
              <w:t> </w:t>
            </w:r>
            <w:r>
              <w:rPr>
                <w:sz w:val="20"/>
              </w:rPr>
              <w:t>y</w:t>
            </w:r>
            <w:r>
              <w:rPr>
                <w:spacing w:val="-16"/>
                <w:sz w:val="20"/>
              </w:rPr>
              <w:t> </w:t>
            </w:r>
            <w:r>
              <w:rPr>
                <w:sz w:val="20"/>
              </w:rPr>
              <w:t>ejercen</w:t>
            </w:r>
            <w:r>
              <w:rPr>
                <w:spacing w:val="-16"/>
                <w:sz w:val="20"/>
              </w:rPr>
              <w:t> </w:t>
            </w:r>
            <w:r>
              <w:rPr>
                <w:sz w:val="20"/>
              </w:rPr>
              <w:t>un</w:t>
            </w:r>
            <w:r>
              <w:rPr>
                <w:spacing w:val="-13"/>
                <w:sz w:val="20"/>
              </w:rPr>
              <w:t> </w:t>
            </w:r>
            <w:r>
              <w:rPr>
                <w:sz w:val="20"/>
              </w:rPr>
              <w:t>efecto</w:t>
            </w:r>
            <w:r>
              <w:rPr>
                <w:spacing w:val="-15"/>
                <w:sz w:val="20"/>
              </w:rPr>
              <w:t> </w:t>
            </w:r>
            <w:r>
              <w:rPr>
                <w:sz w:val="20"/>
              </w:rPr>
              <w:t>sobre</w:t>
            </w:r>
            <w:r>
              <w:rPr>
                <w:spacing w:val="-13"/>
                <w:sz w:val="20"/>
              </w:rPr>
              <w:t> </w:t>
            </w:r>
            <w:r>
              <w:rPr>
                <w:sz w:val="20"/>
              </w:rPr>
              <w:t>el</w:t>
            </w:r>
            <w:r>
              <w:rPr>
                <w:spacing w:val="-14"/>
                <w:sz w:val="20"/>
              </w:rPr>
              <w:t> </w:t>
            </w:r>
            <w:r>
              <w:rPr>
                <w:sz w:val="20"/>
              </w:rPr>
              <w:t>sistema</w:t>
            </w:r>
            <w:r>
              <w:rPr>
                <w:spacing w:val="-15"/>
                <w:sz w:val="20"/>
              </w:rPr>
              <w:t> </w:t>
            </w:r>
            <w:r>
              <w:rPr>
                <w:sz w:val="20"/>
              </w:rPr>
              <w:t>nervioso</w:t>
            </w:r>
            <w:r>
              <w:rPr>
                <w:spacing w:val="-15"/>
                <w:sz w:val="20"/>
              </w:rPr>
              <w:t> </w:t>
            </w:r>
            <w:r>
              <w:rPr>
                <w:sz w:val="20"/>
              </w:rPr>
              <w:t>central, que se manifiesta por vómitos, los cuales acompañan a la enfermedad gastrointestinal.</w:t>
            </w:r>
          </w:p>
        </w:tc>
      </w:tr>
      <w:tr>
        <w:trPr>
          <w:trHeight w:val="3977" w:hRule="exact"/>
        </w:trPr>
        <w:tc>
          <w:tcPr>
            <w:tcW w:w="1982" w:type="dxa"/>
          </w:tcPr>
          <w:p>
            <w:pPr>
              <w:pStyle w:val="TableParagraph"/>
              <w:spacing w:line="276" w:lineRule="auto"/>
              <w:ind w:right="660"/>
              <w:jc w:val="left"/>
              <w:rPr>
                <w:sz w:val="20"/>
              </w:rPr>
            </w:pPr>
            <w:r>
              <w:rPr>
                <w:sz w:val="20"/>
              </w:rPr>
              <w:t>Toxina 1 Síndrome del Shock tóxico</w:t>
            </w:r>
          </w:p>
        </w:tc>
        <w:tc>
          <w:tcPr>
            <w:tcW w:w="6846" w:type="dxa"/>
          </w:tcPr>
          <w:p>
            <w:pPr>
              <w:pStyle w:val="TableParagraph"/>
              <w:spacing w:line="276" w:lineRule="auto"/>
              <w:ind w:left="100" w:right="105"/>
              <w:jc w:val="both"/>
              <w:rPr>
                <w:sz w:val="20"/>
              </w:rPr>
            </w:pPr>
            <w:r>
              <w:rPr>
                <w:sz w:val="20"/>
              </w:rPr>
              <w:t>Suprime</w:t>
            </w:r>
            <w:r>
              <w:rPr>
                <w:spacing w:val="-12"/>
                <w:sz w:val="20"/>
              </w:rPr>
              <w:t> </w:t>
            </w:r>
            <w:r>
              <w:rPr>
                <w:sz w:val="20"/>
              </w:rPr>
              <w:t>la</w:t>
            </w:r>
            <w:r>
              <w:rPr>
                <w:spacing w:val="-9"/>
                <w:sz w:val="20"/>
              </w:rPr>
              <w:t> </w:t>
            </w:r>
            <w:r>
              <w:rPr>
                <w:sz w:val="20"/>
              </w:rPr>
              <w:t>quimiotaxis</w:t>
            </w:r>
            <w:r>
              <w:rPr>
                <w:spacing w:val="-10"/>
                <w:sz w:val="20"/>
              </w:rPr>
              <w:t> </w:t>
            </w:r>
            <w:r>
              <w:rPr>
                <w:sz w:val="20"/>
              </w:rPr>
              <w:t>de</w:t>
            </w:r>
            <w:r>
              <w:rPr>
                <w:spacing w:val="-8"/>
                <w:sz w:val="20"/>
              </w:rPr>
              <w:t> </w:t>
            </w:r>
            <w:r>
              <w:rPr>
                <w:sz w:val="20"/>
              </w:rPr>
              <w:t>los</w:t>
            </w:r>
            <w:r>
              <w:rPr>
                <w:spacing w:val="-11"/>
                <w:sz w:val="20"/>
              </w:rPr>
              <w:t> </w:t>
            </w:r>
            <w:r>
              <w:rPr>
                <w:sz w:val="20"/>
              </w:rPr>
              <w:t>neutrófilos,</w:t>
            </w:r>
            <w:r>
              <w:rPr>
                <w:spacing w:val="-9"/>
                <w:sz w:val="20"/>
              </w:rPr>
              <w:t> </w:t>
            </w:r>
            <w:r>
              <w:rPr>
                <w:sz w:val="20"/>
              </w:rPr>
              <w:t>induce</w:t>
            </w:r>
            <w:r>
              <w:rPr>
                <w:spacing w:val="-10"/>
                <w:sz w:val="20"/>
              </w:rPr>
              <w:t> </w:t>
            </w:r>
            <w:r>
              <w:rPr>
                <w:sz w:val="20"/>
              </w:rPr>
              <w:t>la</w:t>
            </w:r>
            <w:r>
              <w:rPr>
                <w:spacing w:val="-12"/>
                <w:sz w:val="20"/>
              </w:rPr>
              <w:t> </w:t>
            </w:r>
            <w:r>
              <w:rPr>
                <w:sz w:val="20"/>
              </w:rPr>
              <w:t>función</w:t>
            </w:r>
            <w:r>
              <w:rPr>
                <w:spacing w:val="-12"/>
                <w:sz w:val="20"/>
              </w:rPr>
              <w:t> </w:t>
            </w:r>
            <w:r>
              <w:rPr>
                <w:sz w:val="20"/>
              </w:rPr>
              <w:t>supresora</w:t>
            </w:r>
            <w:r>
              <w:rPr>
                <w:spacing w:val="-9"/>
                <w:sz w:val="20"/>
              </w:rPr>
              <w:t> </w:t>
            </w:r>
            <w:r>
              <w:rPr>
                <w:sz w:val="20"/>
              </w:rPr>
              <w:t>de</w:t>
            </w:r>
            <w:r>
              <w:rPr>
                <w:spacing w:val="-10"/>
                <w:sz w:val="20"/>
              </w:rPr>
              <w:t> </w:t>
            </w:r>
            <w:r>
              <w:rPr>
                <w:sz w:val="20"/>
              </w:rPr>
              <w:t>los linfocitos T y bloquea el sistema reticuloendotelial. La toxina actúa como superantígeno estimulando la liberación de varias citosinas, prostaglandinas y leucotrienos, los cuales producen los signos y síntomas del síndrome. A bajas concentraciones produce la extravasación de las células endoteliales y a altas concentraciones tiene un efecto</w:t>
            </w:r>
            <w:r>
              <w:rPr>
                <w:spacing w:val="-23"/>
                <w:sz w:val="20"/>
              </w:rPr>
              <w:t> </w:t>
            </w:r>
            <w:r>
              <w:rPr>
                <w:sz w:val="20"/>
              </w:rPr>
              <w:t>citotóxico.</w:t>
            </w:r>
          </w:p>
          <w:p>
            <w:pPr>
              <w:pStyle w:val="TableParagraph"/>
              <w:spacing w:line="276" w:lineRule="auto" w:before="1"/>
              <w:ind w:left="100" w:right="103"/>
              <w:jc w:val="both"/>
              <w:rPr>
                <w:sz w:val="20"/>
              </w:rPr>
            </w:pPr>
            <w:r>
              <w:rPr>
                <w:sz w:val="20"/>
              </w:rPr>
              <w:t>Los síntomas son: fiebre alta, dolor de cabeza, vómito, diarrea, mialgias y rash eritematoso. Otros síntomas incluyen meningitis, faringitis, conjuntivitis, vaginitis, edema, altralgia, irritabilidad, fatiga y dolor abdominal. En adultos puede producir el síndrome de la dificultad respiratoria, coagulación intravascular y falla renal. También puede ser menstrual (por coincidir con el periodo menstrual), y está asociado con el uso de tampones, o bien no ser menstrual en cuyo caso puede producir abscesos, celulitis, bursitis, infecciones posparto, procedimientos posquirúrgicos e infecciones vaginales.</w:t>
            </w:r>
          </w:p>
        </w:tc>
      </w:tr>
      <w:tr>
        <w:trPr>
          <w:trHeight w:val="2655" w:hRule="exact"/>
        </w:trPr>
        <w:tc>
          <w:tcPr>
            <w:tcW w:w="1982" w:type="dxa"/>
          </w:tcPr>
          <w:p>
            <w:pPr>
              <w:pStyle w:val="TableParagraph"/>
              <w:spacing w:line="276" w:lineRule="auto"/>
              <w:ind w:right="336"/>
              <w:jc w:val="left"/>
              <w:rPr>
                <w:sz w:val="20"/>
              </w:rPr>
            </w:pPr>
            <w:r>
              <w:rPr>
                <w:sz w:val="20"/>
              </w:rPr>
              <w:t>Leucocidina de </w:t>
            </w:r>
            <w:r>
              <w:rPr>
                <w:w w:val="95"/>
                <w:sz w:val="20"/>
              </w:rPr>
              <w:t>Panton-Valentine</w:t>
            </w:r>
          </w:p>
        </w:tc>
        <w:tc>
          <w:tcPr>
            <w:tcW w:w="6846" w:type="dxa"/>
          </w:tcPr>
          <w:p>
            <w:pPr>
              <w:pStyle w:val="TableParagraph"/>
              <w:spacing w:line="227" w:lineRule="exact"/>
              <w:ind w:left="100"/>
              <w:jc w:val="both"/>
              <w:rPr>
                <w:i/>
                <w:sz w:val="20"/>
              </w:rPr>
            </w:pPr>
            <w:r>
              <w:rPr>
                <w:sz w:val="20"/>
              </w:rPr>
              <w:t>Ocurre en menos de 5% de las cepas de </w:t>
            </w:r>
            <w:r>
              <w:rPr>
                <w:i/>
                <w:sz w:val="20"/>
              </w:rPr>
              <w:t>S. aureus</w:t>
            </w:r>
          </w:p>
          <w:p>
            <w:pPr>
              <w:pStyle w:val="TableParagraph"/>
              <w:spacing w:line="276" w:lineRule="auto" w:before="36"/>
              <w:ind w:left="100" w:right="101"/>
              <w:jc w:val="both"/>
              <w:rPr>
                <w:sz w:val="20"/>
              </w:rPr>
            </w:pPr>
            <w:r>
              <w:rPr>
                <w:sz w:val="20"/>
              </w:rPr>
              <w:t>La leucocidina es citotóxica para los monocitos, macrófagos y leucocitos poliformonucleares de humano. Es una proteína que forma poros en la membrana plasmática de los leucocitos, lo cual provoca un aumento en la permeabilidad y eventualmente provoca la lisis de la célula. La lisis de los leucocitos produce la liberación de los mediadores de la inflamación con una consecuente respuesta inflamatoria grave.</w:t>
            </w:r>
          </w:p>
          <w:p>
            <w:pPr>
              <w:pStyle w:val="TableParagraph"/>
              <w:spacing w:line="276" w:lineRule="auto"/>
              <w:ind w:left="100" w:right="110"/>
              <w:jc w:val="both"/>
              <w:rPr>
                <w:sz w:val="20"/>
              </w:rPr>
            </w:pPr>
            <w:r>
              <w:rPr>
                <w:sz w:val="20"/>
              </w:rPr>
              <w:t>Se asocia con forunculosis, neumonía hemorrágica severa o ambas en adultos jóvenes y niños, así como infecciones en la piel relacionadas con cepas MRSA adquiridas en la comunidad.</w:t>
            </w:r>
          </w:p>
        </w:tc>
      </w:tr>
      <w:tr>
        <w:trPr>
          <w:trHeight w:val="1332" w:hRule="exact"/>
        </w:trPr>
        <w:tc>
          <w:tcPr>
            <w:tcW w:w="1982" w:type="dxa"/>
          </w:tcPr>
          <w:p>
            <w:pPr>
              <w:pStyle w:val="TableParagraph"/>
              <w:spacing w:line="230" w:lineRule="exact"/>
              <w:ind w:right="544"/>
              <w:jc w:val="left"/>
              <w:rPr>
                <w:sz w:val="20"/>
              </w:rPr>
            </w:pPr>
            <w:r>
              <w:rPr>
                <w:sz w:val="20"/>
              </w:rPr>
              <w:t>Hemolisina α</w:t>
            </w:r>
          </w:p>
        </w:tc>
        <w:tc>
          <w:tcPr>
            <w:tcW w:w="6846" w:type="dxa"/>
          </w:tcPr>
          <w:p>
            <w:pPr>
              <w:pStyle w:val="TableParagraph"/>
              <w:spacing w:line="276" w:lineRule="auto"/>
              <w:ind w:left="100" w:right="106"/>
              <w:jc w:val="both"/>
              <w:rPr>
                <w:sz w:val="20"/>
              </w:rPr>
            </w:pPr>
            <w:r>
              <w:rPr>
                <w:sz w:val="20"/>
              </w:rPr>
              <w:t>Es considerada el prototipo de las citotoxinas formadora de poros, es citolitica para un gran número de células: monocitos, eritrocitos, linfocitos, plaquetas y células endoteliales. Intervienen en el desarrollo del edema y daño tisular como consecuencia del cambio de permeabilidad inducidos</w:t>
            </w:r>
            <w:r>
              <w:rPr>
                <w:spacing w:val="-37"/>
                <w:sz w:val="20"/>
              </w:rPr>
              <w:t> </w:t>
            </w:r>
            <w:r>
              <w:rPr>
                <w:sz w:val="20"/>
              </w:rPr>
              <w:t>en las</w:t>
            </w:r>
            <w:r>
              <w:rPr>
                <w:spacing w:val="-9"/>
                <w:sz w:val="20"/>
              </w:rPr>
              <w:t> </w:t>
            </w:r>
            <w:r>
              <w:rPr>
                <w:sz w:val="20"/>
              </w:rPr>
              <w:t>células</w:t>
            </w:r>
            <w:r>
              <w:rPr>
                <w:spacing w:val="-7"/>
                <w:sz w:val="20"/>
              </w:rPr>
              <w:t> </w:t>
            </w:r>
            <w:r>
              <w:rPr>
                <w:sz w:val="20"/>
              </w:rPr>
              <w:t>endoteliales</w:t>
            </w:r>
            <w:r>
              <w:rPr>
                <w:spacing w:val="-9"/>
                <w:sz w:val="20"/>
              </w:rPr>
              <w:t> </w:t>
            </w:r>
            <w:r>
              <w:rPr>
                <w:sz w:val="20"/>
              </w:rPr>
              <w:t>con</w:t>
            </w:r>
            <w:r>
              <w:rPr>
                <w:spacing w:val="-9"/>
                <w:sz w:val="20"/>
              </w:rPr>
              <w:t> </w:t>
            </w:r>
            <w:r>
              <w:rPr>
                <w:sz w:val="20"/>
              </w:rPr>
              <w:t>los</w:t>
            </w:r>
            <w:r>
              <w:rPr>
                <w:spacing w:val="-9"/>
                <w:sz w:val="20"/>
              </w:rPr>
              <w:t> </w:t>
            </w:r>
            <w:r>
              <w:rPr>
                <w:sz w:val="20"/>
              </w:rPr>
              <w:t>consiguientes</w:t>
            </w:r>
            <w:r>
              <w:rPr>
                <w:spacing w:val="-9"/>
                <w:sz w:val="20"/>
              </w:rPr>
              <w:t> </w:t>
            </w:r>
            <w:r>
              <w:rPr>
                <w:sz w:val="20"/>
              </w:rPr>
              <w:t>cambios</w:t>
            </w:r>
            <w:r>
              <w:rPr>
                <w:spacing w:val="-9"/>
                <w:sz w:val="20"/>
              </w:rPr>
              <w:t> </w:t>
            </w:r>
            <w:r>
              <w:rPr>
                <w:sz w:val="20"/>
              </w:rPr>
              <w:t>en</w:t>
            </w:r>
            <w:r>
              <w:rPr>
                <w:spacing w:val="-11"/>
                <w:sz w:val="20"/>
              </w:rPr>
              <w:t> </w:t>
            </w:r>
            <w:r>
              <w:rPr>
                <w:sz w:val="20"/>
              </w:rPr>
              <w:t>el</w:t>
            </w:r>
            <w:r>
              <w:rPr>
                <w:spacing w:val="-11"/>
                <w:sz w:val="20"/>
              </w:rPr>
              <w:t> </w:t>
            </w:r>
            <w:r>
              <w:rPr>
                <w:sz w:val="20"/>
              </w:rPr>
              <w:t>balance</w:t>
            </w:r>
            <w:r>
              <w:rPr>
                <w:spacing w:val="-10"/>
                <w:sz w:val="20"/>
              </w:rPr>
              <w:t> </w:t>
            </w:r>
            <w:r>
              <w:rPr>
                <w:sz w:val="20"/>
              </w:rPr>
              <w:t>iónico.</w:t>
            </w:r>
          </w:p>
        </w:tc>
      </w:tr>
    </w:tbl>
    <w:p>
      <w:pPr>
        <w:spacing w:after="0" w:line="276" w:lineRule="auto"/>
        <w:jc w:val="both"/>
        <w:rPr>
          <w:sz w:val="20"/>
        </w:rPr>
        <w:sectPr>
          <w:pgSz w:w="12240" w:h="15840"/>
          <w:pgMar w:header="728" w:footer="1135" w:top="1200" w:bottom="1320" w:left="1560" w:right="1560"/>
        </w:sectPr>
      </w:pPr>
    </w:p>
    <w:p>
      <w:pPr>
        <w:pStyle w:val="BodyText"/>
        <w:spacing w:before="11"/>
        <w:rPr>
          <w:rFonts w:ascii="Times New Roman"/>
          <w:sz w:val="18"/>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2"/>
        <w:gridCol w:w="6846"/>
      </w:tblGrid>
      <w:tr>
        <w:trPr>
          <w:trHeight w:val="274" w:hRule="exact"/>
        </w:trPr>
        <w:tc>
          <w:tcPr>
            <w:tcW w:w="1982" w:type="dxa"/>
          </w:tcPr>
          <w:p>
            <w:pPr/>
          </w:p>
        </w:tc>
        <w:tc>
          <w:tcPr>
            <w:tcW w:w="6846" w:type="dxa"/>
          </w:tcPr>
          <w:p>
            <w:pPr>
              <w:pStyle w:val="TableParagraph"/>
              <w:ind w:left="100"/>
              <w:jc w:val="left"/>
              <w:rPr>
                <w:sz w:val="20"/>
              </w:rPr>
            </w:pPr>
            <w:r>
              <w:rPr>
                <w:sz w:val="20"/>
              </w:rPr>
              <w:t>Es una toxina es dermonecrótica y neurotóxica.</w:t>
            </w:r>
          </w:p>
        </w:tc>
      </w:tr>
      <w:tr>
        <w:trPr>
          <w:trHeight w:val="540" w:hRule="exact"/>
        </w:trPr>
        <w:tc>
          <w:tcPr>
            <w:tcW w:w="1982" w:type="dxa"/>
          </w:tcPr>
          <w:p>
            <w:pPr>
              <w:pStyle w:val="TableParagraph"/>
              <w:spacing w:line="230" w:lineRule="exact"/>
              <w:ind w:right="544"/>
              <w:jc w:val="left"/>
              <w:rPr>
                <w:sz w:val="20"/>
              </w:rPr>
            </w:pPr>
            <w:r>
              <w:rPr>
                <w:sz w:val="20"/>
              </w:rPr>
              <w:t>Hemolisina β</w:t>
            </w:r>
          </w:p>
        </w:tc>
        <w:tc>
          <w:tcPr>
            <w:tcW w:w="6846" w:type="dxa"/>
          </w:tcPr>
          <w:p>
            <w:pPr>
              <w:pStyle w:val="TableParagraph"/>
              <w:spacing w:line="278" w:lineRule="auto"/>
              <w:ind w:left="100"/>
              <w:jc w:val="left"/>
              <w:rPr>
                <w:sz w:val="20"/>
              </w:rPr>
            </w:pPr>
            <w:r>
              <w:rPr>
                <w:sz w:val="20"/>
              </w:rPr>
              <w:t>Tiene una actividad de fosfolipasa C, es específica para la esfingomielina y lisofosfatidilcolina, se cree que le da selectividad a la bacteria.</w:t>
            </w:r>
          </w:p>
        </w:tc>
      </w:tr>
      <w:tr>
        <w:trPr>
          <w:trHeight w:val="538" w:hRule="exact"/>
        </w:trPr>
        <w:tc>
          <w:tcPr>
            <w:tcW w:w="1982" w:type="dxa"/>
          </w:tcPr>
          <w:p>
            <w:pPr>
              <w:pStyle w:val="TableParagraph"/>
              <w:spacing w:line="230" w:lineRule="exact"/>
              <w:ind w:right="544"/>
              <w:jc w:val="left"/>
              <w:rPr>
                <w:sz w:val="20"/>
              </w:rPr>
            </w:pPr>
            <w:r>
              <w:rPr>
                <w:sz w:val="20"/>
              </w:rPr>
              <w:t>Hemolisina γ</w:t>
            </w:r>
          </w:p>
        </w:tc>
        <w:tc>
          <w:tcPr>
            <w:tcW w:w="6846" w:type="dxa"/>
          </w:tcPr>
          <w:p>
            <w:pPr>
              <w:pStyle w:val="TableParagraph"/>
              <w:spacing w:line="276" w:lineRule="auto"/>
              <w:ind w:left="100"/>
              <w:jc w:val="left"/>
              <w:rPr>
                <w:sz w:val="20"/>
              </w:rPr>
            </w:pPr>
            <w:r>
              <w:rPr>
                <w:sz w:val="20"/>
              </w:rPr>
              <w:t>Afecta a neutrófilos, macrófagos y a una gran variedad de eritrocitos de mamíferos. Se cree tiene efecto en la inducción de la inflamación.</w:t>
            </w:r>
          </w:p>
        </w:tc>
      </w:tr>
      <w:tr>
        <w:trPr>
          <w:trHeight w:val="1862" w:hRule="exact"/>
        </w:trPr>
        <w:tc>
          <w:tcPr>
            <w:tcW w:w="1982" w:type="dxa"/>
          </w:tcPr>
          <w:p>
            <w:pPr>
              <w:pStyle w:val="TableParagraph"/>
              <w:spacing w:line="230" w:lineRule="exact"/>
              <w:ind w:right="544"/>
              <w:jc w:val="left"/>
              <w:rPr>
                <w:sz w:val="20"/>
              </w:rPr>
            </w:pPr>
            <w:r>
              <w:rPr>
                <w:sz w:val="20"/>
              </w:rPr>
              <w:t>Hemolisina δ</w:t>
            </w:r>
          </w:p>
        </w:tc>
        <w:tc>
          <w:tcPr>
            <w:tcW w:w="6846" w:type="dxa"/>
          </w:tcPr>
          <w:p>
            <w:pPr>
              <w:pStyle w:val="TableParagraph"/>
              <w:spacing w:line="276" w:lineRule="auto"/>
              <w:ind w:left="100" w:right="106"/>
              <w:jc w:val="both"/>
              <w:rPr>
                <w:sz w:val="20"/>
              </w:rPr>
            </w:pPr>
            <w:r>
              <w:rPr>
                <w:sz w:val="20"/>
              </w:rPr>
              <w:t>Causa daño en un gran número de células de mamíferos. El 97% de las cepas de </w:t>
            </w:r>
            <w:r>
              <w:rPr>
                <w:i/>
                <w:sz w:val="20"/>
              </w:rPr>
              <w:t>S. aureus </w:t>
            </w:r>
            <w:r>
              <w:rPr>
                <w:sz w:val="20"/>
              </w:rPr>
              <w:t>produce esta hemolisina. Esta toxina es capaz de hidrolizar los eritrocitos y membranas celulares, así como estructuras subcelulares rodeadas por una membrana como esferoplastos y protoplastos. Tiene una actividad dermonecrótica y se ha propuesto que actúa como un surfactante disgregando la membrana celular.</w:t>
            </w:r>
          </w:p>
          <w:p>
            <w:pPr>
              <w:pStyle w:val="TableParagraph"/>
              <w:spacing w:before="3"/>
              <w:ind w:left="100"/>
              <w:jc w:val="both"/>
              <w:rPr>
                <w:sz w:val="20"/>
              </w:rPr>
            </w:pPr>
            <w:r>
              <w:rPr>
                <w:sz w:val="20"/>
              </w:rPr>
              <w:t>Es dermonecrótica, causa lisis de diferentes tipos de células</w:t>
            </w:r>
          </w:p>
        </w:tc>
      </w:tr>
      <w:tr>
        <w:trPr>
          <w:trHeight w:val="805" w:hRule="exact"/>
        </w:trPr>
        <w:tc>
          <w:tcPr>
            <w:tcW w:w="1982" w:type="dxa"/>
          </w:tcPr>
          <w:p>
            <w:pPr>
              <w:pStyle w:val="TableParagraph"/>
              <w:ind w:right="544"/>
              <w:jc w:val="left"/>
              <w:rPr>
                <w:sz w:val="20"/>
              </w:rPr>
            </w:pPr>
            <w:r>
              <w:rPr>
                <w:sz w:val="20"/>
              </w:rPr>
              <w:t>Catalasa</w:t>
            </w:r>
          </w:p>
        </w:tc>
        <w:tc>
          <w:tcPr>
            <w:tcW w:w="6846" w:type="dxa"/>
          </w:tcPr>
          <w:p>
            <w:pPr>
              <w:pStyle w:val="TableParagraph"/>
              <w:spacing w:line="276" w:lineRule="auto"/>
              <w:ind w:left="100" w:right="104"/>
              <w:jc w:val="both"/>
              <w:rPr>
                <w:sz w:val="20"/>
              </w:rPr>
            </w:pPr>
            <w:r>
              <w:rPr>
                <w:sz w:val="20"/>
              </w:rPr>
              <w:t>Inactiva el peróxido de hidrógeno tóxico y radicales libres formados por el sistema mieloperoxidasa dentro de las células fagocíticas del hospedero después de la ingestión del microorganismo.</w:t>
            </w:r>
          </w:p>
        </w:tc>
      </w:tr>
      <w:tr>
        <w:trPr>
          <w:trHeight w:val="2124" w:hRule="exact"/>
        </w:trPr>
        <w:tc>
          <w:tcPr>
            <w:tcW w:w="1982" w:type="dxa"/>
          </w:tcPr>
          <w:p>
            <w:pPr>
              <w:pStyle w:val="TableParagraph"/>
              <w:spacing w:line="230" w:lineRule="exact"/>
              <w:ind w:right="33"/>
              <w:jc w:val="left"/>
              <w:rPr>
                <w:sz w:val="20"/>
              </w:rPr>
            </w:pPr>
            <w:r>
              <w:rPr>
                <w:sz w:val="20"/>
              </w:rPr>
              <w:t>Ácidos teicoicos</w:t>
            </w:r>
          </w:p>
        </w:tc>
        <w:tc>
          <w:tcPr>
            <w:tcW w:w="6846" w:type="dxa"/>
          </w:tcPr>
          <w:p>
            <w:pPr>
              <w:pStyle w:val="TableParagraph"/>
              <w:spacing w:line="276" w:lineRule="auto"/>
              <w:ind w:left="100" w:right="102"/>
              <w:jc w:val="both"/>
              <w:rPr>
                <w:sz w:val="20"/>
              </w:rPr>
            </w:pPr>
            <w:r>
              <w:rPr>
                <w:sz w:val="20"/>
              </w:rPr>
              <w:t>Representan más del 50% del peso seco purificado de la pared. Constituidos por polímeros de ribitol fosfato entrecruzados con ácido N- acetilglucosamina, son específicos de especie, pueden estar unidos covalentemente al peptidoglicano de la pared celular y ligados a los lípidos de la membrana citoplasmática, juegan un papel importante en el metabolismo de la pared celular, su función es mediar la unión a las superficies de las mucosas mediante uniones especificas a la fibronectina además de la capacidad de inducir la producción de anticuerpos.</w:t>
            </w:r>
          </w:p>
        </w:tc>
      </w:tr>
      <w:tr>
        <w:trPr>
          <w:trHeight w:val="1068" w:hRule="exact"/>
        </w:trPr>
        <w:tc>
          <w:tcPr>
            <w:tcW w:w="1982" w:type="dxa"/>
          </w:tcPr>
          <w:p>
            <w:pPr>
              <w:pStyle w:val="TableParagraph"/>
              <w:spacing w:before="2"/>
              <w:ind w:right="33"/>
              <w:jc w:val="left"/>
              <w:rPr>
                <w:sz w:val="20"/>
              </w:rPr>
            </w:pPr>
            <w:r>
              <w:rPr>
                <w:sz w:val="20"/>
              </w:rPr>
              <w:t>Ácidos lipoteicoicos</w:t>
            </w:r>
          </w:p>
        </w:tc>
        <w:tc>
          <w:tcPr>
            <w:tcW w:w="6846" w:type="dxa"/>
          </w:tcPr>
          <w:p>
            <w:pPr>
              <w:pStyle w:val="TableParagraph"/>
              <w:spacing w:line="276" w:lineRule="auto" w:before="2"/>
              <w:ind w:left="100" w:right="105"/>
              <w:jc w:val="both"/>
              <w:rPr>
                <w:sz w:val="20"/>
              </w:rPr>
            </w:pPr>
            <w:r>
              <w:rPr>
                <w:sz w:val="20"/>
              </w:rPr>
              <w:t>Unidos a la membrana plasmática, contienen fosfatos de poliglicerol, además</w:t>
            </w:r>
            <w:r>
              <w:rPr>
                <w:spacing w:val="-4"/>
                <w:sz w:val="20"/>
              </w:rPr>
              <w:t> </w:t>
            </w:r>
            <w:r>
              <w:rPr>
                <w:sz w:val="20"/>
              </w:rPr>
              <w:t>de</w:t>
            </w:r>
            <w:r>
              <w:rPr>
                <w:spacing w:val="-5"/>
                <w:sz w:val="20"/>
              </w:rPr>
              <w:t> </w:t>
            </w:r>
            <w:r>
              <w:rPr>
                <w:sz w:val="20"/>
              </w:rPr>
              <w:t>unirse</w:t>
            </w:r>
            <w:r>
              <w:rPr>
                <w:spacing w:val="-5"/>
                <w:sz w:val="20"/>
              </w:rPr>
              <w:t> </w:t>
            </w:r>
            <w:r>
              <w:rPr>
                <w:sz w:val="20"/>
              </w:rPr>
              <w:t>a</w:t>
            </w:r>
            <w:r>
              <w:rPr>
                <w:spacing w:val="-5"/>
                <w:sz w:val="20"/>
              </w:rPr>
              <w:t> </w:t>
            </w:r>
            <w:r>
              <w:rPr>
                <w:sz w:val="20"/>
              </w:rPr>
              <w:t>un</w:t>
            </w:r>
            <w:r>
              <w:rPr>
                <w:spacing w:val="-3"/>
                <w:sz w:val="20"/>
              </w:rPr>
              <w:t> </w:t>
            </w:r>
            <w:r>
              <w:rPr>
                <w:sz w:val="20"/>
              </w:rPr>
              <w:t>diacilglicerol</w:t>
            </w:r>
            <w:r>
              <w:rPr>
                <w:spacing w:val="-6"/>
                <w:sz w:val="20"/>
              </w:rPr>
              <w:t> </w:t>
            </w:r>
            <w:r>
              <w:rPr>
                <w:sz w:val="20"/>
              </w:rPr>
              <w:t>que</w:t>
            </w:r>
            <w:r>
              <w:rPr>
                <w:spacing w:val="-5"/>
                <w:sz w:val="20"/>
              </w:rPr>
              <w:t> </w:t>
            </w:r>
            <w:r>
              <w:rPr>
                <w:sz w:val="20"/>
              </w:rPr>
              <w:t>sirve</w:t>
            </w:r>
            <w:r>
              <w:rPr>
                <w:spacing w:val="-5"/>
                <w:sz w:val="20"/>
              </w:rPr>
              <w:t> </w:t>
            </w:r>
            <w:r>
              <w:rPr>
                <w:sz w:val="20"/>
              </w:rPr>
              <w:t>como</w:t>
            </w:r>
            <w:r>
              <w:rPr>
                <w:spacing w:val="-5"/>
                <w:sz w:val="20"/>
              </w:rPr>
              <w:t> </w:t>
            </w:r>
            <w:r>
              <w:rPr>
                <w:sz w:val="20"/>
              </w:rPr>
              <w:t>anclaje</w:t>
            </w:r>
            <w:r>
              <w:rPr>
                <w:spacing w:val="-5"/>
                <w:sz w:val="20"/>
              </w:rPr>
              <w:t> </w:t>
            </w:r>
            <w:r>
              <w:rPr>
                <w:sz w:val="20"/>
              </w:rPr>
              <w:t>a</w:t>
            </w:r>
            <w:r>
              <w:rPr>
                <w:spacing w:val="-5"/>
                <w:sz w:val="20"/>
              </w:rPr>
              <w:t> </w:t>
            </w:r>
            <w:r>
              <w:rPr>
                <w:sz w:val="20"/>
              </w:rPr>
              <w:t>la</w:t>
            </w:r>
            <w:r>
              <w:rPr>
                <w:spacing w:val="-5"/>
                <w:sz w:val="20"/>
              </w:rPr>
              <w:t> </w:t>
            </w:r>
            <w:r>
              <w:rPr>
                <w:sz w:val="20"/>
              </w:rPr>
              <w:t>membrana plasmática. Están involucrados en la inflamación y en la liberación de citosinas por los macrófagos y otras moléculas del sistema</w:t>
            </w:r>
            <w:r>
              <w:rPr>
                <w:spacing w:val="-17"/>
                <w:sz w:val="20"/>
              </w:rPr>
              <w:t> </w:t>
            </w:r>
            <w:r>
              <w:rPr>
                <w:sz w:val="20"/>
              </w:rPr>
              <w:t>inmune.</w:t>
            </w:r>
          </w:p>
        </w:tc>
      </w:tr>
      <w:tr>
        <w:trPr>
          <w:trHeight w:val="540" w:hRule="exact"/>
        </w:trPr>
        <w:tc>
          <w:tcPr>
            <w:tcW w:w="1982" w:type="dxa"/>
          </w:tcPr>
          <w:p>
            <w:pPr>
              <w:pStyle w:val="TableParagraph"/>
              <w:spacing w:before="2"/>
              <w:ind w:right="544"/>
              <w:jc w:val="left"/>
              <w:rPr>
                <w:sz w:val="20"/>
              </w:rPr>
            </w:pPr>
            <w:r>
              <w:rPr>
                <w:sz w:val="20"/>
              </w:rPr>
              <w:t>Catalasa</w:t>
            </w:r>
          </w:p>
        </w:tc>
        <w:tc>
          <w:tcPr>
            <w:tcW w:w="6846" w:type="dxa"/>
          </w:tcPr>
          <w:p>
            <w:pPr>
              <w:pStyle w:val="TableParagraph"/>
              <w:spacing w:line="276" w:lineRule="auto" w:before="2"/>
              <w:ind w:left="100"/>
              <w:jc w:val="left"/>
              <w:rPr>
                <w:sz w:val="20"/>
              </w:rPr>
            </w:pPr>
            <w:r>
              <w:rPr>
                <w:sz w:val="20"/>
              </w:rPr>
              <w:t>Enzima que degrada el peróxido de hidrógeno dándole protección al microorganismo contra la fagocitosis</w:t>
            </w:r>
          </w:p>
        </w:tc>
      </w:tr>
      <w:tr>
        <w:trPr>
          <w:trHeight w:val="540" w:hRule="exact"/>
        </w:trPr>
        <w:tc>
          <w:tcPr>
            <w:tcW w:w="1982" w:type="dxa"/>
          </w:tcPr>
          <w:p>
            <w:pPr>
              <w:pStyle w:val="TableParagraph"/>
              <w:spacing w:line="230" w:lineRule="exact"/>
              <w:ind w:right="544"/>
              <w:jc w:val="left"/>
              <w:rPr>
                <w:sz w:val="20"/>
              </w:rPr>
            </w:pPr>
            <w:r>
              <w:rPr>
                <w:sz w:val="20"/>
              </w:rPr>
              <w:t>Hialuronidasa</w:t>
            </w:r>
          </w:p>
        </w:tc>
        <w:tc>
          <w:tcPr>
            <w:tcW w:w="6846" w:type="dxa"/>
          </w:tcPr>
          <w:p>
            <w:pPr>
              <w:pStyle w:val="TableParagraph"/>
              <w:spacing w:line="276" w:lineRule="auto"/>
              <w:ind w:left="100"/>
              <w:jc w:val="left"/>
              <w:rPr>
                <w:sz w:val="20"/>
              </w:rPr>
            </w:pPr>
            <w:r>
              <w:rPr>
                <w:sz w:val="20"/>
              </w:rPr>
              <w:t>Degrada el ácido hialurónico de la matriz del tejido conjuntivo facilitando la diseminación de la infección.</w:t>
            </w:r>
          </w:p>
        </w:tc>
      </w:tr>
      <w:tr>
        <w:trPr>
          <w:trHeight w:val="2389" w:hRule="exact"/>
        </w:trPr>
        <w:tc>
          <w:tcPr>
            <w:tcW w:w="1982" w:type="dxa"/>
          </w:tcPr>
          <w:p>
            <w:pPr>
              <w:pStyle w:val="TableParagraph"/>
              <w:spacing w:line="276" w:lineRule="auto"/>
              <w:ind w:right="33"/>
              <w:jc w:val="left"/>
              <w:rPr>
                <w:sz w:val="20"/>
              </w:rPr>
            </w:pPr>
            <w:r>
              <w:rPr>
                <w:sz w:val="20"/>
              </w:rPr>
              <w:t>Toxinas exfoliativas o epidermolíticas</w:t>
            </w:r>
          </w:p>
        </w:tc>
        <w:tc>
          <w:tcPr>
            <w:tcW w:w="6846" w:type="dxa"/>
          </w:tcPr>
          <w:p>
            <w:pPr>
              <w:pStyle w:val="TableParagraph"/>
              <w:spacing w:line="276" w:lineRule="auto"/>
              <w:ind w:left="100" w:right="111"/>
              <w:jc w:val="both"/>
              <w:rPr>
                <w:sz w:val="20"/>
              </w:rPr>
            </w:pPr>
            <w:r>
              <w:rPr>
                <w:sz w:val="20"/>
              </w:rPr>
              <w:t>La prevalencia de estas cepas productoras varía geográficamente. Se han identificado dos serotipos: A y B (ETA y ETB), ambas pueden producir el síndrome de la piel escaldada.</w:t>
            </w:r>
          </w:p>
          <w:p>
            <w:pPr>
              <w:pStyle w:val="TableParagraph"/>
              <w:spacing w:line="276" w:lineRule="auto"/>
              <w:ind w:left="100" w:right="112"/>
              <w:jc w:val="both"/>
              <w:rPr>
                <w:sz w:val="20"/>
              </w:rPr>
            </w:pPr>
            <w:r>
              <w:rPr>
                <w:sz w:val="20"/>
              </w:rPr>
              <w:t>La toxina exfoliativa A es termoestable, se codifica por un fago, mientras que la toxina B es termolábil y es codificada por plásmidos.</w:t>
            </w:r>
          </w:p>
          <w:p>
            <w:pPr>
              <w:pStyle w:val="TableParagraph"/>
              <w:spacing w:line="276" w:lineRule="auto" w:before="3"/>
              <w:ind w:left="100" w:right="105"/>
              <w:jc w:val="both"/>
              <w:rPr>
                <w:sz w:val="20"/>
              </w:rPr>
            </w:pPr>
            <w:r>
              <w:rPr>
                <w:sz w:val="20"/>
              </w:rPr>
              <w:t>Actúan</w:t>
            </w:r>
            <w:r>
              <w:rPr>
                <w:spacing w:val="-11"/>
                <w:sz w:val="20"/>
              </w:rPr>
              <w:t> </w:t>
            </w:r>
            <w:r>
              <w:rPr>
                <w:sz w:val="20"/>
              </w:rPr>
              <w:t>destruyendo</w:t>
            </w:r>
            <w:r>
              <w:rPr>
                <w:spacing w:val="-13"/>
                <w:sz w:val="20"/>
              </w:rPr>
              <w:t> </w:t>
            </w:r>
            <w:r>
              <w:rPr>
                <w:sz w:val="20"/>
              </w:rPr>
              <w:t>los</w:t>
            </w:r>
            <w:r>
              <w:rPr>
                <w:spacing w:val="-13"/>
                <w:sz w:val="20"/>
              </w:rPr>
              <w:t> </w:t>
            </w:r>
            <w:r>
              <w:rPr>
                <w:sz w:val="20"/>
              </w:rPr>
              <w:t>desmosomas</w:t>
            </w:r>
            <w:r>
              <w:rPr>
                <w:spacing w:val="-13"/>
                <w:sz w:val="20"/>
              </w:rPr>
              <w:t> </w:t>
            </w:r>
            <w:r>
              <w:rPr>
                <w:sz w:val="20"/>
              </w:rPr>
              <w:t>del</w:t>
            </w:r>
            <w:r>
              <w:rPr>
                <w:spacing w:val="-13"/>
                <w:sz w:val="20"/>
              </w:rPr>
              <w:t> </w:t>
            </w:r>
            <w:r>
              <w:rPr>
                <w:sz w:val="20"/>
              </w:rPr>
              <w:t>estrato</w:t>
            </w:r>
            <w:r>
              <w:rPr>
                <w:spacing w:val="-13"/>
                <w:sz w:val="20"/>
              </w:rPr>
              <w:t> </w:t>
            </w:r>
            <w:r>
              <w:rPr>
                <w:sz w:val="20"/>
              </w:rPr>
              <w:t>granuloso</w:t>
            </w:r>
            <w:r>
              <w:rPr>
                <w:spacing w:val="-13"/>
                <w:sz w:val="20"/>
              </w:rPr>
              <w:t> </w:t>
            </w:r>
            <w:r>
              <w:rPr>
                <w:sz w:val="20"/>
              </w:rPr>
              <w:t>de</w:t>
            </w:r>
            <w:r>
              <w:rPr>
                <w:spacing w:val="-13"/>
                <w:sz w:val="20"/>
              </w:rPr>
              <w:t> </w:t>
            </w:r>
            <w:r>
              <w:rPr>
                <w:sz w:val="20"/>
              </w:rPr>
              <w:t>la</w:t>
            </w:r>
            <w:r>
              <w:rPr>
                <w:spacing w:val="-11"/>
                <w:sz w:val="20"/>
              </w:rPr>
              <w:t> </w:t>
            </w:r>
            <w:r>
              <w:rPr>
                <w:sz w:val="20"/>
              </w:rPr>
              <w:t>epidermis, sin producir citólisis o inflamación, por lo que en la capa de la epidermis afectada no se encuentran leucocitos ni estafilococos, tienen actividad de proteasa serina, lo que desencadena la</w:t>
            </w:r>
            <w:r>
              <w:rPr>
                <w:spacing w:val="-19"/>
                <w:sz w:val="20"/>
              </w:rPr>
              <w:t> </w:t>
            </w:r>
            <w:r>
              <w:rPr>
                <w:sz w:val="20"/>
              </w:rPr>
              <w:t>exfoliación.</w:t>
            </w:r>
          </w:p>
        </w:tc>
      </w:tr>
    </w:tbl>
    <w:p>
      <w:pPr>
        <w:spacing w:line="230" w:lineRule="exact" w:before="0"/>
        <w:ind w:left="254" w:right="63" w:firstLine="0"/>
        <w:jc w:val="left"/>
        <w:rPr>
          <w:i/>
          <w:sz w:val="20"/>
        </w:rPr>
      </w:pPr>
      <w:r>
        <w:rPr>
          <w:sz w:val="20"/>
        </w:rPr>
        <w:t>Fuente: Camussone y Calvinho (2013); Bustos Martínez </w:t>
      </w:r>
      <w:r>
        <w:rPr>
          <w:i/>
          <w:sz w:val="20"/>
        </w:rPr>
        <w:t>et al., </w:t>
      </w:r>
      <w:r>
        <w:rPr>
          <w:sz w:val="20"/>
        </w:rPr>
        <w:t>(2006): Cervantes-García </w:t>
      </w:r>
      <w:r>
        <w:rPr>
          <w:i/>
          <w:sz w:val="20"/>
        </w:rPr>
        <w:t>et al.,</w:t>
      </w:r>
    </w:p>
    <w:p>
      <w:pPr>
        <w:spacing w:before="36"/>
        <w:ind w:left="254" w:right="1550" w:firstLine="0"/>
        <w:jc w:val="left"/>
        <w:rPr>
          <w:sz w:val="20"/>
        </w:rPr>
      </w:pPr>
      <w:r>
        <w:rPr>
          <w:sz w:val="20"/>
        </w:rPr>
        <w:t>(2014).</w:t>
      </w:r>
    </w:p>
    <w:p>
      <w:pPr>
        <w:spacing w:after="0"/>
        <w:jc w:val="left"/>
        <w:rPr>
          <w:sz w:val="20"/>
        </w:rPr>
        <w:sectPr>
          <w:pgSz w:w="12240" w:h="15840"/>
          <w:pgMar w:header="728" w:footer="1135" w:top="1200" w:bottom="1320" w:left="1560" w:right="1560"/>
        </w:sectPr>
      </w:pPr>
    </w:p>
    <w:p>
      <w:pPr>
        <w:pStyle w:val="BodyText"/>
        <w:spacing w:before="7"/>
        <w:rPr>
          <w:sz w:val="12"/>
        </w:rPr>
      </w:pPr>
    </w:p>
    <w:p>
      <w:pPr>
        <w:spacing w:before="69"/>
        <w:ind w:left="142" w:right="0" w:firstLine="0"/>
        <w:jc w:val="both"/>
        <w:rPr>
          <w:i/>
          <w:sz w:val="24"/>
        </w:rPr>
      </w:pPr>
      <w:r>
        <w:rPr>
          <w:sz w:val="24"/>
        </w:rPr>
        <w:t>Figura 1: Factores de virulencia de </w:t>
      </w:r>
      <w:r>
        <w:rPr>
          <w:i/>
          <w:sz w:val="24"/>
        </w:rPr>
        <w:t>Staphylococcus aureus.</w:t>
      </w:r>
    </w:p>
    <w:p>
      <w:pPr>
        <w:pStyle w:val="BodyText"/>
        <w:spacing w:before="7"/>
        <w:rPr>
          <w:i/>
          <w:sz w:val="9"/>
        </w:rPr>
      </w:pPr>
      <w:r>
        <w:rPr/>
        <w:drawing>
          <wp:anchor distT="0" distB="0" distL="0" distR="0" allowOverlap="1" layoutInCell="1" locked="0" behindDoc="0" simplePos="0" relativeHeight="1072">
            <wp:simplePos x="0" y="0"/>
            <wp:positionH relativeFrom="page">
              <wp:posOffset>1149096</wp:posOffset>
            </wp:positionH>
            <wp:positionV relativeFrom="paragraph">
              <wp:posOffset>95466</wp:posOffset>
            </wp:positionV>
            <wp:extent cx="4888139" cy="2557462"/>
            <wp:effectExtent l="0" t="0" r="0" b="0"/>
            <wp:wrapTopAndBottom/>
            <wp:docPr id="1" name="image2.jpeg" descr=""/>
            <wp:cNvGraphicFramePr>
              <a:graphicFrameLocks noChangeAspect="1"/>
            </wp:cNvGraphicFramePr>
            <a:graphic>
              <a:graphicData uri="http://schemas.openxmlformats.org/drawingml/2006/picture">
                <pic:pic>
                  <pic:nvPicPr>
                    <pic:cNvPr id="2" name="image2.jpeg"/>
                    <pic:cNvPicPr/>
                  </pic:nvPicPr>
                  <pic:blipFill>
                    <a:blip r:embed="rId12" cstate="print"/>
                    <a:stretch>
                      <a:fillRect/>
                    </a:stretch>
                  </pic:blipFill>
                  <pic:spPr>
                    <a:xfrm>
                      <a:off x="0" y="0"/>
                      <a:ext cx="4888139" cy="2557462"/>
                    </a:xfrm>
                    <a:prstGeom prst="rect">
                      <a:avLst/>
                    </a:prstGeom>
                  </pic:spPr>
                </pic:pic>
              </a:graphicData>
            </a:graphic>
          </wp:anchor>
        </w:drawing>
      </w:r>
    </w:p>
    <w:p>
      <w:pPr>
        <w:spacing w:before="200"/>
        <w:ind w:left="250" w:right="1550" w:firstLine="0"/>
        <w:jc w:val="left"/>
        <w:rPr>
          <w:sz w:val="24"/>
        </w:rPr>
      </w:pPr>
      <w:r>
        <w:rPr>
          <w:sz w:val="24"/>
        </w:rPr>
        <w:t>Fuente: Cervantes-García </w:t>
      </w:r>
      <w:r>
        <w:rPr>
          <w:i/>
          <w:sz w:val="24"/>
        </w:rPr>
        <w:t>et al., </w:t>
      </w:r>
      <w:r>
        <w:rPr>
          <w:sz w:val="24"/>
        </w:rPr>
        <w:t>(2014)</w:t>
      </w:r>
    </w:p>
    <w:p>
      <w:pPr>
        <w:pStyle w:val="BodyText"/>
        <w:spacing w:before="9"/>
        <w:rPr>
          <w:sz w:val="33"/>
        </w:rPr>
      </w:pPr>
    </w:p>
    <w:p>
      <w:pPr>
        <w:pStyle w:val="Heading2"/>
        <w:spacing w:before="0"/>
        <w:jc w:val="both"/>
      </w:pPr>
      <w:bookmarkStart w:name="_bookmark12" w:id="16"/>
      <w:bookmarkEnd w:id="16"/>
      <w:r>
        <w:rPr>
          <w:b w:val="0"/>
        </w:rPr>
      </w:r>
      <w:r>
        <w:rPr/>
        <w:t>Patogenicidad</w:t>
      </w:r>
    </w:p>
    <w:p>
      <w:pPr>
        <w:pStyle w:val="ListParagraph"/>
        <w:numPr>
          <w:ilvl w:val="0"/>
          <w:numId w:val="5"/>
        </w:numPr>
        <w:tabs>
          <w:tab w:pos="437" w:val="left" w:leader="none"/>
        </w:tabs>
        <w:spacing w:line="276" w:lineRule="auto" w:before="26" w:after="0"/>
        <w:ind w:left="142" w:right="137" w:firstLine="0"/>
        <w:jc w:val="both"/>
        <w:rPr>
          <w:sz w:val="24"/>
        </w:rPr>
      </w:pPr>
      <w:r>
        <w:rPr>
          <w:i/>
          <w:sz w:val="24"/>
        </w:rPr>
        <w:t>aureus </w:t>
      </w:r>
      <w:r>
        <w:rPr>
          <w:sz w:val="24"/>
        </w:rPr>
        <w:t>es uno de los microorganismos que se aísla con mayor frecuencia en</w:t>
      </w:r>
      <w:r>
        <w:rPr>
          <w:spacing w:val="-38"/>
          <w:sz w:val="24"/>
        </w:rPr>
        <w:t> </w:t>
      </w:r>
      <w:r>
        <w:rPr>
          <w:sz w:val="24"/>
        </w:rPr>
        <w:t>las infecciones hospitalarias y comunitarias, es uno de los patógenos nosocomiales</w:t>
      </w:r>
      <w:r>
        <w:rPr>
          <w:spacing w:val="-40"/>
          <w:sz w:val="24"/>
        </w:rPr>
        <w:t> </w:t>
      </w:r>
      <w:r>
        <w:rPr>
          <w:sz w:val="24"/>
        </w:rPr>
        <w:t>de mayor importancia (Cervantes-García </w:t>
      </w:r>
      <w:r>
        <w:rPr>
          <w:i/>
          <w:sz w:val="24"/>
        </w:rPr>
        <w:t>et al., </w:t>
      </w:r>
      <w:r>
        <w:rPr>
          <w:sz w:val="24"/>
        </w:rPr>
        <w:t>2014). Causa varias enfermedades en humanos,</w:t>
      </w:r>
      <w:r>
        <w:rPr>
          <w:spacing w:val="-6"/>
          <w:sz w:val="24"/>
        </w:rPr>
        <w:t> </w:t>
      </w:r>
      <w:r>
        <w:rPr>
          <w:sz w:val="24"/>
        </w:rPr>
        <w:t>es</w:t>
      </w:r>
      <w:r>
        <w:rPr>
          <w:spacing w:val="-9"/>
          <w:sz w:val="24"/>
        </w:rPr>
        <w:t> </w:t>
      </w:r>
      <w:r>
        <w:rPr>
          <w:sz w:val="24"/>
        </w:rPr>
        <w:t>muy</w:t>
      </w:r>
      <w:r>
        <w:rPr>
          <w:spacing w:val="-9"/>
          <w:sz w:val="24"/>
        </w:rPr>
        <w:t> </w:t>
      </w:r>
      <w:r>
        <w:rPr>
          <w:sz w:val="24"/>
        </w:rPr>
        <w:t>resistente</w:t>
      </w:r>
      <w:r>
        <w:rPr>
          <w:spacing w:val="-6"/>
          <w:sz w:val="24"/>
        </w:rPr>
        <w:t> </w:t>
      </w:r>
      <w:r>
        <w:rPr>
          <w:sz w:val="24"/>
        </w:rPr>
        <w:t>y</w:t>
      </w:r>
      <w:r>
        <w:rPr>
          <w:spacing w:val="-9"/>
          <w:sz w:val="24"/>
        </w:rPr>
        <w:t> </w:t>
      </w:r>
      <w:r>
        <w:rPr>
          <w:sz w:val="24"/>
        </w:rPr>
        <w:t>capaz</w:t>
      </w:r>
      <w:r>
        <w:rPr>
          <w:spacing w:val="-9"/>
          <w:sz w:val="24"/>
        </w:rPr>
        <w:t> </w:t>
      </w:r>
      <w:r>
        <w:rPr>
          <w:sz w:val="24"/>
        </w:rPr>
        <w:t>de</w:t>
      </w:r>
      <w:r>
        <w:rPr>
          <w:spacing w:val="-8"/>
          <w:sz w:val="24"/>
        </w:rPr>
        <w:t> </w:t>
      </w:r>
      <w:r>
        <w:rPr>
          <w:sz w:val="24"/>
        </w:rPr>
        <w:t>sobrevivir</w:t>
      </w:r>
      <w:r>
        <w:rPr>
          <w:spacing w:val="-7"/>
          <w:sz w:val="24"/>
        </w:rPr>
        <w:t> </w:t>
      </w:r>
      <w:r>
        <w:rPr>
          <w:sz w:val="24"/>
        </w:rPr>
        <w:t>durante</w:t>
      </w:r>
      <w:r>
        <w:rPr>
          <w:spacing w:val="-8"/>
          <w:sz w:val="24"/>
        </w:rPr>
        <w:t> </w:t>
      </w:r>
      <w:r>
        <w:rPr>
          <w:sz w:val="24"/>
        </w:rPr>
        <w:t>mucho</w:t>
      </w:r>
      <w:r>
        <w:rPr>
          <w:spacing w:val="-8"/>
          <w:sz w:val="24"/>
        </w:rPr>
        <w:t> </w:t>
      </w:r>
      <w:r>
        <w:rPr>
          <w:sz w:val="24"/>
        </w:rPr>
        <w:t>tiempo</w:t>
      </w:r>
      <w:r>
        <w:rPr>
          <w:spacing w:val="-8"/>
          <w:sz w:val="24"/>
        </w:rPr>
        <w:t> </w:t>
      </w:r>
      <w:r>
        <w:rPr>
          <w:sz w:val="24"/>
        </w:rPr>
        <w:t>en</w:t>
      </w:r>
      <w:r>
        <w:rPr>
          <w:spacing w:val="-6"/>
          <w:sz w:val="24"/>
        </w:rPr>
        <w:t> </w:t>
      </w:r>
      <w:r>
        <w:rPr>
          <w:sz w:val="24"/>
        </w:rPr>
        <w:t>estado seco, su supervivencia es facilitada por la materia orgánica que acompaña al microorganismo en una lesión inflamatoria (Jablonski y Bohach, 2000). La patogénesis de </w:t>
      </w:r>
      <w:r>
        <w:rPr>
          <w:i/>
          <w:sz w:val="24"/>
        </w:rPr>
        <w:t>S. aureus </w:t>
      </w:r>
      <w:r>
        <w:rPr>
          <w:sz w:val="24"/>
        </w:rPr>
        <w:t>es un complejo proceso regulado, que envuelve una diversa gama de determinantes coordinadamente expresados en diferentes etapas de la infección, representando aproximadamente 100 factores de virulencia por lo que distintas redes de genes de virulencia son probablemente activadas en respuesta de las señales del hospedero (Stefani y Goglio,</w:t>
      </w:r>
      <w:r>
        <w:rPr>
          <w:spacing w:val="-27"/>
          <w:sz w:val="24"/>
        </w:rPr>
        <w:t> </w:t>
      </w:r>
      <w:r>
        <w:rPr>
          <w:sz w:val="24"/>
        </w:rPr>
        <w:t>2010).</w:t>
      </w:r>
    </w:p>
    <w:p>
      <w:pPr>
        <w:pStyle w:val="BodyText"/>
        <w:spacing w:before="9"/>
        <w:rPr>
          <w:sz w:val="27"/>
        </w:rPr>
      </w:pPr>
    </w:p>
    <w:p>
      <w:pPr>
        <w:pStyle w:val="BodyText"/>
        <w:spacing w:line="276" w:lineRule="auto"/>
        <w:ind w:left="142" w:right="139"/>
        <w:jc w:val="both"/>
      </w:pPr>
      <w:r>
        <w:rPr/>
        <w:t>La transmisión es a través de transferencia interpersonal por aerosoles o por contacto</w:t>
      </w:r>
      <w:r>
        <w:rPr>
          <w:spacing w:val="-7"/>
        </w:rPr>
        <w:t> </w:t>
      </w:r>
      <w:r>
        <w:rPr/>
        <w:t>directo</w:t>
      </w:r>
      <w:r>
        <w:rPr>
          <w:spacing w:val="-4"/>
        </w:rPr>
        <w:t> </w:t>
      </w:r>
      <w:r>
        <w:rPr/>
        <w:t>(Cervantes-García</w:t>
      </w:r>
      <w:r>
        <w:rPr>
          <w:spacing w:val="-4"/>
        </w:rPr>
        <w:t> </w:t>
      </w:r>
      <w:r>
        <w:rPr>
          <w:i/>
        </w:rPr>
        <w:t>et</w:t>
      </w:r>
      <w:r>
        <w:rPr>
          <w:i/>
          <w:spacing w:val="-7"/>
        </w:rPr>
        <w:t> </w:t>
      </w:r>
      <w:r>
        <w:rPr>
          <w:i/>
        </w:rPr>
        <w:t>al.</w:t>
      </w:r>
      <w:r>
        <w:rPr/>
        <w:t>,</w:t>
      </w:r>
      <w:r>
        <w:rPr>
          <w:spacing w:val="-7"/>
        </w:rPr>
        <w:t> </w:t>
      </w:r>
      <w:r>
        <w:rPr/>
        <w:t>2014),</w:t>
      </w:r>
      <w:r>
        <w:rPr>
          <w:spacing w:val="-4"/>
        </w:rPr>
        <w:t> </w:t>
      </w:r>
      <w:r>
        <w:rPr/>
        <w:t>este</w:t>
      </w:r>
      <w:r>
        <w:rPr>
          <w:spacing w:val="-7"/>
        </w:rPr>
        <w:t> </w:t>
      </w:r>
      <w:r>
        <w:rPr/>
        <w:t>último</w:t>
      </w:r>
      <w:r>
        <w:rPr>
          <w:spacing w:val="-5"/>
        </w:rPr>
        <w:t> </w:t>
      </w:r>
      <w:r>
        <w:rPr/>
        <w:t>es</w:t>
      </w:r>
      <w:r>
        <w:rPr>
          <w:spacing w:val="-8"/>
        </w:rPr>
        <w:t> </w:t>
      </w:r>
      <w:r>
        <w:rPr/>
        <w:t>el</w:t>
      </w:r>
      <w:r>
        <w:rPr>
          <w:spacing w:val="-8"/>
        </w:rPr>
        <w:t> </w:t>
      </w:r>
      <w:r>
        <w:rPr/>
        <w:t>modo</w:t>
      </w:r>
      <w:r>
        <w:rPr>
          <w:spacing w:val="-7"/>
        </w:rPr>
        <w:t> </w:t>
      </w:r>
      <w:r>
        <w:rPr/>
        <w:t>primario</w:t>
      </w:r>
      <w:r>
        <w:rPr>
          <w:spacing w:val="-7"/>
        </w:rPr>
        <w:t> </w:t>
      </w:r>
      <w:r>
        <w:rPr/>
        <w:t>de transmisión de este microorganismo, usualmente contacto de piel con piel y varios factores del hospedero pueden predisponer a los individuos a la infección, incluyendo la perdida de la barrera normal de la piel por trauma o cirugía donde la bacteria puede acceder al tejido cercano provocando daño local o infecciones de amplio espectro, además la presencia de enfermedades subyacentes como diabetes</w:t>
      </w:r>
      <w:r>
        <w:rPr>
          <w:spacing w:val="-7"/>
        </w:rPr>
        <w:t> </w:t>
      </w:r>
      <w:r>
        <w:rPr/>
        <w:t>o</w:t>
      </w:r>
      <w:r>
        <w:rPr>
          <w:spacing w:val="-4"/>
        </w:rPr>
        <w:t> </w:t>
      </w:r>
      <w:r>
        <w:rPr/>
        <w:t>VIH,</w:t>
      </w:r>
      <w:r>
        <w:rPr>
          <w:spacing w:val="-4"/>
        </w:rPr>
        <w:t> </w:t>
      </w:r>
      <w:r>
        <w:rPr/>
        <w:t>y</w:t>
      </w:r>
      <w:r>
        <w:rPr>
          <w:spacing w:val="-7"/>
        </w:rPr>
        <w:t> </w:t>
      </w:r>
      <w:r>
        <w:rPr/>
        <w:t>defectos</w:t>
      </w:r>
      <w:r>
        <w:rPr>
          <w:spacing w:val="-4"/>
        </w:rPr>
        <w:t> </w:t>
      </w:r>
      <w:r>
        <w:rPr/>
        <w:t>en</w:t>
      </w:r>
      <w:r>
        <w:rPr>
          <w:spacing w:val="-4"/>
        </w:rPr>
        <w:t> </w:t>
      </w:r>
      <w:r>
        <w:rPr/>
        <w:t>la</w:t>
      </w:r>
      <w:r>
        <w:rPr>
          <w:spacing w:val="-6"/>
        </w:rPr>
        <w:t> </w:t>
      </w:r>
      <w:r>
        <w:rPr/>
        <w:t>función</w:t>
      </w:r>
      <w:r>
        <w:rPr>
          <w:spacing w:val="-4"/>
        </w:rPr>
        <w:t> </w:t>
      </w:r>
      <w:r>
        <w:rPr/>
        <w:t>de</w:t>
      </w:r>
      <w:r>
        <w:rPr>
          <w:spacing w:val="-4"/>
        </w:rPr>
        <w:t> </w:t>
      </w:r>
      <w:r>
        <w:rPr/>
        <w:t>los</w:t>
      </w:r>
      <w:r>
        <w:rPr>
          <w:spacing w:val="-4"/>
        </w:rPr>
        <w:t> </w:t>
      </w:r>
      <w:r>
        <w:rPr/>
        <w:t>neutrófilos,</w:t>
      </w:r>
      <w:r>
        <w:rPr>
          <w:spacing w:val="-6"/>
        </w:rPr>
        <w:t> </w:t>
      </w:r>
      <w:r>
        <w:rPr/>
        <w:t>aunado</w:t>
      </w:r>
      <w:r>
        <w:rPr>
          <w:spacing w:val="-4"/>
        </w:rPr>
        <w:t> </w:t>
      </w:r>
      <w:r>
        <w:rPr/>
        <w:t>a</w:t>
      </w:r>
      <w:r>
        <w:rPr>
          <w:spacing w:val="-6"/>
        </w:rPr>
        <w:t> </w:t>
      </w:r>
      <w:r>
        <w:rPr/>
        <w:t>estos</w:t>
      </w:r>
      <w:r>
        <w:rPr>
          <w:spacing w:val="-7"/>
        </w:rPr>
        <w:t> </w:t>
      </w:r>
      <w:r>
        <w:rPr/>
        <w:t>factores, la presión antibiótica, estancias largas en unidades de cuidados intensivos,</w:t>
      </w:r>
      <w:r>
        <w:rPr>
          <w:spacing w:val="-34"/>
        </w:rPr>
        <w:t> </w:t>
      </w:r>
      <w:r>
        <w:rPr/>
        <w:t>presión de la colonización, nivel de higiene de manos, medidas de tratamiento de aislamientos  y  contaminación  ambiental  han  sido  consideradas  como</w:t>
      </w:r>
      <w:r>
        <w:rPr>
          <w:spacing w:val="58"/>
        </w:rPr>
        <w:t> </w:t>
      </w:r>
      <w:r>
        <w:rPr/>
        <w:t>factores</w:t>
      </w:r>
    </w:p>
    <w:p>
      <w:pPr>
        <w:spacing w:after="0" w:line="276" w:lineRule="auto"/>
        <w:jc w:val="both"/>
        <w:sectPr>
          <w:pgSz w:w="12240" w:h="15840"/>
          <w:pgMar w:header="728" w:footer="1135" w:top="1200" w:bottom="1320" w:left="1560" w:right="1560"/>
        </w:sectPr>
      </w:pPr>
    </w:p>
    <w:p>
      <w:pPr>
        <w:pStyle w:val="BodyText"/>
        <w:spacing w:before="9"/>
        <w:rPr>
          <w:sz w:val="12"/>
        </w:rPr>
      </w:pPr>
    </w:p>
    <w:p>
      <w:pPr>
        <w:pStyle w:val="BodyText"/>
        <w:spacing w:line="276" w:lineRule="auto" w:before="70"/>
        <w:ind w:left="142" w:right="137"/>
        <w:jc w:val="both"/>
      </w:pPr>
      <w:r>
        <w:rPr/>
        <w:t>importantes en la adquisición y transmisión en las unidades de cuidados intensivos (Stefani y Goglio, 2010; Bustos Martínez </w:t>
      </w:r>
      <w:r>
        <w:rPr>
          <w:i/>
        </w:rPr>
        <w:t>et al</w:t>
      </w:r>
      <w:r>
        <w:rPr/>
        <w:t>., 2006). El patógeno puede sobrepasar en cualquier momento los mecanismos fagocíticos locales y acceder a canales linfáticos y al torrente sanguíneo dando origen a una bacteremia estafilocócica</w:t>
      </w:r>
      <w:r>
        <w:rPr>
          <w:spacing w:val="-18"/>
        </w:rPr>
        <w:t> </w:t>
      </w:r>
      <w:r>
        <w:rPr/>
        <w:t>(complicación</w:t>
      </w:r>
      <w:r>
        <w:rPr>
          <w:spacing w:val="-17"/>
        </w:rPr>
        <w:t> </w:t>
      </w:r>
      <w:r>
        <w:rPr/>
        <w:t>severa</w:t>
      </w:r>
      <w:r>
        <w:rPr>
          <w:spacing w:val="-18"/>
        </w:rPr>
        <w:t> </w:t>
      </w:r>
      <w:r>
        <w:rPr/>
        <w:t>que</w:t>
      </w:r>
      <w:r>
        <w:rPr>
          <w:spacing w:val="-19"/>
        </w:rPr>
        <w:t> </w:t>
      </w:r>
      <w:r>
        <w:rPr/>
        <w:t>puede</w:t>
      </w:r>
      <w:r>
        <w:rPr>
          <w:spacing w:val="-18"/>
        </w:rPr>
        <w:t> </w:t>
      </w:r>
      <w:r>
        <w:rPr/>
        <w:t>conducir</w:t>
      </w:r>
      <w:r>
        <w:rPr>
          <w:spacing w:val="-19"/>
        </w:rPr>
        <w:t> </w:t>
      </w:r>
      <w:r>
        <w:rPr/>
        <w:t>a</w:t>
      </w:r>
      <w:r>
        <w:rPr>
          <w:spacing w:val="-18"/>
        </w:rPr>
        <w:t> </w:t>
      </w:r>
      <w:r>
        <w:rPr/>
        <w:t>una</w:t>
      </w:r>
      <w:r>
        <w:rPr>
          <w:spacing w:val="-18"/>
        </w:rPr>
        <w:t> </w:t>
      </w:r>
      <w:r>
        <w:rPr/>
        <w:t>infección</w:t>
      </w:r>
      <w:r>
        <w:rPr>
          <w:spacing w:val="-17"/>
        </w:rPr>
        <w:t> </w:t>
      </w:r>
      <w:r>
        <w:rPr/>
        <w:t>metastásica y</w:t>
      </w:r>
      <w:r>
        <w:rPr>
          <w:spacing w:val="-10"/>
        </w:rPr>
        <w:t> </w:t>
      </w:r>
      <w:r>
        <w:rPr/>
        <w:t>de</w:t>
      </w:r>
      <w:r>
        <w:rPr>
          <w:spacing w:val="-7"/>
        </w:rPr>
        <w:t> </w:t>
      </w:r>
      <w:r>
        <w:rPr/>
        <w:t>mal</w:t>
      </w:r>
      <w:r>
        <w:rPr>
          <w:spacing w:val="-8"/>
        </w:rPr>
        <w:t> </w:t>
      </w:r>
      <w:r>
        <w:rPr/>
        <w:t>pronóstico)</w:t>
      </w:r>
      <w:r>
        <w:rPr>
          <w:spacing w:val="-8"/>
        </w:rPr>
        <w:t> </w:t>
      </w:r>
      <w:r>
        <w:rPr/>
        <w:t>(Cervantes-García</w:t>
      </w:r>
      <w:r>
        <w:rPr>
          <w:spacing w:val="-7"/>
        </w:rPr>
        <w:t> </w:t>
      </w:r>
      <w:r>
        <w:rPr>
          <w:i/>
        </w:rPr>
        <w:t>et</w:t>
      </w:r>
      <w:r>
        <w:rPr>
          <w:i/>
          <w:spacing w:val="-10"/>
        </w:rPr>
        <w:t> </w:t>
      </w:r>
      <w:r>
        <w:rPr>
          <w:i/>
        </w:rPr>
        <w:t>al.,</w:t>
      </w:r>
      <w:r>
        <w:rPr>
          <w:i/>
          <w:spacing w:val="-7"/>
        </w:rPr>
        <w:t> </w:t>
      </w:r>
      <w:r>
        <w:rPr/>
        <w:t>2014).</w:t>
      </w:r>
      <w:r>
        <w:rPr>
          <w:spacing w:val="-10"/>
        </w:rPr>
        <w:t> </w:t>
      </w:r>
      <w:r>
        <w:rPr/>
        <w:t>Esta</w:t>
      </w:r>
      <w:r>
        <w:rPr>
          <w:spacing w:val="-9"/>
        </w:rPr>
        <w:t> </w:t>
      </w:r>
      <w:r>
        <w:rPr/>
        <w:t>bacteria</w:t>
      </w:r>
      <w:r>
        <w:rPr>
          <w:spacing w:val="-9"/>
        </w:rPr>
        <w:t> </w:t>
      </w:r>
      <w:r>
        <w:rPr/>
        <w:t>puede</w:t>
      </w:r>
      <w:r>
        <w:rPr>
          <w:spacing w:val="-7"/>
        </w:rPr>
        <w:t> </w:t>
      </w:r>
      <w:r>
        <w:rPr/>
        <w:t>sobrevivir intracelularmente</w:t>
      </w:r>
      <w:r>
        <w:rPr>
          <w:spacing w:val="-3"/>
        </w:rPr>
        <w:t> </w:t>
      </w:r>
      <w:r>
        <w:rPr/>
        <w:t>y</w:t>
      </w:r>
      <w:r>
        <w:rPr>
          <w:spacing w:val="-7"/>
        </w:rPr>
        <w:t> </w:t>
      </w:r>
      <w:r>
        <w:rPr/>
        <w:t>esto</w:t>
      </w:r>
      <w:r>
        <w:rPr>
          <w:spacing w:val="-3"/>
        </w:rPr>
        <w:t> </w:t>
      </w:r>
      <w:r>
        <w:rPr/>
        <w:t>podría</w:t>
      </w:r>
      <w:r>
        <w:rPr>
          <w:spacing w:val="-4"/>
        </w:rPr>
        <w:t> </w:t>
      </w:r>
      <w:r>
        <w:rPr/>
        <w:t>ser</w:t>
      </w:r>
      <w:r>
        <w:rPr>
          <w:spacing w:val="-5"/>
        </w:rPr>
        <w:t> </w:t>
      </w:r>
      <w:r>
        <w:rPr/>
        <w:t>un</w:t>
      </w:r>
      <w:r>
        <w:rPr>
          <w:spacing w:val="-6"/>
        </w:rPr>
        <w:t> </w:t>
      </w:r>
      <w:r>
        <w:rPr/>
        <w:t>medio</w:t>
      </w:r>
      <w:r>
        <w:rPr>
          <w:spacing w:val="-6"/>
        </w:rPr>
        <w:t> </w:t>
      </w:r>
      <w:r>
        <w:rPr/>
        <w:t>perfecto</w:t>
      </w:r>
      <w:r>
        <w:rPr>
          <w:spacing w:val="-4"/>
        </w:rPr>
        <w:t> </w:t>
      </w:r>
      <w:r>
        <w:rPr/>
        <w:t>de</w:t>
      </w:r>
      <w:r>
        <w:rPr>
          <w:spacing w:val="1"/>
        </w:rPr>
        <w:t> </w:t>
      </w:r>
      <w:r>
        <w:rPr/>
        <w:t>escapar</w:t>
      </w:r>
      <w:r>
        <w:rPr>
          <w:spacing w:val="-5"/>
        </w:rPr>
        <w:t> </w:t>
      </w:r>
      <w:r>
        <w:rPr/>
        <w:t>de</w:t>
      </w:r>
      <w:r>
        <w:rPr>
          <w:spacing w:val="-6"/>
        </w:rPr>
        <w:t> </w:t>
      </w:r>
      <w:r>
        <w:rPr/>
        <w:t>los</w:t>
      </w:r>
      <w:r>
        <w:rPr>
          <w:spacing w:val="-4"/>
        </w:rPr>
        <w:t> </w:t>
      </w:r>
      <w:r>
        <w:rPr/>
        <w:t>fagocitos</w:t>
      </w:r>
      <w:r>
        <w:rPr>
          <w:spacing w:val="-4"/>
        </w:rPr>
        <w:t> </w:t>
      </w:r>
      <w:r>
        <w:rPr/>
        <w:t>y de los antibióticos (Fluit,</w:t>
      </w:r>
      <w:r>
        <w:rPr>
          <w:spacing w:val="-11"/>
        </w:rPr>
        <w:t> </w:t>
      </w:r>
      <w:r>
        <w:rPr/>
        <w:t>2012).</w:t>
      </w:r>
    </w:p>
    <w:p>
      <w:pPr>
        <w:pStyle w:val="BodyText"/>
        <w:spacing w:before="6"/>
        <w:rPr>
          <w:sz w:val="27"/>
        </w:rPr>
      </w:pPr>
    </w:p>
    <w:p>
      <w:pPr>
        <w:pStyle w:val="BodyText"/>
        <w:spacing w:line="276" w:lineRule="auto" w:before="1"/>
        <w:ind w:left="142" w:right="146"/>
        <w:jc w:val="both"/>
      </w:pPr>
      <w:r>
        <w:rPr/>
        <w:t>Según Sandel y McKillip (2004) ciertas condiciones podrían predisponer a los individuos a infecciones graves que incluyen las siguientes:</w:t>
      </w:r>
    </w:p>
    <w:p>
      <w:pPr>
        <w:pStyle w:val="ListParagraph"/>
        <w:numPr>
          <w:ilvl w:val="1"/>
          <w:numId w:val="5"/>
        </w:numPr>
        <w:tabs>
          <w:tab w:pos="861" w:val="left" w:leader="none"/>
          <w:tab w:pos="862" w:val="left" w:leader="none"/>
        </w:tabs>
        <w:spacing w:line="293" w:lineRule="exact" w:before="0" w:after="0"/>
        <w:ind w:left="862" w:right="0" w:hanging="360"/>
        <w:jc w:val="left"/>
        <w:rPr>
          <w:sz w:val="24"/>
        </w:rPr>
      </w:pPr>
      <w:r>
        <w:rPr>
          <w:sz w:val="24"/>
        </w:rPr>
        <w:t>Lesiones en la piel (quemaduras, incisiones</w:t>
      </w:r>
      <w:r>
        <w:rPr>
          <w:spacing w:val="-14"/>
          <w:sz w:val="24"/>
        </w:rPr>
        <w:t> </w:t>
      </w:r>
      <w:r>
        <w:rPr>
          <w:sz w:val="24"/>
        </w:rPr>
        <w:t>quirúrgicas)</w:t>
      </w:r>
    </w:p>
    <w:p>
      <w:pPr>
        <w:pStyle w:val="ListParagraph"/>
        <w:numPr>
          <w:ilvl w:val="1"/>
          <w:numId w:val="5"/>
        </w:numPr>
        <w:tabs>
          <w:tab w:pos="861" w:val="left" w:leader="none"/>
          <w:tab w:pos="862" w:val="left" w:leader="none"/>
        </w:tabs>
        <w:spacing w:line="273" w:lineRule="auto" w:before="39" w:after="0"/>
        <w:ind w:left="862" w:right="147" w:hanging="360"/>
        <w:jc w:val="left"/>
        <w:rPr>
          <w:sz w:val="24"/>
        </w:rPr>
      </w:pPr>
      <w:r>
        <w:rPr>
          <w:sz w:val="24"/>
        </w:rPr>
        <w:t>Presencia de cuerpos extraños (suturas, líneas intravenosas, dispositivos protésicos)</w:t>
      </w:r>
    </w:p>
    <w:p>
      <w:pPr>
        <w:pStyle w:val="ListParagraph"/>
        <w:numPr>
          <w:ilvl w:val="1"/>
          <w:numId w:val="5"/>
        </w:numPr>
        <w:tabs>
          <w:tab w:pos="861" w:val="left" w:leader="none"/>
          <w:tab w:pos="862" w:val="left" w:leader="none"/>
        </w:tabs>
        <w:spacing w:line="240" w:lineRule="auto" w:before="4" w:after="0"/>
        <w:ind w:left="862" w:right="0" w:hanging="360"/>
        <w:jc w:val="left"/>
        <w:rPr>
          <w:sz w:val="24"/>
        </w:rPr>
      </w:pPr>
      <w:r>
        <w:rPr>
          <w:sz w:val="24"/>
        </w:rPr>
        <w:t>Infecciones con otros agentes</w:t>
      </w:r>
      <w:r>
        <w:rPr>
          <w:spacing w:val="-14"/>
          <w:sz w:val="24"/>
        </w:rPr>
        <w:t> </w:t>
      </w:r>
      <w:r>
        <w:rPr>
          <w:sz w:val="24"/>
        </w:rPr>
        <w:t>(virus)</w:t>
      </w:r>
    </w:p>
    <w:p>
      <w:pPr>
        <w:pStyle w:val="ListParagraph"/>
        <w:numPr>
          <w:ilvl w:val="1"/>
          <w:numId w:val="5"/>
        </w:numPr>
        <w:tabs>
          <w:tab w:pos="861" w:val="left" w:leader="none"/>
          <w:tab w:pos="862" w:val="left" w:leader="none"/>
        </w:tabs>
        <w:spacing w:line="240" w:lineRule="auto" w:before="39" w:after="0"/>
        <w:ind w:left="862" w:right="0" w:hanging="360"/>
        <w:jc w:val="left"/>
        <w:rPr>
          <w:sz w:val="24"/>
        </w:rPr>
      </w:pPr>
      <w:r>
        <w:rPr>
          <w:sz w:val="24"/>
        </w:rPr>
        <w:t>Enfermedad crónica</w:t>
      </w:r>
      <w:r>
        <w:rPr>
          <w:spacing w:val="-14"/>
          <w:sz w:val="24"/>
        </w:rPr>
        <w:t> </w:t>
      </w:r>
      <w:r>
        <w:rPr>
          <w:sz w:val="24"/>
        </w:rPr>
        <w:t>subyacente</w:t>
      </w:r>
    </w:p>
    <w:p>
      <w:pPr>
        <w:pStyle w:val="BodyText"/>
        <w:spacing w:before="1"/>
        <w:rPr>
          <w:sz w:val="31"/>
        </w:rPr>
      </w:pPr>
    </w:p>
    <w:p>
      <w:pPr>
        <w:pStyle w:val="BodyText"/>
        <w:spacing w:line="276" w:lineRule="auto"/>
        <w:ind w:left="142" w:right="135"/>
        <w:jc w:val="both"/>
      </w:pPr>
      <w:r>
        <w:rPr/>
        <w:t>Bajo estas condiciones, y aunado a que es un patógeno común asociado con múltiples procesos infecciosos, desde infecciones de la piel y tejidos blandos (impétigo, furúnculos, carbunco, síndrome de la piel escaldada por estafilococos), enfermedades respiratorias infecciosas, enteritis, hasta enfermedades sistémicas potencialmente mortales (Sandel y McKillip, 2004), como sepsis, osteomielitis, neumonía, endocarditis y meningitis. (Sasidharan </w:t>
      </w:r>
      <w:r>
        <w:rPr>
          <w:i/>
        </w:rPr>
        <w:t>et al.</w:t>
      </w:r>
      <w:r>
        <w:rPr/>
        <w:t>, 2011; Crago </w:t>
      </w:r>
      <w:r>
        <w:rPr>
          <w:i/>
        </w:rPr>
        <w:t>et al.</w:t>
      </w:r>
      <w:r>
        <w:rPr/>
        <w:t>, 2012, Kawada</w:t>
      </w:r>
      <w:r>
        <w:rPr>
          <w:spacing w:val="-6"/>
        </w:rPr>
        <w:t> </w:t>
      </w:r>
      <w:r>
        <w:rPr/>
        <w:t>y</w:t>
      </w:r>
      <w:r>
        <w:rPr>
          <w:spacing w:val="-8"/>
        </w:rPr>
        <w:t> </w:t>
      </w:r>
      <w:r>
        <w:rPr/>
        <w:t>Komatsuzawa,</w:t>
      </w:r>
      <w:r>
        <w:rPr>
          <w:spacing w:val="-6"/>
        </w:rPr>
        <w:t> </w:t>
      </w:r>
      <w:r>
        <w:rPr/>
        <w:t>2012).</w:t>
      </w:r>
      <w:r>
        <w:rPr>
          <w:spacing w:val="-10"/>
        </w:rPr>
        <w:t> </w:t>
      </w:r>
      <w:r>
        <w:rPr/>
        <w:t>También</w:t>
      </w:r>
      <w:r>
        <w:rPr>
          <w:spacing w:val="-7"/>
        </w:rPr>
        <w:t> </w:t>
      </w:r>
      <w:r>
        <w:rPr/>
        <w:t>causa</w:t>
      </w:r>
      <w:r>
        <w:rPr>
          <w:spacing w:val="-6"/>
        </w:rPr>
        <w:t> </w:t>
      </w:r>
      <w:r>
        <w:rPr/>
        <w:t>infecciones</w:t>
      </w:r>
      <w:r>
        <w:rPr>
          <w:spacing w:val="-8"/>
        </w:rPr>
        <w:t> </w:t>
      </w:r>
      <w:r>
        <w:rPr/>
        <w:t>en</w:t>
      </w:r>
      <w:r>
        <w:rPr>
          <w:spacing w:val="-7"/>
        </w:rPr>
        <w:t> </w:t>
      </w:r>
      <w:r>
        <w:rPr/>
        <w:t>el</w:t>
      </w:r>
      <w:r>
        <w:rPr>
          <w:spacing w:val="-8"/>
        </w:rPr>
        <w:t> </w:t>
      </w:r>
      <w:r>
        <w:rPr/>
        <w:t>sistema</w:t>
      </w:r>
      <w:r>
        <w:rPr>
          <w:spacing w:val="-7"/>
        </w:rPr>
        <w:t> </w:t>
      </w:r>
      <w:r>
        <w:rPr/>
        <w:t>nervioso central, infecciones del tracto urinario y es la causa principal de infecciones nosocomiales, provoca intoxicación alimentaria estafilocócica, síndrome del Shock Tóxico (TSS), septicemia, fiebres (Bustos Martínez </w:t>
      </w:r>
      <w:r>
        <w:rPr>
          <w:i/>
        </w:rPr>
        <w:t>et al.</w:t>
      </w:r>
      <w:r>
        <w:rPr/>
        <w:t>, 2006; Rosengren </w:t>
      </w:r>
      <w:r>
        <w:rPr>
          <w:i/>
        </w:rPr>
        <w:t>et al.</w:t>
      </w:r>
      <w:r>
        <w:rPr/>
        <w:t>, 2010), lesiones necróticas, abscesos, bacteremia (Kamal </w:t>
      </w:r>
      <w:r>
        <w:rPr>
          <w:i/>
        </w:rPr>
        <w:t>et al</w:t>
      </w:r>
      <w:r>
        <w:rPr/>
        <w:t>., 2013), fiebre escarlata estafilocócica (Khakpoor y Safarmashael, 2011), hidrosadenitis, celulitis fascitis, paroniquia, pericarditis, artritis séptica y bursitis, piomiositis, empiema subdural y absceso epiduralmedular o craneal (Cervantes-Gacía </w:t>
      </w:r>
      <w:r>
        <w:rPr>
          <w:i/>
        </w:rPr>
        <w:t>et al</w:t>
      </w:r>
      <w:r>
        <w:rPr/>
        <w:t>.,</w:t>
      </w:r>
      <w:r>
        <w:rPr>
          <w:spacing w:val="-21"/>
        </w:rPr>
        <w:t> </w:t>
      </w:r>
      <w:r>
        <w:rPr/>
        <w:t>2014).</w:t>
      </w:r>
    </w:p>
    <w:p>
      <w:pPr>
        <w:pStyle w:val="BodyText"/>
        <w:rPr>
          <w:sz w:val="34"/>
        </w:rPr>
      </w:pPr>
    </w:p>
    <w:p>
      <w:pPr>
        <w:pStyle w:val="ListParagraph"/>
        <w:numPr>
          <w:ilvl w:val="0"/>
          <w:numId w:val="4"/>
        </w:numPr>
        <w:tabs>
          <w:tab w:pos="411" w:val="left" w:leader="none"/>
        </w:tabs>
        <w:spacing w:line="240" w:lineRule="auto" w:before="1" w:after="0"/>
        <w:ind w:left="410" w:right="0" w:hanging="268"/>
        <w:jc w:val="both"/>
        <w:rPr>
          <w:b/>
          <w:sz w:val="24"/>
        </w:rPr>
      </w:pPr>
      <w:bookmarkStart w:name="_bookmark13" w:id="17"/>
      <w:bookmarkEnd w:id="17"/>
      <w:r>
        <w:rPr/>
      </w:r>
      <w:bookmarkStart w:name="_bookmark13" w:id="18"/>
      <w:bookmarkEnd w:id="18"/>
      <w:r>
        <w:rPr>
          <w:b/>
          <w:i/>
          <w:sz w:val="24"/>
        </w:rPr>
        <w:t>S</w:t>
      </w:r>
      <w:r>
        <w:rPr>
          <w:b/>
          <w:i/>
          <w:sz w:val="24"/>
        </w:rPr>
        <w:t>taphylococcus aureus </w:t>
      </w:r>
      <w:r>
        <w:rPr>
          <w:b/>
          <w:sz w:val="24"/>
        </w:rPr>
        <w:t>EN</w:t>
      </w:r>
      <w:r>
        <w:rPr>
          <w:b/>
          <w:spacing w:val="-9"/>
          <w:sz w:val="24"/>
        </w:rPr>
        <w:t> </w:t>
      </w:r>
      <w:r>
        <w:rPr>
          <w:b/>
          <w:sz w:val="24"/>
        </w:rPr>
        <w:t>ALIMENTOS</w:t>
      </w:r>
    </w:p>
    <w:p>
      <w:pPr>
        <w:pStyle w:val="BodyText"/>
        <w:spacing w:before="3"/>
        <w:rPr>
          <w:b/>
          <w:sz w:val="31"/>
        </w:rPr>
      </w:pPr>
    </w:p>
    <w:p>
      <w:pPr>
        <w:pStyle w:val="BodyText"/>
        <w:spacing w:line="276" w:lineRule="auto"/>
        <w:ind w:left="142" w:right="139"/>
        <w:jc w:val="both"/>
      </w:pPr>
      <w:r>
        <w:rPr>
          <w:i/>
        </w:rPr>
        <w:t>S. aureus </w:t>
      </w:r>
      <w:r>
        <w:rPr/>
        <w:t>es considerado la tercer causa más importante en el mundo entre los patógenos transmitidos por alimentos (Normanno </w:t>
      </w:r>
      <w:r>
        <w:rPr>
          <w:i/>
        </w:rPr>
        <w:t>et al</w:t>
      </w:r>
      <w:r>
        <w:rPr/>
        <w:t>., 2005). Y rápidamente ha adquirido resistencia a los antibióticos y su portación de manera asintomática en humanos y animales lo convierte en un serio problema cuando es transferido a los alimentos (Rivera-Salazar </w:t>
      </w:r>
      <w:r>
        <w:rPr>
          <w:i/>
        </w:rPr>
        <w:t>et al.</w:t>
      </w:r>
      <w:r>
        <w:rPr/>
        <w:t>, 2011; Vanegas </w:t>
      </w:r>
      <w:r>
        <w:rPr>
          <w:i/>
        </w:rPr>
        <w:t>et al.</w:t>
      </w:r>
      <w:r>
        <w:rPr/>
        <w:t>, 2008).</w:t>
      </w:r>
    </w:p>
    <w:p>
      <w:pPr>
        <w:spacing w:after="0" w:line="276" w:lineRule="auto"/>
        <w:jc w:val="both"/>
        <w:sectPr>
          <w:pgSz w:w="12240" w:h="15840"/>
          <w:pgMar w:header="728" w:footer="1135" w:top="1200" w:bottom="1320" w:left="1560" w:right="1560"/>
        </w:sectPr>
      </w:pPr>
    </w:p>
    <w:p>
      <w:pPr>
        <w:pStyle w:val="BodyText"/>
        <w:spacing w:before="9"/>
        <w:rPr>
          <w:sz w:val="12"/>
        </w:rPr>
      </w:pPr>
    </w:p>
    <w:p>
      <w:pPr>
        <w:pStyle w:val="BodyText"/>
        <w:spacing w:line="276" w:lineRule="auto" w:before="70"/>
        <w:ind w:left="142" w:right="141"/>
        <w:jc w:val="both"/>
      </w:pPr>
      <w:r>
        <w:rPr/>
        <w:t>El elevado número de individuos portadores con colonización de fosas nasales implica su presencia en la piel, por lo que constituyen el origen principal de la diseminación</w:t>
      </w:r>
      <w:r>
        <w:rPr>
          <w:spacing w:val="-8"/>
        </w:rPr>
        <w:t> </w:t>
      </w:r>
      <w:r>
        <w:rPr/>
        <w:t>a</w:t>
      </w:r>
      <w:r>
        <w:rPr>
          <w:spacing w:val="-6"/>
        </w:rPr>
        <w:t> </w:t>
      </w:r>
      <w:r>
        <w:rPr/>
        <w:t>otros</w:t>
      </w:r>
      <w:r>
        <w:rPr>
          <w:spacing w:val="-7"/>
        </w:rPr>
        <w:t> </w:t>
      </w:r>
      <w:r>
        <w:rPr/>
        <w:t>individuos</w:t>
      </w:r>
      <w:r>
        <w:rPr>
          <w:spacing w:val="-7"/>
        </w:rPr>
        <w:t> </w:t>
      </w:r>
      <w:r>
        <w:rPr/>
        <w:t>y</w:t>
      </w:r>
      <w:r>
        <w:rPr>
          <w:spacing w:val="-9"/>
        </w:rPr>
        <w:t> </w:t>
      </w:r>
      <w:r>
        <w:rPr/>
        <w:t>a</w:t>
      </w:r>
      <w:r>
        <w:rPr>
          <w:spacing w:val="-6"/>
        </w:rPr>
        <w:t> </w:t>
      </w:r>
      <w:r>
        <w:rPr/>
        <w:t>los</w:t>
      </w:r>
      <w:r>
        <w:rPr>
          <w:spacing w:val="-6"/>
        </w:rPr>
        <w:t> </w:t>
      </w:r>
      <w:r>
        <w:rPr/>
        <w:t>alimentos.</w:t>
      </w:r>
      <w:r>
        <w:rPr>
          <w:spacing w:val="-6"/>
        </w:rPr>
        <w:t> </w:t>
      </w:r>
      <w:r>
        <w:rPr/>
        <w:t>La</w:t>
      </w:r>
      <w:r>
        <w:rPr>
          <w:spacing w:val="-6"/>
        </w:rPr>
        <w:t> </w:t>
      </w:r>
      <w:r>
        <w:rPr/>
        <w:t>presencia</w:t>
      </w:r>
      <w:r>
        <w:rPr>
          <w:spacing w:val="-9"/>
        </w:rPr>
        <w:t> </w:t>
      </w:r>
      <w:r>
        <w:rPr/>
        <w:t>de</w:t>
      </w:r>
      <w:r>
        <w:rPr>
          <w:spacing w:val="-6"/>
        </w:rPr>
        <w:t> </w:t>
      </w:r>
      <w:r>
        <w:rPr/>
        <w:t>la</w:t>
      </w:r>
      <w:r>
        <w:rPr>
          <w:spacing w:val="-9"/>
        </w:rPr>
        <w:t> </w:t>
      </w:r>
      <w:r>
        <w:rPr/>
        <w:t>bacteria</w:t>
      </w:r>
      <w:r>
        <w:rPr>
          <w:spacing w:val="-8"/>
        </w:rPr>
        <w:t> </w:t>
      </w:r>
      <w:r>
        <w:rPr/>
        <w:t>indica que la contaminación es introducida por contacto directo por manipuladores que tienen lesiones cutáneas infectadas y/o fragmentos de la piel, indirectamente a través del equipo y utensilios, o por medio de los núcleos de las gotitas del tracto respiratorio</w:t>
      </w:r>
      <w:r>
        <w:rPr>
          <w:spacing w:val="-18"/>
        </w:rPr>
        <w:t> </w:t>
      </w:r>
      <w:r>
        <w:rPr/>
        <w:t>al</w:t>
      </w:r>
      <w:r>
        <w:rPr>
          <w:spacing w:val="-19"/>
        </w:rPr>
        <w:t> </w:t>
      </w:r>
      <w:r>
        <w:rPr/>
        <w:t>toser</w:t>
      </w:r>
      <w:r>
        <w:rPr>
          <w:spacing w:val="-19"/>
        </w:rPr>
        <w:t> </w:t>
      </w:r>
      <w:r>
        <w:rPr/>
        <w:t>o</w:t>
      </w:r>
      <w:r>
        <w:rPr>
          <w:spacing w:val="-18"/>
        </w:rPr>
        <w:t> </w:t>
      </w:r>
      <w:r>
        <w:rPr/>
        <w:t>al</w:t>
      </w:r>
      <w:r>
        <w:rPr>
          <w:spacing w:val="-17"/>
        </w:rPr>
        <w:t> </w:t>
      </w:r>
      <w:r>
        <w:rPr/>
        <w:t>estornudar</w:t>
      </w:r>
      <w:r>
        <w:rPr>
          <w:spacing w:val="-19"/>
        </w:rPr>
        <w:t> </w:t>
      </w:r>
      <w:r>
        <w:rPr/>
        <w:t>(Jablonski</w:t>
      </w:r>
      <w:r>
        <w:rPr>
          <w:spacing w:val="-19"/>
        </w:rPr>
        <w:t> </w:t>
      </w:r>
      <w:r>
        <w:rPr/>
        <w:t>y</w:t>
      </w:r>
      <w:r>
        <w:rPr>
          <w:spacing w:val="-21"/>
        </w:rPr>
        <w:t> </w:t>
      </w:r>
      <w:r>
        <w:rPr/>
        <w:t>Bohach,</w:t>
      </w:r>
      <w:r>
        <w:rPr>
          <w:spacing w:val="-18"/>
        </w:rPr>
        <w:t> </w:t>
      </w:r>
      <w:r>
        <w:rPr/>
        <w:t>2000;</w:t>
      </w:r>
      <w:r>
        <w:rPr>
          <w:spacing w:val="-21"/>
        </w:rPr>
        <w:t> </w:t>
      </w:r>
      <w:r>
        <w:rPr/>
        <w:t>Adams</w:t>
      </w:r>
      <w:r>
        <w:rPr>
          <w:spacing w:val="-19"/>
        </w:rPr>
        <w:t> </w:t>
      </w:r>
      <w:r>
        <w:rPr/>
        <w:t>y</w:t>
      </w:r>
      <w:r>
        <w:rPr>
          <w:spacing w:val="-19"/>
        </w:rPr>
        <w:t> </w:t>
      </w:r>
      <w:r>
        <w:rPr/>
        <w:t>Moss,</w:t>
      </w:r>
      <w:r>
        <w:rPr>
          <w:spacing w:val="-18"/>
        </w:rPr>
        <w:t> </w:t>
      </w:r>
      <w:r>
        <w:rPr/>
        <w:t>2002; Sandel y McKillip,</w:t>
      </w:r>
      <w:r>
        <w:rPr>
          <w:spacing w:val="-7"/>
        </w:rPr>
        <w:t> </w:t>
      </w:r>
      <w:r>
        <w:rPr/>
        <w:t>2004).</w:t>
      </w:r>
    </w:p>
    <w:p>
      <w:pPr>
        <w:pStyle w:val="BodyText"/>
        <w:spacing w:before="6"/>
        <w:rPr>
          <w:sz w:val="27"/>
        </w:rPr>
      </w:pPr>
    </w:p>
    <w:p>
      <w:pPr>
        <w:pStyle w:val="BodyText"/>
        <w:spacing w:line="276" w:lineRule="auto" w:before="1"/>
        <w:ind w:left="142" w:right="138"/>
        <w:jc w:val="both"/>
      </w:pPr>
      <w:r>
        <w:rPr/>
        <w:t>Alimentos que son sometidos a contaminación post-procesamiento representan un importante peligro a la salud porque los microbios que normalmente podrían competir con </w:t>
      </w:r>
      <w:r>
        <w:rPr>
          <w:i/>
        </w:rPr>
        <w:t>S. aureus </w:t>
      </w:r>
      <w:r>
        <w:rPr/>
        <w:t>han sido eliminados, además el abuso de temperatura (temperatura inadecuada de almacenamiento), permite el crecimiento de los estafilococos en grandes números, que una vez introducidos se multiplican rápidamente a temperaturas ambiente (Sandel y McKillip, 2004).</w:t>
      </w:r>
    </w:p>
    <w:p>
      <w:pPr>
        <w:pStyle w:val="BodyText"/>
        <w:spacing w:before="9"/>
        <w:rPr>
          <w:sz w:val="27"/>
        </w:rPr>
      </w:pPr>
    </w:p>
    <w:p>
      <w:pPr>
        <w:pStyle w:val="BodyText"/>
        <w:spacing w:line="276" w:lineRule="auto"/>
        <w:ind w:left="142" w:right="132"/>
        <w:jc w:val="both"/>
      </w:pPr>
      <w:r>
        <w:rPr/>
        <w:t>Además de los síntomas patógenos, cepas toxigénicas de transmisión alimentaria multiplicadas</w:t>
      </w:r>
      <w:r>
        <w:rPr>
          <w:spacing w:val="-14"/>
        </w:rPr>
        <w:t> </w:t>
      </w:r>
      <w:r>
        <w:rPr/>
        <w:t>en</w:t>
      </w:r>
      <w:r>
        <w:rPr>
          <w:spacing w:val="-13"/>
        </w:rPr>
        <w:t> </w:t>
      </w:r>
      <w:r>
        <w:rPr/>
        <w:t>el</w:t>
      </w:r>
      <w:r>
        <w:rPr>
          <w:spacing w:val="-17"/>
        </w:rPr>
        <w:t> </w:t>
      </w:r>
      <w:r>
        <w:rPr/>
        <w:t>alimento</w:t>
      </w:r>
      <w:r>
        <w:rPr>
          <w:spacing w:val="-15"/>
        </w:rPr>
        <w:t> </w:t>
      </w:r>
      <w:r>
        <w:rPr/>
        <w:t>a</w:t>
      </w:r>
      <w:r>
        <w:rPr>
          <w:spacing w:val="-13"/>
        </w:rPr>
        <w:t> </w:t>
      </w:r>
      <w:r>
        <w:rPr/>
        <w:t>un</w:t>
      </w:r>
      <w:r>
        <w:rPr>
          <w:spacing w:val="-13"/>
        </w:rPr>
        <w:t> </w:t>
      </w:r>
      <w:r>
        <w:rPr/>
        <w:t>nivel</w:t>
      </w:r>
      <w:r>
        <w:rPr>
          <w:spacing w:val="-14"/>
        </w:rPr>
        <w:t> </w:t>
      </w:r>
      <w:r>
        <w:rPr/>
        <w:t>de</w:t>
      </w:r>
      <w:r>
        <w:rPr>
          <w:spacing w:val="-16"/>
        </w:rPr>
        <w:t> </w:t>
      </w:r>
      <w:r>
        <w:rPr/>
        <w:t>10</w:t>
      </w:r>
      <w:r>
        <w:rPr>
          <w:position w:val="8"/>
          <w:sz w:val="16"/>
        </w:rPr>
        <w:t>5</w:t>
      </w:r>
      <w:r>
        <w:rPr>
          <w:spacing w:val="-11"/>
          <w:position w:val="8"/>
          <w:sz w:val="16"/>
        </w:rPr>
        <w:t> </w:t>
      </w:r>
      <w:r>
        <w:rPr/>
        <w:t>-10</w:t>
      </w:r>
      <w:r>
        <w:rPr>
          <w:position w:val="8"/>
          <w:sz w:val="16"/>
        </w:rPr>
        <w:t>6</w:t>
      </w:r>
      <w:r>
        <w:rPr>
          <w:spacing w:val="8"/>
          <w:position w:val="8"/>
          <w:sz w:val="16"/>
        </w:rPr>
        <w:t> </w:t>
      </w:r>
      <w:r>
        <w:rPr/>
        <w:t>ufc/g</w:t>
      </w:r>
      <w:r>
        <w:rPr>
          <w:spacing w:val="-15"/>
        </w:rPr>
        <w:t> </w:t>
      </w:r>
      <w:r>
        <w:rPr/>
        <w:t>generan</w:t>
      </w:r>
      <w:r>
        <w:rPr>
          <w:spacing w:val="-15"/>
        </w:rPr>
        <w:t> </w:t>
      </w:r>
      <w:r>
        <w:rPr/>
        <w:t>enterotoxinas</w:t>
      </w:r>
      <w:r>
        <w:rPr>
          <w:spacing w:val="-14"/>
        </w:rPr>
        <w:t> </w:t>
      </w:r>
      <w:r>
        <w:rPr/>
        <w:t>(SEs) termoestables responsables de intoxicaciones alimentarias (Kamal </w:t>
      </w:r>
      <w:r>
        <w:rPr>
          <w:i/>
        </w:rPr>
        <w:t>et al.</w:t>
      </w:r>
      <w:r>
        <w:rPr/>
        <w:t>, 2013), de las que se han reportado 18 SEs, sin embargo las clásicas A, B, C y D han sido implicadas</w:t>
      </w:r>
      <w:r>
        <w:rPr>
          <w:spacing w:val="-10"/>
        </w:rPr>
        <w:t> </w:t>
      </w:r>
      <w:r>
        <w:rPr/>
        <w:t>predominantemente</w:t>
      </w:r>
      <w:r>
        <w:rPr>
          <w:spacing w:val="-11"/>
        </w:rPr>
        <w:t> </w:t>
      </w:r>
      <w:r>
        <w:rPr/>
        <w:t>en</w:t>
      </w:r>
      <w:r>
        <w:rPr>
          <w:spacing w:val="-12"/>
        </w:rPr>
        <w:t> </w:t>
      </w:r>
      <w:r>
        <w:rPr/>
        <w:t>brotes</w:t>
      </w:r>
      <w:r>
        <w:rPr>
          <w:spacing w:val="-13"/>
        </w:rPr>
        <w:t> </w:t>
      </w:r>
      <w:r>
        <w:rPr/>
        <w:t>de</w:t>
      </w:r>
      <w:r>
        <w:rPr>
          <w:spacing w:val="-14"/>
        </w:rPr>
        <w:t> </w:t>
      </w:r>
      <w:r>
        <w:rPr/>
        <w:t>origen</w:t>
      </w:r>
      <w:r>
        <w:rPr>
          <w:spacing w:val="-9"/>
        </w:rPr>
        <w:t> </w:t>
      </w:r>
      <w:r>
        <w:rPr/>
        <w:t>alimentario</w:t>
      </w:r>
      <w:r>
        <w:rPr>
          <w:spacing w:val="-12"/>
        </w:rPr>
        <w:t> </w:t>
      </w:r>
      <w:r>
        <w:rPr/>
        <w:t>(Mai</w:t>
      </w:r>
      <w:r>
        <w:rPr>
          <w:spacing w:val="-4"/>
        </w:rPr>
        <w:t> </w:t>
      </w:r>
      <w:r>
        <w:rPr>
          <w:i/>
        </w:rPr>
        <w:t>et</w:t>
      </w:r>
      <w:r>
        <w:rPr>
          <w:i/>
          <w:spacing w:val="-12"/>
        </w:rPr>
        <w:t> </w:t>
      </w:r>
      <w:r>
        <w:rPr>
          <w:i/>
        </w:rPr>
        <w:t>al</w:t>
      </w:r>
      <w:r>
        <w:rPr/>
        <w:t>.,</w:t>
      </w:r>
      <w:r>
        <w:rPr>
          <w:spacing w:val="-12"/>
        </w:rPr>
        <w:t> </w:t>
      </w:r>
      <w:r>
        <w:rPr/>
        <w:t>2010).</w:t>
      </w:r>
      <w:r>
        <w:rPr>
          <w:spacing w:val="-13"/>
        </w:rPr>
        <w:t> </w:t>
      </w:r>
      <w:r>
        <w:rPr/>
        <w:t>El consumo de alimentos contaminados causa severas enfermedades que incluye gastroenteritis, nausea, vómito, diarrea y dolor abdominal dentro del intervalo de </w:t>
      </w:r>
      <w:r>
        <w:rPr>
          <w:spacing w:val="4"/>
        </w:rPr>
        <w:t>1- </w:t>
      </w:r>
      <w:r>
        <w:rPr/>
        <w:t>6 horas después del consumo de alimentos contaminados (Crago </w:t>
      </w:r>
      <w:r>
        <w:rPr>
          <w:i/>
        </w:rPr>
        <w:t>et al.</w:t>
      </w:r>
      <w:r>
        <w:rPr/>
        <w:t>,</w:t>
      </w:r>
      <w:r>
        <w:rPr>
          <w:spacing w:val="-26"/>
        </w:rPr>
        <w:t> </w:t>
      </w:r>
      <w:r>
        <w:rPr/>
        <w:t>2012).</w:t>
      </w:r>
    </w:p>
    <w:p>
      <w:pPr>
        <w:pStyle w:val="BodyText"/>
        <w:spacing w:line="276" w:lineRule="auto" w:before="5"/>
        <w:ind w:left="142" w:right="141"/>
        <w:jc w:val="both"/>
      </w:pPr>
      <w:r>
        <w:rPr/>
        <w:t>Desde el punto de vista de seguridad en alimentos, durante la producción cada producto que es manipulado es una fuente potencial de contaminación y la falta de apropiadas medidas higiénicas incrementa el riesgo de contaminación estafilocócica en el material crudo (Medveďová </w:t>
      </w:r>
      <w:r>
        <w:rPr>
          <w:i/>
        </w:rPr>
        <w:t>et al.</w:t>
      </w:r>
      <w:r>
        <w:rPr/>
        <w:t>, 2009).</w:t>
      </w:r>
    </w:p>
    <w:p>
      <w:pPr>
        <w:pStyle w:val="BodyText"/>
        <w:rPr>
          <w:sz w:val="28"/>
        </w:rPr>
      </w:pPr>
    </w:p>
    <w:p>
      <w:pPr>
        <w:pStyle w:val="BodyText"/>
        <w:spacing w:line="276" w:lineRule="auto"/>
        <w:ind w:left="142" w:right="138"/>
        <w:jc w:val="both"/>
      </w:pPr>
      <w:r>
        <w:rPr/>
        <w:t>Este patógeno puede ser transmitido a los humanos a través de leche sin pasteurizar y productos lácteos que hace que las infecciones relacionadas con los alimentos</w:t>
      </w:r>
      <w:r>
        <w:rPr>
          <w:spacing w:val="-8"/>
        </w:rPr>
        <w:t> </w:t>
      </w:r>
      <w:r>
        <w:rPr/>
        <w:t>sean</w:t>
      </w:r>
      <w:r>
        <w:rPr>
          <w:spacing w:val="-9"/>
        </w:rPr>
        <w:t> </w:t>
      </w:r>
      <w:r>
        <w:rPr/>
        <w:t>difíciles</w:t>
      </w:r>
      <w:r>
        <w:rPr>
          <w:spacing w:val="-8"/>
        </w:rPr>
        <w:t> </w:t>
      </w:r>
      <w:r>
        <w:rPr/>
        <w:t>de</w:t>
      </w:r>
      <w:r>
        <w:rPr>
          <w:spacing w:val="-7"/>
        </w:rPr>
        <w:t> </w:t>
      </w:r>
      <w:r>
        <w:rPr/>
        <w:t>tratar</w:t>
      </w:r>
      <w:r>
        <w:rPr>
          <w:spacing w:val="-8"/>
        </w:rPr>
        <w:t> </w:t>
      </w:r>
      <w:r>
        <w:rPr/>
        <w:t>(Sasidharan</w:t>
      </w:r>
      <w:r>
        <w:rPr>
          <w:spacing w:val="-5"/>
        </w:rPr>
        <w:t> </w:t>
      </w:r>
      <w:r>
        <w:rPr>
          <w:i/>
        </w:rPr>
        <w:t>et</w:t>
      </w:r>
      <w:r>
        <w:rPr>
          <w:i/>
          <w:spacing w:val="-7"/>
        </w:rPr>
        <w:t> </w:t>
      </w:r>
      <w:r>
        <w:rPr>
          <w:i/>
        </w:rPr>
        <w:t>al</w:t>
      </w:r>
      <w:r>
        <w:rPr/>
        <w:t>.,</w:t>
      </w:r>
      <w:r>
        <w:rPr>
          <w:spacing w:val="-9"/>
        </w:rPr>
        <w:t> </w:t>
      </w:r>
      <w:r>
        <w:rPr/>
        <w:t>2011).</w:t>
      </w:r>
      <w:r>
        <w:rPr>
          <w:spacing w:val="-8"/>
        </w:rPr>
        <w:t> </w:t>
      </w:r>
      <w:r>
        <w:rPr/>
        <w:t>La</w:t>
      </w:r>
      <w:r>
        <w:rPr>
          <w:spacing w:val="-7"/>
        </w:rPr>
        <w:t> </w:t>
      </w:r>
      <w:r>
        <w:rPr/>
        <w:t>contaminación</w:t>
      </w:r>
      <w:r>
        <w:rPr>
          <w:spacing w:val="-7"/>
        </w:rPr>
        <w:t> </w:t>
      </w:r>
      <w:r>
        <w:rPr/>
        <w:t>puede ocurrir directamente de animales productores infectados o pueden resultar de higiene deficiente durante el proceso de producción o en la venta al por menor (Yeşim y Haluk, 2012). Otros factores que pueden estar asociados a la contaminación</w:t>
      </w:r>
      <w:r>
        <w:rPr>
          <w:spacing w:val="-6"/>
        </w:rPr>
        <w:t> </w:t>
      </w:r>
      <w:r>
        <w:rPr/>
        <w:t>son</w:t>
      </w:r>
      <w:r>
        <w:rPr>
          <w:spacing w:val="-8"/>
        </w:rPr>
        <w:t> </w:t>
      </w:r>
      <w:r>
        <w:rPr/>
        <w:t>el</w:t>
      </w:r>
      <w:r>
        <w:rPr>
          <w:spacing w:val="-7"/>
        </w:rPr>
        <w:t> </w:t>
      </w:r>
      <w:r>
        <w:rPr/>
        <w:t>inadecuado</w:t>
      </w:r>
      <w:r>
        <w:rPr>
          <w:spacing w:val="-8"/>
        </w:rPr>
        <w:t> </w:t>
      </w:r>
      <w:r>
        <w:rPr/>
        <w:t>manejo</w:t>
      </w:r>
      <w:r>
        <w:rPr>
          <w:spacing w:val="-9"/>
        </w:rPr>
        <w:t> </w:t>
      </w:r>
      <w:r>
        <w:rPr/>
        <w:t>del</w:t>
      </w:r>
      <w:r>
        <w:rPr>
          <w:spacing w:val="-10"/>
        </w:rPr>
        <w:t> </w:t>
      </w:r>
      <w:r>
        <w:rPr/>
        <w:t>proceso</w:t>
      </w:r>
      <w:r>
        <w:rPr>
          <w:spacing w:val="-6"/>
        </w:rPr>
        <w:t> </w:t>
      </w:r>
      <w:r>
        <w:rPr/>
        <w:t>de</w:t>
      </w:r>
      <w:r>
        <w:rPr>
          <w:spacing w:val="-6"/>
        </w:rPr>
        <w:t> </w:t>
      </w:r>
      <w:r>
        <w:rPr/>
        <w:t>pasteurización</w:t>
      </w:r>
      <w:r>
        <w:rPr>
          <w:spacing w:val="-6"/>
        </w:rPr>
        <w:t> </w:t>
      </w:r>
      <w:r>
        <w:rPr/>
        <w:t>y</w:t>
      </w:r>
      <w:r>
        <w:rPr>
          <w:spacing w:val="-9"/>
        </w:rPr>
        <w:t> </w:t>
      </w:r>
      <w:r>
        <w:rPr/>
        <w:t>el</w:t>
      </w:r>
      <w:r>
        <w:rPr>
          <w:spacing w:val="-7"/>
        </w:rPr>
        <w:t> </w:t>
      </w:r>
      <w:r>
        <w:rPr/>
        <w:t>uso</w:t>
      </w:r>
      <w:r>
        <w:rPr>
          <w:spacing w:val="-8"/>
        </w:rPr>
        <w:t> </w:t>
      </w:r>
      <w:r>
        <w:rPr/>
        <w:t>de leche cruda por el pequeño productor, el equipo de ordeño, el ambiente, las ubres y piel de animales lecheros son posibles fuentes de contaminación de la leche a granel e incidentalmente el almacenamiento a altas temperaturas ambientales permiten</w:t>
      </w:r>
      <w:r>
        <w:rPr>
          <w:spacing w:val="-18"/>
        </w:rPr>
        <w:t> </w:t>
      </w:r>
      <w:r>
        <w:rPr/>
        <w:t>el</w:t>
      </w:r>
      <w:r>
        <w:rPr>
          <w:spacing w:val="-17"/>
        </w:rPr>
        <w:t> </w:t>
      </w:r>
      <w:r>
        <w:rPr/>
        <w:t>crecimiento</w:t>
      </w:r>
      <w:r>
        <w:rPr>
          <w:spacing w:val="-18"/>
        </w:rPr>
        <w:t> </w:t>
      </w:r>
      <w:r>
        <w:rPr/>
        <w:t>de</w:t>
      </w:r>
      <w:r>
        <w:rPr>
          <w:spacing w:val="-18"/>
        </w:rPr>
        <w:t> </w:t>
      </w:r>
      <w:r>
        <w:rPr/>
        <w:t>la</w:t>
      </w:r>
      <w:r>
        <w:rPr>
          <w:spacing w:val="-18"/>
        </w:rPr>
        <w:t> </w:t>
      </w:r>
      <w:r>
        <w:rPr/>
        <w:t>bacteria</w:t>
      </w:r>
      <w:r>
        <w:rPr>
          <w:spacing w:val="-16"/>
        </w:rPr>
        <w:t> </w:t>
      </w:r>
      <w:r>
        <w:rPr/>
        <w:t>(André</w:t>
      </w:r>
      <w:r>
        <w:rPr>
          <w:spacing w:val="-15"/>
        </w:rPr>
        <w:t> </w:t>
      </w:r>
      <w:r>
        <w:rPr>
          <w:i/>
        </w:rPr>
        <w:t>et</w:t>
      </w:r>
      <w:r>
        <w:rPr>
          <w:i/>
          <w:spacing w:val="-16"/>
        </w:rPr>
        <w:t> </w:t>
      </w:r>
      <w:r>
        <w:rPr>
          <w:i/>
        </w:rPr>
        <w:t>al.</w:t>
      </w:r>
      <w:r>
        <w:rPr/>
        <w:t>,</w:t>
      </w:r>
      <w:r>
        <w:rPr>
          <w:spacing w:val="-18"/>
        </w:rPr>
        <w:t> </w:t>
      </w:r>
      <w:r>
        <w:rPr/>
        <w:t>2008).</w:t>
      </w:r>
      <w:r>
        <w:rPr>
          <w:spacing w:val="-19"/>
        </w:rPr>
        <w:t> </w:t>
      </w:r>
      <w:r>
        <w:rPr/>
        <w:t>Asimismo</w:t>
      </w:r>
      <w:r>
        <w:rPr>
          <w:spacing w:val="-18"/>
        </w:rPr>
        <w:t> </w:t>
      </w:r>
      <w:r>
        <w:rPr/>
        <w:t>la</w:t>
      </w:r>
      <w:r>
        <w:rPr>
          <w:spacing w:val="-18"/>
        </w:rPr>
        <w:t> </w:t>
      </w:r>
      <w:r>
        <w:rPr/>
        <w:t>manipulación inapropiada  de  productos  alimenticios  así  como  la  colonización  del  ganado</w:t>
      </w:r>
      <w:r>
        <w:rPr>
          <w:spacing w:val="40"/>
        </w:rPr>
        <w:t> </w:t>
      </w:r>
      <w:r>
        <w:rPr/>
        <w:t>o</w:t>
      </w:r>
    </w:p>
    <w:p>
      <w:pPr>
        <w:spacing w:after="0" w:line="276" w:lineRule="auto"/>
        <w:jc w:val="both"/>
        <w:sectPr>
          <w:pgSz w:w="12240" w:h="15840"/>
          <w:pgMar w:header="728" w:footer="1135" w:top="1200" w:bottom="1320" w:left="1560" w:right="1560"/>
        </w:sectPr>
      </w:pPr>
    </w:p>
    <w:p>
      <w:pPr>
        <w:pStyle w:val="BodyText"/>
        <w:spacing w:before="9"/>
        <w:rPr>
          <w:sz w:val="12"/>
        </w:rPr>
      </w:pPr>
    </w:p>
    <w:p>
      <w:pPr>
        <w:pStyle w:val="BodyText"/>
        <w:spacing w:line="276" w:lineRule="auto" w:before="70"/>
        <w:ind w:left="142" w:right="137"/>
        <w:jc w:val="both"/>
      </w:pPr>
      <w:r>
        <w:rPr/>
        <w:t>trabajadores agrícolas ha sido descrito como mecanismos de contaminación de alimentos (Crago </w:t>
      </w:r>
      <w:r>
        <w:rPr>
          <w:i/>
        </w:rPr>
        <w:t>et al</w:t>
      </w:r>
      <w:r>
        <w:rPr/>
        <w:t>., 2012). El entendimiento apropiado y el conocimiento extensivo sobre las rutas de contaminación de </w:t>
      </w:r>
      <w:r>
        <w:rPr>
          <w:i/>
        </w:rPr>
        <w:t>S. aureus </w:t>
      </w:r>
      <w:r>
        <w:rPr/>
        <w:t>es importante para el control efectivo de los brotes de enfermedad relacionadas (Mai </w:t>
      </w:r>
      <w:r>
        <w:rPr>
          <w:i/>
        </w:rPr>
        <w:t>et al.</w:t>
      </w:r>
      <w:r>
        <w:rPr/>
        <w:t>, 2010).</w:t>
      </w:r>
    </w:p>
    <w:p>
      <w:pPr>
        <w:pStyle w:val="BodyText"/>
        <w:spacing w:before="9"/>
        <w:rPr>
          <w:sz w:val="27"/>
        </w:rPr>
      </w:pPr>
    </w:p>
    <w:p>
      <w:pPr>
        <w:pStyle w:val="ListParagraph"/>
        <w:numPr>
          <w:ilvl w:val="0"/>
          <w:numId w:val="4"/>
        </w:numPr>
        <w:tabs>
          <w:tab w:pos="411" w:val="left" w:leader="none"/>
        </w:tabs>
        <w:spacing w:line="240" w:lineRule="auto" w:before="0" w:after="0"/>
        <w:ind w:left="410" w:right="0" w:hanging="268"/>
        <w:jc w:val="both"/>
        <w:rPr>
          <w:b/>
          <w:i/>
          <w:sz w:val="24"/>
        </w:rPr>
      </w:pPr>
      <w:bookmarkStart w:name="_bookmark14" w:id="19"/>
      <w:bookmarkEnd w:id="19"/>
      <w:r>
        <w:rPr/>
      </w:r>
      <w:bookmarkStart w:name="_bookmark14" w:id="20"/>
      <w:bookmarkEnd w:id="20"/>
      <w:r>
        <w:rPr>
          <w:b/>
          <w:i/>
          <w:sz w:val="24"/>
        </w:rPr>
        <w:t>Bio</w:t>
      </w:r>
      <w:r>
        <w:rPr>
          <w:b/>
          <w:i/>
          <w:sz w:val="24"/>
        </w:rPr>
        <w:t>film </w:t>
      </w:r>
      <w:r>
        <w:rPr>
          <w:b/>
          <w:sz w:val="24"/>
        </w:rPr>
        <w:t>en </w:t>
      </w:r>
      <w:r>
        <w:rPr>
          <w:b/>
          <w:i/>
          <w:sz w:val="24"/>
        </w:rPr>
        <w:t>Staphylococcus</w:t>
      </w:r>
      <w:r>
        <w:rPr>
          <w:b/>
          <w:i/>
          <w:spacing w:val="-11"/>
          <w:sz w:val="24"/>
        </w:rPr>
        <w:t> </w:t>
      </w:r>
      <w:r>
        <w:rPr>
          <w:b/>
          <w:i/>
          <w:sz w:val="24"/>
        </w:rPr>
        <w:t>aureus</w:t>
      </w:r>
    </w:p>
    <w:p>
      <w:pPr>
        <w:pStyle w:val="BodyText"/>
        <w:spacing w:line="276" w:lineRule="auto" w:before="41"/>
        <w:ind w:left="142" w:right="135"/>
        <w:jc w:val="both"/>
      </w:pPr>
      <w:r>
        <w:rPr/>
        <w:t>Los</w:t>
      </w:r>
      <w:r>
        <w:rPr>
          <w:spacing w:val="-5"/>
        </w:rPr>
        <w:t> </w:t>
      </w:r>
      <w:r>
        <w:rPr>
          <w:i/>
        </w:rPr>
        <w:t>biofilms</w:t>
      </w:r>
      <w:r>
        <w:rPr>
          <w:i/>
          <w:spacing w:val="-5"/>
        </w:rPr>
        <w:t> </w:t>
      </w:r>
      <w:r>
        <w:rPr/>
        <w:t>son</w:t>
      </w:r>
      <w:r>
        <w:rPr>
          <w:spacing w:val="-5"/>
        </w:rPr>
        <w:t> </w:t>
      </w:r>
      <w:r>
        <w:rPr/>
        <w:t>definidos</w:t>
      </w:r>
      <w:r>
        <w:rPr>
          <w:spacing w:val="-5"/>
        </w:rPr>
        <w:t> </w:t>
      </w:r>
      <w:r>
        <w:rPr/>
        <w:t>como</w:t>
      </w:r>
      <w:r>
        <w:rPr>
          <w:spacing w:val="-7"/>
        </w:rPr>
        <w:t> </w:t>
      </w:r>
      <w:r>
        <w:rPr/>
        <w:t>una</w:t>
      </w:r>
      <w:r>
        <w:rPr>
          <w:spacing w:val="-7"/>
        </w:rPr>
        <w:t> </w:t>
      </w:r>
      <w:r>
        <w:rPr/>
        <w:t>comunidad</w:t>
      </w:r>
      <w:r>
        <w:rPr>
          <w:spacing w:val="-7"/>
        </w:rPr>
        <w:t> </w:t>
      </w:r>
      <w:r>
        <w:rPr/>
        <w:t>de</w:t>
      </w:r>
      <w:r>
        <w:rPr>
          <w:spacing w:val="-5"/>
        </w:rPr>
        <w:t> </w:t>
      </w:r>
      <w:r>
        <w:rPr/>
        <w:t>células</w:t>
      </w:r>
      <w:r>
        <w:rPr>
          <w:spacing w:val="-5"/>
        </w:rPr>
        <w:t> </w:t>
      </w:r>
      <w:r>
        <w:rPr/>
        <w:t>bacterianas</w:t>
      </w:r>
      <w:r>
        <w:rPr>
          <w:spacing w:val="-5"/>
        </w:rPr>
        <w:t> </w:t>
      </w:r>
      <w:r>
        <w:rPr/>
        <w:t>incrustadas en una matriz de polímeros orgánicos extracelulares, proteínas y ADN extracelular y la combinación de esos componentes; es una potente estrategia de evasión del sistema inmune a través del bloqueo físico y de los componentes del sistema inmune secretadas (Fluit, 2012), se encuentran adheridas a superficies vivas e inertes, a un sustrato o entre sí y son más resistentes al estrés ambiental que sus homólogos</w:t>
      </w:r>
      <w:r>
        <w:rPr>
          <w:spacing w:val="-16"/>
        </w:rPr>
        <w:t> </w:t>
      </w:r>
      <w:r>
        <w:rPr/>
        <w:t>planctónicos</w:t>
      </w:r>
      <w:r>
        <w:rPr>
          <w:spacing w:val="-16"/>
        </w:rPr>
        <w:t> </w:t>
      </w:r>
      <w:r>
        <w:rPr/>
        <w:t>(Rode</w:t>
      </w:r>
      <w:r>
        <w:rPr>
          <w:spacing w:val="-14"/>
        </w:rPr>
        <w:t> </w:t>
      </w:r>
      <w:r>
        <w:rPr>
          <w:i/>
        </w:rPr>
        <w:t>et</w:t>
      </w:r>
      <w:r>
        <w:rPr>
          <w:i/>
          <w:spacing w:val="-18"/>
        </w:rPr>
        <w:t> </w:t>
      </w:r>
      <w:r>
        <w:rPr>
          <w:i/>
        </w:rPr>
        <w:t>al.,</w:t>
      </w:r>
      <w:r>
        <w:rPr>
          <w:i/>
          <w:spacing w:val="-15"/>
        </w:rPr>
        <w:t> </w:t>
      </w:r>
      <w:r>
        <w:rPr/>
        <w:t>2007;</w:t>
      </w:r>
      <w:r>
        <w:rPr>
          <w:spacing w:val="-16"/>
        </w:rPr>
        <w:t> </w:t>
      </w:r>
      <w:r>
        <w:rPr/>
        <w:t>Da</w:t>
      </w:r>
      <w:r>
        <w:rPr>
          <w:spacing w:val="-16"/>
        </w:rPr>
        <w:t> </w:t>
      </w:r>
      <w:r>
        <w:rPr/>
        <w:t>Silva</w:t>
      </w:r>
      <w:r>
        <w:rPr>
          <w:spacing w:val="-14"/>
        </w:rPr>
        <w:t> </w:t>
      </w:r>
      <w:r>
        <w:rPr>
          <w:i/>
        </w:rPr>
        <w:t>et</w:t>
      </w:r>
      <w:r>
        <w:rPr>
          <w:i/>
          <w:spacing w:val="-16"/>
        </w:rPr>
        <w:t> </w:t>
      </w:r>
      <w:r>
        <w:rPr>
          <w:i/>
        </w:rPr>
        <w:t>al.,</w:t>
      </w:r>
      <w:r>
        <w:rPr>
          <w:i/>
          <w:spacing w:val="-15"/>
        </w:rPr>
        <w:t> </w:t>
      </w:r>
      <w:r>
        <w:rPr/>
        <w:t>2012;</w:t>
      </w:r>
      <w:r>
        <w:rPr>
          <w:spacing w:val="-16"/>
        </w:rPr>
        <w:t> </w:t>
      </w:r>
      <w:r>
        <w:rPr/>
        <w:t>Rossi</w:t>
      </w:r>
      <w:r>
        <w:rPr>
          <w:spacing w:val="-16"/>
        </w:rPr>
        <w:t> </w:t>
      </w:r>
      <w:r>
        <w:rPr>
          <w:i/>
        </w:rPr>
        <w:t>et.</w:t>
      </w:r>
      <w:r>
        <w:rPr>
          <w:i/>
          <w:spacing w:val="-16"/>
        </w:rPr>
        <w:t> </w:t>
      </w:r>
      <w:r>
        <w:rPr>
          <w:i/>
        </w:rPr>
        <w:t>al.,</w:t>
      </w:r>
      <w:r>
        <w:rPr>
          <w:i/>
          <w:spacing w:val="-17"/>
        </w:rPr>
        <w:t> </w:t>
      </w:r>
      <w:r>
        <w:rPr/>
        <w:t>2014). Estas células exhiben un fenotipo alterado en cuanto a su crecimiento, expresión génica y producción de proteínas, además el crecimiento está limitado por la disponibilidad de paso de los nutrientes para las bacterias a través del </w:t>
      </w:r>
      <w:r>
        <w:rPr>
          <w:i/>
        </w:rPr>
        <w:t>biofilm</w:t>
      </w:r>
      <w:r>
        <w:rPr/>
        <w:t>, así como los factores ambientales como el pH, la perfusión de oxígeno, las fuentes de carbono y la osmolaridad (Bustos Martínez </w:t>
      </w:r>
      <w:r>
        <w:rPr>
          <w:i/>
        </w:rPr>
        <w:t>et al</w:t>
      </w:r>
      <w:r>
        <w:rPr/>
        <w:t>.,</w:t>
      </w:r>
      <w:r>
        <w:rPr>
          <w:spacing w:val="-14"/>
        </w:rPr>
        <w:t> </w:t>
      </w:r>
      <w:r>
        <w:rPr/>
        <w:t>2006).</w:t>
      </w:r>
    </w:p>
    <w:p>
      <w:pPr>
        <w:pStyle w:val="BodyText"/>
        <w:spacing w:before="6"/>
        <w:rPr>
          <w:sz w:val="27"/>
        </w:rPr>
      </w:pPr>
    </w:p>
    <w:p>
      <w:pPr>
        <w:pStyle w:val="BodyText"/>
        <w:spacing w:line="276" w:lineRule="auto" w:before="1"/>
        <w:ind w:left="142" w:right="134"/>
        <w:jc w:val="both"/>
      </w:pPr>
      <w:r>
        <w:rPr/>
        <w:t>La importancia del </w:t>
      </w:r>
      <w:r>
        <w:rPr>
          <w:i/>
        </w:rPr>
        <w:t>biofilm </w:t>
      </w:r>
      <w:r>
        <w:rPr/>
        <w:t>es reconocida en el contexto médico y veterinario</w:t>
      </w:r>
      <w:r>
        <w:rPr>
          <w:spacing w:val="-36"/>
        </w:rPr>
        <w:t> </w:t>
      </w:r>
      <w:r>
        <w:rPr/>
        <w:t>debido a que muestran elevada resistencia a antibióticos y desinfectantes; también contribuyen a la evasión de defensas inmunológicas así como a la dificultad para erradicar el patógeno resultando a menudo en infecciones crónicas y persistentes (Khoramian</w:t>
      </w:r>
      <w:r>
        <w:rPr>
          <w:spacing w:val="-3"/>
        </w:rPr>
        <w:t> </w:t>
      </w:r>
      <w:r>
        <w:rPr>
          <w:i/>
        </w:rPr>
        <w:t>et</w:t>
      </w:r>
      <w:r>
        <w:rPr>
          <w:i/>
          <w:spacing w:val="-5"/>
        </w:rPr>
        <w:t> </w:t>
      </w:r>
      <w:r>
        <w:rPr>
          <w:i/>
        </w:rPr>
        <w:t>al.</w:t>
      </w:r>
      <w:r>
        <w:rPr/>
        <w:t>,</w:t>
      </w:r>
      <w:r>
        <w:rPr>
          <w:spacing w:val="-5"/>
        </w:rPr>
        <w:t> </w:t>
      </w:r>
      <w:r>
        <w:rPr/>
        <w:t>2015).</w:t>
      </w:r>
      <w:r>
        <w:rPr>
          <w:spacing w:val="-6"/>
        </w:rPr>
        <w:t> </w:t>
      </w:r>
      <w:r>
        <w:rPr/>
        <w:t>Sirve</w:t>
      </w:r>
      <w:r>
        <w:rPr>
          <w:spacing w:val="-5"/>
        </w:rPr>
        <w:t> </w:t>
      </w:r>
      <w:r>
        <w:rPr/>
        <w:t>para</w:t>
      </w:r>
      <w:r>
        <w:rPr>
          <w:spacing w:val="-5"/>
        </w:rPr>
        <w:t> </w:t>
      </w:r>
      <w:r>
        <w:rPr/>
        <w:t>adherirse</w:t>
      </w:r>
      <w:r>
        <w:rPr>
          <w:spacing w:val="-5"/>
        </w:rPr>
        <w:t> </w:t>
      </w:r>
      <w:r>
        <w:rPr/>
        <w:t>y</w:t>
      </w:r>
      <w:r>
        <w:rPr>
          <w:spacing w:val="-8"/>
        </w:rPr>
        <w:t> </w:t>
      </w:r>
      <w:r>
        <w:rPr/>
        <w:t>colonizar</w:t>
      </w:r>
      <w:r>
        <w:rPr>
          <w:spacing w:val="-6"/>
        </w:rPr>
        <w:t> </w:t>
      </w:r>
      <w:r>
        <w:rPr/>
        <w:t>nuevos</w:t>
      </w:r>
      <w:r>
        <w:rPr>
          <w:spacing w:val="-5"/>
        </w:rPr>
        <w:t> </w:t>
      </w:r>
      <w:r>
        <w:rPr/>
        <w:t>sitios,</w:t>
      </w:r>
      <w:r>
        <w:rPr>
          <w:spacing w:val="-5"/>
        </w:rPr>
        <w:t> </w:t>
      </w:r>
      <w:r>
        <w:rPr/>
        <w:t>además</w:t>
      </w:r>
      <w:r>
        <w:rPr>
          <w:spacing w:val="-5"/>
        </w:rPr>
        <w:t> </w:t>
      </w:r>
      <w:r>
        <w:rPr/>
        <w:t>de protegerlos de la fagocitosis y de los antibióticos, prolonga la infección y la colonización,</w:t>
      </w:r>
      <w:r>
        <w:rPr>
          <w:spacing w:val="-18"/>
        </w:rPr>
        <w:t> </w:t>
      </w:r>
      <w:r>
        <w:rPr/>
        <w:t>así</w:t>
      </w:r>
      <w:r>
        <w:rPr>
          <w:spacing w:val="-21"/>
        </w:rPr>
        <w:t> </w:t>
      </w:r>
      <w:r>
        <w:rPr/>
        <w:t>como</w:t>
      </w:r>
      <w:r>
        <w:rPr>
          <w:spacing w:val="-20"/>
        </w:rPr>
        <w:t> </w:t>
      </w:r>
      <w:r>
        <w:rPr/>
        <w:t>la</w:t>
      </w:r>
      <w:r>
        <w:rPr>
          <w:spacing w:val="-18"/>
        </w:rPr>
        <w:t> </w:t>
      </w:r>
      <w:r>
        <w:rPr/>
        <w:t>diseminación</w:t>
      </w:r>
      <w:r>
        <w:rPr>
          <w:spacing w:val="-20"/>
        </w:rPr>
        <w:t> </w:t>
      </w:r>
      <w:r>
        <w:rPr/>
        <w:t>en</w:t>
      </w:r>
      <w:r>
        <w:rPr>
          <w:spacing w:val="-18"/>
        </w:rPr>
        <w:t> </w:t>
      </w:r>
      <w:r>
        <w:rPr/>
        <w:t>el</w:t>
      </w:r>
      <w:r>
        <w:rPr>
          <w:spacing w:val="-19"/>
        </w:rPr>
        <w:t> </w:t>
      </w:r>
      <w:r>
        <w:rPr/>
        <w:t>cuerpo</w:t>
      </w:r>
      <w:r>
        <w:rPr>
          <w:spacing w:val="-20"/>
        </w:rPr>
        <w:t> </w:t>
      </w:r>
      <w:r>
        <w:rPr/>
        <w:t>humano</w:t>
      </w:r>
      <w:r>
        <w:rPr>
          <w:spacing w:val="-18"/>
        </w:rPr>
        <w:t> </w:t>
      </w:r>
      <w:r>
        <w:rPr/>
        <w:t>está</w:t>
      </w:r>
      <w:r>
        <w:rPr>
          <w:spacing w:val="-18"/>
        </w:rPr>
        <w:t> </w:t>
      </w:r>
      <w:r>
        <w:rPr/>
        <w:t>presente</w:t>
      </w:r>
      <w:r>
        <w:rPr>
          <w:spacing w:val="-20"/>
        </w:rPr>
        <w:t> </w:t>
      </w:r>
      <w:r>
        <w:rPr>
          <w:spacing w:val="4"/>
        </w:rPr>
        <w:t>en</w:t>
      </w:r>
      <w:r>
        <w:rPr>
          <w:spacing w:val="-18"/>
        </w:rPr>
        <w:t> </w:t>
      </w:r>
      <w:r>
        <w:rPr/>
        <w:t>cepas de hospitales y comunidad (Cervantes-García </w:t>
      </w:r>
      <w:r>
        <w:rPr>
          <w:i/>
        </w:rPr>
        <w:t>et al</w:t>
      </w:r>
      <w:r>
        <w:rPr/>
        <w:t>., 2014). La transferencia genética</w:t>
      </w:r>
      <w:r>
        <w:rPr>
          <w:spacing w:val="-8"/>
        </w:rPr>
        <w:t> </w:t>
      </w:r>
      <w:r>
        <w:rPr/>
        <w:t>puede</w:t>
      </w:r>
      <w:r>
        <w:rPr>
          <w:spacing w:val="-8"/>
        </w:rPr>
        <w:t> </w:t>
      </w:r>
      <w:r>
        <w:rPr/>
        <w:t>ser</w:t>
      </w:r>
      <w:r>
        <w:rPr>
          <w:spacing w:val="-10"/>
        </w:rPr>
        <w:t> </w:t>
      </w:r>
      <w:r>
        <w:rPr/>
        <w:t>facilitada</w:t>
      </w:r>
      <w:r>
        <w:rPr>
          <w:spacing w:val="-8"/>
        </w:rPr>
        <w:t> </w:t>
      </w:r>
      <w:r>
        <w:rPr/>
        <w:t>en</w:t>
      </w:r>
      <w:r>
        <w:rPr>
          <w:spacing w:val="-5"/>
        </w:rPr>
        <w:t> </w:t>
      </w:r>
      <w:r>
        <w:rPr>
          <w:i/>
        </w:rPr>
        <w:t>biofilms</w:t>
      </w:r>
      <w:r>
        <w:rPr>
          <w:i/>
          <w:spacing w:val="-9"/>
        </w:rPr>
        <w:t> </w:t>
      </w:r>
      <w:r>
        <w:rPr/>
        <w:t>a</w:t>
      </w:r>
      <w:r>
        <w:rPr>
          <w:spacing w:val="-8"/>
        </w:rPr>
        <w:t> </w:t>
      </w:r>
      <w:r>
        <w:rPr/>
        <w:t>través</w:t>
      </w:r>
      <w:r>
        <w:rPr>
          <w:spacing w:val="-9"/>
        </w:rPr>
        <w:t> </w:t>
      </w:r>
      <w:r>
        <w:rPr/>
        <w:t>de</w:t>
      </w:r>
      <w:r>
        <w:rPr>
          <w:spacing w:val="-8"/>
        </w:rPr>
        <w:t> </w:t>
      </w:r>
      <w:r>
        <w:rPr/>
        <w:t>una</w:t>
      </w:r>
      <w:r>
        <w:rPr>
          <w:spacing w:val="-8"/>
        </w:rPr>
        <w:t> </w:t>
      </w:r>
      <w:r>
        <w:rPr/>
        <w:t>mejor</w:t>
      </w:r>
      <w:r>
        <w:rPr>
          <w:spacing w:val="-9"/>
        </w:rPr>
        <w:t> </w:t>
      </w:r>
      <w:r>
        <w:rPr/>
        <w:t>interacción</w:t>
      </w:r>
      <w:r>
        <w:rPr>
          <w:spacing w:val="-8"/>
        </w:rPr>
        <w:t> </w:t>
      </w:r>
      <w:r>
        <w:rPr/>
        <w:t>donador- receptor, además promueve la estabilidad de los plásmidos y puede aumentar la gama de elementos genéticos móviles de los hospederos transferidos horizontalmente (Rossi </w:t>
      </w:r>
      <w:r>
        <w:rPr>
          <w:i/>
        </w:rPr>
        <w:t>et. al</w:t>
      </w:r>
      <w:r>
        <w:rPr/>
        <w:t>.,</w:t>
      </w:r>
      <w:r>
        <w:rPr>
          <w:spacing w:val="-12"/>
        </w:rPr>
        <w:t> </w:t>
      </w:r>
      <w:r>
        <w:rPr/>
        <w:t>2014).</w:t>
      </w:r>
    </w:p>
    <w:p>
      <w:pPr>
        <w:pStyle w:val="BodyText"/>
        <w:spacing w:before="9"/>
        <w:rPr>
          <w:sz w:val="27"/>
        </w:rPr>
      </w:pPr>
    </w:p>
    <w:p>
      <w:pPr>
        <w:pStyle w:val="BodyText"/>
        <w:spacing w:line="276" w:lineRule="auto" w:before="1"/>
        <w:ind w:left="142" w:right="137"/>
        <w:jc w:val="both"/>
      </w:pPr>
      <w:r>
        <w:rPr/>
        <w:t>Superficies de acero inoxidable, plástico, vidrio, goma y polipropileno, tuberías, juntas de goma y superficies de trabajo pueden ser contaminadas ya sea por bacterias que bajo ciertas condiciones se adhieren iniciando el crecimiento y llevando a la formación del </w:t>
      </w:r>
      <w:r>
        <w:rPr>
          <w:i/>
        </w:rPr>
        <w:t>biofilm </w:t>
      </w:r>
      <w:r>
        <w:rPr/>
        <w:t>(Da Silva </w:t>
      </w:r>
      <w:r>
        <w:rPr>
          <w:i/>
        </w:rPr>
        <w:t>et al.</w:t>
      </w:r>
      <w:r>
        <w:rPr/>
        <w:t>, 2012; Otto M., 2008). La unión de las bacterias a las superficies de contacto de los productos alimenticios es un riego potencial para la salud del consumidor debido a que los </w:t>
      </w:r>
      <w:r>
        <w:rPr>
          <w:i/>
        </w:rPr>
        <w:t>biofilms </w:t>
      </w:r>
      <w:r>
        <w:rPr/>
        <w:t>pueden contener tanto microorganismos de deterioro como de microorganismos patogénicos.</w:t>
      </w:r>
      <w:r>
        <w:rPr>
          <w:spacing w:val="-14"/>
        </w:rPr>
        <w:t> </w:t>
      </w:r>
      <w:r>
        <w:rPr/>
        <w:t>La</w:t>
      </w:r>
      <w:r>
        <w:rPr>
          <w:spacing w:val="-14"/>
        </w:rPr>
        <w:t> </w:t>
      </w:r>
      <w:r>
        <w:rPr/>
        <w:t>exposición</w:t>
      </w:r>
      <w:r>
        <w:rPr>
          <w:spacing w:val="-14"/>
        </w:rPr>
        <w:t> </w:t>
      </w:r>
      <w:r>
        <w:rPr/>
        <w:t>de</w:t>
      </w:r>
      <w:r>
        <w:rPr>
          <w:spacing w:val="-14"/>
        </w:rPr>
        <w:t> </w:t>
      </w:r>
      <w:r>
        <w:rPr/>
        <w:t>patógenos</w:t>
      </w:r>
      <w:r>
        <w:rPr>
          <w:spacing w:val="-15"/>
        </w:rPr>
        <w:t> </w:t>
      </w:r>
      <w:r>
        <w:rPr/>
        <w:t>a</w:t>
      </w:r>
      <w:r>
        <w:rPr>
          <w:spacing w:val="-12"/>
        </w:rPr>
        <w:t> </w:t>
      </w:r>
      <w:r>
        <w:rPr/>
        <w:t>superficies</w:t>
      </w:r>
      <w:r>
        <w:rPr>
          <w:spacing w:val="-15"/>
        </w:rPr>
        <w:t> </w:t>
      </w:r>
      <w:r>
        <w:rPr/>
        <w:t>puede</w:t>
      </w:r>
      <w:r>
        <w:rPr>
          <w:spacing w:val="-14"/>
        </w:rPr>
        <w:t> </w:t>
      </w:r>
      <w:r>
        <w:rPr/>
        <w:t>tener</w:t>
      </w:r>
      <w:r>
        <w:rPr>
          <w:spacing w:val="-16"/>
        </w:rPr>
        <w:t> </w:t>
      </w:r>
      <w:r>
        <w:rPr/>
        <w:t>lugar</w:t>
      </w:r>
      <w:r>
        <w:rPr>
          <w:spacing w:val="-13"/>
        </w:rPr>
        <w:t> </w:t>
      </w:r>
      <w:r>
        <w:rPr/>
        <w:t>ya</w:t>
      </w:r>
      <w:r>
        <w:rPr>
          <w:spacing w:val="-12"/>
        </w:rPr>
        <w:t> </w:t>
      </w:r>
      <w:r>
        <w:rPr/>
        <w:t>sea</w:t>
      </w:r>
      <w:r>
        <w:rPr>
          <w:spacing w:val="-14"/>
        </w:rPr>
        <w:t> </w:t>
      </w:r>
      <w:r>
        <w:rPr/>
        <w:t>por contacto  directo  con  materiales  contaminados  (materiales  crudos  o </w:t>
      </w:r>
      <w:r>
        <w:rPr>
          <w:spacing w:val="29"/>
        </w:rPr>
        <w:t> </w:t>
      </w:r>
      <w:r>
        <w:rPr/>
        <w:t>productos</w:t>
      </w:r>
    </w:p>
    <w:p>
      <w:pPr>
        <w:spacing w:after="0" w:line="276" w:lineRule="auto"/>
        <w:jc w:val="both"/>
        <w:sectPr>
          <w:footerReference w:type="default" r:id="rId13"/>
          <w:pgSz w:w="12240" w:h="15840"/>
          <w:pgMar w:footer="1135" w:header="728" w:top="1200" w:bottom="1320" w:left="1560" w:right="1560"/>
        </w:sectPr>
      </w:pPr>
    </w:p>
    <w:p>
      <w:pPr>
        <w:pStyle w:val="BodyText"/>
        <w:spacing w:before="9"/>
        <w:rPr>
          <w:sz w:val="12"/>
        </w:rPr>
      </w:pPr>
    </w:p>
    <w:p>
      <w:pPr>
        <w:pStyle w:val="BodyText"/>
        <w:spacing w:line="276" w:lineRule="auto" w:before="70"/>
        <w:ind w:left="142" w:right="137"/>
        <w:jc w:val="both"/>
      </w:pPr>
      <w:r>
        <w:rPr/>
        <w:t>alimentarios),</w:t>
      </w:r>
      <w:r>
        <w:rPr>
          <w:spacing w:val="-10"/>
        </w:rPr>
        <w:t> </w:t>
      </w:r>
      <w:r>
        <w:rPr/>
        <w:t>o</w:t>
      </w:r>
      <w:r>
        <w:rPr>
          <w:spacing w:val="-7"/>
        </w:rPr>
        <w:t> </w:t>
      </w:r>
      <w:r>
        <w:rPr/>
        <w:t>indirectamente</w:t>
      </w:r>
      <w:r>
        <w:rPr>
          <w:spacing w:val="-7"/>
        </w:rPr>
        <w:t> </w:t>
      </w:r>
      <w:r>
        <w:rPr/>
        <w:t>a</w:t>
      </w:r>
      <w:r>
        <w:rPr>
          <w:spacing w:val="-9"/>
        </w:rPr>
        <w:t> </w:t>
      </w:r>
      <w:r>
        <w:rPr/>
        <w:t>través</w:t>
      </w:r>
      <w:r>
        <w:rPr>
          <w:spacing w:val="-8"/>
        </w:rPr>
        <w:t> </w:t>
      </w:r>
      <w:r>
        <w:rPr/>
        <w:t>de</w:t>
      </w:r>
      <w:r>
        <w:rPr>
          <w:spacing w:val="-7"/>
        </w:rPr>
        <w:t> </w:t>
      </w:r>
      <w:r>
        <w:rPr/>
        <w:t>la</w:t>
      </w:r>
      <w:r>
        <w:rPr>
          <w:spacing w:val="-12"/>
        </w:rPr>
        <w:t> </w:t>
      </w:r>
      <w:r>
        <w:rPr/>
        <w:t>microflora</w:t>
      </w:r>
      <w:r>
        <w:rPr>
          <w:spacing w:val="-10"/>
        </w:rPr>
        <w:t> </w:t>
      </w:r>
      <w:r>
        <w:rPr/>
        <w:t>transportada</w:t>
      </w:r>
      <w:r>
        <w:rPr>
          <w:spacing w:val="-7"/>
        </w:rPr>
        <w:t> </w:t>
      </w:r>
      <w:r>
        <w:rPr/>
        <w:t>por</w:t>
      </w:r>
      <w:r>
        <w:rPr>
          <w:spacing w:val="-8"/>
        </w:rPr>
        <w:t> </w:t>
      </w:r>
      <w:r>
        <w:rPr/>
        <w:t>aire</w:t>
      </w:r>
      <w:r>
        <w:rPr>
          <w:spacing w:val="-7"/>
        </w:rPr>
        <w:t> </w:t>
      </w:r>
      <w:r>
        <w:rPr/>
        <w:t>llevan a</w:t>
      </w:r>
      <w:r>
        <w:rPr>
          <w:spacing w:val="-6"/>
        </w:rPr>
        <w:t> </w:t>
      </w:r>
      <w:r>
        <w:rPr/>
        <w:t>productos</w:t>
      </w:r>
      <w:r>
        <w:rPr>
          <w:spacing w:val="-7"/>
        </w:rPr>
        <w:t> </w:t>
      </w:r>
      <w:r>
        <w:rPr/>
        <w:t>que</w:t>
      </w:r>
      <w:r>
        <w:rPr>
          <w:spacing w:val="-6"/>
        </w:rPr>
        <w:t> </w:t>
      </w:r>
      <w:r>
        <w:rPr/>
        <w:t>podrían</w:t>
      </w:r>
      <w:r>
        <w:rPr>
          <w:spacing w:val="-6"/>
        </w:rPr>
        <w:t> </w:t>
      </w:r>
      <w:r>
        <w:rPr/>
        <w:t>llegar</w:t>
      </w:r>
      <w:r>
        <w:rPr>
          <w:spacing w:val="-7"/>
        </w:rPr>
        <w:t> </w:t>
      </w:r>
      <w:r>
        <w:rPr/>
        <w:t>a</w:t>
      </w:r>
      <w:r>
        <w:rPr>
          <w:spacing w:val="-6"/>
        </w:rPr>
        <w:t> </w:t>
      </w:r>
      <w:r>
        <w:rPr/>
        <w:t>ser</w:t>
      </w:r>
      <w:r>
        <w:rPr>
          <w:spacing w:val="-7"/>
        </w:rPr>
        <w:t> </w:t>
      </w:r>
      <w:r>
        <w:rPr/>
        <w:t>inseguros</w:t>
      </w:r>
      <w:r>
        <w:rPr>
          <w:spacing w:val="-7"/>
        </w:rPr>
        <w:t> </w:t>
      </w:r>
      <w:r>
        <w:rPr/>
        <w:t>(Di</w:t>
      </w:r>
      <w:r>
        <w:rPr>
          <w:spacing w:val="-7"/>
        </w:rPr>
        <w:t> </w:t>
      </w:r>
      <w:r>
        <w:rPr/>
        <w:t>Ciccio</w:t>
      </w:r>
      <w:r>
        <w:rPr>
          <w:spacing w:val="-1"/>
        </w:rPr>
        <w:t> </w:t>
      </w:r>
      <w:r>
        <w:rPr>
          <w:i/>
        </w:rPr>
        <w:t>et</w:t>
      </w:r>
      <w:r>
        <w:rPr>
          <w:i/>
          <w:spacing w:val="-6"/>
        </w:rPr>
        <w:t> </w:t>
      </w:r>
      <w:r>
        <w:rPr>
          <w:i/>
        </w:rPr>
        <w:t>al</w:t>
      </w:r>
      <w:r>
        <w:rPr/>
        <w:t>.,</w:t>
      </w:r>
      <w:r>
        <w:rPr>
          <w:spacing w:val="-6"/>
        </w:rPr>
        <w:t> </w:t>
      </w:r>
      <w:r>
        <w:rPr/>
        <w:t>2015).</w:t>
      </w:r>
      <w:r>
        <w:rPr>
          <w:spacing w:val="-7"/>
        </w:rPr>
        <w:t> </w:t>
      </w:r>
      <w:r>
        <w:rPr/>
        <w:t>Además</w:t>
      </w:r>
      <w:r>
        <w:rPr>
          <w:spacing w:val="-7"/>
        </w:rPr>
        <w:t> </w:t>
      </w:r>
      <w:r>
        <w:rPr/>
        <w:t>si</w:t>
      </w:r>
      <w:r>
        <w:rPr>
          <w:spacing w:val="-7"/>
        </w:rPr>
        <w:t> </w:t>
      </w:r>
      <w:r>
        <w:rPr/>
        <w:t>la contaminación cruzada se produce después de un procedimiento bactericida lleva a graves problemas higiénicos y perdidas económicas debido al deterioro en los alimentos (Rode </w:t>
      </w:r>
      <w:r>
        <w:rPr>
          <w:i/>
        </w:rPr>
        <w:t>et al</w:t>
      </w:r>
      <w:r>
        <w:rPr/>
        <w:t>., 2007; Da Silva </w:t>
      </w:r>
      <w:r>
        <w:rPr>
          <w:i/>
        </w:rPr>
        <w:t>et al</w:t>
      </w:r>
      <w:r>
        <w:rPr/>
        <w:t>.,</w:t>
      </w:r>
      <w:r>
        <w:rPr>
          <w:spacing w:val="-17"/>
        </w:rPr>
        <w:t> </w:t>
      </w:r>
      <w:r>
        <w:rPr/>
        <w:t>2012).</w:t>
      </w:r>
    </w:p>
    <w:p>
      <w:pPr>
        <w:pStyle w:val="BodyText"/>
        <w:spacing w:before="6"/>
        <w:rPr>
          <w:sz w:val="27"/>
        </w:rPr>
      </w:pPr>
    </w:p>
    <w:p>
      <w:pPr>
        <w:pStyle w:val="BodyText"/>
        <w:spacing w:line="276" w:lineRule="auto" w:before="1"/>
        <w:ind w:left="142" w:right="135"/>
        <w:jc w:val="both"/>
      </w:pPr>
      <w:r>
        <w:rPr/>
        <w:t>La formación del </w:t>
      </w:r>
      <w:r>
        <w:rPr>
          <w:i/>
        </w:rPr>
        <w:t>biofilm </w:t>
      </w:r>
      <w:r>
        <w:rPr/>
        <w:t>es un proceso dinámico y están envueltos diferentes mecanismos</w:t>
      </w:r>
      <w:r>
        <w:rPr>
          <w:spacing w:val="-10"/>
        </w:rPr>
        <w:t> </w:t>
      </w:r>
      <w:r>
        <w:rPr/>
        <w:t>en</w:t>
      </w:r>
      <w:r>
        <w:rPr>
          <w:spacing w:val="-9"/>
        </w:rPr>
        <w:t> </w:t>
      </w:r>
      <w:r>
        <w:rPr/>
        <w:t>la</w:t>
      </w:r>
      <w:r>
        <w:rPr>
          <w:spacing w:val="-9"/>
        </w:rPr>
        <w:t> </w:t>
      </w:r>
      <w:r>
        <w:rPr/>
        <w:t>adherencia</w:t>
      </w:r>
      <w:r>
        <w:rPr>
          <w:spacing w:val="-10"/>
        </w:rPr>
        <w:t> </w:t>
      </w:r>
      <w:r>
        <w:rPr/>
        <w:t>y</w:t>
      </w:r>
      <w:r>
        <w:rPr>
          <w:spacing w:val="-13"/>
        </w:rPr>
        <w:t> </w:t>
      </w:r>
      <w:r>
        <w:rPr/>
        <w:t>maduración,</w:t>
      </w:r>
      <w:r>
        <w:rPr>
          <w:spacing w:val="-8"/>
        </w:rPr>
        <w:t> </w:t>
      </w:r>
      <w:r>
        <w:rPr>
          <w:i/>
        </w:rPr>
        <w:t>S.</w:t>
      </w:r>
      <w:r>
        <w:rPr>
          <w:i/>
          <w:spacing w:val="-10"/>
        </w:rPr>
        <w:t> </w:t>
      </w:r>
      <w:r>
        <w:rPr>
          <w:i/>
        </w:rPr>
        <w:t>aureus</w:t>
      </w:r>
      <w:r>
        <w:rPr>
          <w:i/>
          <w:spacing w:val="-9"/>
        </w:rPr>
        <w:t> </w:t>
      </w:r>
      <w:r>
        <w:rPr/>
        <w:t>produce</w:t>
      </w:r>
      <w:r>
        <w:rPr>
          <w:spacing w:val="-12"/>
        </w:rPr>
        <w:t> </w:t>
      </w:r>
      <w:r>
        <w:rPr/>
        <w:t>polisacáridos</w:t>
      </w:r>
      <w:r>
        <w:rPr>
          <w:spacing w:val="-10"/>
        </w:rPr>
        <w:t> </w:t>
      </w:r>
      <w:r>
        <w:rPr/>
        <w:t>y</w:t>
      </w:r>
      <w:r>
        <w:rPr>
          <w:spacing w:val="-13"/>
        </w:rPr>
        <w:t> </w:t>
      </w:r>
      <w:r>
        <w:rPr/>
        <w:t>uno de</w:t>
      </w:r>
      <w:r>
        <w:rPr>
          <w:spacing w:val="-11"/>
        </w:rPr>
        <w:t> </w:t>
      </w:r>
      <w:r>
        <w:rPr/>
        <w:t>los</w:t>
      </w:r>
      <w:r>
        <w:rPr>
          <w:spacing w:val="-11"/>
        </w:rPr>
        <w:t> </w:t>
      </w:r>
      <w:r>
        <w:rPr/>
        <w:t>principales</w:t>
      </w:r>
      <w:r>
        <w:rPr>
          <w:spacing w:val="-11"/>
        </w:rPr>
        <w:t> </w:t>
      </w:r>
      <w:r>
        <w:rPr/>
        <w:t>constituyentes</w:t>
      </w:r>
      <w:r>
        <w:rPr>
          <w:spacing w:val="-12"/>
        </w:rPr>
        <w:t> </w:t>
      </w:r>
      <w:r>
        <w:rPr/>
        <w:t>de</w:t>
      </w:r>
      <w:r>
        <w:rPr>
          <w:spacing w:val="-11"/>
        </w:rPr>
        <w:t> </w:t>
      </w:r>
      <w:r>
        <w:rPr/>
        <w:t>la</w:t>
      </w:r>
      <w:r>
        <w:rPr>
          <w:spacing w:val="-13"/>
        </w:rPr>
        <w:t> </w:t>
      </w:r>
      <w:r>
        <w:rPr/>
        <w:t>matriz</w:t>
      </w:r>
      <w:r>
        <w:rPr>
          <w:spacing w:val="-12"/>
        </w:rPr>
        <w:t> </w:t>
      </w:r>
      <w:r>
        <w:rPr/>
        <w:t>es</w:t>
      </w:r>
      <w:r>
        <w:rPr>
          <w:spacing w:val="-12"/>
        </w:rPr>
        <w:t> </w:t>
      </w:r>
      <w:r>
        <w:rPr/>
        <w:t>el</w:t>
      </w:r>
      <w:r>
        <w:rPr>
          <w:spacing w:val="-12"/>
        </w:rPr>
        <w:t> </w:t>
      </w:r>
      <w:r>
        <w:rPr/>
        <w:t>poli-N-acetilglucosamina</w:t>
      </w:r>
      <w:r>
        <w:rPr>
          <w:spacing w:val="-11"/>
        </w:rPr>
        <w:t> </w:t>
      </w:r>
      <w:r>
        <w:rPr/>
        <w:t>(PNAG) y el polisacárido de adhesina intracelular (PIA). PIA y PNAG es codificada por el operon </w:t>
      </w:r>
      <w:r>
        <w:rPr>
          <w:i/>
        </w:rPr>
        <w:t>ica </w:t>
      </w:r>
      <w:r>
        <w:rPr/>
        <w:t>de adhesión intracelular que comprenden los genes </w:t>
      </w:r>
      <w:r>
        <w:rPr>
          <w:i/>
        </w:rPr>
        <w:t>icaADCB </w:t>
      </w:r>
      <w:r>
        <w:rPr/>
        <w:t>(Rode </w:t>
      </w:r>
      <w:r>
        <w:rPr>
          <w:i/>
        </w:rPr>
        <w:t>et </w:t>
      </w:r>
      <w:r>
        <w:rPr>
          <w:i/>
        </w:rPr>
        <w:t>al</w:t>
      </w:r>
      <w:r>
        <w:rPr/>
        <w:t>., 2007). Los ácidos teicoicos, las proteínas bacterianas (proteína estafilocócica de superficie), el clumping factor A, proteínas asociadas a </w:t>
      </w:r>
      <w:r>
        <w:rPr>
          <w:i/>
        </w:rPr>
        <w:t>biofilm </w:t>
      </w:r>
      <w:r>
        <w:rPr/>
        <w:t>y el ADN extracelular contribuyen a la estructura (Bustos Martínez </w:t>
      </w:r>
      <w:r>
        <w:rPr>
          <w:i/>
        </w:rPr>
        <w:t>et al</w:t>
      </w:r>
      <w:r>
        <w:rPr/>
        <w:t>., 2006). Se ha encontrado que el operon de adhesión intracelular (</w:t>
      </w:r>
      <w:r>
        <w:rPr>
          <w:i/>
        </w:rPr>
        <w:t>ica</w:t>
      </w:r>
      <w:r>
        <w:rPr/>
        <w:t>) es esencial para el control de</w:t>
      </w:r>
      <w:r>
        <w:rPr>
          <w:spacing w:val="-9"/>
        </w:rPr>
        <w:t> </w:t>
      </w:r>
      <w:r>
        <w:rPr/>
        <w:t>la</w:t>
      </w:r>
      <w:r>
        <w:rPr>
          <w:spacing w:val="-11"/>
        </w:rPr>
        <w:t> </w:t>
      </w:r>
      <w:r>
        <w:rPr/>
        <w:t>producción</w:t>
      </w:r>
      <w:r>
        <w:rPr>
          <w:spacing w:val="-10"/>
        </w:rPr>
        <w:t> </w:t>
      </w:r>
      <w:r>
        <w:rPr/>
        <w:t>del</w:t>
      </w:r>
      <w:r>
        <w:rPr>
          <w:spacing w:val="-10"/>
        </w:rPr>
        <w:t> </w:t>
      </w:r>
      <w:r>
        <w:rPr>
          <w:i/>
        </w:rPr>
        <w:t>biofilm,</w:t>
      </w:r>
      <w:r>
        <w:rPr/>
        <w:t>el</w:t>
      </w:r>
      <w:r>
        <w:rPr>
          <w:spacing w:val="-10"/>
        </w:rPr>
        <w:t> </w:t>
      </w:r>
      <w:r>
        <w:rPr/>
        <w:t>locus</w:t>
      </w:r>
      <w:r>
        <w:rPr>
          <w:spacing w:val="-10"/>
        </w:rPr>
        <w:t> </w:t>
      </w:r>
      <w:r>
        <w:rPr>
          <w:i/>
        </w:rPr>
        <w:t>ica</w:t>
      </w:r>
      <w:r>
        <w:rPr/>
        <w:t>,</w:t>
      </w:r>
      <w:r>
        <w:rPr>
          <w:spacing w:val="-10"/>
        </w:rPr>
        <w:t> </w:t>
      </w:r>
      <w:r>
        <w:rPr/>
        <w:t>consistente</w:t>
      </w:r>
      <w:r>
        <w:rPr>
          <w:spacing w:val="-9"/>
        </w:rPr>
        <w:t> </w:t>
      </w:r>
      <w:r>
        <w:rPr/>
        <w:t>en</w:t>
      </w:r>
      <w:r>
        <w:rPr>
          <w:spacing w:val="-9"/>
        </w:rPr>
        <w:t> </w:t>
      </w:r>
      <w:r>
        <w:rPr/>
        <w:t>los</w:t>
      </w:r>
      <w:r>
        <w:rPr>
          <w:spacing w:val="-10"/>
        </w:rPr>
        <w:t> </w:t>
      </w:r>
      <w:r>
        <w:rPr/>
        <w:t>genes</w:t>
      </w:r>
      <w:r>
        <w:rPr>
          <w:spacing w:val="-8"/>
        </w:rPr>
        <w:t> </w:t>
      </w:r>
      <w:r>
        <w:rPr>
          <w:i/>
        </w:rPr>
        <w:t>icaADBC</w:t>
      </w:r>
      <w:r>
        <w:rPr/>
        <w:t>,</w:t>
      </w:r>
      <w:r>
        <w:rPr>
          <w:spacing w:val="-10"/>
        </w:rPr>
        <w:t> </w:t>
      </w:r>
      <w:r>
        <w:rPr/>
        <w:t>codifica proteínas mediando la síntesis de la molécula de adhesión del polisacárido intercelular (Khoramian </w:t>
      </w:r>
      <w:r>
        <w:rPr>
          <w:i/>
        </w:rPr>
        <w:t>et al</w:t>
      </w:r>
      <w:r>
        <w:rPr/>
        <w:t>.,</w:t>
      </w:r>
      <w:r>
        <w:rPr>
          <w:spacing w:val="-10"/>
        </w:rPr>
        <w:t> </w:t>
      </w:r>
      <w:r>
        <w:rPr/>
        <w:t>2015).</w:t>
      </w:r>
    </w:p>
    <w:p>
      <w:pPr>
        <w:pStyle w:val="BodyText"/>
        <w:spacing w:before="6"/>
        <w:rPr>
          <w:sz w:val="27"/>
        </w:rPr>
      </w:pPr>
    </w:p>
    <w:p>
      <w:pPr>
        <w:pStyle w:val="BodyText"/>
        <w:spacing w:line="276" w:lineRule="auto" w:before="1"/>
        <w:ind w:left="142" w:right="141"/>
        <w:jc w:val="both"/>
      </w:pPr>
      <w:r>
        <w:rPr/>
        <w:t>La</w:t>
      </w:r>
      <w:r>
        <w:rPr>
          <w:spacing w:val="-8"/>
        </w:rPr>
        <w:t> </w:t>
      </w:r>
      <w:r>
        <w:rPr/>
        <w:t>formación</w:t>
      </w:r>
      <w:r>
        <w:rPr>
          <w:spacing w:val="-6"/>
        </w:rPr>
        <w:t> </w:t>
      </w:r>
      <w:r>
        <w:rPr/>
        <w:t>del</w:t>
      </w:r>
      <w:r>
        <w:rPr>
          <w:spacing w:val="-6"/>
        </w:rPr>
        <w:t> </w:t>
      </w:r>
      <w:r>
        <w:rPr>
          <w:i/>
        </w:rPr>
        <w:t>biofilm</w:t>
      </w:r>
      <w:r>
        <w:rPr>
          <w:i/>
          <w:spacing w:val="-9"/>
        </w:rPr>
        <w:t> </w:t>
      </w:r>
      <w:r>
        <w:rPr/>
        <w:t>comprende</w:t>
      </w:r>
      <w:r>
        <w:rPr>
          <w:spacing w:val="-6"/>
        </w:rPr>
        <w:t> </w:t>
      </w:r>
      <w:r>
        <w:rPr/>
        <w:t>dos</w:t>
      </w:r>
      <w:r>
        <w:rPr>
          <w:spacing w:val="-9"/>
        </w:rPr>
        <w:t> </w:t>
      </w:r>
      <w:r>
        <w:rPr/>
        <w:t>etapas</w:t>
      </w:r>
      <w:r>
        <w:rPr>
          <w:spacing w:val="-7"/>
        </w:rPr>
        <w:t> </w:t>
      </w:r>
      <w:r>
        <w:rPr/>
        <w:t>que</w:t>
      </w:r>
      <w:r>
        <w:rPr>
          <w:spacing w:val="-6"/>
        </w:rPr>
        <w:t> </w:t>
      </w:r>
      <w:r>
        <w:rPr/>
        <w:t>implican</w:t>
      </w:r>
      <w:r>
        <w:rPr>
          <w:spacing w:val="-8"/>
        </w:rPr>
        <w:t> </w:t>
      </w:r>
      <w:r>
        <w:rPr/>
        <w:t>una</w:t>
      </w:r>
      <w:r>
        <w:rPr>
          <w:spacing w:val="-8"/>
        </w:rPr>
        <w:t> </w:t>
      </w:r>
      <w:r>
        <w:rPr/>
        <w:t>unión</w:t>
      </w:r>
      <w:r>
        <w:rPr>
          <w:spacing w:val="-6"/>
        </w:rPr>
        <w:t> </w:t>
      </w:r>
      <w:r>
        <w:rPr/>
        <w:t>inicial</w:t>
      </w:r>
      <w:r>
        <w:rPr>
          <w:spacing w:val="-7"/>
        </w:rPr>
        <w:t> </w:t>
      </w:r>
      <w:r>
        <w:rPr/>
        <w:t>y</w:t>
      </w:r>
      <w:r>
        <w:rPr>
          <w:spacing w:val="-9"/>
        </w:rPr>
        <w:t> </w:t>
      </w:r>
      <w:r>
        <w:rPr/>
        <w:t>una fase</w:t>
      </w:r>
      <w:r>
        <w:rPr>
          <w:spacing w:val="-8"/>
        </w:rPr>
        <w:t> </w:t>
      </w:r>
      <w:r>
        <w:rPr/>
        <w:t>maduración</w:t>
      </w:r>
      <w:r>
        <w:rPr>
          <w:spacing w:val="-8"/>
        </w:rPr>
        <w:t> </w:t>
      </w:r>
      <w:r>
        <w:rPr/>
        <w:t>posterior,</w:t>
      </w:r>
      <w:r>
        <w:rPr>
          <w:spacing w:val="-9"/>
        </w:rPr>
        <w:t> </w:t>
      </w:r>
      <w:r>
        <w:rPr/>
        <w:t>una</w:t>
      </w:r>
      <w:r>
        <w:rPr>
          <w:spacing w:val="-11"/>
        </w:rPr>
        <w:t> </w:t>
      </w:r>
      <w:r>
        <w:rPr/>
        <w:t>fase</w:t>
      </w:r>
      <w:r>
        <w:rPr>
          <w:spacing w:val="-11"/>
        </w:rPr>
        <w:t> </w:t>
      </w:r>
      <w:r>
        <w:rPr/>
        <w:t>final</w:t>
      </w:r>
      <w:r>
        <w:rPr>
          <w:spacing w:val="-10"/>
        </w:rPr>
        <w:t> </w:t>
      </w:r>
      <w:r>
        <w:rPr/>
        <w:t>de</w:t>
      </w:r>
      <w:r>
        <w:rPr>
          <w:spacing w:val="-8"/>
        </w:rPr>
        <w:t> </w:t>
      </w:r>
      <w:r>
        <w:rPr/>
        <w:t>desprendimiento</w:t>
      </w:r>
      <w:r>
        <w:rPr>
          <w:spacing w:val="-8"/>
        </w:rPr>
        <w:t> </w:t>
      </w:r>
      <w:r>
        <w:rPr/>
        <w:t>(dispersión)</w:t>
      </w:r>
      <w:r>
        <w:rPr>
          <w:spacing w:val="-10"/>
        </w:rPr>
        <w:t> </w:t>
      </w:r>
      <w:r>
        <w:rPr/>
        <w:t>implica</w:t>
      </w:r>
      <w:r>
        <w:rPr>
          <w:spacing w:val="-8"/>
        </w:rPr>
        <w:t> </w:t>
      </w:r>
      <w:r>
        <w:rPr/>
        <w:t>el desprendimiento de las células individuales o grupos de células por diversos mecanismos y se cree que es crucial para lo diseminación de la bacteria (Otto M., 2008).</w:t>
      </w:r>
    </w:p>
    <w:p>
      <w:pPr>
        <w:pStyle w:val="BodyText"/>
        <w:spacing w:before="6"/>
        <w:rPr>
          <w:sz w:val="27"/>
        </w:rPr>
      </w:pPr>
    </w:p>
    <w:p>
      <w:pPr>
        <w:pStyle w:val="BodyText"/>
        <w:spacing w:before="1"/>
        <w:ind w:left="142"/>
        <w:jc w:val="both"/>
      </w:pPr>
      <w:r>
        <w:rPr/>
        <w:t>Figura 2: Fases del desarrollo de </w:t>
      </w:r>
      <w:r>
        <w:rPr>
          <w:i/>
        </w:rPr>
        <w:t>biofilm </w:t>
      </w:r>
      <w:r>
        <w:rPr/>
        <w:t>en estafilococos.</w:t>
      </w:r>
    </w:p>
    <w:p>
      <w:pPr>
        <w:pStyle w:val="BodyText"/>
        <w:spacing w:before="2"/>
        <w:rPr>
          <w:sz w:val="19"/>
        </w:rPr>
      </w:pPr>
      <w:r>
        <w:rPr/>
        <w:drawing>
          <wp:anchor distT="0" distB="0" distL="0" distR="0" allowOverlap="1" layoutInCell="1" locked="0" behindDoc="0" simplePos="0" relativeHeight="1096">
            <wp:simplePos x="0" y="0"/>
            <wp:positionH relativeFrom="page">
              <wp:posOffset>2523744</wp:posOffset>
            </wp:positionH>
            <wp:positionV relativeFrom="paragraph">
              <wp:posOffset>164935</wp:posOffset>
            </wp:positionV>
            <wp:extent cx="2742338" cy="2232279"/>
            <wp:effectExtent l="0" t="0" r="0" b="0"/>
            <wp:wrapTopAndBottom/>
            <wp:docPr id="3" name="image3.png" descr=""/>
            <wp:cNvGraphicFramePr>
              <a:graphicFrameLocks noChangeAspect="1"/>
            </wp:cNvGraphicFramePr>
            <a:graphic>
              <a:graphicData uri="http://schemas.openxmlformats.org/drawingml/2006/picture">
                <pic:pic>
                  <pic:nvPicPr>
                    <pic:cNvPr id="4" name="image3.png"/>
                    <pic:cNvPicPr/>
                  </pic:nvPicPr>
                  <pic:blipFill>
                    <a:blip r:embed="rId15" cstate="print"/>
                    <a:stretch>
                      <a:fillRect/>
                    </a:stretch>
                  </pic:blipFill>
                  <pic:spPr>
                    <a:xfrm>
                      <a:off x="0" y="0"/>
                      <a:ext cx="2742338" cy="2232279"/>
                    </a:xfrm>
                    <a:prstGeom prst="rect">
                      <a:avLst/>
                    </a:prstGeom>
                  </pic:spPr>
                </pic:pic>
              </a:graphicData>
            </a:graphic>
          </wp:anchor>
        </w:drawing>
      </w:r>
    </w:p>
    <w:p>
      <w:pPr>
        <w:pStyle w:val="BodyText"/>
        <w:spacing w:before="178"/>
        <w:jc w:val="center"/>
      </w:pPr>
      <w:r>
        <w:rPr/>
        <w:t>Fuente: Otto M., (2008)</w:t>
      </w:r>
    </w:p>
    <w:p>
      <w:pPr>
        <w:spacing w:after="0"/>
        <w:jc w:val="center"/>
        <w:sectPr>
          <w:footerReference w:type="default" r:id="rId14"/>
          <w:pgSz w:w="12240" w:h="15840"/>
          <w:pgMar w:footer="1135" w:header="728" w:top="1200" w:bottom="1320" w:left="1560" w:right="1560"/>
          <w:pgNumType w:start="11"/>
        </w:sectPr>
      </w:pPr>
    </w:p>
    <w:p>
      <w:pPr>
        <w:pStyle w:val="BodyText"/>
        <w:spacing w:before="7"/>
        <w:rPr>
          <w:sz w:val="12"/>
        </w:rPr>
      </w:pPr>
    </w:p>
    <w:p>
      <w:pPr>
        <w:pStyle w:val="BodyText"/>
        <w:spacing w:before="69"/>
        <w:ind w:left="142"/>
      </w:pPr>
      <w:r>
        <w:rPr/>
        <w:t>Cuadro 4: Fases del desarrollo de </w:t>
      </w:r>
      <w:r>
        <w:rPr>
          <w:i/>
        </w:rPr>
        <w:t>biofilm </w:t>
      </w:r>
      <w:r>
        <w:rPr/>
        <w:t>en estafilococos.</w:t>
      </w:r>
    </w:p>
    <w:p>
      <w:pPr>
        <w:pStyle w:val="BodyText"/>
        <w:rPr>
          <w:sz w:val="20"/>
        </w:rPr>
      </w:pPr>
    </w:p>
    <w:p>
      <w:pPr>
        <w:pStyle w:val="BodyText"/>
        <w:spacing w:before="5"/>
        <w:rPr>
          <w:sz w:val="11"/>
        </w:rPr>
      </w:pPr>
    </w:p>
    <w:tbl>
      <w:tblPr>
        <w:tblW w:w="0" w:type="auto"/>
        <w:jc w:val="left"/>
        <w:tblInd w:w="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4"/>
        <w:gridCol w:w="6236"/>
        <w:gridCol w:w="1702"/>
      </w:tblGrid>
      <w:tr>
        <w:trPr>
          <w:trHeight w:val="240" w:hRule="exact"/>
        </w:trPr>
        <w:tc>
          <w:tcPr>
            <w:tcW w:w="9352" w:type="dxa"/>
            <w:gridSpan w:val="3"/>
            <w:shd w:val="clear" w:color="auto" w:fill="808080"/>
          </w:tcPr>
          <w:p>
            <w:pPr>
              <w:pStyle w:val="TableParagraph"/>
              <w:spacing w:line="225" w:lineRule="exact"/>
              <w:ind w:left="2539"/>
              <w:jc w:val="left"/>
              <w:rPr>
                <w:sz w:val="20"/>
              </w:rPr>
            </w:pPr>
            <w:r>
              <w:rPr>
                <w:color w:val="FFFFFF"/>
                <w:sz w:val="20"/>
              </w:rPr>
              <w:t>Fases del desarrollo de </w:t>
            </w:r>
            <w:r>
              <w:rPr>
                <w:i/>
                <w:color w:val="FFFFFF"/>
                <w:sz w:val="20"/>
              </w:rPr>
              <w:t>biofilm </w:t>
            </w:r>
            <w:r>
              <w:rPr>
                <w:color w:val="FFFFFF"/>
                <w:sz w:val="20"/>
              </w:rPr>
              <w:t>en estafilococos.</w:t>
            </w:r>
          </w:p>
        </w:tc>
      </w:tr>
      <w:tr>
        <w:trPr>
          <w:trHeight w:val="240" w:hRule="exact"/>
        </w:trPr>
        <w:tc>
          <w:tcPr>
            <w:tcW w:w="1414" w:type="dxa"/>
          </w:tcPr>
          <w:p>
            <w:pPr>
              <w:pStyle w:val="TableParagraph"/>
              <w:spacing w:line="227" w:lineRule="exact"/>
              <w:ind w:left="194"/>
              <w:jc w:val="left"/>
              <w:rPr>
                <w:sz w:val="20"/>
              </w:rPr>
            </w:pPr>
            <w:r>
              <w:rPr>
                <w:sz w:val="20"/>
              </w:rPr>
              <w:t>Adherencia</w:t>
            </w:r>
          </w:p>
        </w:tc>
        <w:tc>
          <w:tcPr>
            <w:tcW w:w="6236" w:type="dxa"/>
          </w:tcPr>
          <w:p>
            <w:pPr>
              <w:pStyle w:val="TableParagraph"/>
              <w:spacing w:line="225" w:lineRule="exact"/>
              <w:ind w:left="2090" w:right="2095"/>
              <w:rPr>
                <w:i/>
                <w:sz w:val="20"/>
              </w:rPr>
            </w:pPr>
            <w:r>
              <w:rPr>
                <w:sz w:val="20"/>
              </w:rPr>
              <w:t>Maduración del </w:t>
            </w:r>
            <w:r>
              <w:rPr>
                <w:i/>
                <w:sz w:val="20"/>
              </w:rPr>
              <w:t>biofilm</w:t>
            </w:r>
          </w:p>
        </w:tc>
        <w:tc>
          <w:tcPr>
            <w:tcW w:w="1702" w:type="dxa"/>
          </w:tcPr>
          <w:p>
            <w:pPr>
              <w:pStyle w:val="TableParagraph"/>
              <w:spacing w:line="227" w:lineRule="exact"/>
              <w:ind w:left="339" w:right="102"/>
              <w:jc w:val="left"/>
              <w:rPr>
                <w:sz w:val="20"/>
              </w:rPr>
            </w:pPr>
            <w:r>
              <w:rPr>
                <w:sz w:val="20"/>
              </w:rPr>
              <w:t>Separación</w:t>
            </w:r>
          </w:p>
        </w:tc>
      </w:tr>
      <w:tr>
        <w:trPr>
          <w:trHeight w:val="7153" w:hRule="exact"/>
        </w:trPr>
        <w:tc>
          <w:tcPr>
            <w:tcW w:w="1414" w:type="dxa"/>
          </w:tcPr>
          <w:p>
            <w:pPr>
              <w:pStyle w:val="TableParagraph"/>
              <w:tabs>
                <w:tab w:pos="686" w:val="left" w:leader="none"/>
                <w:tab w:pos="741" w:val="left" w:leader="none"/>
                <w:tab w:pos="963" w:val="left" w:leader="none"/>
                <w:tab w:pos="1009" w:val="left" w:leader="none"/>
                <w:tab w:pos="1074" w:val="left" w:leader="none"/>
                <w:tab w:pos="1187" w:val="left" w:leader="none"/>
              </w:tabs>
              <w:spacing w:line="276" w:lineRule="auto"/>
              <w:ind w:right="103"/>
              <w:jc w:val="left"/>
              <w:rPr>
                <w:sz w:val="20"/>
              </w:rPr>
            </w:pPr>
            <w:r>
              <w:rPr>
                <w:sz w:val="20"/>
              </w:rPr>
              <w:t>Los </w:t>
            </w:r>
            <w:r>
              <w:rPr>
                <w:i/>
                <w:sz w:val="20"/>
              </w:rPr>
              <w:t>biofilm</w:t>
            </w:r>
            <w:r>
              <w:rPr>
                <w:i/>
                <w:spacing w:val="-31"/>
                <w:sz w:val="20"/>
              </w:rPr>
              <w:t> </w:t>
            </w:r>
            <w:r>
              <w:rPr>
                <w:sz w:val="20"/>
              </w:rPr>
              <w:t>se forman por la unión inicial</w:t>
            </w:r>
            <w:r>
              <w:rPr>
                <w:spacing w:val="-20"/>
                <w:sz w:val="20"/>
              </w:rPr>
              <w:t> </w:t>
            </w:r>
            <w:r>
              <w:rPr>
                <w:sz w:val="20"/>
              </w:rPr>
              <w:t>a una superficie, que</w:t>
              <w:tab/>
              <w:tab/>
              <w:t>puede ocurrir en los tejidos</w:t>
              <w:tab/>
              <w:tab/>
              <w:tab/>
              <w:tab/>
              <w:tab/>
              <w:tab/>
              <w:t>o después</w:t>
              <w:tab/>
              <w:tab/>
              <w:tab/>
              <w:t>de cubrir</w:t>
              <w:tab/>
              <w:tab/>
              <w:tab/>
              <w:t>una superficie abiótica</w:t>
              <w:tab/>
              <w:tab/>
              <w:t>por proteínas de la matriz en el</w:t>
              <w:tab/>
              <w:t>cuerpo humano (interacción específica proteína- proteína)</w:t>
              <w:tab/>
              <w:tab/>
              <w:tab/>
              <w:tab/>
              <w:t>o directamente a</w:t>
              <w:tab/>
              <w:tab/>
              <w:tab/>
              <w:t>una</w:t>
            </w:r>
          </w:p>
          <w:p>
            <w:pPr>
              <w:pStyle w:val="TableParagraph"/>
              <w:tabs>
                <w:tab w:pos="1007" w:val="left" w:leader="none"/>
              </w:tabs>
              <w:spacing w:line="276" w:lineRule="auto"/>
              <w:ind w:right="103"/>
              <w:jc w:val="left"/>
              <w:rPr>
                <w:sz w:val="20"/>
              </w:rPr>
            </w:pPr>
            <w:r>
              <w:rPr>
                <w:sz w:val="20"/>
              </w:rPr>
              <w:t>superficie abiótica</w:t>
              <w:tab/>
              <w:t>(no especifica).</w:t>
            </w:r>
          </w:p>
        </w:tc>
        <w:tc>
          <w:tcPr>
            <w:tcW w:w="6236" w:type="dxa"/>
          </w:tcPr>
          <w:p>
            <w:pPr>
              <w:pStyle w:val="TableParagraph"/>
              <w:spacing w:line="230" w:lineRule="exact"/>
              <w:ind w:left="100"/>
              <w:jc w:val="both"/>
              <w:rPr>
                <w:sz w:val="20"/>
              </w:rPr>
            </w:pPr>
            <w:r>
              <w:rPr>
                <w:sz w:val="20"/>
              </w:rPr>
              <w:t>Se compone de dos fases:</w:t>
            </w:r>
          </w:p>
          <w:p>
            <w:pPr>
              <w:pStyle w:val="TableParagraph"/>
              <w:spacing w:line="276" w:lineRule="auto" w:before="36"/>
              <w:ind w:left="100" w:right="103"/>
              <w:jc w:val="both"/>
              <w:rPr>
                <w:sz w:val="20"/>
              </w:rPr>
            </w:pPr>
            <w:r>
              <w:rPr>
                <w:sz w:val="20"/>
              </w:rPr>
              <w:t>1)</w:t>
            </w:r>
            <w:r>
              <w:rPr>
                <w:spacing w:val="-5"/>
                <w:sz w:val="20"/>
              </w:rPr>
              <w:t> </w:t>
            </w:r>
            <w:r>
              <w:rPr>
                <w:sz w:val="20"/>
              </w:rPr>
              <w:t>Agregación</w:t>
            </w:r>
            <w:r>
              <w:rPr>
                <w:spacing w:val="-6"/>
                <w:sz w:val="20"/>
              </w:rPr>
              <w:t> </w:t>
            </w:r>
            <w:r>
              <w:rPr>
                <w:sz w:val="20"/>
              </w:rPr>
              <w:t>intercelular:</w:t>
            </w:r>
            <w:r>
              <w:rPr>
                <w:spacing w:val="-3"/>
                <w:sz w:val="20"/>
              </w:rPr>
              <w:t> </w:t>
            </w:r>
            <w:r>
              <w:rPr>
                <w:sz w:val="20"/>
              </w:rPr>
              <w:t>Que</w:t>
            </w:r>
            <w:r>
              <w:rPr>
                <w:spacing w:val="-6"/>
                <w:sz w:val="20"/>
              </w:rPr>
              <w:t> </w:t>
            </w:r>
            <w:r>
              <w:rPr>
                <w:sz w:val="20"/>
              </w:rPr>
              <w:t>se</w:t>
            </w:r>
            <w:r>
              <w:rPr>
                <w:spacing w:val="-6"/>
                <w:sz w:val="20"/>
              </w:rPr>
              <w:t> </w:t>
            </w:r>
            <w:r>
              <w:rPr>
                <w:sz w:val="20"/>
              </w:rPr>
              <w:t>puede</w:t>
            </w:r>
            <w:r>
              <w:rPr>
                <w:spacing w:val="-3"/>
                <w:sz w:val="20"/>
              </w:rPr>
              <w:t> </w:t>
            </w:r>
            <w:r>
              <w:rPr>
                <w:sz w:val="20"/>
              </w:rPr>
              <w:t>lograr</w:t>
            </w:r>
            <w:r>
              <w:rPr>
                <w:spacing w:val="-4"/>
                <w:sz w:val="20"/>
              </w:rPr>
              <w:t> </w:t>
            </w:r>
            <w:r>
              <w:rPr>
                <w:sz w:val="20"/>
              </w:rPr>
              <w:t>por</w:t>
            </w:r>
            <w:r>
              <w:rPr>
                <w:spacing w:val="-5"/>
                <w:sz w:val="20"/>
              </w:rPr>
              <w:t> </w:t>
            </w:r>
            <w:r>
              <w:rPr>
                <w:sz w:val="20"/>
              </w:rPr>
              <w:t>una</w:t>
            </w:r>
            <w:r>
              <w:rPr>
                <w:spacing w:val="-6"/>
                <w:sz w:val="20"/>
              </w:rPr>
              <w:t> </w:t>
            </w:r>
            <w:r>
              <w:rPr>
                <w:sz w:val="20"/>
              </w:rPr>
              <w:t>variedad</w:t>
            </w:r>
            <w:r>
              <w:rPr>
                <w:spacing w:val="-6"/>
                <w:sz w:val="20"/>
              </w:rPr>
              <w:t> </w:t>
            </w:r>
            <w:r>
              <w:rPr>
                <w:sz w:val="20"/>
              </w:rPr>
              <w:t>de moléculas como las proteínas adhesivas o exopolímeros; y 2) las fuerzas de estructuración conducen a la apariencia típica tridimensional de </w:t>
            </w:r>
            <w:r>
              <w:rPr>
                <w:i/>
                <w:sz w:val="20"/>
              </w:rPr>
              <w:t>biofilm </w:t>
            </w:r>
            <w:r>
              <w:rPr>
                <w:sz w:val="20"/>
              </w:rPr>
              <w:t>maduro con sus torres celulares en forma de</w:t>
            </w:r>
            <w:r>
              <w:rPr>
                <w:spacing w:val="-4"/>
                <w:sz w:val="20"/>
              </w:rPr>
              <w:t> </w:t>
            </w:r>
            <w:r>
              <w:rPr>
                <w:sz w:val="20"/>
              </w:rPr>
              <w:t>hongo.</w:t>
            </w:r>
          </w:p>
          <w:p>
            <w:pPr>
              <w:pStyle w:val="TableParagraph"/>
              <w:spacing w:before="3"/>
              <w:ind w:left="100"/>
              <w:jc w:val="both"/>
              <w:rPr>
                <w:sz w:val="20"/>
              </w:rPr>
            </w:pPr>
            <w:r>
              <w:rPr>
                <w:sz w:val="20"/>
              </w:rPr>
              <w:t>Fuerzas de adhesión: Agregación</w:t>
            </w:r>
          </w:p>
          <w:p>
            <w:pPr>
              <w:pStyle w:val="TableParagraph"/>
              <w:spacing w:line="276" w:lineRule="auto" w:before="34"/>
              <w:ind w:left="100" w:right="105"/>
              <w:jc w:val="both"/>
              <w:rPr>
                <w:sz w:val="20"/>
              </w:rPr>
            </w:pPr>
            <w:r>
              <w:rPr>
                <w:sz w:val="20"/>
              </w:rPr>
              <w:t>En</w:t>
            </w:r>
            <w:r>
              <w:rPr>
                <w:spacing w:val="-16"/>
                <w:sz w:val="20"/>
              </w:rPr>
              <w:t> </w:t>
            </w:r>
            <w:r>
              <w:rPr>
                <w:sz w:val="20"/>
              </w:rPr>
              <w:t>los</w:t>
            </w:r>
            <w:r>
              <w:rPr>
                <w:spacing w:val="-15"/>
                <w:sz w:val="20"/>
              </w:rPr>
              <w:t> </w:t>
            </w:r>
            <w:r>
              <w:rPr>
                <w:sz w:val="20"/>
              </w:rPr>
              <w:t>estafilococos</w:t>
            </w:r>
            <w:r>
              <w:rPr>
                <w:spacing w:val="-15"/>
                <w:sz w:val="20"/>
              </w:rPr>
              <w:t> </w:t>
            </w:r>
            <w:r>
              <w:rPr>
                <w:sz w:val="20"/>
              </w:rPr>
              <w:t>la</w:t>
            </w:r>
            <w:r>
              <w:rPr>
                <w:spacing w:val="-16"/>
                <w:sz w:val="20"/>
              </w:rPr>
              <w:t> </w:t>
            </w:r>
            <w:r>
              <w:rPr>
                <w:sz w:val="20"/>
              </w:rPr>
              <w:t>molécula</w:t>
            </w:r>
            <w:r>
              <w:rPr>
                <w:spacing w:val="-16"/>
                <w:sz w:val="20"/>
              </w:rPr>
              <w:t> </w:t>
            </w:r>
            <w:r>
              <w:rPr>
                <w:sz w:val="20"/>
              </w:rPr>
              <w:t>principal</w:t>
            </w:r>
            <w:r>
              <w:rPr>
                <w:spacing w:val="-17"/>
                <w:sz w:val="20"/>
              </w:rPr>
              <w:t> </w:t>
            </w:r>
            <w:r>
              <w:rPr>
                <w:sz w:val="20"/>
              </w:rPr>
              <w:t>responsable</w:t>
            </w:r>
            <w:r>
              <w:rPr>
                <w:spacing w:val="-16"/>
                <w:sz w:val="20"/>
              </w:rPr>
              <w:t> </w:t>
            </w:r>
            <w:r>
              <w:rPr>
                <w:sz w:val="20"/>
              </w:rPr>
              <w:t>de</w:t>
            </w:r>
            <w:r>
              <w:rPr>
                <w:spacing w:val="-16"/>
                <w:sz w:val="20"/>
              </w:rPr>
              <w:t> </w:t>
            </w:r>
            <w:r>
              <w:rPr>
                <w:sz w:val="20"/>
              </w:rPr>
              <w:t>la</w:t>
            </w:r>
            <w:r>
              <w:rPr>
                <w:spacing w:val="-16"/>
                <w:sz w:val="20"/>
              </w:rPr>
              <w:t> </w:t>
            </w:r>
            <w:r>
              <w:rPr>
                <w:sz w:val="20"/>
              </w:rPr>
              <w:t>adhesión intercelular es el polisacárido adhesina intercelular (PIA), llamado también poli-N-acetilglucosamina (PNAG), este polímero junto con los ácidos teicoicos y proteínas forma la mayor parte de lo que se denomina “</w:t>
            </w:r>
            <w:r>
              <w:rPr>
                <w:i/>
                <w:sz w:val="20"/>
              </w:rPr>
              <w:t>slime</w:t>
            </w:r>
            <w:r>
              <w:rPr>
                <w:sz w:val="20"/>
              </w:rPr>
              <w:t>”, la matriz extracelular que protege al </w:t>
            </w:r>
            <w:r>
              <w:rPr>
                <w:i/>
                <w:sz w:val="20"/>
              </w:rPr>
              <w:t>biofilm </w:t>
            </w:r>
            <w:r>
              <w:rPr>
                <w:sz w:val="20"/>
              </w:rPr>
              <w:t>bacteriano.</w:t>
            </w:r>
          </w:p>
          <w:p>
            <w:pPr>
              <w:pStyle w:val="TableParagraph"/>
              <w:spacing w:line="276" w:lineRule="auto"/>
              <w:ind w:left="100" w:right="103"/>
              <w:jc w:val="both"/>
              <w:rPr>
                <w:sz w:val="20"/>
              </w:rPr>
            </w:pPr>
            <w:r>
              <w:rPr>
                <w:sz w:val="20"/>
              </w:rPr>
              <w:t>Se cree que PIA funciona como el adhesivo que se adhiere a las células entre si debido a la interacción electrostática, los ácidos teicoicos podrían representar a las moléculas cargadas negativamente que interactúan con PIA en la superficie celular. La biosíntesis de PIA se logra mediante los productos del gen locus</w:t>
            </w:r>
            <w:r>
              <w:rPr>
                <w:spacing w:val="-27"/>
                <w:sz w:val="20"/>
              </w:rPr>
              <w:t> </w:t>
            </w:r>
            <w:r>
              <w:rPr>
                <w:i/>
                <w:sz w:val="20"/>
              </w:rPr>
              <w:t>ica </w:t>
            </w:r>
            <w:r>
              <w:rPr>
                <w:sz w:val="20"/>
              </w:rPr>
              <w:t>que comprende una transferasa N-acetilglucosamina (</w:t>
            </w:r>
            <w:r>
              <w:rPr>
                <w:i/>
                <w:sz w:val="20"/>
              </w:rPr>
              <w:t>icaA </w:t>
            </w:r>
            <w:r>
              <w:rPr>
                <w:sz w:val="20"/>
              </w:rPr>
              <w:t>e </w:t>
            </w:r>
            <w:r>
              <w:rPr>
                <w:i/>
                <w:sz w:val="20"/>
              </w:rPr>
              <w:t>icaD</w:t>
            </w:r>
            <w:r>
              <w:rPr>
                <w:sz w:val="20"/>
              </w:rPr>
              <w:t>), una diacetilasa PIA (</w:t>
            </w:r>
            <w:r>
              <w:rPr>
                <w:i/>
                <w:sz w:val="20"/>
              </w:rPr>
              <w:t>icaB</w:t>
            </w:r>
            <w:r>
              <w:rPr>
                <w:sz w:val="20"/>
              </w:rPr>
              <w:t>), PIA exportador putativo (</w:t>
            </w:r>
            <w:r>
              <w:rPr>
                <w:i/>
                <w:sz w:val="20"/>
              </w:rPr>
              <w:t>icaC) </w:t>
            </w:r>
            <w:r>
              <w:rPr>
                <w:sz w:val="20"/>
              </w:rPr>
              <w:t>y un gen regulador (</w:t>
            </w:r>
            <w:r>
              <w:rPr>
                <w:i/>
                <w:sz w:val="20"/>
              </w:rPr>
              <w:t>icaR</w:t>
            </w:r>
            <w:r>
              <w:rPr>
                <w:sz w:val="20"/>
              </w:rPr>
              <w:t>). La expresión del gen locus </w:t>
            </w:r>
            <w:r>
              <w:rPr>
                <w:i/>
                <w:sz w:val="20"/>
              </w:rPr>
              <w:t>ica </w:t>
            </w:r>
            <w:r>
              <w:rPr>
                <w:sz w:val="20"/>
              </w:rPr>
              <w:t>está regulada por varios factores ambientales y proteínas</w:t>
            </w:r>
            <w:r>
              <w:rPr>
                <w:spacing w:val="-15"/>
                <w:sz w:val="20"/>
              </w:rPr>
              <w:t> </w:t>
            </w:r>
            <w:r>
              <w:rPr>
                <w:sz w:val="20"/>
              </w:rPr>
              <w:t>reguladoras.</w:t>
            </w:r>
          </w:p>
          <w:p>
            <w:pPr>
              <w:pStyle w:val="TableParagraph"/>
              <w:spacing w:line="276" w:lineRule="auto"/>
              <w:ind w:left="100" w:right="104"/>
              <w:jc w:val="both"/>
              <w:rPr>
                <w:sz w:val="20"/>
              </w:rPr>
            </w:pPr>
            <w:r>
              <w:rPr>
                <w:sz w:val="20"/>
              </w:rPr>
              <w:t>Fuerzas disruptivas: Estructuración del </w:t>
            </w:r>
            <w:r>
              <w:rPr>
                <w:i/>
                <w:sz w:val="20"/>
              </w:rPr>
              <w:t>biofilm</w:t>
            </w:r>
            <w:r>
              <w:rPr>
                <w:sz w:val="20"/>
              </w:rPr>
              <w:t>: Un </w:t>
            </w:r>
            <w:r>
              <w:rPr>
                <w:i/>
                <w:sz w:val="20"/>
              </w:rPr>
              <w:t>biofilm </w:t>
            </w:r>
            <w:r>
              <w:rPr>
                <w:sz w:val="20"/>
              </w:rPr>
              <w:t>maduro tiene una estructura tridimensional especifica que consiste en “torres”</w:t>
            </w:r>
            <w:r>
              <w:rPr>
                <w:spacing w:val="-12"/>
                <w:sz w:val="20"/>
              </w:rPr>
              <w:t> </w:t>
            </w:r>
            <w:r>
              <w:rPr>
                <w:sz w:val="20"/>
              </w:rPr>
              <w:t>u</w:t>
            </w:r>
            <w:r>
              <w:rPr>
                <w:spacing w:val="-13"/>
                <w:sz w:val="20"/>
              </w:rPr>
              <w:t> </w:t>
            </w:r>
            <w:r>
              <w:rPr>
                <w:sz w:val="20"/>
              </w:rPr>
              <w:t>“hongos”</w:t>
            </w:r>
            <w:r>
              <w:rPr>
                <w:spacing w:val="-12"/>
                <w:sz w:val="20"/>
              </w:rPr>
              <w:t> </w:t>
            </w:r>
            <w:r>
              <w:rPr>
                <w:sz w:val="20"/>
              </w:rPr>
              <w:t>entre</w:t>
            </w:r>
            <w:r>
              <w:rPr>
                <w:spacing w:val="-11"/>
                <w:sz w:val="20"/>
              </w:rPr>
              <w:t> </w:t>
            </w:r>
            <w:r>
              <w:rPr>
                <w:sz w:val="20"/>
              </w:rPr>
              <w:t>los</w:t>
            </w:r>
            <w:r>
              <w:rPr>
                <w:spacing w:val="-9"/>
                <w:sz w:val="20"/>
              </w:rPr>
              <w:t> </w:t>
            </w:r>
            <w:r>
              <w:rPr>
                <w:sz w:val="20"/>
              </w:rPr>
              <w:t>cuales</w:t>
            </w:r>
            <w:r>
              <w:rPr>
                <w:spacing w:val="-9"/>
                <w:sz w:val="20"/>
              </w:rPr>
              <w:t> </w:t>
            </w:r>
            <w:r>
              <w:rPr>
                <w:sz w:val="20"/>
              </w:rPr>
              <w:t>hay</w:t>
            </w:r>
            <w:r>
              <w:rPr>
                <w:spacing w:val="-16"/>
                <w:sz w:val="20"/>
              </w:rPr>
              <w:t> </w:t>
            </w:r>
            <w:r>
              <w:rPr>
                <w:sz w:val="20"/>
              </w:rPr>
              <w:t>canales</w:t>
            </w:r>
            <w:r>
              <w:rPr>
                <w:spacing w:val="-9"/>
                <w:sz w:val="20"/>
              </w:rPr>
              <w:t> </w:t>
            </w:r>
            <w:r>
              <w:rPr>
                <w:sz w:val="20"/>
              </w:rPr>
              <w:t>llenos</w:t>
            </w:r>
            <w:r>
              <w:rPr>
                <w:spacing w:val="-9"/>
                <w:sz w:val="20"/>
              </w:rPr>
              <w:t> </w:t>
            </w:r>
            <w:r>
              <w:rPr>
                <w:sz w:val="20"/>
              </w:rPr>
              <w:t>de</w:t>
            </w:r>
            <w:r>
              <w:rPr>
                <w:spacing w:val="-13"/>
                <w:sz w:val="20"/>
              </w:rPr>
              <w:t> </w:t>
            </w:r>
            <w:r>
              <w:rPr>
                <w:sz w:val="20"/>
              </w:rPr>
              <w:t>líquido</w:t>
            </w:r>
            <w:r>
              <w:rPr>
                <w:spacing w:val="-11"/>
                <w:sz w:val="20"/>
              </w:rPr>
              <w:t> </w:t>
            </w:r>
            <w:r>
              <w:rPr>
                <w:sz w:val="20"/>
              </w:rPr>
              <w:t>que se</w:t>
            </w:r>
            <w:r>
              <w:rPr>
                <w:spacing w:val="-5"/>
                <w:sz w:val="20"/>
              </w:rPr>
              <w:t> </w:t>
            </w:r>
            <w:r>
              <w:rPr>
                <w:sz w:val="20"/>
              </w:rPr>
              <w:t>cree</w:t>
            </w:r>
            <w:r>
              <w:rPr>
                <w:spacing w:val="-5"/>
                <w:sz w:val="20"/>
              </w:rPr>
              <w:t> </w:t>
            </w:r>
            <w:r>
              <w:rPr>
                <w:sz w:val="20"/>
              </w:rPr>
              <w:t>que</w:t>
            </w:r>
            <w:r>
              <w:rPr>
                <w:spacing w:val="-5"/>
                <w:sz w:val="20"/>
              </w:rPr>
              <w:t> </w:t>
            </w:r>
            <w:r>
              <w:rPr>
                <w:sz w:val="20"/>
              </w:rPr>
              <w:t>tienen</w:t>
            </w:r>
            <w:r>
              <w:rPr>
                <w:spacing w:val="-5"/>
                <w:sz w:val="20"/>
              </w:rPr>
              <w:t> </w:t>
            </w:r>
            <w:r>
              <w:rPr>
                <w:sz w:val="20"/>
              </w:rPr>
              <w:t>una</w:t>
            </w:r>
            <w:r>
              <w:rPr>
                <w:spacing w:val="-5"/>
                <w:sz w:val="20"/>
              </w:rPr>
              <w:t> </w:t>
            </w:r>
            <w:r>
              <w:rPr>
                <w:sz w:val="20"/>
              </w:rPr>
              <w:t>función</w:t>
            </w:r>
            <w:r>
              <w:rPr>
                <w:spacing w:val="-2"/>
                <w:sz w:val="20"/>
              </w:rPr>
              <w:t> </w:t>
            </w:r>
            <w:r>
              <w:rPr>
                <w:sz w:val="20"/>
              </w:rPr>
              <w:t>vital</w:t>
            </w:r>
            <w:r>
              <w:rPr>
                <w:spacing w:val="-3"/>
                <w:sz w:val="20"/>
              </w:rPr>
              <w:t> </w:t>
            </w:r>
            <w:r>
              <w:rPr>
                <w:sz w:val="20"/>
              </w:rPr>
              <w:t>en</w:t>
            </w:r>
            <w:r>
              <w:rPr>
                <w:spacing w:val="-5"/>
                <w:sz w:val="20"/>
              </w:rPr>
              <w:t> </w:t>
            </w:r>
            <w:r>
              <w:rPr>
                <w:sz w:val="20"/>
              </w:rPr>
              <w:t>la</w:t>
            </w:r>
            <w:r>
              <w:rPr>
                <w:spacing w:val="-5"/>
                <w:sz w:val="20"/>
              </w:rPr>
              <w:t> </w:t>
            </w:r>
            <w:r>
              <w:rPr>
                <w:sz w:val="20"/>
              </w:rPr>
              <w:t>entrega</w:t>
            </w:r>
            <w:r>
              <w:rPr>
                <w:spacing w:val="-2"/>
                <w:sz w:val="20"/>
              </w:rPr>
              <w:t> </w:t>
            </w:r>
            <w:r>
              <w:rPr>
                <w:sz w:val="20"/>
              </w:rPr>
              <w:t>de</w:t>
            </w:r>
            <w:r>
              <w:rPr>
                <w:spacing w:val="-5"/>
                <w:sz w:val="20"/>
              </w:rPr>
              <w:t> </w:t>
            </w:r>
            <w:r>
              <w:rPr>
                <w:sz w:val="20"/>
              </w:rPr>
              <w:t>nutrientes</w:t>
            </w:r>
            <w:r>
              <w:rPr>
                <w:spacing w:val="-4"/>
                <w:sz w:val="20"/>
              </w:rPr>
              <w:t> </w:t>
            </w:r>
            <w:r>
              <w:rPr>
                <w:sz w:val="20"/>
              </w:rPr>
              <w:t>a</w:t>
            </w:r>
            <w:r>
              <w:rPr>
                <w:spacing w:val="-5"/>
                <w:sz w:val="20"/>
              </w:rPr>
              <w:t> </w:t>
            </w:r>
            <w:r>
              <w:rPr>
                <w:sz w:val="20"/>
              </w:rPr>
              <w:t>las células en las capas más profundas del</w:t>
            </w:r>
            <w:r>
              <w:rPr>
                <w:spacing w:val="-9"/>
                <w:sz w:val="20"/>
              </w:rPr>
              <w:t> </w:t>
            </w:r>
            <w:r>
              <w:rPr>
                <w:i/>
                <w:sz w:val="20"/>
              </w:rPr>
              <w:t>biofilm</w:t>
            </w:r>
            <w:r>
              <w:rPr>
                <w:sz w:val="20"/>
              </w:rPr>
              <w:t>.</w:t>
            </w:r>
          </w:p>
        </w:tc>
        <w:tc>
          <w:tcPr>
            <w:tcW w:w="1702" w:type="dxa"/>
          </w:tcPr>
          <w:p>
            <w:pPr>
              <w:pStyle w:val="TableParagraph"/>
              <w:tabs>
                <w:tab w:pos="820" w:val="left" w:leader="none"/>
                <w:tab w:pos="895" w:val="left" w:leader="none"/>
                <w:tab w:pos="1096" w:val="left" w:leader="none"/>
                <w:tab w:pos="1362" w:val="left" w:leader="none"/>
                <w:tab w:pos="1429" w:val="left" w:leader="none"/>
              </w:tabs>
              <w:spacing w:line="276" w:lineRule="auto"/>
              <w:ind w:right="102"/>
              <w:jc w:val="left"/>
              <w:rPr>
                <w:sz w:val="20"/>
              </w:rPr>
            </w:pPr>
            <w:r>
              <w:rPr>
                <w:sz w:val="20"/>
              </w:rPr>
              <w:t>Cuando</w:t>
              <w:tab/>
              <w:tab/>
              <w:tab/>
              <w:tab/>
              <w:tab/>
              <w:t>el </w:t>
            </w:r>
            <w:r>
              <w:rPr>
                <w:i/>
                <w:sz w:val="20"/>
              </w:rPr>
              <w:t>biofilm</w:t>
              <w:tab/>
              <w:tab/>
            </w:r>
            <w:r>
              <w:rPr>
                <w:sz w:val="20"/>
              </w:rPr>
              <w:t>alcanza una</w:t>
              <w:tab/>
              <w:tab/>
              <w:tab/>
              <w:t>masa crítica, llega a</w:t>
            </w:r>
            <w:r>
              <w:rPr>
                <w:spacing w:val="-36"/>
                <w:sz w:val="20"/>
              </w:rPr>
              <w:t> </w:t>
            </w:r>
            <w:r>
              <w:rPr>
                <w:sz w:val="20"/>
              </w:rPr>
              <w:t>un equilibrio dinámico en el cual las cepas más</w:t>
              <w:tab/>
              <w:t>externas escapan</w:t>
              <w:tab/>
              <w:tab/>
              <w:tab/>
              <w:t>de</w:t>
            </w:r>
          </w:p>
          <w:p>
            <w:pPr>
              <w:pStyle w:val="TableParagraph"/>
              <w:tabs>
                <w:tab w:pos="1487" w:val="left" w:leader="none"/>
              </w:tabs>
              <w:jc w:val="both"/>
              <w:rPr>
                <w:sz w:val="20"/>
              </w:rPr>
            </w:pPr>
            <w:r>
              <w:rPr>
                <w:sz w:val="20"/>
              </w:rPr>
              <w:t>aquel</w:t>
              <w:tab/>
              <w:t>y</w:t>
            </w:r>
          </w:p>
          <w:p>
            <w:pPr>
              <w:pStyle w:val="TableParagraph"/>
              <w:tabs>
                <w:tab w:pos="1362" w:val="left" w:leader="none"/>
              </w:tabs>
              <w:spacing w:line="276" w:lineRule="auto" w:before="34"/>
              <w:ind w:right="104"/>
              <w:jc w:val="both"/>
              <w:rPr>
                <w:sz w:val="20"/>
              </w:rPr>
            </w:pPr>
            <w:r>
              <w:rPr>
                <w:sz w:val="20"/>
              </w:rPr>
              <w:t>colonizan otras superficies. El desprendimiento es crucial para</w:t>
            </w:r>
            <w:r>
              <w:rPr>
                <w:spacing w:val="-36"/>
                <w:sz w:val="20"/>
              </w:rPr>
              <w:t> </w:t>
            </w:r>
            <w:r>
              <w:rPr>
                <w:sz w:val="20"/>
              </w:rPr>
              <w:t>la difusión de las bacterias a otros sitios</w:t>
              <w:tab/>
              <w:t>de</w:t>
            </w:r>
          </w:p>
          <w:p>
            <w:pPr>
              <w:pStyle w:val="TableParagraph"/>
              <w:tabs>
                <w:tab w:pos="1429" w:val="left" w:leader="none"/>
              </w:tabs>
              <w:spacing w:line="276" w:lineRule="auto"/>
              <w:ind w:right="104"/>
              <w:jc w:val="both"/>
              <w:rPr>
                <w:sz w:val="20"/>
              </w:rPr>
            </w:pPr>
            <w:r>
              <w:rPr>
                <w:sz w:val="20"/>
              </w:rPr>
              <w:t>colonización y puede ocurrir por</w:t>
              <w:tab/>
              <w:t>el</w:t>
            </w:r>
          </w:p>
          <w:p>
            <w:pPr>
              <w:pStyle w:val="TableParagraph"/>
              <w:tabs>
                <w:tab w:pos="962" w:val="left" w:leader="none"/>
              </w:tabs>
              <w:spacing w:line="276" w:lineRule="auto" w:before="1"/>
              <w:ind w:right="105"/>
              <w:jc w:val="both"/>
              <w:rPr>
                <w:sz w:val="20"/>
              </w:rPr>
            </w:pPr>
            <w:r>
              <w:rPr>
                <w:sz w:val="20"/>
              </w:rPr>
              <w:t>desprendimiento de</w:t>
              <w:tab/>
              <w:t>células individuales    </w:t>
            </w:r>
            <w:r>
              <w:rPr>
                <w:spacing w:val="43"/>
                <w:sz w:val="20"/>
              </w:rPr>
              <w:t> </w:t>
            </w:r>
            <w:r>
              <w:rPr>
                <w:sz w:val="20"/>
              </w:rPr>
              <w:t>o</w:t>
            </w:r>
          </w:p>
          <w:p>
            <w:pPr>
              <w:pStyle w:val="TableParagraph"/>
              <w:tabs>
                <w:tab w:pos="1362" w:val="left" w:leader="none"/>
              </w:tabs>
              <w:jc w:val="both"/>
              <w:rPr>
                <w:sz w:val="20"/>
              </w:rPr>
            </w:pPr>
            <w:r>
              <w:rPr>
                <w:sz w:val="20"/>
              </w:rPr>
              <w:t>grupos</w:t>
              <w:tab/>
              <w:t>de</w:t>
            </w:r>
          </w:p>
          <w:p>
            <w:pPr>
              <w:pStyle w:val="TableParagraph"/>
              <w:spacing w:line="276" w:lineRule="auto" w:before="34"/>
              <w:ind w:right="103"/>
              <w:jc w:val="both"/>
              <w:rPr>
                <w:sz w:val="20"/>
              </w:rPr>
            </w:pPr>
            <w:r>
              <w:rPr>
                <w:sz w:val="20"/>
              </w:rPr>
              <w:t>células más grandes.</w:t>
            </w:r>
          </w:p>
        </w:tc>
      </w:tr>
    </w:tbl>
    <w:p>
      <w:pPr>
        <w:spacing w:line="225" w:lineRule="exact" w:before="0"/>
        <w:ind w:left="240" w:right="0" w:firstLine="0"/>
        <w:jc w:val="left"/>
        <w:rPr>
          <w:sz w:val="20"/>
        </w:rPr>
      </w:pPr>
      <w:r>
        <w:rPr>
          <w:sz w:val="20"/>
        </w:rPr>
        <w:t>Fuente: Otto M. (2008); Bustos Martínez </w:t>
      </w:r>
      <w:r>
        <w:rPr>
          <w:i/>
          <w:sz w:val="20"/>
        </w:rPr>
        <w:t>et al</w:t>
      </w:r>
      <w:r>
        <w:rPr>
          <w:sz w:val="20"/>
        </w:rPr>
        <w:t>., (2006)</w:t>
      </w:r>
    </w:p>
    <w:p>
      <w:pPr>
        <w:pStyle w:val="BodyText"/>
        <w:spacing w:before="3"/>
        <w:rPr>
          <w:sz w:val="14"/>
        </w:rPr>
      </w:pPr>
    </w:p>
    <w:p>
      <w:pPr>
        <w:pStyle w:val="ListParagraph"/>
        <w:numPr>
          <w:ilvl w:val="0"/>
          <w:numId w:val="4"/>
        </w:numPr>
        <w:tabs>
          <w:tab w:pos="411" w:val="left" w:leader="none"/>
        </w:tabs>
        <w:spacing w:line="240" w:lineRule="auto" w:before="70" w:after="0"/>
        <w:ind w:left="410" w:right="0" w:hanging="268"/>
        <w:jc w:val="both"/>
        <w:rPr>
          <w:b/>
          <w:sz w:val="24"/>
        </w:rPr>
      </w:pPr>
      <w:bookmarkStart w:name="_bookmark15" w:id="21"/>
      <w:bookmarkEnd w:id="21"/>
      <w:r>
        <w:rPr/>
      </w:r>
      <w:bookmarkStart w:name="_bookmark15" w:id="22"/>
      <w:bookmarkEnd w:id="22"/>
      <w:r>
        <w:rPr>
          <w:b/>
          <w:i/>
          <w:sz w:val="24"/>
        </w:rPr>
        <w:t>S</w:t>
      </w:r>
      <w:r>
        <w:rPr>
          <w:b/>
          <w:i/>
          <w:sz w:val="24"/>
        </w:rPr>
        <w:t>taphylococcus aureus </w:t>
      </w:r>
      <w:r>
        <w:rPr>
          <w:b/>
          <w:sz w:val="24"/>
        </w:rPr>
        <w:t>meticilina resistente</w:t>
      </w:r>
      <w:r>
        <w:rPr>
          <w:b/>
          <w:spacing w:val="-18"/>
          <w:sz w:val="24"/>
        </w:rPr>
        <w:t> </w:t>
      </w:r>
      <w:r>
        <w:rPr>
          <w:b/>
          <w:sz w:val="24"/>
        </w:rPr>
        <w:t>(MRSA).</w:t>
      </w:r>
    </w:p>
    <w:p>
      <w:pPr>
        <w:pStyle w:val="BodyText"/>
        <w:spacing w:line="276" w:lineRule="auto" w:before="41"/>
        <w:ind w:left="142" w:right="616"/>
        <w:jc w:val="both"/>
      </w:pPr>
      <w:r>
        <w:rPr>
          <w:i/>
        </w:rPr>
        <w:t>S.</w:t>
      </w:r>
      <w:r>
        <w:rPr>
          <w:i/>
          <w:spacing w:val="-14"/>
        </w:rPr>
        <w:t> </w:t>
      </w:r>
      <w:r>
        <w:rPr>
          <w:i/>
        </w:rPr>
        <w:t>aureus</w:t>
      </w:r>
      <w:r>
        <w:rPr>
          <w:i/>
          <w:spacing w:val="-14"/>
        </w:rPr>
        <w:t> </w:t>
      </w:r>
      <w:r>
        <w:rPr/>
        <w:t>es</w:t>
      </w:r>
      <w:r>
        <w:rPr>
          <w:spacing w:val="-15"/>
        </w:rPr>
        <w:t> </w:t>
      </w:r>
      <w:r>
        <w:rPr/>
        <w:t>un</w:t>
      </w:r>
      <w:r>
        <w:rPr>
          <w:spacing w:val="-14"/>
        </w:rPr>
        <w:t> </w:t>
      </w:r>
      <w:r>
        <w:rPr/>
        <w:t>patógeno</w:t>
      </w:r>
      <w:r>
        <w:rPr>
          <w:spacing w:val="-12"/>
        </w:rPr>
        <w:t> </w:t>
      </w:r>
      <w:r>
        <w:rPr/>
        <w:t>importante</w:t>
      </w:r>
      <w:r>
        <w:rPr>
          <w:spacing w:val="-14"/>
        </w:rPr>
        <w:t> </w:t>
      </w:r>
      <w:r>
        <w:rPr/>
        <w:t>a</w:t>
      </w:r>
      <w:r>
        <w:rPr>
          <w:spacing w:val="-14"/>
        </w:rPr>
        <w:t> </w:t>
      </w:r>
      <w:r>
        <w:rPr/>
        <w:t>nivel</w:t>
      </w:r>
      <w:r>
        <w:rPr>
          <w:spacing w:val="-13"/>
        </w:rPr>
        <w:t> </w:t>
      </w:r>
      <w:r>
        <w:rPr/>
        <w:t>mundial</w:t>
      </w:r>
      <w:r>
        <w:rPr>
          <w:spacing w:val="-15"/>
        </w:rPr>
        <w:t> </w:t>
      </w:r>
      <w:r>
        <w:rPr/>
        <w:t>que</w:t>
      </w:r>
      <w:r>
        <w:rPr>
          <w:spacing w:val="-14"/>
        </w:rPr>
        <w:t> </w:t>
      </w:r>
      <w:r>
        <w:rPr/>
        <w:t>causa</w:t>
      </w:r>
      <w:r>
        <w:rPr>
          <w:spacing w:val="-12"/>
        </w:rPr>
        <w:t> </w:t>
      </w:r>
      <w:r>
        <w:rPr/>
        <w:t>severas</w:t>
      </w:r>
      <w:r>
        <w:rPr>
          <w:spacing w:val="-12"/>
        </w:rPr>
        <w:t> </w:t>
      </w:r>
      <w:r>
        <w:rPr/>
        <w:t>infecciones tanto en personas sanas como en inmunocomprometidas. Oxacilina y meticilina se utilizaron por primera vez en la clínica a principios de 1960 y 6 meses después de que la meticilina fue vendida en Octubre de 1960 aparecieron cepas resistentes, colectivamente</w:t>
      </w:r>
      <w:r>
        <w:rPr>
          <w:spacing w:val="-11"/>
        </w:rPr>
        <w:t> </w:t>
      </w:r>
      <w:r>
        <w:rPr/>
        <w:t>llamados</w:t>
      </w:r>
      <w:r>
        <w:rPr>
          <w:spacing w:val="-10"/>
        </w:rPr>
        <w:t> </w:t>
      </w:r>
      <w:r>
        <w:rPr>
          <w:i/>
        </w:rPr>
        <w:t>Staphylococcus</w:t>
      </w:r>
      <w:r>
        <w:rPr>
          <w:i/>
          <w:spacing w:val="-13"/>
        </w:rPr>
        <w:t> </w:t>
      </w:r>
      <w:r>
        <w:rPr>
          <w:i/>
        </w:rPr>
        <w:t>aureus</w:t>
      </w:r>
      <w:r>
        <w:rPr>
          <w:i/>
          <w:spacing w:val="-10"/>
        </w:rPr>
        <w:t> </w:t>
      </w:r>
      <w:r>
        <w:rPr/>
        <w:t>resistentes</w:t>
      </w:r>
      <w:r>
        <w:rPr>
          <w:spacing w:val="-15"/>
        </w:rPr>
        <w:t> </w:t>
      </w:r>
      <w:r>
        <w:rPr/>
        <w:t>a</w:t>
      </w:r>
      <w:r>
        <w:rPr>
          <w:spacing w:val="-12"/>
        </w:rPr>
        <w:t> </w:t>
      </w:r>
      <w:r>
        <w:rPr/>
        <w:t>la</w:t>
      </w:r>
      <w:r>
        <w:rPr>
          <w:spacing w:val="-12"/>
        </w:rPr>
        <w:t> </w:t>
      </w:r>
      <w:r>
        <w:rPr/>
        <w:t>meticilina</w:t>
      </w:r>
      <w:r>
        <w:rPr>
          <w:spacing w:val="-11"/>
        </w:rPr>
        <w:t> </w:t>
      </w:r>
      <w:r>
        <w:rPr/>
        <w:t>(MRSA), y tres aislamientos meticilina-resistentes fueron reportados después del análisis de 5000 aislamientos clínicos, en 1967, MRSA multirresientes fueron reportadas de Suiza, Francia, Dinamarca, Inglaterra, Australia e India (Grundmann </w:t>
      </w:r>
      <w:r>
        <w:rPr>
          <w:i/>
        </w:rPr>
        <w:t>et al.</w:t>
      </w:r>
      <w:r>
        <w:rPr/>
        <w:t>, 2006). En 1982 aparecen cepas epidémicas de MRSA multiresistentes con capacidad especial para colonizar pacientes y personal y para causar brotes de infección generalizada;  es  un  patógeno  zoonótico  multiresistente  (Ferreira  </w:t>
      </w:r>
      <w:r>
        <w:rPr>
          <w:i/>
        </w:rPr>
        <w:t>et  al.,</w:t>
      </w:r>
      <w:r>
        <w:rPr>
          <w:i/>
          <w:spacing w:val="18"/>
        </w:rPr>
        <w:t> </w:t>
      </w:r>
      <w:r>
        <w:rPr/>
        <w:t>2014).</w:t>
      </w:r>
    </w:p>
    <w:p>
      <w:pPr>
        <w:spacing w:after="0" w:line="276" w:lineRule="auto"/>
        <w:jc w:val="both"/>
        <w:sectPr>
          <w:pgSz w:w="12240" w:h="15840"/>
          <w:pgMar w:header="728" w:footer="1135" w:top="1200" w:bottom="1320" w:left="1560" w:right="1080"/>
        </w:sectPr>
      </w:pPr>
    </w:p>
    <w:p>
      <w:pPr>
        <w:pStyle w:val="BodyText"/>
        <w:spacing w:before="9"/>
        <w:rPr>
          <w:sz w:val="12"/>
        </w:rPr>
      </w:pPr>
    </w:p>
    <w:p>
      <w:pPr>
        <w:pStyle w:val="BodyText"/>
        <w:spacing w:line="276" w:lineRule="auto" w:before="70"/>
        <w:ind w:left="142" w:right="147"/>
        <w:jc w:val="both"/>
      </w:pPr>
      <w:r>
        <w:rPr/>
        <w:t>Cepas de MRSA son capaces de evolucionar rápidamente e inducir nuevos problemas clínicos (Stefani y Goglio, 2010).</w:t>
      </w:r>
    </w:p>
    <w:p>
      <w:pPr>
        <w:pStyle w:val="BodyText"/>
        <w:spacing w:line="276" w:lineRule="auto" w:before="120"/>
        <w:ind w:left="142" w:right="138"/>
        <w:jc w:val="both"/>
      </w:pPr>
      <w:r>
        <w:rPr/>
        <w:t>El aumento de casos de infecciones es una preocupación para la salud pública </w:t>
      </w:r>
      <w:r>
        <w:rPr>
          <w:spacing w:val="-3"/>
        </w:rPr>
        <w:t>ya </w:t>
      </w:r>
      <w:r>
        <w:rPr/>
        <w:t>que</w:t>
      </w:r>
      <w:r>
        <w:rPr>
          <w:spacing w:val="-13"/>
        </w:rPr>
        <w:t> </w:t>
      </w:r>
      <w:r>
        <w:rPr/>
        <w:t>está</w:t>
      </w:r>
      <w:r>
        <w:rPr>
          <w:spacing w:val="-16"/>
        </w:rPr>
        <w:t> </w:t>
      </w:r>
      <w:r>
        <w:rPr/>
        <w:t>asociado</w:t>
      </w:r>
      <w:r>
        <w:rPr>
          <w:spacing w:val="-13"/>
        </w:rPr>
        <w:t> </w:t>
      </w:r>
      <w:r>
        <w:rPr/>
        <w:t>con</w:t>
      </w:r>
      <w:r>
        <w:rPr>
          <w:spacing w:val="-18"/>
        </w:rPr>
        <w:t> </w:t>
      </w:r>
      <w:r>
        <w:rPr/>
        <w:t>el</w:t>
      </w:r>
      <w:r>
        <w:rPr>
          <w:spacing w:val="-14"/>
        </w:rPr>
        <w:t> </w:t>
      </w:r>
      <w:r>
        <w:rPr/>
        <w:t>incremento</w:t>
      </w:r>
      <w:r>
        <w:rPr>
          <w:spacing w:val="-15"/>
        </w:rPr>
        <w:t> </w:t>
      </w:r>
      <w:r>
        <w:rPr/>
        <w:t>de</w:t>
      </w:r>
      <w:r>
        <w:rPr>
          <w:spacing w:val="-18"/>
        </w:rPr>
        <w:t> </w:t>
      </w:r>
      <w:r>
        <w:rPr/>
        <w:t>morbilidad</w:t>
      </w:r>
      <w:r>
        <w:rPr>
          <w:spacing w:val="-13"/>
        </w:rPr>
        <w:t> </w:t>
      </w:r>
      <w:r>
        <w:rPr/>
        <w:t>y</w:t>
      </w:r>
      <w:r>
        <w:rPr>
          <w:spacing w:val="-19"/>
        </w:rPr>
        <w:t> </w:t>
      </w:r>
      <w:r>
        <w:rPr/>
        <w:t>mortalidad;</w:t>
      </w:r>
      <w:r>
        <w:rPr>
          <w:spacing w:val="-16"/>
        </w:rPr>
        <w:t> </w:t>
      </w:r>
      <w:r>
        <w:rPr/>
        <w:t>además</w:t>
      </w:r>
      <w:r>
        <w:rPr>
          <w:spacing w:val="-16"/>
        </w:rPr>
        <w:t> </w:t>
      </w:r>
      <w:r>
        <w:rPr/>
        <w:t>del</w:t>
      </w:r>
      <w:r>
        <w:rPr>
          <w:spacing w:val="-17"/>
        </w:rPr>
        <w:t> </w:t>
      </w:r>
      <w:r>
        <w:rPr/>
        <w:t>exceso de uso de recursos sanitarios comparado con infecciones causadas </w:t>
      </w:r>
      <w:r>
        <w:rPr>
          <w:spacing w:val="3"/>
        </w:rPr>
        <w:t>por </w:t>
      </w:r>
      <w:r>
        <w:rPr/>
        <w:t>cepas no resistentes (Guzmán-Blanco </w:t>
      </w:r>
      <w:r>
        <w:rPr>
          <w:i/>
        </w:rPr>
        <w:t>et al., </w:t>
      </w:r>
      <w:r>
        <w:rPr/>
        <w:t>2009), además del incremento del costo puede causar el fracaso en de la terapia, y causar diseminación de resistencia a antibióticos tanto a patógenos humanos como a patógenos animales (Flórez y Mayo,</w:t>
      </w:r>
      <w:r>
        <w:rPr>
          <w:spacing w:val="-5"/>
        </w:rPr>
        <w:t> </w:t>
      </w:r>
      <w:r>
        <w:rPr/>
        <w:t>2015).</w:t>
      </w:r>
    </w:p>
    <w:p>
      <w:pPr>
        <w:pStyle w:val="BodyText"/>
        <w:spacing w:line="276" w:lineRule="auto" w:before="121"/>
        <w:ind w:left="142" w:right="141"/>
        <w:jc w:val="both"/>
      </w:pPr>
      <w:r>
        <w:rPr/>
        <w:t>El número de bacterias que son resistentes a antimicrobianos está aumentando rápidamente debido uso generalizado de agentes antimicrobianos en agricultura, ganadería y enfermedades humanas en combinación con medidas insuficientes de control de infecciones, son causas la actual pandemia de la resistencia antimicrobiana de patógenos humanos (Pesavento </w:t>
      </w:r>
      <w:r>
        <w:rPr>
          <w:i/>
        </w:rPr>
        <w:t>et al., </w:t>
      </w:r>
      <w:r>
        <w:rPr/>
        <w:t>2007; Kluytmans, 2010).</w:t>
      </w:r>
    </w:p>
    <w:p>
      <w:pPr>
        <w:pStyle w:val="BodyText"/>
        <w:spacing w:line="276" w:lineRule="auto" w:before="123"/>
        <w:ind w:left="142" w:right="136"/>
        <w:jc w:val="both"/>
      </w:pPr>
      <w:r>
        <w:rPr/>
        <w:t>El surgimiento de MRSA está relacionada con terapia antimicrobiana prolongada, cirugías, hospitalización prolongada, tratamiento en unidades de cuidado intensivo próximas</w:t>
      </w:r>
      <w:r>
        <w:rPr>
          <w:spacing w:val="-17"/>
        </w:rPr>
        <w:t> </w:t>
      </w:r>
      <w:r>
        <w:rPr/>
        <w:t>a</w:t>
      </w:r>
      <w:r>
        <w:rPr>
          <w:spacing w:val="-17"/>
        </w:rPr>
        <w:t> </w:t>
      </w:r>
      <w:r>
        <w:rPr/>
        <w:t>pacientes</w:t>
      </w:r>
      <w:r>
        <w:rPr>
          <w:spacing w:val="-17"/>
        </w:rPr>
        <w:t> </w:t>
      </w:r>
      <w:r>
        <w:rPr/>
        <w:t>infectadas</w:t>
      </w:r>
      <w:r>
        <w:rPr>
          <w:spacing w:val="-19"/>
        </w:rPr>
        <w:t> </w:t>
      </w:r>
      <w:r>
        <w:rPr/>
        <w:t>o</w:t>
      </w:r>
      <w:r>
        <w:rPr>
          <w:spacing w:val="-17"/>
        </w:rPr>
        <w:t> </w:t>
      </w:r>
      <w:r>
        <w:rPr/>
        <w:t>colonizadas</w:t>
      </w:r>
      <w:r>
        <w:rPr>
          <w:spacing w:val="-17"/>
        </w:rPr>
        <w:t> </w:t>
      </w:r>
      <w:r>
        <w:rPr/>
        <w:t>con</w:t>
      </w:r>
      <w:r>
        <w:rPr>
          <w:spacing w:val="-17"/>
        </w:rPr>
        <w:t> </w:t>
      </w:r>
      <w:r>
        <w:rPr/>
        <w:t>MRSA:</w:t>
      </w:r>
      <w:r>
        <w:rPr>
          <w:spacing w:val="-17"/>
        </w:rPr>
        <w:t> </w:t>
      </w:r>
      <w:r>
        <w:rPr/>
        <w:t>la</w:t>
      </w:r>
      <w:r>
        <w:rPr>
          <w:spacing w:val="-18"/>
        </w:rPr>
        <w:t> </w:t>
      </w:r>
      <w:r>
        <w:rPr/>
        <w:t>piel</w:t>
      </w:r>
      <w:r>
        <w:rPr>
          <w:spacing w:val="-17"/>
        </w:rPr>
        <w:t> </w:t>
      </w:r>
      <w:r>
        <w:rPr/>
        <w:t>es</w:t>
      </w:r>
      <w:r>
        <w:rPr>
          <w:spacing w:val="-19"/>
        </w:rPr>
        <w:t> </w:t>
      </w:r>
      <w:r>
        <w:rPr/>
        <w:t>frecuentemente colonizada por </w:t>
      </w:r>
      <w:r>
        <w:rPr>
          <w:i/>
        </w:rPr>
        <w:t>S. aureus</w:t>
      </w:r>
      <w:r>
        <w:rPr/>
        <w:t>, en portadores nasales y se considera que la transmisión ocurre principalmente por medio de las manos (Leonard y Markey, 2008). La prevalencia de MRSA en humanos depende en gran parte de la región, sitio de infección</w:t>
      </w:r>
      <w:r>
        <w:rPr>
          <w:spacing w:val="-9"/>
        </w:rPr>
        <w:t> </w:t>
      </w:r>
      <w:r>
        <w:rPr/>
        <w:t>y</w:t>
      </w:r>
      <w:r>
        <w:rPr>
          <w:spacing w:val="-13"/>
        </w:rPr>
        <w:t> </w:t>
      </w:r>
      <w:r>
        <w:rPr/>
        <w:t>si</w:t>
      </w:r>
      <w:r>
        <w:rPr>
          <w:spacing w:val="-11"/>
        </w:rPr>
        <w:t> </w:t>
      </w:r>
      <w:r>
        <w:rPr/>
        <w:t>la</w:t>
      </w:r>
      <w:r>
        <w:rPr>
          <w:spacing w:val="-10"/>
        </w:rPr>
        <w:t> </w:t>
      </w:r>
      <w:r>
        <w:rPr/>
        <w:t>infección</w:t>
      </w:r>
      <w:r>
        <w:rPr>
          <w:spacing w:val="-9"/>
        </w:rPr>
        <w:t> </w:t>
      </w:r>
      <w:r>
        <w:rPr/>
        <w:t>comenzó</w:t>
      </w:r>
      <w:r>
        <w:rPr>
          <w:spacing w:val="-7"/>
        </w:rPr>
        <w:t> </w:t>
      </w:r>
      <w:r>
        <w:rPr/>
        <w:t>nosocomial</w:t>
      </w:r>
      <w:r>
        <w:rPr>
          <w:spacing w:val="-11"/>
        </w:rPr>
        <w:t> </w:t>
      </w:r>
      <w:r>
        <w:rPr/>
        <w:t>o</w:t>
      </w:r>
      <w:r>
        <w:rPr>
          <w:spacing w:val="-9"/>
        </w:rPr>
        <w:t> </w:t>
      </w:r>
      <w:r>
        <w:rPr/>
        <w:t>en</w:t>
      </w:r>
      <w:r>
        <w:rPr>
          <w:spacing w:val="-9"/>
        </w:rPr>
        <w:t> </w:t>
      </w:r>
      <w:r>
        <w:rPr/>
        <w:t>la</w:t>
      </w:r>
      <w:r>
        <w:rPr>
          <w:spacing w:val="-10"/>
        </w:rPr>
        <w:t> </w:t>
      </w:r>
      <w:r>
        <w:rPr/>
        <w:t>comunidad</w:t>
      </w:r>
      <w:r>
        <w:rPr>
          <w:spacing w:val="-9"/>
        </w:rPr>
        <w:t> </w:t>
      </w:r>
      <w:r>
        <w:rPr/>
        <w:t>(Pesavento</w:t>
      </w:r>
      <w:r>
        <w:rPr>
          <w:spacing w:val="-6"/>
        </w:rPr>
        <w:t> </w:t>
      </w:r>
      <w:r>
        <w:rPr>
          <w:i/>
        </w:rPr>
        <w:t>et</w:t>
      </w:r>
      <w:r>
        <w:rPr>
          <w:i/>
          <w:spacing w:val="-10"/>
        </w:rPr>
        <w:t> </w:t>
      </w:r>
      <w:r>
        <w:rPr>
          <w:i/>
        </w:rPr>
        <w:t>al., </w:t>
      </w:r>
      <w:r>
        <w:rPr/>
        <w:t>2007). La portación nasal varía de acuerdo a la población estudiada, estudios demuestran que es más alta en niños que en adultos (Leonard y Markey, 2008), algunos individuos son colonizados transitoriamente y algunos son persistentemente (Kluytmans,</w:t>
      </w:r>
      <w:r>
        <w:rPr>
          <w:spacing w:val="-11"/>
        </w:rPr>
        <w:t> </w:t>
      </w:r>
      <w:r>
        <w:rPr/>
        <w:t>2010).</w:t>
      </w:r>
    </w:p>
    <w:p>
      <w:pPr>
        <w:pStyle w:val="BodyText"/>
        <w:spacing w:line="276" w:lineRule="auto" w:before="120"/>
        <w:ind w:left="142" w:right="138"/>
        <w:jc w:val="both"/>
      </w:pPr>
      <w:r>
        <w:rPr/>
        <w:t>MRSA está distribuida mundialmente y constituye una preocupación principal en salud humana por su epidemiologia compleja y su habilidad para adquirir nuevos mecanismos de resistencia a antibióticos (Oniciuc </w:t>
      </w:r>
      <w:r>
        <w:rPr>
          <w:i/>
        </w:rPr>
        <w:t>et al., </w:t>
      </w:r>
      <w:r>
        <w:rPr/>
        <w:t>2015). MRSA expresa resistencia a múltiples antibióticos como a las tetraciclinas, ácido fusidico, fluoroquinolonas, macrolidos, lincosamidas, aminoglucosidos y glicopeptidos (Petinaki y Spiliopoulou, 2012), así como al cloranfenicol (Hwa, 2006).</w:t>
      </w:r>
    </w:p>
    <w:p>
      <w:pPr>
        <w:pStyle w:val="BodyText"/>
        <w:spacing w:line="276" w:lineRule="auto" w:before="118"/>
        <w:ind w:left="142" w:right="135"/>
        <w:jc w:val="both"/>
      </w:pPr>
      <w:r>
        <w:rPr/>
        <w:t>El</w:t>
      </w:r>
      <w:r>
        <w:rPr>
          <w:spacing w:val="-8"/>
        </w:rPr>
        <w:t> </w:t>
      </w:r>
      <w:r>
        <w:rPr/>
        <w:t>surgimiento</w:t>
      </w:r>
      <w:r>
        <w:rPr>
          <w:spacing w:val="-8"/>
        </w:rPr>
        <w:t> </w:t>
      </w:r>
      <w:r>
        <w:rPr/>
        <w:t>de</w:t>
      </w:r>
      <w:r>
        <w:rPr>
          <w:spacing w:val="-8"/>
        </w:rPr>
        <w:t> </w:t>
      </w:r>
      <w:r>
        <w:rPr>
          <w:i/>
        </w:rPr>
        <w:t>S.</w:t>
      </w:r>
      <w:r>
        <w:rPr>
          <w:i/>
          <w:spacing w:val="-7"/>
        </w:rPr>
        <w:t> </w:t>
      </w:r>
      <w:r>
        <w:rPr>
          <w:i/>
        </w:rPr>
        <w:t>aureus</w:t>
      </w:r>
      <w:r>
        <w:rPr>
          <w:i/>
          <w:spacing w:val="-8"/>
        </w:rPr>
        <w:t> </w:t>
      </w:r>
      <w:r>
        <w:rPr/>
        <w:t>multiresistentes</w:t>
      </w:r>
      <w:r>
        <w:rPr>
          <w:spacing w:val="-9"/>
        </w:rPr>
        <w:t> </w:t>
      </w:r>
      <w:r>
        <w:rPr/>
        <w:t>representa</w:t>
      </w:r>
      <w:r>
        <w:rPr>
          <w:spacing w:val="-7"/>
        </w:rPr>
        <w:t> </w:t>
      </w:r>
      <w:r>
        <w:rPr/>
        <w:t>una</w:t>
      </w:r>
      <w:r>
        <w:rPr>
          <w:spacing w:val="-7"/>
        </w:rPr>
        <w:t> </w:t>
      </w:r>
      <w:r>
        <w:rPr/>
        <w:t>respuesta</w:t>
      </w:r>
      <w:r>
        <w:rPr>
          <w:spacing w:val="-7"/>
        </w:rPr>
        <w:t> </w:t>
      </w:r>
      <w:r>
        <w:rPr/>
        <w:t>secuencial</w:t>
      </w:r>
      <w:r>
        <w:rPr>
          <w:spacing w:val="-12"/>
        </w:rPr>
        <w:t> </w:t>
      </w:r>
      <w:r>
        <w:rPr/>
        <w:t>a la presión selectiva impuesta por la terapia antimicrobiana; la acumulación y la diseminación de la resistencia es producto del intercambio de determinantes de resistencia</w:t>
      </w:r>
      <w:r>
        <w:rPr>
          <w:spacing w:val="-13"/>
        </w:rPr>
        <w:t> </w:t>
      </w:r>
      <w:r>
        <w:rPr/>
        <w:t>preexistente</w:t>
      </w:r>
      <w:r>
        <w:rPr>
          <w:spacing w:val="-13"/>
        </w:rPr>
        <w:t> </w:t>
      </w:r>
      <w:r>
        <w:rPr/>
        <w:t>portados</w:t>
      </w:r>
      <w:r>
        <w:rPr>
          <w:spacing w:val="-16"/>
        </w:rPr>
        <w:t> </w:t>
      </w:r>
      <w:r>
        <w:rPr/>
        <w:t>ADN</w:t>
      </w:r>
      <w:r>
        <w:rPr>
          <w:spacing w:val="-15"/>
        </w:rPr>
        <w:t> </w:t>
      </w:r>
      <w:r>
        <w:rPr/>
        <w:t>exógeno</w:t>
      </w:r>
      <w:r>
        <w:rPr>
          <w:spacing w:val="-13"/>
        </w:rPr>
        <w:t> </w:t>
      </w:r>
      <w:r>
        <w:rPr/>
        <w:t>móvil</w:t>
      </w:r>
      <w:r>
        <w:rPr>
          <w:spacing w:val="-15"/>
        </w:rPr>
        <w:t> </w:t>
      </w:r>
      <w:r>
        <w:rPr/>
        <w:t>constituido</w:t>
      </w:r>
      <w:r>
        <w:rPr>
          <w:spacing w:val="-15"/>
        </w:rPr>
        <w:t> </w:t>
      </w:r>
      <w:r>
        <w:rPr/>
        <w:t>por</w:t>
      </w:r>
      <w:r>
        <w:rPr>
          <w:spacing w:val="-14"/>
        </w:rPr>
        <w:t> </w:t>
      </w:r>
      <w:r>
        <w:rPr/>
        <w:t>transposones, bacteriófagos, islas de patogenicidad (Velázquez-Meza, 2005; Cervantes-García</w:t>
      </w:r>
      <w:r>
        <w:rPr>
          <w:spacing w:val="-32"/>
        </w:rPr>
        <w:t> </w:t>
      </w:r>
      <w:r>
        <w:rPr>
          <w:i/>
        </w:rPr>
        <w:t>et </w:t>
      </w:r>
      <w:r>
        <w:rPr>
          <w:i/>
        </w:rPr>
        <w:t>al.</w:t>
      </w:r>
      <w:r>
        <w:rPr/>
        <w:t>, 2014), integrones, secuencias de inserción y plásmidos; estos últimos son altamente transferibles entre especies bacterianas emparentadas o no genéticamente</w:t>
      </w:r>
      <w:r>
        <w:rPr>
          <w:spacing w:val="-17"/>
        </w:rPr>
        <w:t> </w:t>
      </w:r>
      <w:r>
        <w:rPr/>
        <w:t>causando</w:t>
      </w:r>
      <w:r>
        <w:rPr>
          <w:spacing w:val="-18"/>
        </w:rPr>
        <w:t> </w:t>
      </w:r>
      <w:r>
        <w:rPr/>
        <w:t>la</w:t>
      </w:r>
      <w:r>
        <w:rPr>
          <w:spacing w:val="-19"/>
        </w:rPr>
        <w:t> </w:t>
      </w:r>
      <w:r>
        <w:rPr/>
        <w:t>diseminación</w:t>
      </w:r>
      <w:r>
        <w:rPr>
          <w:spacing w:val="-18"/>
        </w:rPr>
        <w:t> </w:t>
      </w:r>
      <w:r>
        <w:rPr/>
        <w:t>de</w:t>
      </w:r>
      <w:r>
        <w:rPr>
          <w:spacing w:val="-21"/>
        </w:rPr>
        <w:t> </w:t>
      </w:r>
      <w:r>
        <w:rPr/>
        <w:t>genes</w:t>
      </w:r>
      <w:r>
        <w:rPr>
          <w:spacing w:val="-18"/>
        </w:rPr>
        <w:t> </w:t>
      </w:r>
      <w:r>
        <w:rPr/>
        <w:t>de</w:t>
      </w:r>
      <w:r>
        <w:rPr>
          <w:spacing w:val="-19"/>
        </w:rPr>
        <w:t> </w:t>
      </w:r>
      <w:r>
        <w:rPr/>
        <w:t>resistencia</w:t>
      </w:r>
      <w:r>
        <w:rPr>
          <w:spacing w:val="-18"/>
        </w:rPr>
        <w:t> </w:t>
      </w:r>
      <w:r>
        <w:rPr/>
        <w:t>entre</w:t>
      </w:r>
      <w:r>
        <w:rPr>
          <w:spacing w:val="-18"/>
        </w:rPr>
        <w:t> </w:t>
      </w:r>
      <w:r>
        <w:rPr/>
        <w:t>poblaciones</w:t>
      </w:r>
    </w:p>
    <w:p>
      <w:pPr>
        <w:spacing w:after="0" w:line="276" w:lineRule="auto"/>
        <w:jc w:val="both"/>
        <w:sectPr>
          <w:pgSz w:w="12240" w:h="15840"/>
          <w:pgMar w:header="728" w:footer="1135" w:top="1200" w:bottom="1320" w:left="1560" w:right="1560"/>
        </w:sectPr>
      </w:pPr>
    </w:p>
    <w:p>
      <w:pPr>
        <w:pStyle w:val="BodyText"/>
        <w:spacing w:before="7"/>
        <w:rPr>
          <w:sz w:val="12"/>
        </w:rPr>
      </w:pPr>
    </w:p>
    <w:p>
      <w:pPr>
        <w:pStyle w:val="BodyText"/>
        <w:spacing w:line="276" w:lineRule="auto" w:before="69"/>
        <w:ind w:left="142" w:right="135"/>
        <w:jc w:val="both"/>
      </w:pPr>
      <w:r>
        <w:rPr/>
        <w:t>bacterianas (Rivera-Salazar </w:t>
      </w:r>
      <w:r>
        <w:rPr>
          <w:i/>
        </w:rPr>
        <w:t>et al.</w:t>
      </w:r>
      <w:r>
        <w:rPr/>
        <w:t>, 2011). La transferencia de genes entre varios miembros de especies de estafilococos es un evento frecuente que le permite la adaptación a entornos cambiantes del hospedero ya que </w:t>
      </w:r>
      <w:r>
        <w:rPr>
          <w:i/>
        </w:rPr>
        <w:t>S. aureus </w:t>
      </w:r>
      <w:r>
        <w:rPr/>
        <w:t>es capaz de adaptarse a una amplia gama de condiciones ambientales y rápidamente se convierte resistente a prácticamente todos los antibióticos (Visciano </w:t>
      </w:r>
      <w:r>
        <w:rPr>
          <w:i/>
        </w:rPr>
        <w:t>et al</w:t>
      </w:r>
      <w:r>
        <w:rPr/>
        <w:t>., 2014). Estos elementos genéticos extracromosomales móviles contienen determinantes específicos responsables del desarrollo de la enfermedad y resistencia a múltiples antibióticos; el intercambio de genes es la clave de </w:t>
      </w:r>
      <w:r>
        <w:rPr>
          <w:i/>
        </w:rPr>
        <w:t>S. aureus </w:t>
      </w:r>
      <w:r>
        <w:rPr/>
        <w:t>en la evolución, la “plasticidad” genética que presenta es una explicación su éxito para colonizar y provocar el desarrollo de enfermedades (Cervantes-García </w:t>
      </w:r>
      <w:r>
        <w:rPr>
          <w:i/>
        </w:rPr>
        <w:t>et al</w:t>
      </w:r>
      <w:r>
        <w:rPr/>
        <w:t>., 2014).</w:t>
      </w:r>
    </w:p>
    <w:p>
      <w:pPr>
        <w:pStyle w:val="BodyText"/>
        <w:spacing w:line="276" w:lineRule="auto" w:before="121"/>
        <w:ind w:left="142" w:right="135"/>
        <w:jc w:val="both"/>
      </w:pPr>
      <w:r>
        <w:rPr/>
        <w:t>El acrónimo MRSA (Methicillin resistant </w:t>
      </w:r>
      <w:r>
        <w:rPr>
          <w:i/>
        </w:rPr>
        <w:t>Staphylococcus aureus</w:t>
      </w:r>
      <w:r>
        <w:rPr/>
        <w:t>), es generalmente utilizado en vez de ORSA por su papel histórico, cuando la resistencia fue descrita por primera vez, meticilina fue utilizado para tratar infecciones causadas por </w:t>
      </w:r>
      <w:r>
        <w:rPr>
          <w:i/>
        </w:rPr>
        <w:t>S. </w:t>
      </w:r>
      <w:r>
        <w:rPr>
          <w:i/>
        </w:rPr>
        <w:t>aureus</w:t>
      </w:r>
      <w:r>
        <w:rPr/>
        <w:t>. Sin embargo oxacilina que se encuentra dentro de la misma clase de antibióticos que la meticilina fue elegida como agente de elección para pruebas de estafilococos a principios de 1990 (Prère </w:t>
      </w:r>
      <w:r>
        <w:rPr>
          <w:i/>
        </w:rPr>
        <w:t>et al., </w:t>
      </w:r>
      <w:r>
        <w:rPr/>
        <w:t>2006).</w:t>
      </w:r>
    </w:p>
    <w:p>
      <w:pPr>
        <w:pStyle w:val="BodyText"/>
        <w:spacing w:line="276" w:lineRule="auto" w:before="125"/>
        <w:ind w:left="142" w:right="141"/>
        <w:jc w:val="both"/>
      </w:pPr>
      <w:r>
        <w:rPr/>
        <w:t>La resistencia en bacterias de granjas puede contribuir a los altos niveles de resistencia en infecciones humanas en dos formas principales: podrían causar directamente la infección en humanos y esta infección podría ser resistente a antibióticos</w:t>
      </w:r>
      <w:r>
        <w:rPr>
          <w:spacing w:val="-17"/>
        </w:rPr>
        <w:t> </w:t>
      </w:r>
      <w:r>
        <w:rPr/>
        <w:t>y</w:t>
      </w:r>
      <w:r>
        <w:rPr>
          <w:spacing w:val="-19"/>
        </w:rPr>
        <w:t> </w:t>
      </w:r>
      <w:r>
        <w:rPr/>
        <w:t>la</w:t>
      </w:r>
      <w:r>
        <w:rPr>
          <w:spacing w:val="-17"/>
        </w:rPr>
        <w:t> </w:t>
      </w:r>
      <w:r>
        <w:rPr/>
        <w:t>segunda;</w:t>
      </w:r>
      <w:r>
        <w:rPr>
          <w:spacing w:val="-17"/>
        </w:rPr>
        <w:t> </w:t>
      </w:r>
      <w:r>
        <w:rPr/>
        <w:t>podrían</w:t>
      </w:r>
      <w:r>
        <w:rPr>
          <w:spacing w:val="-17"/>
        </w:rPr>
        <w:t> </w:t>
      </w:r>
      <w:r>
        <w:rPr/>
        <w:t>colonizar</w:t>
      </w:r>
      <w:r>
        <w:rPr>
          <w:spacing w:val="-17"/>
        </w:rPr>
        <w:t> </w:t>
      </w:r>
      <w:r>
        <w:rPr/>
        <w:t>el</w:t>
      </w:r>
      <w:r>
        <w:rPr>
          <w:spacing w:val="-17"/>
        </w:rPr>
        <w:t> </w:t>
      </w:r>
      <w:r>
        <w:rPr/>
        <w:t>intestino</w:t>
      </w:r>
      <w:r>
        <w:rPr>
          <w:spacing w:val="-17"/>
        </w:rPr>
        <w:t> </w:t>
      </w:r>
      <w:r>
        <w:rPr/>
        <w:t>(y</w:t>
      </w:r>
      <w:r>
        <w:rPr>
          <w:spacing w:val="-19"/>
        </w:rPr>
        <w:t> </w:t>
      </w:r>
      <w:r>
        <w:rPr/>
        <w:t>potencialmente</w:t>
      </w:r>
      <w:r>
        <w:rPr>
          <w:spacing w:val="-16"/>
        </w:rPr>
        <w:t> </w:t>
      </w:r>
      <w:r>
        <w:rPr/>
        <w:t>otros</w:t>
      </w:r>
      <w:r>
        <w:rPr>
          <w:spacing w:val="-17"/>
        </w:rPr>
        <w:t> </w:t>
      </w:r>
      <w:r>
        <w:rPr/>
        <w:t>sitios como las fosas nasales), sin causar una infección y transmitir copias de sus genes de resistencia (horizontalmente) a bacterias que ya viven en el intestino humano. Las bacterias adaptadas al humano reciben los genes de resistencia y pueden subsecuentemente causar una infección si se meten en la parte equivocada del cuerpo, de esta manera el patógeno tendrá origen humano pero la resistencia será originada del uso de los antibióticos en la granja (Visciano </w:t>
      </w:r>
      <w:r>
        <w:rPr>
          <w:i/>
        </w:rPr>
        <w:t>et al.,</w:t>
      </w:r>
      <w:r>
        <w:rPr>
          <w:i/>
          <w:spacing w:val="-1"/>
        </w:rPr>
        <w:t> </w:t>
      </w:r>
      <w:r>
        <w:rPr/>
        <w:t>2014).</w:t>
      </w:r>
    </w:p>
    <w:p>
      <w:pPr>
        <w:pStyle w:val="BodyText"/>
      </w:pPr>
    </w:p>
    <w:p>
      <w:pPr>
        <w:pStyle w:val="BodyText"/>
        <w:spacing w:before="7"/>
      </w:pPr>
    </w:p>
    <w:p>
      <w:pPr>
        <w:pStyle w:val="Heading2"/>
        <w:spacing w:before="1"/>
        <w:jc w:val="both"/>
      </w:pPr>
      <w:bookmarkStart w:name="_bookmark16" w:id="23"/>
      <w:bookmarkEnd w:id="23"/>
      <w:r>
        <w:rPr>
          <w:b w:val="0"/>
        </w:rPr>
      </w:r>
      <w:r>
        <w:rPr/>
        <w:t>Resistencia a β-láctamicos</w:t>
      </w:r>
    </w:p>
    <w:p>
      <w:pPr>
        <w:pStyle w:val="BodyText"/>
        <w:spacing w:line="276" w:lineRule="auto" w:before="26"/>
        <w:ind w:left="142" w:right="136"/>
        <w:jc w:val="both"/>
      </w:pPr>
      <w:r>
        <w:rPr/>
        <w:t>Genes que expresan resistencia a antibióticos en </w:t>
      </w:r>
      <w:r>
        <w:rPr>
          <w:i/>
        </w:rPr>
        <w:t>Staphylococcus aureus </w:t>
      </w:r>
      <w:r>
        <w:rPr/>
        <w:t>pueden ser en ADN plasmídico o cromosómico, resistencia a la meticilina es cromosomal por lo que su difusión es más lenta pero continua (Pesavento </w:t>
      </w:r>
      <w:r>
        <w:rPr>
          <w:i/>
        </w:rPr>
        <w:t>et al., </w:t>
      </w:r>
      <w:r>
        <w:rPr/>
        <w:t>2007). Resistencia a la meticilina está asociada con la adquisición de una isla de resistencia llamada </w:t>
      </w:r>
      <w:r>
        <w:rPr>
          <w:i/>
        </w:rPr>
        <w:t>SCCmec</w:t>
      </w:r>
      <w:r>
        <w:rPr/>
        <w:t>, un fragmento de ADN exógeno, de tamaño variable, que</w:t>
      </w:r>
      <w:r>
        <w:rPr>
          <w:spacing w:val="-11"/>
        </w:rPr>
        <w:t> </w:t>
      </w:r>
      <w:r>
        <w:rPr/>
        <w:t>está</w:t>
      </w:r>
      <w:r>
        <w:rPr>
          <w:spacing w:val="-13"/>
        </w:rPr>
        <w:t> </w:t>
      </w:r>
      <w:r>
        <w:rPr/>
        <w:t>ausente</w:t>
      </w:r>
      <w:r>
        <w:rPr>
          <w:spacing w:val="-13"/>
        </w:rPr>
        <w:t> </w:t>
      </w:r>
      <w:r>
        <w:rPr/>
        <w:t>en</w:t>
      </w:r>
      <w:r>
        <w:rPr>
          <w:spacing w:val="-11"/>
        </w:rPr>
        <w:t> </w:t>
      </w:r>
      <w:r>
        <w:rPr/>
        <w:t>las</w:t>
      </w:r>
      <w:r>
        <w:rPr>
          <w:spacing w:val="-12"/>
        </w:rPr>
        <w:t> </w:t>
      </w:r>
      <w:r>
        <w:rPr/>
        <w:t>cepas</w:t>
      </w:r>
      <w:r>
        <w:rPr>
          <w:spacing w:val="-14"/>
        </w:rPr>
        <w:t> </w:t>
      </w:r>
      <w:r>
        <w:rPr/>
        <w:t>de</w:t>
      </w:r>
      <w:r>
        <w:rPr>
          <w:spacing w:val="-13"/>
        </w:rPr>
        <w:t> </w:t>
      </w:r>
      <w:r>
        <w:rPr/>
        <w:t>cepas</w:t>
      </w:r>
      <w:r>
        <w:rPr>
          <w:spacing w:val="-14"/>
        </w:rPr>
        <w:t> </w:t>
      </w:r>
      <w:r>
        <w:rPr/>
        <w:t>meticilina</w:t>
      </w:r>
      <w:r>
        <w:rPr>
          <w:spacing w:val="-10"/>
        </w:rPr>
        <w:t> </w:t>
      </w:r>
      <w:r>
        <w:rPr/>
        <w:t>sensible</w:t>
      </w:r>
      <w:r>
        <w:rPr>
          <w:spacing w:val="-13"/>
        </w:rPr>
        <w:t> </w:t>
      </w:r>
      <w:r>
        <w:rPr/>
        <w:t>(Stefani</w:t>
      </w:r>
      <w:r>
        <w:rPr>
          <w:spacing w:val="-14"/>
        </w:rPr>
        <w:t> </w:t>
      </w:r>
      <w:r>
        <w:rPr/>
        <w:t>y</w:t>
      </w:r>
      <w:r>
        <w:rPr>
          <w:spacing w:val="-14"/>
        </w:rPr>
        <w:t> </w:t>
      </w:r>
      <w:r>
        <w:rPr/>
        <w:t>Goglio,</w:t>
      </w:r>
      <w:r>
        <w:rPr>
          <w:spacing w:val="-11"/>
        </w:rPr>
        <w:t> </w:t>
      </w:r>
      <w:r>
        <w:rPr/>
        <w:t>2010).</w:t>
      </w:r>
    </w:p>
    <w:p>
      <w:pPr>
        <w:spacing w:line="276" w:lineRule="auto" w:before="120"/>
        <w:ind w:left="142" w:right="134" w:firstLine="0"/>
        <w:jc w:val="both"/>
        <w:rPr>
          <w:sz w:val="24"/>
        </w:rPr>
      </w:pPr>
      <w:r>
        <w:rPr>
          <w:sz w:val="24"/>
        </w:rPr>
        <w:t>El elemento central de la resistencia a la meticilina es la adquisición horizontal del gen </w:t>
      </w:r>
      <w:r>
        <w:rPr>
          <w:i/>
          <w:sz w:val="24"/>
        </w:rPr>
        <w:t>mecA</w:t>
      </w:r>
      <w:r>
        <w:rPr>
          <w:sz w:val="24"/>
        </w:rPr>
        <w:t>, el cual se introduce en un elemento genético móvil grande, conocido como casete cromosomal estafilocócico </w:t>
      </w:r>
      <w:r>
        <w:rPr>
          <w:i/>
          <w:sz w:val="24"/>
        </w:rPr>
        <w:t>mec </w:t>
      </w:r>
      <w:r>
        <w:rPr>
          <w:sz w:val="24"/>
        </w:rPr>
        <w:t>(“</w:t>
      </w:r>
      <w:r>
        <w:rPr>
          <w:i/>
          <w:sz w:val="24"/>
        </w:rPr>
        <w:t>staphylococcal cassette </w:t>
      </w:r>
      <w:r>
        <w:rPr>
          <w:i/>
          <w:sz w:val="24"/>
        </w:rPr>
        <w:t>chromosome mec SSCmec</w:t>
      </w:r>
      <w:r>
        <w:rPr>
          <w:sz w:val="24"/>
        </w:rPr>
        <w:t>) en una cepa de </w:t>
      </w:r>
      <w:r>
        <w:rPr>
          <w:i/>
          <w:sz w:val="24"/>
        </w:rPr>
        <w:t>Staphylcococus aureus </w:t>
      </w:r>
      <w:r>
        <w:rPr>
          <w:sz w:val="24"/>
        </w:rPr>
        <w:t>meticilina- susceptible. (Grundmann </w:t>
      </w:r>
      <w:r>
        <w:rPr>
          <w:i/>
          <w:sz w:val="24"/>
        </w:rPr>
        <w:t>et al.</w:t>
      </w:r>
      <w:r>
        <w:rPr>
          <w:sz w:val="24"/>
        </w:rPr>
        <w:t>, 2006; Bustos Martínez </w:t>
      </w:r>
      <w:r>
        <w:rPr>
          <w:i/>
          <w:sz w:val="24"/>
        </w:rPr>
        <w:t>et al., </w:t>
      </w:r>
      <w:r>
        <w:rPr>
          <w:sz w:val="24"/>
        </w:rPr>
        <w:t>2006).</w:t>
      </w:r>
    </w:p>
    <w:p>
      <w:pPr>
        <w:spacing w:after="0" w:line="276" w:lineRule="auto"/>
        <w:jc w:val="both"/>
        <w:rPr>
          <w:sz w:val="24"/>
        </w:rPr>
        <w:sectPr>
          <w:pgSz w:w="12240" w:h="15840"/>
          <w:pgMar w:header="728" w:footer="1135" w:top="1200" w:bottom="1320" w:left="1560" w:right="1560"/>
        </w:sectPr>
      </w:pPr>
    </w:p>
    <w:p>
      <w:pPr>
        <w:pStyle w:val="BodyText"/>
        <w:spacing w:before="9"/>
        <w:rPr>
          <w:sz w:val="12"/>
        </w:rPr>
      </w:pPr>
    </w:p>
    <w:p>
      <w:pPr>
        <w:pStyle w:val="BodyText"/>
        <w:spacing w:line="276" w:lineRule="auto" w:before="70"/>
        <w:ind w:left="142" w:right="135"/>
        <w:jc w:val="both"/>
      </w:pPr>
      <w:r>
        <w:rPr/>
        <w:t>Este cassette no es endógeno de la bacteria y se encuentra integrado en el cromosoma, el gen </w:t>
      </w:r>
      <w:r>
        <w:rPr>
          <w:i/>
        </w:rPr>
        <w:t>mecA </w:t>
      </w:r>
      <w:r>
        <w:rPr/>
        <w:t>codifica para una proteína de unión a la penicilina (PBP) de 78 kDa, llamada PBP2a (Bustos Martínez </w:t>
      </w:r>
      <w:r>
        <w:rPr>
          <w:i/>
        </w:rPr>
        <w:t>et al., </w:t>
      </w:r>
      <w:r>
        <w:rPr/>
        <w:t>2006). PBP2a es una transpeptidasa</w:t>
      </w:r>
      <w:r>
        <w:rPr>
          <w:spacing w:val="-7"/>
        </w:rPr>
        <w:t> </w:t>
      </w:r>
      <w:r>
        <w:rPr/>
        <w:t>que,</w:t>
      </w:r>
      <w:r>
        <w:rPr>
          <w:spacing w:val="-7"/>
        </w:rPr>
        <w:t> </w:t>
      </w:r>
      <w:r>
        <w:rPr/>
        <w:t>asistido</w:t>
      </w:r>
      <w:r>
        <w:rPr>
          <w:spacing w:val="-7"/>
        </w:rPr>
        <w:t> </w:t>
      </w:r>
      <w:r>
        <w:rPr/>
        <w:t>por</w:t>
      </w:r>
      <w:r>
        <w:rPr>
          <w:spacing w:val="-8"/>
        </w:rPr>
        <w:t> </w:t>
      </w:r>
      <w:r>
        <w:rPr/>
        <w:t>el</w:t>
      </w:r>
      <w:r>
        <w:rPr>
          <w:spacing w:val="-5"/>
        </w:rPr>
        <w:t> </w:t>
      </w:r>
      <w:r>
        <w:rPr/>
        <w:t>dominio</w:t>
      </w:r>
      <w:r>
        <w:rPr>
          <w:spacing w:val="-7"/>
        </w:rPr>
        <w:t> </w:t>
      </w:r>
      <w:r>
        <w:rPr/>
        <w:t>de</w:t>
      </w:r>
      <w:r>
        <w:rPr>
          <w:spacing w:val="-9"/>
        </w:rPr>
        <w:t> </w:t>
      </w:r>
      <w:r>
        <w:rPr/>
        <w:t>la</w:t>
      </w:r>
      <w:r>
        <w:rPr>
          <w:spacing w:val="-7"/>
        </w:rPr>
        <w:t> </w:t>
      </w:r>
      <w:r>
        <w:rPr/>
        <w:t>transglicosilada</w:t>
      </w:r>
      <w:r>
        <w:rPr>
          <w:spacing w:val="-7"/>
        </w:rPr>
        <w:t> </w:t>
      </w:r>
      <w:r>
        <w:rPr/>
        <w:t>PBP2</w:t>
      </w:r>
      <w:r>
        <w:rPr>
          <w:spacing w:val="-7"/>
        </w:rPr>
        <w:t> </w:t>
      </w:r>
      <w:r>
        <w:rPr/>
        <w:t>nativo</w:t>
      </w:r>
      <w:r>
        <w:rPr>
          <w:spacing w:val="-7"/>
        </w:rPr>
        <w:t> </w:t>
      </w:r>
      <w:r>
        <w:rPr/>
        <w:t>de</w:t>
      </w:r>
      <w:r>
        <w:rPr>
          <w:spacing w:val="-2"/>
        </w:rPr>
        <w:t> </w:t>
      </w:r>
      <w:r>
        <w:rPr>
          <w:i/>
        </w:rPr>
        <w:t>S. </w:t>
      </w:r>
      <w:r>
        <w:rPr>
          <w:i/>
        </w:rPr>
        <w:t>aureus </w:t>
      </w:r>
      <w:r>
        <w:rPr/>
        <w:t>se hace cargo de la función de la biosíntesis de las paredes celulares que es de otra manera bloqueado en presencia de antibióticos β-lactámicos (Grundmann </w:t>
      </w:r>
      <w:r>
        <w:rPr>
          <w:i/>
        </w:rPr>
        <w:t>et al.</w:t>
      </w:r>
      <w:r>
        <w:rPr/>
        <w:t>, 2006). PBP2´ (2a) es la molécula clave que confiere resistencia contra β-lactámicos, es la proteína de la unión a la penicilina, </w:t>
      </w:r>
      <w:r>
        <w:rPr>
          <w:i/>
        </w:rPr>
        <w:t>S. aureus </w:t>
      </w:r>
      <w:r>
        <w:rPr/>
        <w:t>meticilina susceptible (MSSA) posee 4 PBP´s conocidas como PBP1-4. En MSSA todas las PBP´s son inactivadas en presencia de β-lactámicos, que conduce a la muerte celular</w:t>
      </w:r>
      <w:r>
        <w:rPr>
          <w:spacing w:val="-5"/>
        </w:rPr>
        <w:t> </w:t>
      </w:r>
      <w:r>
        <w:rPr/>
        <w:t>que</w:t>
      </w:r>
      <w:r>
        <w:rPr>
          <w:spacing w:val="-4"/>
        </w:rPr>
        <w:t> </w:t>
      </w:r>
      <w:r>
        <w:rPr/>
        <w:t>es</w:t>
      </w:r>
      <w:r>
        <w:rPr>
          <w:spacing w:val="-4"/>
        </w:rPr>
        <w:t> </w:t>
      </w:r>
      <w:r>
        <w:rPr/>
        <w:t>causada</w:t>
      </w:r>
      <w:r>
        <w:rPr>
          <w:spacing w:val="-4"/>
        </w:rPr>
        <w:t> </w:t>
      </w:r>
      <w:r>
        <w:rPr/>
        <w:t>por</w:t>
      </w:r>
      <w:r>
        <w:rPr>
          <w:spacing w:val="-5"/>
        </w:rPr>
        <w:t> </w:t>
      </w:r>
      <w:r>
        <w:rPr/>
        <w:t>la</w:t>
      </w:r>
      <w:r>
        <w:rPr>
          <w:spacing w:val="-4"/>
        </w:rPr>
        <w:t> </w:t>
      </w:r>
      <w:r>
        <w:rPr/>
        <w:t>inhibición</w:t>
      </w:r>
      <w:r>
        <w:rPr>
          <w:spacing w:val="-4"/>
        </w:rPr>
        <w:t> </w:t>
      </w:r>
      <w:r>
        <w:rPr/>
        <w:t>de</w:t>
      </w:r>
      <w:r>
        <w:rPr>
          <w:spacing w:val="-4"/>
        </w:rPr>
        <w:t> </w:t>
      </w:r>
      <w:r>
        <w:rPr/>
        <w:t>la</w:t>
      </w:r>
      <w:r>
        <w:rPr>
          <w:spacing w:val="-6"/>
        </w:rPr>
        <w:t> </w:t>
      </w:r>
      <w:r>
        <w:rPr/>
        <w:t>reacción</w:t>
      </w:r>
      <w:r>
        <w:rPr>
          <w:spacing w:val="-3"/>
        </w:rPr>
        <w:t> </w:t>
      </w:r>
      <w:r>
        <w:rPr/>
        <w:t>de</w:t>
      </w:r>
      <w:r>
        <w:rPr>
          <w:spacing w:val="-4"/>
        </w:rPr>
        <w:t> </w:t>
      </w:r>
      <w:r>
        <w:rPr/>
        <w:t>la</w:t>
      </w:r>
      <w:r>
        <w:rPr>
          <w:spacing w:val="-6"/>
        </w:rPr>
        <w:t> </w:t>
      </w:r>
      <w:r>
        <w:rPr/>
        <w:t>transpeptidasa,</w:t>
      </w:r>
      <w:r>
        <w:rPr>
          <w:spacing w:val="-4"/>
        </w:rPr>
        <w:t> </w:t>
      </w:r>
      <w:r>
        <w:rPr/>
        <w:t>uno</w:t>
      </w:r>
      <w:r>
        <w:rPr>
          <w:spacing w:val="-4"/>
        </w:rPr>
        <w:t> </w:t>
      </w:r>
      <w:r>
        <w:rPr/>
        <w:t>de los pasos finales de la biosíntesis de la pared celular. (Kawada y Komatsuzawa, 2012).En Contraste, MRSA sobrevive en presencia de β-lactámicos porque una PBP2´</w:t>
      </w:r>
      <w:r>
        <w:rPr>
          <w:spacing w:val="-7"/>
        </w:rPr>
        <w:t> </w:t>
      </w:r>
      <w:r>
        <w:rPr/>
        <w:t>extra</w:t>
      </w:r>
      <w:r>
        <w:rPr>
          <w:spacing w:val="-6"/>
        </w:rPr>
        <w:t> </w:t>
      </w:r>
      <w:r>
        <w:rPr/>
        <w:t>que</w:t>
      </w:r>
      <w:r>
        <w:rPr>
          <w:spacing w:val="-6"/>
        </w:rPr>
        <w:t> </w:t>
      </w:r>
      <w:r>
        <w:rPr/>
        <w:t>es</w:t>
      </w:r>
      <w:r>
        <w:rPr>
          <w:spacing w:val="-7"/>
        </w:rPr>
        <w:t> </w:t>
      </w:r>
      <w:r>
        <w:rPr/>
        <w:t>específica</w:t>
      </w:r>
      <w:r>
        <w:rPr>
          <w:spacing w:val="-6"/>
        </w:rPr>
        <w:t> </w:t>
      </w:r>
      <w:r>
        <w:rPr/>
        <w:t>para</w:t>
      </w:r>
      <w:r>
        <w:rPr>
          <w:spacing w:val="-7"/>
        </w:rPr>
        <w:t> </w:t>
      </w:r>
      <w:r>
        <w:rPr/>
        <w:t>MRSA</w:t>
      </w:r>
      <w:r>
        <w:rPr>
          <w:spacing w:val="-6"/>
        </w:rPr>
        <w:t> </w:t>
      </w:r>
      <w:r>
        <w:rPr/>
        <w:t>tiene</w:t>
      </w:r>
      <w:r>
        <w:rPr>
          <w:spacing w:val="-6"/>
        </w:rPr>
        <w:t> </w:t>
      </w:r>
      <w:r>
        <w:rPr/>
        <w:t>una</w:t>
      </w:r>
      <w:r>
        <w:rPr>
          <w:spacing w:val="-6"/>
        </w:rPr>
        <w:t> </w:t>
      </w:r>
      <w:r>
        <w:rPr/>
        <w:t>baja</w:t>
      </w:r>
      <w:r>
        <w:rPr>
          <w:spacing w:val="-6"/>
        </w:rPr>
        <w:t> </w:t>
      </w:r>
      <w:r>
        <w:rPr/>
        <w:t>afinidad</w:t>
      </w:r>
      <w:r>
        <w:rPr>
          <w:spacing w:val="-6"/>
        </w:rPr>
        <w:t> </w:t>
      </w:r>
      <w:r>
        <w:rPr/>
        <w:t>para</w:t>
      </w:r>
      <w:r>
        <w:rPr>
          <w:spacing w:val="-7"/>
        </w:rPr>
        <w:t> </w:t>
      </w:r>
      <w:r>
        <w:rPr/>
        <w:t>la</w:t>
      </w:r>
      <w:r>
        <w:rPr>
          <w:spacing w:val="-6"/>
        </w:rPr>
        <w:t> </w:t>
      </w:r>
      <w:r>
        <w:rPr/>
        <w:t>meticilina y todos los antibióticos β-lactámicos que se han desarrollado incluyendo las isoxazoil</w:t>
      </w:r>
      <w:r>
        <w:rPr>
          <w:spacing w:val="-13"/>
        </w:rPr>
        <w:t> </w:t>
      </w:r>
      <w:r>
        <w:rPr/>
        <w:t>penicilina</w:t>
      </w:r>
      <w:r>
        <w:rPr>
          <w:spacing w:val="-12"/>
        </w:rPr>
        <w:t> </w:t>
      </w:r>
      <w:r>
        <w:rPr/>
        <w:t>(Ejemplo:</w:t>
      </w:r>
      <w:r>
        <w:rPr>
          <w:spacing w:val="-12"/>
        </w:rPr>
        <w:t> </w:t>
      </w:r>
      <w:r>
        <w:rPr/>
        <w:t>la</w:t>
      </w:r>
      <w:r>
        <w:rPr>
          <w:spacing w:val="-14"/>
        </w:rPr>
        <w:t> </w:t>
      </w:r>
      <w:r>
        <w:rPr/>
        <w:t>oxacilina).</w:t>
      </w:r>
      <w:r>
        <w:rPr>
          <w:spacing w:val="-13"/>
        </w:rPr>
        <w:t> </w:t>
      </w:r>
      <w:r>
        <w:rPr/>
        <w:t>La</w:t>
      </w:r>
      <w:r>
        <w:rPr>
          <w:spacing w:val="-14"/>
        </w:rPr>
        <w:t> </w:t>
      </w:r>
      <w:r>
        <w:rPr/>
        <w:t>proteína</w:t>
      </w:r>
      <w:r>
        <w:rPr>
          <w:spacing w:val="-14"/>
        </w:rPr>
        <w:t> </w:t>
      </w:r>
      <w:r>
        <w:rPr/>
        <w:t>PBP2a</w:t>
      </w:r>
      <w:r>
        <w:rPr>
          <w:spacing w:val="-14"/>
        </w:rPr>
        <w:t> </w:t>
      </w:r>
      <w:r>
        <w:rPr/>
        <w:t>conserva</w:t>
      </w:r>
      <w:r>
        <w:rPr>
          <w:spacing w:val="-12"/>
        </w:rPr>
        <w:t> </w:t>
      </w:r>
      <w:r>
        <w:rPr/>
        <w:t>su</w:t>
      </w:r>
      <w:r>
        <w:rPr>
          <w:spacing w:val="-12"/>
        </w:rPr>
        <w:t> </w:t>
      </w:r>
      <w:r>
        <w:rPr/>
        <w:t>actividad en presencia de β-lactámicos permitiendo continuar con la síntesis de peptidoglicano para la pared célula aun cuando las PBP normales estén inhibidas por los antibióticos (Bustos Martínez </w:t>
      </w:r>
      <w:r>
        <w:rPr>
          <w:i/>
        </w:rPr>
        <w:t>et al., </w:t>
      </w:r>
      <w:r>
        <w:rPr/>
        <w:t>2006; Kawada y Komatsuzawa,</w:t>
      </w:r>
      <w:r>
        <w:rPr>
          <w:spacing w:val="-27"/>
        </w:rPr>
        <w:t> </w:t>
      </w:r>
      <w:r>
        <w:rPr/>
        <w:t>2012).</w:t>
      </w:r>
    </w:p>
    <w:p>
      <w:pPr>
        <w:pStyle w:val="BodyText"/>
      </w:pPr>
    </w:p>
    <w:p>
      <w:pPr>
        <w:pStyle w:val="BodyText"/>
        <w:spacing w:before="8"/>
      </w:pPr>
    </w:p>
    <w:p>
      <w:pPr>
        <w:pStyle w:val="BodyText"/>
        <w:ind w:left="142"/>
        <w:jc w:val="both"/>
        <w:rPr>
          <w:i/>
        </w:rPr>
      </w:pPr>
      <w:r>
        <w:rPr/>
        <w:t>Figura 3: Mecanismo de resistencia a β-lactámicos en </w:t>
      </w:r>
      <w:r>
        <w:rPr>
          <w:i/>
        </w:rPr>
        <w:t>S. aureus.</w:t>
      </w:r>
    </w:p>
    <w:p>
      <w:pPr>
        <w:pStyle w:val="BodyText"/>
        <w:spacing w:before="9"/>
        <w:rPr>
          <w:i/>
          <w:sz w:val="10"/>
        </w:rPr>
      </w:pPr>
      <w:r>
        <w:rPr/>
        <w:drawing>
          <wp:anchor distT="0" distB="0" distL="0" distR="0" allowOverlap="1" layoutInCell="1" locked="0" behindDoc="0" simplePos="0" relativeHeight="1120">
            <wp:simplePos x="0" y="0"/>
            <wp:positionH relativeFrom="page">
              <wp:posOffset>2071116</wp:posOffset>
            </wp:positionH>
            <wp:positionV relativeFrom="paragraph">
              <wp:posOffset>103975</wp:posOffset>
            </wp:positionV>
            <wp:extent cx="3603238" cy="2833497"/>
            <wp:effectExtent l="0" t="0" r="0" b="0"/>
            <wp:wrapTopAndBottom/>
            <wp:docPr id="5" name="image4.png" descr=""/>
            <wp:cNvGraphicFramePr>
              <a:graphicFrameLocks noChangeAspect="1"/>
            </wp:cNvGraphicFramePr>
            <a:graphic>
              <a:graphicData uri="http://schemas.openxmlformats.org/drawingml/2006/picture">
                <pic:pic>
                  <pic:nvPicPr>
                    <pic:cNvPr id="6" name="image4.png"/>
                    <pic:cNvPicPr/>
                  </pic:nvPicPr>
                  <pic:blipFill>
                    <a:blip r:embed="rId16" cstate="print"/>
                    <a:stretch>
                      <a:fillRect/>
                    </a:stretch>
                  </pic:blipFill>
                  <pic:spPr>
                    <a:xfrm>
                      <a:off x="0" y="0"/>
                      <a:ext cx="3603238" cy="2833497"/>
                    </a:xfrm>
                    <a:prstGeom prst="rect">
                      <a:avLst/>
                    </a:prstGeom>
                  </pic:spPr>
                </pic:pic>
              </a:graphicData>
            </a:graphic>
          </wp:anchor>
        </w:drawing>
      </w:r>
    </w:p>
    <w:p>
      <w:pPr>
        <w:spacing w:line="276" w:lineRule="auto" w:before="151"/>
        <w:ind w:left="250" w:right="249" w:firstLine="0"/>
        <w:jc w:val="both"/>
        <w:rPr>
          <w:sz w:val="16"/>
        </w:rPr>
      </w:pPr>
      <w:r>
        <w:rPr>
          <w:sz w:val="16"/>
        </w:rPr>
        <w:t>En las MSSA, todas las PBP se inactivan en presencia de β-lactámicos, lo que lleva a la muerte celular. MRSA sobrevive en</w:t>
      </w:r>
      <w:r>
        <w:rPr>
          <w:spacing w:val="-4"/>
          <w:sz w:val="16"/>
        </w:rPr>
        <w:t> </w:t>
      </w:r>
      <w:r>
        <w:rPr>
          <w:sz w:val="16"/>
        </w:rPr>
        <w:t>presencia</w:t>
      </w:r>
      <w:r>
        <w:rPr>
          <w:spacing w:val="-4"/>
          <w:sz w:val="16"/>
        </w:rPr>
        <w:t> </w:t>
      </w:r>
      <w:r>
        <w:rPr>
          <w:sz w:val="16"/>
        </w:rPr>
        <w:t>de</w:t>
      </w:r>
      <w:r>
        <w:rPr>
          <w:spacing w:val="-7"/>
          <w:sz w:val="16"/>
        </w:rPr>
        <w:t> </w:t>
      </w:r>
      <w:r>
        <w:rPr>
          <w:sz w:val="16"/>
        </w:rPr>
        <w:t>β-lactámicos</w:t>
      </w:r>
      <w:r>
        <w:rPr>
          <w:spacing w:val="-3"/>
          <w:sz w:val="16"/>
        </w:rPr>
        <w:t> </w:t>
      </w:r>
      <w:r>
        <w:rPr>
          <w:sz w:val="16"/>
        </w:rPr>
        <w:t>porque</w:t>
      </w:r>
      <w:r>
        <w:rPr>
          <w:spacing w:val="-4"/>
          <w:sz w:val="16"/>
        </w:rPr>
        <w:t> </w:t>
      </w:r>
      <w:r>
        <w:rPr>
          <w:sz w:val="16"/>
        </w:rPr>
        <w:t>un</w:t>
      </w:r>
      <w:r>
        <w:rPr>
          <w:spacing w:val="-4"/>
          <w:sz w:val="16"/>
        </w:rPr>
        <w:t> </w:t>
      </w:r>
      <w:r>
        <w:rPr>
          <w:sz w:val="16"/>
        </w:rPr>
        <w:t>PBP</w:t>
      </w:r>
      <w:r>
        <w:rPr>
          <w:spacing w:val="-3"/>
          <w:sz w:val="16"/>
        </w:rPr>
        <w:t> </w:t>
      </w:r>
      <w:r>
        <w:rPr>
          <w:sz w:val="16"/>
        </w:rPr>
        <w:t>que</w:t>
      </w:r>
      <w:r>
        <w:rPr>
          <w:spacing w:val="-4"/>
          <w:sz w:val="16"/>
        </w:rPr>
        <w:t> </w:t>
      </w:r>
      <w:r>
        <w:rPr>
          <w:sz w:val="16"/>
        </w:rPr>
        <w:t>es</w:t>
      </w:r>
      <w:r>
        <w:rPr>
          <w:spacing w:val="-3"/>
          <w:sz w:val="16"/>
        </w:rPr>
        <w:t> </w:t>
      </w:r>
      <w:r>
        <w:rPr>
          <w:sz w:val="16"/>
        </w:rPr>
        <w:t>específico</w:t>
      </w:r>
      <w:r>
        <w:rPr>
          <w:spacing w:val="-4"/>
          <w:sz w:val="16"/>
        </w:rPr>
        <w:t> </w:t>
      </w:r>
      <w:r>
        <w:rPr>
          <w:sz w:val="16"/>
        </w:rPr>
        <w:t>para</w:t>
      </w:r>
      <w:r>
        <w:rPr>
          <w:spacing w:val="-7"/>
          <w:sz w:val="16"/>
        </w:rPr>
        <w:t> </w:t>
      </w:r>
      <w:r>
        <w:rPr>
          <w:sz w:val="16"/>
        </w:rPr>
        <w:t>MRSA llamada</w:t>
      </w:r>
      <w:r>
        <w:rPr>
          <w:spacing w:val="-7"/>
          <w:sz w:val="16"/>
        </w:rPr>
        <w:t> </w:t>
      </w:r>
      <w:r>
        <w:rPr>
          <w:sz w:val="16"/>
        </w:rPr>
        <w:t>PBP2´,</w:t>
      </w:r>
      <w:r>
        <w:rPr>
          <w:spacing w:val="-5"/>
          <w:sz w:val="16"/>
        </w:rPr>
        <w:t> </w:t>
      </w:r>
      <w:r>
        <w:rPr>
          <w:sz w:val="16"/>
        </w:rPr>
        <w:t>tiene</w:t>
      </w:r>
      <w:r>
        <w:rPr>
          <w:spacing w:val="-4"/>
          <w:sz w:val="16"/>
        </w:rPr>
        <w:t> </w:t>
      </w:r>
      <w:r>
        <w:rPr>
          <w:sz w:val="16"/>
        </w:rPr>
        <w:t>una</w:t>
      </w:r>
      <w:r>
        <w:rPr>
          <w:spacing w:val="-7"/>
          <w:sz w:val="16"/>
        </w:rPr>
        <w:t> </w:t>
      </w:r>
      <w:r>
        <w:rPr>
          <w:sz w:val="16"/>
        </w:rPr>
        <w:t>baja</w:t>
      </w:r>
      <w:r>
        <w:rPr>
          <w:spacing w:val="-4"/>
          <w:sz w:val="16"/>
        </w:rPr>
        <w:t> </w:t>
      </w:r>
      <w:r>
        <w:rPr>
          <w:sz w:val="16"/>
        </w:rPr>
        <w:t>afinidad</w:t>
      </w:r>
      <w:r>
        <w:rPr>
          <w:spacing w:val="-4"/>
          <w:sz w:val="16"/>
        </w:rPr>
        <w:t> </w:t>
      </w:r>
      <w:r>
        <w:rPr>
          <w:sz w:val="16"/>
        </w:rPr>
        <w:t>por</w:t>
      </w:r>
      <w:r>
        <w:rPr>
          <w:spacing w:val="-7"/>
          <w:sz w:val="16"/>
        </w:rPr>
        <w:t> </w:t>
      </w:r>
      <w:r>
        <w:rPr>
          <w:sz w:val="16"/>
        </w:rPr>
        <w:t>β- lactámicos</w:t>
      </w:r>
      <w:r>
        <w:rPr>
          <w:spacing w:val="-4"/>
          <w:sz w:val="16"/>
        </w:rPr>
        <w:t> </w:t>
      </w:r>
      <w:r>
        <w:rPr>
          <w:sz w:val="16"/>
        </w:rPr>
        <w:t>y</w:t>
      </w:r>
      <w:r>
        <w:rPr>
          <w:spacing w:val="-4"/>
          <w:sz w:val="16"/>
        </w:rPr>
        <w:t> </w:t>
      </w:r>
      <w:r>
        <w:rPr>
          <w:sz w:val="16"/>
        </w:rPr>
        <w:t>conservan</w:t>
      </w:r>
      <w:r>
        <w:rPr>
          <w:spacing w:val="-3"/>
          <w:sz w:val="16"/>
        </w:rPr>
        <w:t> </w:t>
      </w:r>
      <w:r>
        <w:rPr>
          <w:sz w:val="16"/>
        </w:rPr>
        <w:t>su</w:t>
      </w:r>
      <w:r>
        <w:rPr>
          <w:spacing w:val="-5"/>
          <w:sz w:val="16"/>
        </w:rPr>
        <w:t> </w:t>
      </w:r>
      <w:r>
        <w:rPr>
          <w:sz w:val="16"/>
        </w:rPr>
        <w:t>actividad</w:t>
      </w:r>
      <w:r>
        <w:rPr>
          <w:spacing w:val="-3"/>
          <w:sz w:val="16"/>
        </w:rPr>
        <w:t> </w:t>
      </w:r>
      <w:r>
        <w:rPr>
          <w:sz w:val="16"/>
        </w:rPr>
        <w:t>en</w:t>
      </w:r>
      <w:r>
        <w:rPr>
          <w:spacing w:val="-3"/>
          <w:sz w:val="16"/>
        </w:rPr>
        <w:t> </w:t>
      </w:r>
      <w:r>
        <w:rPr>
          <w:sz w:val="16"/>
        </w:rPr>
        <w:t>presencia</w:t>
      </w:r>
      <w:r>
        <w:rPr>
          <w:spacing w:val="-3"/>
          <w:sz w:val="16"/>
        </w:rPr>
        <w:t> </w:t>
      </w:r>
      <w:r>
        <w:rPr>
          <w:sz w:val="16"/>
        </w:rPr>
        <w:t>de</w:t>
      </w:r>
      <w:r>
        <w:rPr>
          <w:spacing w:val="-3"/>
          <w:sz w:val="16"/>
        </w:rPr>
        <w:t> </w:t>
      </w:r>
      <w:r>
        <w:rPr>
          <w:sz w:val="16"/>
        </w:rPr>
        <w:t>esta</w:t>
      </w:r>
      <w:r>
        <w:rPr>
          <w:spacing w:val="-5"/>
          <w:sz w:val="16"/>
        </w:rPr>
        <w:t> </w:t>
      </w:r>
      <w:r>
        <w:rPr>
          <w:sz w:val="16"/>
        </w:rPr>
        <w:t>clase</w:t>
      </w:r>
      <w:r>
        <w:rPr>
          <w:spacing w:val="-5"/>
          <w:sz w:val="16"/>
        </w:rPr>
        <w:t> </w:t>
      </w:r>
      <w:r>
        <w:rPr>
          <w:sz w:val="16"/>
        </w:rPr>
        <w:t>de</w:t>
      </w:r>
      <w:r>
        <w:rPr>
          <w:spacing w:val="-5"/>
          <w:sz w:val="16"/>
        </w:rPr>
        <w:t> </w:t>
      </w:r>
      <w:r>
        <w:rPr>
          <w:sz w:val="16"/>
        </w:rPr>
        <w:t>antibióticos.</w:t>
      </w:r>
      <w:r>
        <w:rPr>
          <w:spacing w:val="-4"/>
          <w:sz w:val="16"/>
        </w:rPr>
        <w:t> </w:t>
      </w:r>
      <w:r>
        <w:rPr>
          <w:sz w:val="16"/>
        </w:rPr>
        <w:t>Fuente:</w:t>
      </w:r>
      <w:r>
        <w:rPr>
          <w:spacing w:val="-4"/>
          <w:sz w:val="16"/>
        </w:rPr>
        <w:t> </w:t>
      </w:r>
      <w:r>
        <w:rPr>
          <w:sz w:val="16"/>
        </w:rPr>
        <w:t>Kawada</w:t>
      </w:r>
      <w:r>
        <w:rPr>
          <w:spacing w:val="-3"/>
          <w:sz w:val="16"/>
        </w:rPr>
        <w:t> </w:t>
      </w:r>
      <w:r>
        <w:rPr>
          <w:sz w:val="16"/>
        </w:rPr>
        <w:t>y</w:t>
      </w:r>
      <w:r>
        <w:rPr>
          <w:spacing w:val="-4"/>
          <w:sz w:val="16"/>
        </w:rPr>
        <w:t> </w:t>
      </w:r>
      <w:r>
        <w:rPr>
          <w:sz w:val="16"/>
        </w:rPr>
        <w:t>Komatsuzawa,</w:t>
      </w:r>
      <w:r>
        <w:rPr>
          <w:spacing w:val="-3"/>
          <w:sz w:val="16"/>
        </w:rPr>
        <w:t> </w:t>
      </w:r>
      <w:r>
        <w:rPr>
          <w:sz w:val="16"/>
        </w:rPr>
        <w:t>(2012).</w:t>
      </w:r>
    </w:p>
    <w:p>
      <w:pPr>
        <w:spacing w:after="0" w:line="276" w:lineRule="auto"/>
        <w:jc w:val="both"/>
        <w:rPr>
          <w:sz w:val="16"/>
        </w:rPr>
        <w:sectPr>
          <w:pgSz w:w="12240" w:h="15840"/>
          <w:pgMar w:header="728" w:footer="1135" w:top="1200" w:bottom="1320" w:left="1560" w:right="1560"/>
        </w:sectPr>
      </w:pPr>
    </w:p>
    <w:p>
      <w:pPr>
        <w:pStyle w:val="BodyText"/>
        <w:spacing w:before="7"/>
        <w:rPr>
          <w:sz w:val="12"/>
        </w:rPr>
      </w:pPr>
    </w:p>
    <w:p>
      <w:pPr>
        <w:pStyle w:val="BodyText"/>
        <w:spacing w:line="276" w:lineRule="auto" w:before="69"/>
        <w:ind w:left="142" w:right="135"/>
        <w:jc w:val="both"/>
      </w:pPr>
      <w:r>
        <w:rPr/>
        <w:t>Factor </w:t>
      </w:r>
      <w:r>
        <w:rPr>
          <w:i/>
        </w:rPr>
        <w:t>fem </w:t>
      </w:r>
      <w:r>
        <w:rPr/>
        <w:t>o factor </w:t>
      </w:r>
      <w:r>
        <w:rPr>
          <w:i/>
        </w:rPr>
        <w:t>aux </w:t>
      </w:r>
      <w:r>
        <w:rPr/>
        <w:t>(auxiliar), son genes cromosomales distintos del </w:t>
      </w:r>
      <w:r>
        <w:rPr>
          <w:i/>
        </w:rPr>
        <w:t>mec</w:t>
      </w:r>
      <w:r>
        <w:rPr/>
        <w:t>, necesarios para la completa expresión de resistencia, destacan </w:t>
      </w:r>
      <w:r>
        <w:rPr>
          <w:i/>
        </w:rPr>
        <w:t>fem A,B,C,D, E </w:t>
      </w:r>
      <w:r>
        <w:rPr/>
        <w:t>y</w:t>
      </w:r>
      <w:r>
        <w:rPr>
          <w:spacing w:val="-43"/>
        </w:rPr>
        <w:t> </w:t>
      </w:r>
      <w:r>
        <w:rPr>
          <w:i/>
        </w:rPr>
        <w:t>F </w:t>
      </w:r>
      <w:r>
        <w:rPr/>
        <w:t>mapeados</w:t>
      </w:r>
      <w:r>
        <w:rPr>
          <w:spacing w:val="-4"/>
        </w:rPr>
        <w:t> </w:t>
      </w:r>
      <w:r>
        <w:rPr/>
        <w:t>en</w:t>
      </w:r>
      <w:r>
        <w:rPr>
          <w:spacing w:val="-4"/>
        </w:rPr>
        <w:t> </w:t>
      </w:r>
      <w:r>
        <w:rPr/>
        <w:t>diferentes</w:t>
      </w:r>
      <w:r>
        <w:rPr>
          <w:spacing w:val="-4"/>
        </w:rPr>
        <w:t> </w:t>
      </w:r>
      <w:r>
        <w:rPr/>
        <w:t>sitios</w:t>
      </w:r>
      <w:r>
        <w:rPr>
          <w:spacing w:val="-4"/>
        </w:rPr>
        <w:t> </w:t>
      </w:r>
      <w:r>
        <w:rPr/>
        <w:t>(Gil,</w:t>
      </w:r>
      <w:r>
        <w:rPr>
          <w:spacing w:val="-4"/>
        </w:rPr>
        <w:t> </w:t>
      </w:r>
      <w:r>
        <w:rPr/>
        <w:t>2000).</w:t>
      </w:r>
      <w:r>
        <w:rPr>
          <w:spacing w:val="-2"/>
        </w:rPr>
        <w:t> </w:t>
      </w:r>
      <w:r>
        <w:rPr/>
        <w:t>Los</w:t>
      </w:r>
      <w:r>
        <w:rPr>
          <w:spacing w:val="-7"/>
        </w:rPr>
        <w:t> </w:t>
      </w:r>
      <w:r>
        <w:rPr/>
        <w:t>genes</w:t>
      </w:r>
      <w:r>
        <w:rPr>
          <w:spacing w:val="-4"/>
        </w:rPr>
        <w:t> </w:t>
      </w:r>
      <w:r>
        <w:rPr>
          <w:i/>
        </w:rPr>
        <w:t>femA</w:t>
      </w:r>
      <w:r>
        <w:rPr>
          <w:i/>
          <w:spacing w:val="-4"/>
        </w:rPr>
        <w:t> </w:t>
      </w:r>
      <w:r>
        <w:rPr/>
        <w:t>y</w:t>
      </w:r>
      <w:r>
        <w:rPr>
          <w:spacing w:val="-7"/>
        </w:rPr>
        <w:t> </w:t>
      </w:r>
      <w:r>
        <w:rPr>
          <w:i/>
        </w:rPr>
        <w:t>femB</w:t>
      </w:r>
      <w:r>
        <w:rPr>
          <w:i/>
          <w:spacing w:val="-4"/>
        </w:rPr>
        <w:t> </w:t>
      </w:r>
      <w:r>
        <w:rPr/>
        <w:t>han</w:t>
      </w:r>
      <w:r>
        <w:rPr>
          <w:spacing w:val="-4"/>
        </w:rPr>
        <w:t> </w:t>
      </w:r>
      <w:r>
        <w:rPr/>
        <w:t>demostrado codificar proteínas que afectan considerablemente el nivel de resistencia a la meticilina además de ser sugeridos como específicos para </w:t>
      </w:r>
      <w:r>
        <w:rPr>
          <w:i/>
        </w:rPr>
        <w:t>S. aureus</w:t>
      </w:r>
      <w:r>
        <w:rPr/>
        <w:t>, el gen </w:t>
      </w:r>
      <w:r>
        <w:rPr>
          <w:i/>
        </w:rPr>
        <w:t>femB </w:t>
      </w:r>
      <w:r>
        <w:rPr/>
        <w:t>está localizado lejos del gen </w:t>
      </w:r>
      <w:r>
        <w:rPr>
          <w:i/>
        </w:rPr>
        <w:t>mecA </w:t>
      </w:r>
      <w:r>
        <w:rPr/>
        <w:t>en el cromosoma y codifica una proteína de 47 kDa (Kobayashi </w:t>
      </w:r>
      <w:r>
        <w:rPr>
          <w:i/>
        </w:rPr>
        <w:t>et al.,</w:t>
      </w:r>
      <w:r>
        <w:rPr>
          <w:i/>
          <w:spacing w:val="-11"/>
        </w:rPr>
        <w:t> </w:t>
      </w:r>
      <w:r>
        <w:rPr/>
        <w:t>1994).</w:t>
      </w:r>
    </w:p>
    <w:p>
      <w:pPr>
        <w:pStyle w:val="BodyText"/>
      </w:pPr>
    </w:p>
    <w:p>
      <w:pPr>
        <w:pStyle w:val="BodyText"/>
        <w:spacing w:before="10"/>
      </w:pPr>
    </w:p>
    <w:p>
      <w:pPr>
        <w:pStyle w:val="Heading2"/>
        <w:spacing w:before="0"/>
        <w:jc w:val="both"/>
        <w:rPr>
          <w:i/>
        </w:rPr>
      </w:pPr>
      <w:bookmarkStart w:name="_bookmark17" w:id="24"/>
      <w:bookmarkEnd w:id="24"/>
      <w:r>
        <w:rPr>
          <w:b w:val="0"/>
        </w:rPr>
      </w:r>
      <w:r>
        <w:rPr/>
        <w:t>Casete cromosómico estafilocócico </w:t>
      </w:r>
      <w:r>
        <w:rPr>
          <w:i/>
        </w:rPr>
        <w:t>mec</w:t>
      </w:r>
    </w:p>
    <w:p>
      <w:pPr>
        <w:pStyle w:val="BodyText"/>
        <w:spacing w:line="276" w:lineRule="auto" w:before="24"/>
        <w:ind w:left="142" w:right="135"/>
        <w:jc w:val="both"/>
      </w:pPr>
      <w:r>
        <w:rPr/>
        <w:t>El</w:t>
      </w:r>
      <w:r>
        <w:rPr>
          <w:spacing w:val="-8"/>
        </w:rPr>
        <w:t> </w:t>
      </w:r>
      <w:r>
        <w:rPr/>
        <w:t>elemento</w:t>
      </w:r>
      <w:r>
        <w:rPr>
          <w:spacing w:val="-9"/>
        </w:rPr>
        <w:t> </w:t>
      </w:r>
      <w:r>
        <w:rPr/>
        <w:t>está</w:t>
      </w:r>
      <w:r>
        <w:rPr>
          <w:spacing w:val="-9"/>
        </w:rPr>
        <w:t> </w:t>
      </w:r>
      <w:r>
        <w:rPr/>
        <w:t>compuesto</w:t>
      </w:r>
      <w:r>
        <w:rPr>
          <w:spacing w:val="-9"/>
        </w:rPr>
        <w:t> </w:t>
      </w:r>
      <w:r>
        <w:rPr/>
        <w:t>por</w:t>
      </w:r>
      <w:r>
        <w:rPr>
          <w:spacing w:val="-11"/>
        </w:rPr>
        <w:t> </w:t>
      </w:r>
      <w:r>
        <w:rPr/>
        <w:t>el</w:t>
      </w:r>
      <w:r>
        <w:rPr>
          <w:spacing w:val="-8"/>
        </w:rPr>
        <w:t> </w:t>
      </w:r>
      <w:r>
        <w:rPr/>
        <w:t>complejo</w:t>
      </w:r>
      <w:r>
        <w:rPr>
          <w:spacing w:val="-10"/>
        </w:rPr>
        <w:t> </w:t>
      </w:r>
      <w:r>
        <w:rPr/>
        <w:t>genético</w:t>
      </w:r>
      <w:r>
        <w:rPr>
          <w:spacing w:val="-2"/>
        </w:rPr>
        <w:t> </w:t>
      </w:r>
      <w:r>
        <w:rPr>
          <w:i/>
        </w:rPr>
        <w:t>mec</w:t>
      </w:r>
      <w:r>
        <w:rPr>
          <w:i/>
          <w:spacing w:val="-8"/>
        </w:rPr>
        <w:t> </w:t>
      </w:r>
      <w:r>
        <w:rPr/>
        <w:t>codificando</w:t>
      </w:r>
      <w:r>
        <w:rPr>
          <w:spacing w:val="-7"/>
        </w:rPr>
        <w:t> </w:t>
      </w:r>
      <w:r>
        <w:rPr/>
        <w:t>el</w:t>
      </w:r>
      <w:r>
        <w:rPr>
          <w:spacing w:val="-11"/>
        </w:rPr>
        <w:t> </w:t>
      </w:r>
      <w:r>
        <w:rPr/>
        <w:t>gen</w:t>
      </w:r>
      <w:r>
        <w:rPr>
          <w:spacing w:val="-5"/>
        </w:rPr>
        <w:t> </w:t>
      </w:r>
      <w:r>
        <w:rPr>
          <w:i/>
        </w:rPr>
        <w:t>mecA </w:t>
      </w:r>
      <w:r>
        <w:rPr/>
        <w:t>de</w:t>
      </w:r>
      <w:r>
        <w:rPr>
          <w:spacing w:val="-11"/>
        </w:rPr>
        <w:t> </w:t>
      </w:r>
      <w:r>
        <w:rPr/>
        <w:t>resistencia</w:t>
      </w:r>
      <w:r>
        <w:rPr>
          <w:spacing w:val="-13"/>
        </w:rPr>
        <w:t> </w:t>
      </w:r>
      <w:r>
        <w:rPr/>
        <w:t>a</w:t>
      </w:r>
      <w:r>
        <w:rPr>
          <w:spacing w:val="-11"/>
        </w:rPr>
        <w:t> </w:t>
      </w:r>
      <w:r>
        <w:rPr/>
        <w:t>la</w:t>
      </w:r>
      <w:r>
        <w:rPr>
          <w:spacing w:val="-13"/>
        </w:rPr>
        <w:t> </w:t>
      </w:r>
      <w:r>
        <w:rPr/>
        <w:t>meticilina</w:t>
      </w:r>
      <w:r>
        <w:rPr>
          <w:spacing w:val="-10"/>
        </w:rPr>
        <w:t> </w:t>
      </w:r>
      <w:r>
        <w:rPr/>
        <w:t>y</w:t>
      </w:r>
      <w:r>
        <w:rPr>
          <w:spacing w:val="-14"/>
        </w:rPr>
        <w:t> </w:t>
      </w:r>
      <w:r>
        <w:rPr/>
        <w:t>sus</w:t>
      </w:r>
      <w:r>
        <w:rPr>
          <w:spacing w:val="-12"/>
        </w:rPr>
        <w:t> </w:t>
      </w:r>
      <w:r>
        <w:rPr/>
        <w:t>genes</w:t>
      </w:r>
      <w:r>
        <w:rPr>
          <w:spacing w:val="-12"/>
        </w:rPr>
        <w:t> </w:t>
      </w:r>
      <w:r>
        <w:rPr/>
        <w:t>reguladores</w:t>
      </w:r>
      <w:r>
        <w:rPr>
          <w:spacing w:val="-14"/>
        </w:rPr>
        <w:t> </w:t>
      </w:r>
      <w:r>
        <w:rPr/>
        <w:t>(</w:t>
      </w:r>
      <w:r>
        <w:rPr>
          <w:i/>
        </w:rPr>
        <w:t>mecR1</w:t>
      </w:r>
      <w:r>
        <w:rPr>
          <w:i/>
          <w:spacing w:val="-11"/>
        </w:rPr>
        <w:t> </w:t>
      </w:r>
      <w:r>
        <w:rPr/>
        <w:t>y</w:t>
      </w:r>
      <w:r>
        <w:rPr>
          <w:spacing w:val="-12"/>
        </w:rPr>
        <w:t> </w:t>
      </w:r>
      <w:r>
        <w:rPr>
          <w:i/>
        </w:rPr>
        <w:t>mecI</w:t>
      </w:r>
      <w:r>
        <w:rPr/>
        <w:t>),</w:t>
      </w:r>
      <w:r>
        <w:rPr>
          <w:spacing w:val="-11"/>
        </w:rPr>
        <w:t> </w:t>
      </w:r>
      <w:r>
        <w:rPr/>
        <w:t>y</w:t>
      </w:r>
      <w:r>
        <w:rPr>
          <w:spacing w:val="-14"/>
        </w:rPr>
        <w:t> </w:t>
      </w:r>
      <w:r>
        <w:rPr/>
        <w:t>el</w:t>
      </w:r>
      <w:r>
        <w:rPr>
          <w:spacing w:val="-12"/>
        </w:rPr>
        <w:t> </w:t>
      </w:r>
      <w:r>
        <w:rPr/>
        <w:t>complejo genético </w:t>
      </w:r>
      <w:r>
        <w:rPr>
          <w:i/>
        </w:rPr>
        <w:t>ccr </w:t>
      </w:r>
      <w:r>
        <w:rPr/>
        <w:t>codificando el casete cromosa-recombinasa (</w:t>
      </w:r>
      <w:r>
        <w:rPr>
          <w:i/>
        </w:rPr>
        <w:t>CCR</w:t>
      </w:r>
      <w:r>
        <w:rPr/>
        <w:t>), que media la integración así como su escisión precisa en el cromosoma estafilocócico; </w:t>
      </w:r>
      <w:r>
        <w:rPr>
          <w:i/>
        </w:rPr>
        <w:t>SCC </w:t>
      </w:r>
      <w:r>
        <w:rPr/>
        <w:t>es un</w:t>
      </w:r>
      <w:r>
        <w:rPr>
          <w:spacing w:val="-12"/>
        </w:rPr>
        <w:t> </w:t>
      </w:r>
      <w:r>
        <w:rPr/>
        <w:t>vehículo</w:t>
      </w:r>
      <w:r>
        <w:rPr>
          <w:spacing w:val="-14"/>
        </w:rPr>
        <w:t> </w:t>
      </w:r>
      <w:r>
        <w:rPr/>
        <w:t>en</w:t>
      </w:r>
      <w:r>
        <w:rPr>
          <w:spacing w:val="-14"/>
        </w:rPr>
        <w:t> </w:t>
      </w:r>
      <w:r>
        <w:rPr/>
        <w:t>especies</w:t>
      </w:r>
      <w:r>
        <w:rPr>
          <w:spacing w:val="-13"/>
        </w:rPr>
        <w:t> </w:t>
      </w:r>
      <w:r>
        <w:rPr/>
        <w:t>estafilocócicas</w:t>
      </w:r>
      <w:r>
        <w:rPr>
          <w:spacing w:val="-14"/>
        </w:rPr>
        <w:t> </w:t>
      </w:r>
      <w:r>
        <w:rPr/>
        <w:t>para</w:t>
      </w:r>
      <w:r>
        <w:rPr>
          <w:spacing w:val="-12"/>
        </w:rPr>
        <w:t> </w:t>
      </w:r>
      <w:r>
        <w:rPr/>
        <w:t>intercambiar</w:t>
      </w:r>
      <w:r>
        <w:rPr>
          <w:spacing w:val="-15"/>
        </w:rPr>
        <w:t> </w:t>
      </w:r>
      <w:r>
        <w:rPr/>
        <w:t>genes</w:t>
      </w:r>
      <w:r>
        <w:rPr>
          <w:spacing w:val="-15"/>
        </w:rPr>
        <w:t> </w:t>
      </w:r>
      <w:r>
        <w:rPr/>
        <w:t>que</w:t>
      </w:r>
      <w:r>
        <w:rPr>
          <w:spacing w:val="-14"/>
        </w:rPr>
        <w:t> </w:t>
      </w:r>
      <w:r>
        <w:rPr/>
        <w:t>son</w:t>
      </w:r>
      <w:r>
        <w:rPr>
          <w:spacing w:val="-14"/>
        </w:rPr>
        <w:t> </w:t>
      </w:r>
      <w:r>
        <w:rPr/>
        <w:t>útiles</w:t>
      </w:r>
      <w:r>
        <w:rPr>
          <w:spacing w:val="-14"/>
        </w:rPr>
        <w:t> </w:t>
      </w:r>
      <w:r>
        <w:rPr/>
        <w:t>para su adaptación a nichos con diversas condiciones ambientales incluyendo presión antibiótica (Hiramatsu </w:t>
      </w:r>
      <w:r>
        <w:rPr>
          <w:i/>
        </w:rPr>
        <w:t>et al.,</w:t>
      </w:r>
      <w:r>
        <w:rPr>
          <w:i/>
          <w:spacing w:val="-9"/>
        </w:rPr>
        <w:t> </w:t>
      </w:r>
      <w:r>
        <w:rPr/>
        <w:t>2014).</w:t>
      </w:r>
    </w:p>
    <w:p>
      <w:pPr>
        <w:pStyle w:val="BodyText"/>
        <w:spacing w:before="120"/>
        <w:ind w:left="142"/>
        <w:jc w:val="both"/>
      </w:pPr>
      <w:r>
        <w:rPr/>
        <w:t>Figura 4: Estructura del casete estafilocócico cromosomal (</w:t>
      </w:r>
      <w:r>
        <w:rPr>
          <w:i/>
        </w:rPr>
        <w:t>SCCmec</w:t>
      </w:r>
      <w:r>
        <w:rPr/>
        <w:t>).</w:t>
      </w:r>
    </w:p>
    <w:p>
      <w:pPr>
        <w:pStyle w:val="BodyText"/>
        <w:spacing w:before="10"/>
        <w:rPr>
          <w:sz w:val="10"/>
        </w:rPr>
      </w:pPr>
      <w:r>
        <w:rPr/>
        <w:drawing>
          <wp:anchor distT="0" distB="0" distL="0" distR="0" allowOverlap="1" layoutInCell="1" locked="0" behindDoc="0" simplePos="0" relativeHeight="1144">
            <wp:simplePos x="0" y="0"/>
            <wp:positionH relativeFrom="page">
              <wp:posOffset>2253995</wp:posOffset>
            </wp:positionH>
            <wp:positionV relativeFrom="paragraph">
              <wp:posOffset>104229</wp:posOffset>
            </wp:positionV>
            <wp:extent cx="3263272" cy="1095375"/>
            <wp:effectExtent l="0" t="0" r="0" b="0"/>
            <wp:wrapTopAndBottom/>
            <wp:docPr id="7" name="image5.jpeg" descr=""/>
            <wp:cNvGraphicFramePr>
              <a:graphicFrameLocks noChangeAspect="1"/>
            </wp:cNvGraphicFramePr>
            <a:graphic>
              <a:graphicData uri="http://schemas.openxmlformats.org/drawingml/2006/picture">
                <pic:pic>
                  <pic:nvPicPr>
                    <pic:cNvPr id="8" name="image5.jpeg"/>
                    <pic:cNvPicPr/>
                  </pic:nvPicPr>
                  <pic:blipFill>
                    <a:blip r:embed="rId17" cstate="print"/>
                    <a:stretch>
                      <a:fillRect/>
                    </a:stretch>
                  </pic:blipFill>
                  <pic:spPr>
                    <a:xfrm>
                      <a:off x="0" y="0"/>
                      <a:ext cx="3263272" cy="1095375"/>
                    </a:xfrm>
                    <a:prstGeom prst="rect">
                      <a:avLst/>
                    </a:prstGeom>
                  </pic:spPr>
                </pic:pic>
              </a:graphicData>
            </a:graphic>
          </wp:anchor>
        </w:drawing>
      </w:r>
    </w:p>
    <w:p>
      <w:pPr>
        <w:spacing w:line="360" w:lineRule="auto" w:before="97"/>
        <w:ind w:left="250" w:right="244" w:firstLine="0"/>
        <w:jc w:val="both"/>
        <w:rPr>
          <w:sz w:val="20"/>
        </w:rPr>
      </w:pPr>
      <w:r>
        <w:rPr>
          <w:sz w:val="20"/>
        </w:rPr>
        <w:t>Se compone de dos complejos de genes esenciales, uno de ellos es el complejo </w:t>
      </w:r>
      <w:r>
        <w:rPr>
          <w:i/>
          <w:sz w:val="20"/>
        </w:rPr>
        <w:t>gen-mec </w:t>
      </w:r>
      <w:r>
        <w:rPr>
          <w:sz w:val="20"/>
        </w:rPr>
        <w:t>que codifica</w:t>
      </w:r>
      <w:r>
        <w:rPr>
          <w:spacing w:val="-6"/>
          <w:sz w:val="20"/>
        </w:rPr>
        <w:t> </w:t>
      </w:r>
      <w:r>
        <w:rPr>
          <w:sz w:val="20"/>
        </w:rPr>
        <w:t>la</w:t>
      </w:r>
      <w:r>
        <w:rPr>
          <w:spacing w:val="-6"/>
          <w:sz w:val="20"/>
        </w:rPr>
        <w:t> </w:t>
      </w:r>
      <w:r>
        <w:rPr>
          <w:sz w:val="20"/>
        </w:rPr>
        <w:t>resistencia</w:t>
      </w:r>
      <w:r>
        <w:rPr>
          <w:spacing w:val="-3"/>
          <w:sz w:val="20"/>
        </w:rPr>
        <w:t> </w:t>
      </w:r>
      <w:r>
        <w:rPr>
          <w:sz w:val="20"/>
        </w:rPr>
        <w:t>a</w:t>
      </w:r>
      <w:r>
        <w:rPr>
          <w:spacing w:val="-3"/>
          <w:sz w:val="20"/>
        </w:rPr>
        <w:t> </w:t>
      </w:r>
      <w:r>
        <w:rPr>
          <w:sz w:val="20"/>
        </w:rPr>
        <w:t>la</w:t>
      </w:r>
      <w:r>
        <w:rPr>
          <w:spacing w:val="-1"/>
          <w:sz w:val="20"/>
        </w:rPr>
        <w:t> </w:t>
      </w:r>
      <w:r>
        <w:rPr>
          <w:sz w:val="20"/>
        </w:rPr>
        <w:t>meticilina</w:t>
      </w:r>
      <w:r>
        <w:rPr>
          <w:spacing w:val="-4"/>
          <w:sz w:val="20"/>
        </w:rPr>
        <w:t> </w:t>
      </w:r>
      <w:r>
        <w:rPr>
          <w:sz w:val="20"/>
        </w:rPr>
        <w:t>(gen</w:t>
      </w:r>
      <w:r>
        <w:rPr>
          <w:spacing w:val="1"/>
          <w:sz w:val="20"/>
        </w:rPr>
        <w:t> </w:t>
      </w:r>
      <w:r>
        <w:rPr>
          <w:i/>
          <w:sz w:val="20"/>
        </w:rPr>
        <w:t>mecA</w:t>
      </w:r>
      <w:r>
        <w:rPr>
          <w:sz w:val="20"/>
        </w:rPr>
        <w:t>) y</w:t>
      </w:r>
      <w:r>
        <w:rPr>
          <w:spacing w:val="-9"/>
          <w:sz w:val="20"/>
        </w:rPr>
        <w:t> </w:t>
      </w:r>
      <w:r>
        <w:rPr>
          <w:sz w:val="20"/>
        </w:rPr>
        <w:t>sus</w:t>
      </w:r>
      <w:r>
        <w:rPr>
          <w:spacing w:val="-2"/>
          <w:sz w:val="20"/>
        </w:rPr>
        <w:t> </w:t>
      </w:r>
      <w:r>
        <w:rPr>
          <w:sz w:val="20"/>
        </w:rPr>
        <w:t>reguladores</w:t>
      </w:r>
      <w:r>
        <w:rPr>
          <w:spacing w:val="-4"/>
          <w:sz w:val="20"/>
        </w:rPr>
        <w:t> </w:t>
      </w:r>
      <w:r>
        <w:rPr>
          <w:sz w:val="20"/>
        </w:rPr>
        <w:t>(</w:t>
      </w:r>
      <w:r>
        <w:rPr>
          <w:i/>
          <w:sz w:val="20"/>
        </w:rPr>
        <w:t>mecI </w:t>
      </w:r>
      <w:r>
        <w:rPr>
          <w:sz w:val="20"/>
        </w:rPr>
        <w:t>y</w:t>
      </w:r>
      <w:r>
        <w:rPr>
          <w:spacing w:val="-6"/>
          <w:sz w:val="20"/>
        </w:rPr>
        <w:t> </w:t>
      </w:r>
      <w:r>
        <w:rPr>
          <w:i/>
          <w:sz w:val="20"/>
        </w:rPr>
        <w:t>mecR1</w:t>
      </w:r>
      <w:r>
        <w:rPr>
          <w:sz w:val="20"/>
        </w:rPr>
        <w:t>),</w:t>
      </w:r>
      <w:r>
        <w:rPr>
          <w:spacing w:val="-3"/>
          <w:sz w:val="20"/>
        </w:rPr>
        <w:t> </w:t>
      </w:r>
      <w:r>
        <w:rPr>
          <w:sz w:val="20"/>
        </w:rPr>
        <w:t>y</w:t>
      </w:r>
      <w:r>
        <w:rPr>
          <w:spacing w:val="-7"/>
          <w:sz w:val="20"/>
        </w:rPr>
        <w:t> </w:t>
      </w:r>
      <w:r>
        <w:rPr>
          <w:sz w:val="20"/>
        </w:rPr>
        <w:t>el</w:t>
      </w:r>
      <w:r>
        <w:rPr>
          <w:spacing w:val="-5"/>
          <w:sz w:val="20"/>
        </w:rPr>
        <w:t> </w:t>
      </w:r>
      <w:r>
        <w:rPr>
          <w:sz w:val="20"/>
        </w:rPr>
        <w:t>otro</w:t>
      </w:r>
      <w:r>
        <w:rPr>
          <w:spacing w:val="-3"/>
          <w:sz w:val="20"/>
        </w:rPr>
        <w:t> </w:t>
      </w:r>
      <w:r>
        <w:rPr>
          <w:sz w:val="20"/>
        </w:rPr>
        <w:t>es</w:t>
      </w:r>
      <w:r>
        <w:rPr>
          <w:spacing w:val="-5"/>
          <w:sz w:val="20"/>
        </w:rPr>
        <w:t> </w:t>
      </w:r>
      <w:r>
        <w:rPr>
          <w:sz w:val="20"/>
        </w:rPr>
        <w:t>el complejo gen-</w:t>
      </w:r>
      <w:r>
        <w:rPr>
          <w:i/>
          <w:sz w:val="20"/>
        </w:rPr>
        <w:t>CCR </w:t>
      </w:r>
      <w:r>
        <w:rPr>
          <w:sz w:val="20"/>
        </w:rPr>
        <w:t>que codifica el movimiento, (integración y escisión precisa para formar el cromosoma)</w:t>
      </w:r>
      <w:r>
        <w:rPr>
          <w:spacing w:val="-12"/>
          <w:sz w:val="20"/>
        </w:rPr>
        <w:t> </w:t>
      </w:r>
      <w:r>
        <w:rPr>
          <w:sz w:val="20"/>
        </w:rPr>
        <w:t>de</w:t>
      </w:r>
      <w:r>
        <w:rPr>
          <w:spacing w:val="-13"/>
          <w:sz w:val="20"/>
        </w:rPr>
        <w:t> </w:t>
      </w:r>
      <w:r>
        <w:rPr>
          <w:sz w:val="20"/>
        </w:rPr>
        <w:t>la</w:t>
      </w:r>
      <w:r>
        <w:rPr>
          <w:spacing w:val="-13"/>
          <w:sz w:val="20"/>
        </w:rPr>
        <w:t> </w:t>
      </w:r>
      <w:r>
        <w:rPr>
          <w:sz w:val="20"/>
        </w:rPr>
        <w:t>totalidad</w:t>
      </w:r>
      <w:r>
        <w:rPr>
          <w:spacing w:val="-11"/>
          <w:sz w:val="20"/>
        </w:rPr>
        <w:t> </w:t>
      </w:r>
      <w:r>
        <w:rPr>
          <w:sz w:val="20"/>
        </w:rPr>
        <w:t>de</w:t>
      </w:r>
      <w:r>
        <w:rPr>
          <w:spacing w:val="-13"/>
          <w:sz w:val="20"/>
        </w:rPr>
        <w:t> </w:t>
      </w:r>
      <w:r>
        <w:rPr>
          <w:sz w:val="20"/>
        </w:rPr>
        <w:t>la</w:t>
      </w:r>
      <w:r>
        <w:rPr>
          <w:spacing w:val="-13"/>
          <w:sz w:val="20"/>
        </w:rPr>
        <w:t> </w:t>
      </w:r>
      <w:r>
        <w:rPr>
          <w:sz w:val="20"/>
        </w:rPr>
        <w:t>totalidad</w:t>
      </w:r>
      <w:r>
        <w:rPr>
          <w:spacing w:val="-13"/>
          <w:sz w:val="20"/>
        </w:rPr>
        <w:t> </w:t>
      </w:r>
      <w:r>
        <w:rPr>
          <w:sz w:val="20"/>
        </w:rPr>
        <w:t>del</w:t>
      </w:r>
      <w:r>
        <w:rPr>
          <w:spacing w:val="-13"/>
          <w:sz w:val="20"/>
        </w:rPr>
        <w:t> </w:t>
      </w:r>
      <w:r>
        <w:rPr>
          <w:sz w:val="20"/>
        </w:rPr>
        <w:t>elemento</w:t>
      </w:r>
      <w:r>
        <w:rPr>
          <w:spacing w:val="-6"/>
          <w:sz w:val="20"/>
        </w:rPr>
        <w:t> </w:t>
      </w:r>
      <w:r>
        <w:rPr>
          <w:i/>
          <w:sz w:val="20"/>
        </w:rPr>
        <w:t>SCC</w:t>
      </w:r>
      <w:r>
        <w:rPr>
          <w:sz w:val="20"/>
        </w:rPr>
        <w:t>.</w:t>
      </w:r>
      <w:r>
        <w:rPr>
          <w:spacing w:val="-13"/>
          <w:sz w:val="20"/>
        </w:rPr>
        <w:t> </w:t>
      </w:r>
      <w:r>
        <w:rPr>
          <w:sz w:val="20"/>
        </w:rPr>
        <w:t>IR</w:t>
      </w:r>
      <w:r>
        <w:rPr>
          <w:spacing w:val="-10"/>
          <w:sz w:val="20"/>
        </w:rPr>
        <w:t> </w:t>
      </w:r>
      <w:r>
        <w:rPr>
          <w:sz w:val="20"/>
        </w:rPr>
        <w:t>repetición</w:t>
      </w:r>
      <w:r>
        <w:rPr>
          <w:spacing w:val="-13"/>
          <w:sz w:val="20"/>
        </w:rPr>
        <w:t> </w:t>
      </w:r>
      <w:r>
        <w:rPr>
          <w:sz w:val="20"/>
        </w:rPr>
        <w:t>invertida;</w:t>
      </w:r>
      <w:r>
        <w:rPr>
          <w:spacing w:val="-13"/>
          <w:sz w:val="20"/>
        </w:rPr>
        <w:t> </w:t>
      </w:r>
      <w:r>
        <w:rPr>
          <w:sz w:val="20"/>
        </w:rPr>
        <w:t>DR</w:t>
      </w:r>
      <w:r>
        <w:rPr>
          <w:spacing w:val="-12"/>
          <w:sz w:val="20"/>
        </w:rPr>
        <w:t> </w:t>
      </w:r>
      <w:r>
        <w:rPr>
          <w:sz w:val="20"/>
        </w:rPr>
        <w:t>repetición directa. Fuente: Hiramatsu </w:t>
      </w:r>
      <w:r>
        <w:rPr>
          <w:i/>
          <w:sz w:val="20"/>
        </w:rPr>
        <w:t>et al.,</w:t>
      </w:r>
      <w:r>
        <w:rPr>
          <w:i/>
          <w:spacing w:val="-12"/>
          <w:sz w:val="20"/>
        </w:rPr>
        <w:t> </w:t>
      </w:r>
      <w:r>
        <w:rPr>
          <w:sz w:val="20"/>
        </w:rPr>
        <w:t>(2014).</w:t>
      </w:r>
    </w:p>
    <w:p>
      <w:pPr>
        <w:pStyle w:val="BodyText"/>
        <w:rPr>
          <w:sz w:val="20"/>
        </w:rPr>
      </w:pPr>
    </w:p>
    <w:p>
      <w:pPr>
        <w:pStyle w:val="BodyText"/>
        <w:spacing w:line="276" w:lineRule="auto" w:before="118"/>
        <w:ind w:left="142" w:right="134"/>
        <w:jc w:val="both"/>
      </w:pPr>
      <w:r>
        <w:rPr>
          <w:i/>
        </w:rPr>
        <w:t>SCCmec </w:t>
      </w:r>
      <w:r>
        <w:rPr/>
        <w:t>es una isla genómica (Gisland), que se inserta en el cromosoma al final del extremo 3´ de un marco de lectura abierta de función desconocida (“open Reading frame”, ORF), denominado </w:t>
      </w:r>
      <w:r>
        <w:rPr>
          <w:i/>
        </w:rPr>
        <w:t>orfX</w:t>
      </w:r>
      <w:r>
        <w:rPr/>
        <w:t>, en un sitio único </w:t>
      </w:r>
      <w:r>
        <w:rPr>
          <w:i/>
        </w:rPr>
        <w:t>(attBscc</w:t>
      </w:r>
      <w:r>
        <w:rPr/>
        <w:t>), situado cerca del</w:t>
      </w:r>
      <w:r>
        <w:rPr>
          <w:spacing w:val="-7"/>
        </w:rPr>
        <w:t> </w:t>
      </w:r>
      <w:r>
        <w:rPr/>
        <w:t>origen</w:t>
      </w:r>
      <w:r>
        <w:rPr>
          <w:spacing w:val="-6"/>
        </w:rPr>
        <w:t> </w:t>
      </w:r>
      <w:r>
        <w:rPr/>
        <w:t>de</w:t>
      </w:r>
      <w:r>
        <w:rPr>
          <w:spacing w:val="-6"/>
        </w:rPr>
        <w:t> </w:t>
      </w:r>
      <w:r>
        <w:rPr/>
        <w:t>la</w:t>
      </w:r>
      <w:r>
        <w:rPr>
          <w:spacing w:val="-6"/>
        </w:rPr>
        <w:t> </w:t>
      </w:r>
      <w:r>
        <w:rPr/>
        <w:t>replicación</w:t>
      </w:r>
      <w:r>
        <w:rPr>
          <w:spacing w:val="-6"/>
        </w:rPr>
        <w:t> </w:t>
      </w:r>
      <w:r>
        <w:rPr/>
        <w:t>de</w:t>
      </w:r>
      <w:r>
        <w:rPr>
          <w:spacing w:val="-5"/>
        </w:rPr>
        <w:t> </w:t>
      </w:r>
      <w:r>
        <w:rPr>
          <w:i/>
        </w:rPr>
        <w:t>S.</w:t>
      </w:r>
      <w:r>
        <w:rPr>
          <w:i/>
          <w:spacing w:val="-9"/>
        </w:rPr>
        <w:t> </w:t>
      </w:r>
      <w:r>
        <w:rPr>
          <w:i/>
        </w:rPr>
        <w:t>aureus,</w:t>
      </w:r>
      <w:r>
        <w:rPr>
          <w:i/>
          <w:spacing w:val="-5"/>
        </w:rPr>
        <w:t> </w:t>
      </w:r>
      <w:r>
        <w:rPr/>
        <w:t>por</w:t>
      </w:r>
      <w:r>
        <w:rPr>
          <w:spacing w:val="-7"/>
        </w:rPr>
        <w:t> </w:t>
      </w:r>
      <w:r>
        <w:rPr/>
        <w:t>lo</w:t>
      </w:r>
      <w:r>
        <w:rPr>
          <w:spacing w:val="-6"/>
        </w:rPr>
        <w:t> </w:t>
      </w:r>
      <w:r>
        <w:rPr/>
        <w:t>tanto</w:t>
      </w:r>
      <w:r>
        <w:rPr>
          <w:spacing w:val="-6"/>
        </w:rPr>
        <w:t> </w:t>
      </w:r>
      <w:r>
        <w:rPr/>
        <w:t>se</w:t>
      </w:r>
      <w:r>
        <w:rPr>
          <w:spacing w:val="-6"/>
        </w:rPr>
        <w:t> </w:t>
      </w:r>
      <w:r>
        <w:rPr/>
        <w:t>replicara</w:t>
      </w:r>
      <w:r>
        <w:rPr>
          <w:spacing w:val="-9"/>
        </w:rPr>
        <w:t> </w:t>
      </w:r>
      <w:r>
        <w:rPr/>
        <w:t>en</w:t>
      </w:r>
      <w:r>
        <w:rPr>
          <w:spacing w:val="-8"/>
        </w:rPr>
        <w:t> </w:t>
      </w:r>
      <w:r>
        <w:rPr/>
        <w:t>una</w:t>
      </w:r>
      <w:r>
        <w:rPr>
          <w:spacing w:val="-8"/>
        </w:rPr>
        <w:t> </w:t>
      </w:r>
      <w:r>
        <w:rPr/>
        <w:t>etapa</w:t>
      </w:r>
      <w:r>
        <w:rPr>
          <w:spacing w:val="-8"/>
        </w:rPr>
        <w:t> </w:t>
      </w:r>
      <w:r>
        <w:rPr/>
        <w:t>más temprana, que podría tener una importancia estratégica para la transcripción inmediata de los genes de resistencia a antibióticos importados. Para su movilización (escisión e integración), en el cromosoma SCC</w:t>
      </w:r>
      <w:r>
        <w:rPr>
          <w:i/>
        </w:rPr>
        <w:t>mec </w:t>
      </w:r>
      <w:r>
        <w:rPr/>
        <w:t>contiene genes específicos designados recombinasas casete cromosoma (</w:t>
      </w:r>
      <w:r>
        <w:rPr>
          <w:i/>
        </w:rPr>
        <w:t>ccrA</w:t>
      </w:r>
      <w:r>
        <w:rPr/>
        <w:t>/</w:t>
      </w:r>
      <w:r>
        <w:rPr>
          <w:i/>
        </w:rPr>
        <w:t>ccrB </w:t>
      </w:r>
      <w:r>
        <w:rPr/>
        <w:t>o </w:t>
      </w:r>
      <w:r>
        <w:rPr>
          <w:i/>
        </w:rPr>
        <w:t>ccrC</w:t>
      </w:r>
      <w:r>
        <w:rPr/>
        <w:t>) (Grundmann </w:t>
      </w:r>
      <w:r>
        <w:rPr>
          <w:i/>
        </w:rPr>
        <w:t>et al.</w:t>
      </w:r>
      <w:r>
        <w:rPr/>
        <w:t>, 2006; Bustos Martínez </w:t>
      </w:r>
      <w:r>
        <w:rPr>
          <w:i/>
        </w:rPr>
        <w:t>et al.,</w:t>
      </w:r>
      <w:r>
        <w:rPr>
          <w:i/>
          <w:spacing w:val="-17"/>
        </w:rPr>
        <w:t> </w:t>
      </w:r>
      <w:r>
        <w:rPr/>
        <w:t>2006).</w:t>
      </w:r>
    </w:p>
    <w:p>
      <w:pPr>
        <w:spacing w:after="0" w:line="276" w:lineRule="auto"/>
        <w:jc w:val="both"/>
        <w:sectPr>
          <w:pgSz w:w="12240" w:h="15840"/>
          <w:pgMar w:header="728" w:footer="1135" w:top="1200" w:bottom="1320" w:left="1560" w:right="1560"/>
        </w:sectPr>
      </w:pPr>
    </w:p>
    <w:p>
      <w:pPr>
        <w:pStyle w:val="BodyText"/>
        <w:spacing w:before="9"/>
        <w:rPr>
          <w:sz w:val="12"/>
        </w:rPr>
      </w:pPr>
    </w:p>
    <w:p>
      <w:pPr>
        <w:pStyle w:val="BodyText"/>
        <w:spacing w:line="276" w:lineRule="auto" w:before="70"/>
        <w:ind w:left="142" w:right="136"/>
        <w:jc w:val="both"/>
      </w:pPr>
      <w:r>
        <w:rPr/>
        <w:t>Cepas de MRSA son caracterizadas por fenotipo de resistencia múltiple como consecuencia de una acumulación y organización en la región </w:t>
      </w:r>
      <w:r>
        <w:rPr>
          <w:i/>
        </w:rPr>
        <w:t>SCCmec </w:t>
      </w:r>
      <w:r>
        <w:rPr/>
        <w:t>de determinantes</w:t>
      </w:r>
      <w:r>
        <w:rPr>
          <w:spacing w:val="-12"/>
        </w:rPr>
        <w:t> </w:t>
      </w:r>
      <w:r>
        <w:rPr/>
        <w:t>de</w:t>
      </w:r>
      <w:r>
        <w:rPr>
          <w:spacing w:val="-11"/>
        </w:rPr>
        <w:t> </w:t>
      </w:r>
      <w:r>
        <w:rPr/>
        <w:t>resistencia</w:t>
      </w:r>
      <w:r>
        <w:rPr>
          <w:spacing w:val="-11"/>
        </w:rPr>
        <w:t> </w:t>
      </w:r>
      <w:r>
        <w:rPr/>
        <w:t>a</w:t>
      </w:r>
      <w:r>
        <w:rPr>
          <w:spacing w:val="-11"/>
        </w:rPr>
        <w:t> </w:t>
      </w:r>
      <w:r>
        <w:rPr/>
        <w:t>través</w:t>
      </w:r>
      <w:r>
        <w:rPr>
          <w:spacing w:val="-12"/>
        </w:rPr>
        <w:t> </w:t>
      </w:r>
      <w:r>
        <w:rPr/>
        <w:t>del</w:t>
      </w:r>
      <w:r>
        <w:rPr>
          <w:spacing w:val="-12"/>
        </w:rPr>
        <w:t> </w:t>
      </w:r>
      <w:r>
        <w:rPr/>
        <w:t>tiempo,</w:t>
      </w:r>
      <w:r>
        <w:rPr>
          <w:spacing w:val="-11"/>
        </w:rPr>
        <w:t> </w:t>
      </w:r>
      <w:r>
        <w:rPr/>
        <w:t>está</w:t>
      </w:r>
      <w:r>
        <w:rPr>
          <w:spacing w:val="-11"/>
        </w:rPr>
        <w:t> </w:t>
      </w:r>
      <w:r>
        <w:rPr/>
        <w:t>región</w:t>
      </w:r>
      <w:r>
        <w:rPr>
          <w:spacing w:val="-10"/>
        </w:rPr>
        <w:t> </w:t>
      </w:r>
      <w:r>
        <w:rPr/>
        <w:t>actúa</w:t>
      </w:r>
      <w:r>
        <w:rPr>
          <w:spacing w:val="-11"/>
        </w:rPr>
        <w:t> </w:t>
      </w:r>
      <w:r>
        <w:rPr/>
        <w:t>como</w:t>
      </w:r>
      <w:r>
        <w:rPr>
          <w:spacing w:val="-13"/>
        </w:rPr>
        <w:t> </w:t>
      </w:r>
      <w:r>
        <w:rPr/>
        <w:t>un</w:t>
      </w:r>
      <w:r>
        <w:rPr>
          <w:spacing w:val="-11"/>
        </w:rPr>
        <w:t> </w:t>
      </w:r>
      <w:r>
        <w:rPr/>
        <w:t>sitio</w:t>
      </w:r>
      <w:r>
        <w:rPr>
          <w:spacing w:val="-11"/>
        </w:rPr>
        <w:t> </w:t>
      </w:r>
      <w:r>
        <w:rPr/>
        <w:t>de integración de plásmidos, transposones y secuencias de inserción. Tipos de </w:t>
      </w:r>
      <w:r>
        <w:rPr>
          <w:i/>
        </w:rPr>
        <w:t>SCCmec </w:t>
      </w:r>
      <w:r>
        <w:rPr/>
        <w:t>e inserción y supresión de otros elementos genéticos móviles podrían estar relacionados en la modulación del comportamiento epidémico de cepas de MRSA de similar antecedentes genéticos independientemente del uso de antibióticos (Stefani y Goglio,</w:t>
      </w:r>
      <w:r>
        <w:rPr>
          <w:spacing w:val="-13"/>
        </w:rPr>
        <w:t> </w:t>
      </w:r>
      <w:r>
        <w:rPr/>
        <w:t>2010).</w:t>
      </w:r>
    </w:p>
    <w:p>
      <w:pPr>
        <w:pStyle w:val="BodyText"/>
      </w:pPr>
    </w:p>
    <w:p>
      <w:pPr>
        <w:pStyle w:val="BodyText"/>
        <w:spacing w:before="3"/>
      </w:pPr>
    </w:p>
    <w:p>
      <w:pPr>
        <w:pStyle w:val="BodyText"/>
        <w:spacing w:line="276" w:lineRule="auto"/>
        <w:ind w:left="142" w:right="134"/>
        <w:jc w:val="both"/>
      </w:pPr>
      <w:r>
        <w:rPr/>
        <w:t>Se conocen 12 tipos de </w:t>
      </w:r>
      <w:r>
        <w:rPr>
          <w:i/>
        </w:rPr>
        <w:t>SCCmec </w:t>
      </w:r>
      <w:r>
        <w:rPr/>
        <w:t>que se diferencian por la estructura de su </w:t>
      </w:r>
      <w:r>
        <w:rPr>
          <w:i/>
        </w:rPr>
        <w:t>ccrA-B </w:t>
      </w:r>
      <w:r>
        <w:rPr/>
        <w:t>y complejos </w:t>
      </w:r>
      <w:r>
        <w:rPr>
          <w:i/>
        </w:rPr>
        <w:t>mecA </w:t>
      </w:r>
      <w:r>
        <w:rPr/>
        <w:t>(Wu </w:t>
      </w:r>
      <w:r>
        <w:rPr>
          <w:i/>
        </w:rPr>
        <w:t>et al., </w:t>
      </w:r>
      <w:r>
        <w:rPr/>
        <w:t>2015), y algunas variantes de acuerdo con la combinación de los complejos </w:t>
      </w:r>
      <w:r>
        <w:rPr>
          <w:i/>
        </w:rPr>
        <w:t>mec </w:t>
      </w:r>
      <w:r>
        <w:rPr/>
        <w:t>y genes </w:t>
      </w:r>
      <w:r>
        <w:rPr>
          <w:i/>
        </w:rPr>
        <w:t>ccr </w:t>
      </w:r>
      <w:r>
        <w:rPr/>
        <w:t>que contienen. Además los elementos</w:t>
      </w:r>
      <w:r>
        <w:rPr>
          <w:spacing w:val="-9"/>
        </w:rPr>
        <w:t> </w:t>
      </w:r>
      <w:r>
        <w:rPr>
          <w:i/>
        </w:rPr>
        <w:t>SCCmec</w:t>
      </w:r>
      <w:r>
        <w:rPr>
          <w:i/>
          <w:spacing w:val="-6"/>
        </w:rPr>
        <w:t> </w:t>
      </w:r>
      <w:r>
        <w:rPr/>
        <w:t>difieren</w:t>
      </w:r>
      <w:r>
        <w:rPr>
          <w:spacing w:val="-8"/>
        </w:rPr>
        <w:t> </w:t>
      </w:r>
      <w:r>
        <w:rPr/>
        <w:t>entre</w:t>
      </w:r>
      <w:r>
        <w:rPr>
          <w:spacing w:val="-8"/>
        </w:rPr>
        <w:t> </w:t>
      </w:r>
      <w:r>
        <w:rPr/>
        <w:t>sí</w:t>
      </w:r>
      <w:r>
        <w:rPr>
          <w:spacing w:val="-11"/>
        </w:rPr>
        <w:t> </w:t>
      </w:r>
      <w:r>
        <w:rPr/>
        <w:t>en</w:t>
      </w:r>
      <w:r>
        <w:rPr>
          <w:spacing w:val="-8"/>
        </w:rPr>
        <w:t> </w:t>
      </w:r>
      <w:r>
        <w:rPr/>
        <w:t>los</w:t>
      </w:r>
      <w:r>
        <w:rPr>
          <w:spacing w:val="-9"/>
        </w:rPr>
        <w:t> </w:t>
      </w:r>
      <w:r>
        <w:rPr/>
        <w:t>genes</w:t>
      </w:r>
      <w:r>
        <w:rPr>
          <w:spacing w:val="-9"/>
        </w:rPr>
        <w:t> </w:t>
      </w:r>
      <w:r>
        <w:rPr/>
        <w:t>de</w:t>
      </w:r>
      <w:r>
        <w:rPr>
          <w:spacing w:val="-8"/>
        </w:rPr>
        <w:t> </w:t>
      </w:r>
      <w:r>
        <w:rPr/>
        <w:t>resistencia</w:t>
      </w:r>
      <w:r>
        <w:rPr>
          <w:spacing w:val="-9"/>
        </w:rPr>
        <w:t> </w:t>
      </w:r>
      <w:r>
        <w:rPr/>
        <w:t>a</w:t>
      </w:r>
      <w:r>
        <w:rPr>
          <w:spacing w:val="-8"/>
        </w:rPr>
        <w:t> </w:t>
      </w:r>
      <w:r>
        <w:rPr/>
        <w:t>antibióticos</w:t>
      </w:r>
      <w:r>
        <w:rPr>
          <w:spacing w:val="-9"/>
        </w:rPr>
        <w:t> </w:t>
      </w:r>
      <w:r>
        <w:rPr/>
        <w:t>no</w:t>
      </w:r>
      <w:r>
        <w:rPr>
          <w:spacing w:val="-11"/>
        </w:rPr>
        <w:t> </w:t>
      </w:r>
      <w:r>
        <w:rPr>
          <w:spacing w:val="3"/>
        </w:rPr>
        <w:t>β- </w:t>
      </w:r>
      <w:r>
        <w:rPr/>
        <w:t>lactámicos que poseen; los tipos </w:t>
      </w:r>
      <w:r>
        <w:rPr>
          <w:i/>
        </w:rPr>
        <w:t>SCCmec </w:t>
      </w:r>
      <w:r>
        <w:rPr/>
        <w:t>I, IV y V no contienen otros genes de resistencia</w:t>
      </w:r>
      <w:r>
        <w:rPr>
          <w:spacing w:val="-9"/>
        </w:rPr>
        <w:t> </w:t>
      </w:r>
      <w:r>
        <w:rPr/>
        <w:t>adicionales</w:t>
      </w:r>
      <w:r>
        <w:rPr>
          <w:spacing w:val="-11"/>
        </w:rPr>
        <w:t> </w:t>
      </w:r>
      <w:r>
        <w:rPr/>
        <w:t>al</w:t>
      </w:r>
      <w:r>
        <w:rPr>
          <w:spacing w:val="-5"/>
        </w:rPr>
        <w:t> </w:t>
      </w:r>
      <w:r>
        <w:rPr>
          <w:i/>
        </w:rPr>
        <w:t>mecA</w:t>
      </w:r>
      <w:r>
        <w:rPr/>
        <w:t>,</w:t>
      </w:r>
      <w:r>
        <w:rPr>
          <w:spacing w:val="-9"/>
        </w:rPr>
        <w:t> </w:t>
      </w:r>
      <w:r>
        <w:rPr/>
        <w:t>con</w:t>
      </w:r>
      <w:r>
        <w:rPr>
          <w:spacing w:val="-8"/>
        </w:rPr>
        <w:t> </w:t>
      </w:r>
      <w:r>
        <w:rPr/>
        <w:t>la</w:t>
      </w:r>
      <w:r>
        <w:rPr>
          <w:spacing w:val="-9"/>
        </w:rPr>
        <w:t> </w:t>
      </w:r>
      <w:r>
        <w:rPr/>
        <w:t>excepción</w:t>
      </w:r>
      <w:r>
        <w:rPr>
          <w:spacing w:val="-8"/>
        </w:rPr>
        <w:t> </w:t>
      </w:r>
      <w:r>
        <w:rPr/>
        <w:t>de</w:t>
      </w:r>
      <w:r>
        <w:rPr>
          <w:spacing w:val="-8"/>
        </w:rPr>
        <w:t> </w:t>
      </w:r>
      <w:r>
        <w:rPr/>
        <w:t>las</w:t>
      </w:r>
      <w:r>
        <w:rPr>
          <w:spacing w:val="-9"/>
        </w:rPr>
        <w:t> </w:t>
      </w:r>
      <w:r>
        <w:rPr/>
        <w:t>variantes</w:t>
      </w:r>
      <w:r>
        <w:rPr>
          <w:spacing w:val="-9"/>
        </w:rPr>
        <w:t> </w:t>
      </w:r>
      <w:r>
        <w:rPr/>
        <w:t>IA,</w:t>
      </w:r>
      <w:r>
        <w:rPr>
          <w:spacing w:val="-9"/>
        </w:rPr>
        <w:t> </w:t>
      </w:r>
      <w:r>
        <w:rPr/>
        <w:t>IVA</w:t>
      </w:r>
      <w:r>
        <w:rPr>
          <w:spacing w:val="-9"/>
        </w:rPr>
        <w:t> </w:t>
      </w:r>
      <w:r>
        <w:rPr/>
        <w:t>y</w:t>
      </w:r>
      <w:r>
        <w:rPr>
          <w:spacing w:val="-12"/>
        </w:rPr>
        <w:t> </w:t>
      </w:r>
      <w:r>
        <w:rPr/>
        <w:t>IVC,</w:t>
      </w:r>
      <w:r>
        <w:rPr>
          <w:spacing w:val="-9"/>
        </w:rPr>
        <w:t> </w:t>
      </w:r>
      <w:r>
        <w:rPr/>
        <w:t>los tipos</w:t>
      </w:r>
      <w:r>
        <w:rPr>
          <w:spacing w:val="-16"/>
        </w:rPr>
        <w:t> </w:t>
      </w:r>
      <w:r>
        <w:rPr>
          <w:i/>
        </w:rPr>
        <w:t>SCCmec</w:t>
      </w:r>
      <w:r>
        <w:rPr>
          <w:i/>
          <w:spacing w:val="-16"/>
        </w:rPr>
        <w:t> </w:t>
      </w:r>
      <w:r>
        <w:rPr/>
        <w:t>II</w:t>
      </w:r>
      <w:r>
        <w:rPr>
          <w:spacing w:val="-16"/>
        </w:rPr>
        <w:t> </w:t>
      </w:r>
      <w:r>
        <w:rPr/>
        <w:t>y</w:t>
      </w:r>
      <w:r>
        <w:rPr>
          <w:spacing w:val="-19"/>
        </w:rPr>
        <w:t> </w:t>
      </w:r>
      <w:r>
        <w:rPr/>
        <w:t>III</w:t>
      </w:r>
      <w:r>
        <w:rPr>
          <w:spacing w:val="-18"/>
        </w:rPr>
        <w:t> </w:t>
      </w:r>
      <w:r>
        <w:rPr/>
        <w:t>contienen</w:t>
      </w:r>
      <w:r>
        <w:rPr>
          <w:spacing w:val="-18"/>
        </w:rPr>
        <w:t> </w:t>
      </w:r>
      <w:r>
        <w:rPr/>
        <w:t>muchos</w:t>
      </w:r>
      <w:r>
        <w:rPr>
          <w:spacing w:val="-19"/>
        </w:rPr>
        <w:t> </w:t>
      </w:r>
      <w:r>
        <w:rPr/>
        <w:t>genes</w:t>
      </w:r>
      <w:r>
        <w:rPr>
          <w:spacing w:val="-19"/>
        </w:rPr>
        <w:t> </w:t>
      </w:r>
      <w:r>
        <w:rPr/>
        <w:t>de</w:t>
      </w:r>
      <w:r>
        <w:rPr>
          <w:spacing w:val="-16"/>
        </w:rPr>
        <w:t> </w:t>
      </w:r>
      <w:r>
        <w:rPr/>
        <w:t>resistencia</w:t>
      </w:r>
      <w:r>
        <w:rPr>
          <w:spacing w:val="-18"/>
        </w:rPr>
        <w:t> </w:t>
      </w:r>
      <w:r>
        <w:rPr/>
        <w:t>a</w:t>
      </w:r>
      <w:r>
        <w:rPr>
          <w:spacing w:val="-18"/>
        </w:rPr>
        <w:t> </w:t>
      </w:r>
      <w:r>
        <w:rPr/>
        <w:t>antibióticos</w:t>
      </w:r>
      <w:r>
        <w:rPr>
          <w:spacing w:val="-16"/>
        </w:rPr>
        <w:t> </w:t>
      </w:r>
      <w:r>
        <w:rPr/>
        <w:t>y</w:t>
      </w:r>
      <w:r>
        <w:rPr>
          <w:spacing w:val="-19"/>
        </w:rPr>
        <w:t> </w:t>
      </w:r>
      <w:r>
        <w:rPr/>
        <w:t>metales pesados,</w:t>
      </w:r>
      <w:r>
        <w:rPr>
          <w:spacing w:val="-11"/>
        </w:rPr>
        <w:t> </w:t>
      </w:r>
      <w:r>
        <w:rPr/>
        <w:t>en</w:t>
      </w:r>
      <w:r>
        <w:rPr>
          <w:spacing w:val="-11"/>
        </w:rPr>
        <w:t> </w:t>
      </w:r>
      <w:r>
        <w:rPr/>
        <w:t>plásmidos</w:t>
      </w:r>
      <w:r>
        <w:rPr>
          <w:spacing w:val="-12"/>
        </w:rPr>
        <w:t> </w:t>
      </w:r>
      <w:r>
        <w:rPr/>
        <w:t>o</w:t>
      </w:r>
      <w:r>
        <w:rPr>
          <w:spacing w:val="-11"/>
        </w:rPr>
        <w:t> </w:t>
      </w:r>
      <w:r>
        <w:rPr/>
        <w:t>transposones</w:t>
      </w:r>
      <w:r>
        <w:rPr>
          <w:spacing w:val="-12"/>
        </w:rPr>
        <w:t> </w:t>
      </w:r>
      <w:r>
        <w:rPr/>
        <w:t>como</w:t>
      </w:r>
      <w:r>
        <w:rPr>
          <w:spacing w:val="-13"/>
        </w:rPr>
        <w:t> </w:t>
      </w:r>
      <w:r>
        <w:rPr/>
        <w:t>se</w:t>
      </w:r>
      <w:r>
        <w:rPr>
          <w:spacing w:val="-11"/>
        </w:rPr>
        <w:t> </w:t>
      </w:r>
      <w:r>
        <w:rPr/>
        <w:t>muestra</w:t>
      </w:r>
      <w:r>
        <w:rPr>
          <w:spacing w:val="-11"/>
        </w:rPr>
        <w:t> </w:t>
      </w:r>
      <w:r>
        <w:rPr/>
        <w:t>en</w:t>
      </w:r>
      <w:r>
        <w:rPr>
          <w:spacing w:val="-11"/>
        </w:rPr>
        <w:t> </w:t>
      </w:r>
      <w:r>
        <w:rPr/>
        <w:t>la</w:t>
      </w:r>
      <w:r>
        <w:rPr>
          <w:spacing w:val="-13"/>
        </w:rPr>
        <w:t> </w:t>
      </w:r>
      <w:r>
        <w:rPr/>
        <w:t>figura</w:t>
      </w:r>
      <w:r>
        <w:rPr>
          <w:spacing w:val="-11"/>
        </w:rPr>
        <w:t> </w:t>
      </w:r>
      <w:r>
        <w:rPr/>
        <w:t>5</w:t>
      </w:r>
      <w:r>
        <w:rPr>
          <w:spacing w:val="-4"/>
        </w:rPr>
        <w:t> </w:t>
      </w:r>
      <w:r>
        <w:rPr/>
        <w:t>(Grundmann </w:t>
      </w:r>
      <w:r>
        <w:rPr>
          <w:i/>
        </w:rPr>
        <w:t>et al.</w:t>
      </w:r>
      <w:r>
        <w:rPr/>
        <w:t>, 2006). Los tipos II y IV se encuentran circulando en cepas de MRSA en México.</w:t>
      </w:r>
    </w:p>
    <w:p>
      <w:pPr>
        <w:spacing w:after="0" w:line="276" w:lineRule="auto"/>
        <w:jc w:val="both"/>
        <w:sectPr>
          <w:pgSz w:w="12240" w:h="15840"/>
          <w:pgMar w:header="728" w:footer="1135" w:top="1200" w:bottom="1320" w:left="1560" w:right="1560"/>
        </w:sectPr>
      </w:pPr>
    </w:p>
    <w:p>
      <w:pPr>
        <w:pStyle w:val="BodyText"/>
        <w:spacing w:before="7"/>
        <w:rPr>
          <w:sz w:val="12"/>
        </w:rPr>
      </w:pPr>
    </w:p>
    <w:p>
      <w:pPr>
        <w:pStyle w:val="BodyText"/>
        <w:spacing w:before="69"/>
        <w:ind w:left="142" w:right="1550"/>
      </w:pPr>
      <w:r>
        <w:rPr/>
        <w:t>Figura 5: Organización genómica de </w:t>
      </w:r>
      <w:r>
        <w:rPr>
          <w:i/>
        </w:rPr>
        <w:t>SCCmec </w:t>
      </w:r>
      <w:r>
        <w:rPr/>
        <w:t>I al V y variantes.</w:t>
      </w:r>
    </w:p>
    <w:p>
      <w:pPr>
        <w:pStyle w:val="BodyText"/>
        <w:spacing w:before="10"/>
        <w:rPr>
          <w:sz w:val="10"/>
        </w:rPr>
      </w:pPr>
      <w:r>
        <w:rPr/>
        <w:drawing>
          <wp:anchor distT="0" distB="0" distL="0" distR="0" allowOverlap="1" layoutInCell="1" locked="0" behindDoc="0" simplePos="0" relativeHeight="1168">
            <wp:simplePos x="0" y="0"/>
            <wp:positionH relativeFrom="page">
              <wp:posOffset>1149096</wp:posOffset>
            </wp:positionH>
            <wp:positionV relativeFrom="paragraph">
              <wp:posOffset>104610</wp:posOffset>
            </wp:positionV>
            <wp:extent cx="5154453" cy="6429375"/>
            <wp:effectExtent l="0" t="0" r="0" b="0"/>
            <wp:wrapTopAndBottom/>
            <wp:docPr id="9" name="image6.png" descr=""/>
            <wp:cNvGraphicFramePr>
              <a:graphicFrameLocks noChangeAspect="1"/>
            </wp:cNvGraphicFramePr>
            <a:graphic>
              <a:graphicData uri="http://schemas.openxmlformats.org/drawingml/2006/picture">
                <pic:pic>
                  <pic:nvPicPr>
                    <pic:cNvPr id="10" name="image6.png"/>
                    <pic:cNvPicPr/>
                  </pic:nvPicPr>
                  <pic:blipFill>
                    <a:blip r:embed="rId18" cstate="print"/>
                    <a:stretch>
                      <a:fillRect/>
                    </a:stretch>
                  </pic:blipFill>
                  <pic:spPr>
                    <a:xfrm>
                      <a:off x="0" y="0"/>
                      <a:ext cx="5154453" cy="6429375"/>
                    </a:xfrm>
                    <a:prstGeom prst="rect">
                      <a:avLst/>
                    </a:prstGeom>
                  </pic:spPr>
                </pic:pic>
              </a:graphicData>
            </a:graphic>
          </wp:anchor>
        </w:drawing>
      </w:r>
    </w:p>
    <w:p>
      <w:pPr>
        <w:pStyle w:val="BodyText"/>
        <w:spacing w:before="1"/>
        <w:rPr>
          <w:sz w:val="19"/>
        </w:rPr>
      </w:pPr>
    </w:p>
    <w:p>
      <w:pPr>
        <w:spacing w:before="1"/>
        <w:ind w:left="250" w:right="1550" w:firstLine="0"/>
        <w:jc w:val="left"/>
        <w:rPr>
          <w:sz w:val="20"/>
        </w:rPr>
      </w:pPr>
      <w:r>
        <w:rPr>
          <w:sz w:val="20"/>
        </w:rPr>
        <w:t>Fuente: Grundmann </w:t>
      </w:r>
      <w:r>
        <w:rPr>
          <w:i/>
          <w:sz w:val="20"/>
        </w:rPr>
        <w:t>et al</w:t>
      </w:r>
      <w:r>
        <w:rPr>
          <w:sz w:val="20"/>
        </w:rPr>
        <w:t>, (2006).</w:t>
      </w:r>
    </w:p>
    <w:p>
      <w:pPr>
        <w:spacing w:after="0"/>
        <w:jc w:val="left"/>
        <w:rPr>
          <w:sz w:val="20"/>
        </w:rPr>
        <w:sectPr>
          <w:pgSz w:w="12240" w:h="15840"/>
          <w:pgMar w:header="728" w:footer="1135" w:top="1200" w:bottom="1320" w:left="1560" w:right="1560"/>
        </w:sectPr>
      </w:pPr>
    </w:p>
    <w:p>
      <w:pPr>
        <w:pStyle w:val="BodyText"/>
        <w:rPr>
          <w:sz w:val="20"/>
        </w:rPr>
      </w:pPr>
    </w:p>
    <w:p>
      <w:pPr>
        <w:pStyle w:val="BodyText"/>
        <w:rPr>
          <w:sz w:val="20"/>
        </w:rPr>
      </w:pPr>
    </w:p>
    <w:p>
      <w:pPr>
        <w:pStyle w:val="BodyText"/>
        <w:spacing w:before="5"/>
        <w:rPr>
          <w:sz w:val="17"/>
        </w:rPr>
      </w:pPr>
    </w:p>
    <w:p>
      <w:pPr>
        <w:pStyle w:val="Heading2"/>
        <w:ind w:left="198"/>
        <w:jc w:val="both"/>
      </w:pPr>
      <w:bookmarkStart w:name="_bookmark18" w:id="25"/>
      <w:bookmarkEnd w:id="25"/>
      <w:r>
        <w:rPr>
          <w:b w:val="0"/>
        </w:rPr>
      </w:r>
      <w:r>
        <w:rPr/>
        <w:t>MRSA en el mundo</w:t>
      </w:r>
    </w:p>
    <w:p>
      <w:pPr>
        <w:spacing w:line="360" w:lineRule="auto" w:before="23"/>
        <w:ind w:left="198" w:right="195" w:firstLine="0"/>
        <w:jc w:val="both"/>
        <w:rPr>
          <w:sz w:val="20"/>
        </w:rPr>
      </w:pPr>
      <w:r>
        <w:rPr>
          <w:i/>
          <w:sz w:val="20"/>
        </w:rPr>
        <w:t>Staphylococcus aureus </w:t>
      </w:r>
      <w:r>
        <w:rPr>
          <w:sz w:val="20"/>
        </w:rPr>
        <w:t>resistente a la meticilina, es hoy en día el patógeno más comúnmente identificado en varias partes del mundo, incluyendo Europa, América, África, Medio Oriente y Asía (Ippolito </w:t>
      </w:r>
      <w:r>
        <w:rPr>
          <w:i/>
          <w:sz w:val="20"/>
        </w:rPr>
        <w:t>et al., </w:t>
      </w:r>
      <w:r>
        <w:rPr>
          <w:sz w:val="20"/>
        </w:rPr>
        <w:t>2010). MRSA se ha difundido ampliamente entre países y en todos los   continentes;</w:t>
      </w:r>
    </w:p>
    <w:p>
      <w:pPr>
        <w:spacing w:line="360" w:lineRule="auto" w:before="4"/>
        <w:ind w:left="198" w:right="193" w:firstLine="0"/>
        <w:jc w:val="both"/>
        <w:rPr>
          <w:sz w:val="20"/>
        </w:rPr>
      </w:pPr>
      <w:r>
        <w:rPr/>
        <w:pict>
          <v:group style="position:absolute;margin-left:128.759995pt;margin-top:81.439888pt;width:534.5pt;height:253.35pt;mso-position-horizontal-relative:page;mso-position-vertical-relative:paragraph;z-index:-216256" coordorigin="2575,1629" coordsize="10690,5067">
            <v:shape style="position:absolute;left:2575;top:1629;width:10690;height:5066" type="#_x0000_t75" stroked="false">
              <v:imagedata r:id="rId21" o:title=""/>
            </v:shape>
            <v:shape style="position:absolute;left:2616;top:5618;width:1013;height:1001" type="#_x0000_t75" stroked="false">
              <v:imagedata r:id="rId22" o:title=""/>
            </v:shape>
            <w10:wrap type="none"/>
          </v:group>
        </w:pict>
      </w:r>
      <w:r>
        <w:rPr>
          <w:sz w:val="20"/>
        </w:rPr>
        <w:t>&gt;50% de los aislamientos de </w:t>
      </w:r>
      <w:r>
        <w:rPr>
          <w:i/>
          <w:sz w:val="20"/>
        </w:rPr>
        <w:t>S. aureus </w:t>
      </w:r>
      <w:r>
        <w:rPr>
          <w:sz w:val="20"/>
        </w:rPr>
        <w:t>muestran resistencia a meticilina en EUA, en países de Europa (Guzmán-Blanco </w:t>
      </w:r>
      <w:r>
        <w:rPr>
          <w:i/>
          <w:sz w:val="20"/>
        </w:rPr>
        <w:t>et al.</w:t>
      </w:r>
      <w:r>
        <w:rPr>
          <w:sz w:val="20"/>
        </w:rPr>
        <w:t>, 2009). Los porcentajes de prevalencia varían de país y continente y dependen de varios factores como la fuente de muestreo, el origen geográfico, la sensibilidad de los métodos de identificación y la cantidad de muestras (Shanehbandi </w:t>
      </w:r>
      <w:r>
        <w:rPr>
          <w:i/>
          <w:sz w:val="20"/>
        </w:rPr>
        <w:t>et al., </w:t>
      </w:r>
      <w:r>
        <w:rPr>
          <w:sz w:val="20"/>
        </w:rPr>
        <w:t>2014).</w:t>
      </w:r>
    </w:p>
    <w:p>
      <w:pPr>
        <w:pStyle w:val="BodyText"/>
        <w:spacing w:before="3"/>
        <w:rPr>
          <w:sz w:val="13"/>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188"/>
      </w:tblGrid>
      <w:tr>
        <w:trPr>
          <w:trHeight w:val="2983" w:hRule="exact"/>
        </w:trPr>
        <w:tc>
          <w:tcPr>
            <w:tcW w:w="13188" w:type="dxa"/>
          </w:tcPr>
          <w:p>
            <w:pPr>
              <w:pStyle w:val="TableParagraph"/>
              <w:spacing w:line="204" w:lineRule="exact"/>
              <w:ind w:left="200" w:right="1"/>
              <w:jc w:val="left"/>
              <w:rPr>
                <w:sz w:val="20"/>
              </w:rPr>
            </w:pPr>
            <w:r>
              <w:rPr>
                <w:sz w:val="20"/>
              </w:rPr>
              <w:t>Figura 6: Prevalencia mundial de MRSA mostrado por país.</w:t>
            </w:r>
          </w:p>
        </w:tc>
      </w:tr>
      <w:tr>
        <w:trPr>
          <w:trHeight w:val="3274" w:hRule="exact"/>
        </w:trPr>
        <w:tc>
          <w:tcPr>
            <w:tcW w:w="13188" w:type="dxa"/>
          </w:tcPr>
          <w:p>
            <w:pPr>
              <w:pStyle w:val="TableParagraph"/>
              <w:ind w:left="0"/>
              <w:jc w:val="left"/>
              <w:rPr>
                <w:sz w:val="18"/>
              </w:rPr>
            </w:pPr>
          </w:p>
          <w:p>
            <w:pPr>
              <w:pStyle w:val="TableParagraph"/>
              <w:ind w:left="0"/>
              <w:jc w:val="left"/>
              <w:rPr>
                <w:sz w:val="18"/>
              </w:rPr>
            </w:pPr>
          </w:p>
          <w:p>
            <w:pPr>
              <w:pStyle w:val="TableParagraph"/>
              <w:ind w:left="0"/>
              <w:jc w:val="left"/>
              <w:rPr>
                <w:sz w:val="18"/>
              </w:rPr>
            </w:pPr>
          </w:p>
          <w:p>
            <w:pPr>
              <w:pStyle w:val="TableParagraph"/>
              <w:ind w:left="0"/>
              <w:jc w:val="left"/>
              <w:rPr>
                <w:sz w:val="18"/>
              </w:rPr>
            </w:pPr>
          </w:p>
          <w:p>
            <w:pPr>
              <w:pStyle w:val="TableParagraph"/>
              <w:ind w:left="0"/>
              <w:jc w:val="left"/>
              <w:rPr>
                <w:sz w:val="18"/>
              </w:rPr>
            </w:pPr>
          </w:p>
          <w:p>
            <w:pPr>
              <w:pStyle w:val="TableParagraph"/>
              <w:ind w:left="0"/>
              <w:jc w:val="left"/>
              <w:rPr>
                <w:sz w:val="18"/>
              </w:rPr>
            </w:pPr>
          </w:p>
          <w:p>
            <w:pPr>
              <w:pStyle w:val="TableParagraph"/>
              <w:ind w:left="0"/>
              <w:jc w:val="left"/>
              <w:rPr>
                <w:sz w:val="18"/>
              </w:rPr>
            </w:pPr>
          </w:p>
          <w:p>
            <w:pPr>
              <w:pStyle w:val="TableParagraph"/>
              <w:ind w:left="0"/>
              <w:jc w:val="left"/>
              <w:rPr>
                <w:sz w:val="18"/>
              </w:rPr>
            </w:pPr>
          </w:p>
          <w:p>
            <w:pPr>
              <w:pStyle w:val="TableParagraph"/>
              <w:ind w:left="0"/>
              <w:jc w:val="left"/>
              <w:rPr>
                <w:sz w:val="18"/>
              </w:rPr>
            </w:pPr>
          </w:p>
          <w:p>
            <w:pPr>
              <w:pStyle w:val="TableParagraph"/>
              <w:ind w:left="0"/>
              <w:jc w:val="left"/>
              <w:rPr>
                <w:sz w:val="18"/>
              </w:rPr>
            </w:pPr>
          </w:p>
          <w:p>
            <w:pPr>
              <w:pStyle w:val="TableParagraph"/>
              <w:ind w:left="0"/>
              <w:jc w:val="left"/>
              <w:rPr>
                <w:sz w:val="18"/>
              </w:rPr>
            </w:pPr>
          </w:p>
          <w:p>
            <w:pPr>
              <w:pStyle w:val="TableParagraph"/>
              <w:ind w:left="0"/>
              <w:jc w:val="left"/>
              <w:rPr>
                <w:sz w:val="18"/>
              </w:rPr>
            </w:pPr>
          </w:p>
          <w:p>
            <w:pPr>
              <w:pStyle w:val="TableParagraph"/>
              <w:spacing w:before="1"/>
              <w:ind w:left="0"/>
              <w:jc w:val="left"/>
              <w:rPr>
                <w:sz w:val="15"/>
              </w:rPr>
            </w:pPr>
          </w:p>
          <w:p>
            <w:pPr>
              <w:pStyle w:val="TableParagraph"/>
              <w:spacing w:line="310" w:lineRule="atLeast" w:before="1"/>
              <w:ind w:left="200" w:right="1"/>
              <w:jc w:val="left"/>
              <w:rPr>
                <w:sz w:val="18"/>
              </w:rPr>
            </w:pPr>
            <w:r>
              <w:rPr>
                <w:sz w:val="18"/>
              </w:rPr>
              <w:t>Fuente: Guzmán-Blanco </w:t>
            </w:r>
            <w:r>
              <w:rPr>
                <w:i/>
                <w:sz w:val="18"/>
              </w:rPr>
              <w:t>et al</w:t>
            </w:r>
            <w:r>
              <w:rPr>
                <w:sz w:val="18"/>
              </w:rPr>
              <w:t>., (2009); Centro Europeo para la Prevención y el Control de las Enfermedades (ECDC) (2013); Antimicrobial resistance Global Report on Surveillance (2014); Grundmann </w:t>
            </w:r>
            <w:r>
              <w:rPr>
                <w:i/>
                <w:sz w:val="18"/>
              </w:rPr>
              <w:t>et al.</w:t>
            </w:r>
            <w:r>
              <w:rPr>
                <w:sz w:val="18"/>
              </w:rPr>
              <w:t>, (2006).</w:t>
            </w:r>
          </w:p>
        </w:tc>
      </w:tr>
    </w:tbl>
    <w:p>
      <w:pPr>
        <w:spacing w:after="0" w:line="310" w:lineRule="atLeast"/>
        <w:jc w:val="left"/>
        <w:rPr>
          <w:sz w:val="18"/>
        </w:rPr>
        <w:sectPr>
          <w:headerReference w:type="default" r:id="rId19"/>
          <w:footerReference w:type="default" r:id="rId20"/>
          <w:pgSz w:w="15840" w:h="12240" w:orient="landscape"/>
          <w:pgMar w:header="730" w:footer="711" w:top="960" w:bottom="900" w:left="1220" w:right="1220"/>
          <w:pgNumType w:start="1"/>
        </w:sectPr>
      </w:pPr>
    </w:p>
    <w:p>
      <w:pPr>
        <w:pStyle w:val="BodyText"/>
        <w:rPr>
          <w:sz w:val="20"/>
        </w:rPr>
      </w:pPr>
    </w:p>
    <w:p>
      <w:pPr>
        <w:pStyle w:val="BodyText"/>
        <w:rPr>
          <w:sz w:val="20"/>
        </w:rPr>
      </w:pPr>
    </w:p>
    <w:p>
      <w:pPr>
        <w:pStyle w:val="BodyText"/>
        <w:spacing w:before="9"/>
        <w:rPr>
          <w:sz w:val="16"/>
        </w:rPr>
      </w:pPr>
    </w:p>
    <w:p>
      <w:pPr>
        <w:spacing w:before="74"/>
        <w:ind w:left="138" w:right="11" w:firstLine="0"/>
        <w:jc w:val="left"/>
        <w:rPr>
          <w:b/>
          <w:sz w:val="20"/>
        </w:rPr>
      </w:pPr>
      <w:r>
        <w:rPr>
          <w:b/>
          <w:sz w:val="20"/>
        </w:rPr>
        <w:t>Cuadro 5: Clasificación de MRSA.</w:t>
      </w:r>
    </w:p>
    <w:p>
      <w:pPr>
        <w:pStyle w:val="BodyText"/>
        <w:spacing w:before="9"/>
        <w:rPr>
          <w:b/>
          <w:sz w:val="20"/>
        </w:rPr>
      </w:pPr>
    </w:p>
    <w:tbl>
      <w:tblPr>
        <w:tblW w:w="0" w:type="auto"/>
        <w:jc w:val="left"/>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65"/>
        <w:gridCol w:w="3886"/>
        <w:gridCol w:w="3872"/>
      </w:tblGrid>
      <w:tr>
        <w:trPr>
          <w:trHeight w:val="940" w:hRule="exact"/>
        </w:trPr>
        <w:tc>
          <w:tcPr>
            <w:tcW w:w="5365" w:type="dxa"/>
            <w:shd w:val="clear" w:color="auto" w:fill="808080"/>
          </w:tcPr>
          <w:p>
            <w:pPr>
              <w:pStyle w:val="TableParagraph"/>
              <w:spacing w:line="482" w:lineRule="auto"/>
              <w:ind w:left="2148" w:right="1065" w:hanging="1025"/>
              <w:jc w:val="left"/>
              <w:rPr>
                <w:sz w:val="20"/>
              </w:rPr>
            </w:pPr>
            <w:r>
              <w:rPr>
                <w:color w:val="FFFFFF"/>
                <w:sz w:val="20"/>
              </w:rPr>
              <w:t>MRSA ADQUIRIDO EN HOSPITAL (HA-MRSA)</w:t>
            </w:r>
          </w:p>
        </w:tc>
        <w:tc>
          <w:tcPr>
            <w:tcW w:w="3886" w:type="dxa"/>
            <w:shd w:val="clear" w:color="auto" w:fill="808080"/>
          </w:tcPr>
          <w:p>
            <w:pPr>
              <w:pStyle w:val="TableParagraph"/>
              <w:spacing w:line="357" w:lineRule="auto"/>
              <w:ind w:left="1409" w:right="53" w:hanging="1299"/>
              <w:jc w:val="left"/>
              <w:rPr>
                <w:sz w:val="20"/>
              </w:rPr>
            </w:pPr>
            <w:r>
              <w:rPr>
                <w:color w:val="FFFFFF"/>
                <w:sz w:val="20"/>
              </w:rPr>
              <w:t>MRSA ADQUIRIDO EN LA COMUNIDAD (CA-MRSA)</w:t>
            </w:r>
          </w:p>
        </w:tc>
        <w:tc>
          <w:tcPr>
            <w:tcW w:w="3872" w:type="dxa"/>
            <w:shd w:val="clear" w:color="auto" w:fill="808080"/>
          </w:tcPr>
          <w:p>
            <w:pPr>
              <w:pStyle w:val="TableParagraph"/>
              <w:spacing w:line="357" w:lineRule="auto"/>
              <w:ind w:left="1608" w:hanging="1331"/>
              <w:jc w:val="left"/>
              <w:rPr>
                <w:sz w:val="20"/>
              </w:rPr>
            </w:pPr>
            <w:r>
              <w:rPr>
                <w:color w:val="FFFFFF"/>
                <w:sz w:val="20"/>
              </w:rPr>
              <w:t>MRSA ASOCIADO AL GANADO (LA- MRSA)</w:t>
            </w:r>
          </w:p>
        </w:tc>
      </w:tr>
      <w:tr>
        <w:trPr>
          <w:trHeight w:val="6926" w:hRule="exact"/>
        </w:trPr>
        <w:tc>
          <w:tcPr>
            <w:tcW w:w="5365" w:type="dxa"/>
          </w:tcPr>
          <w:p>
            <w:pPr>
              <w:pStyle w:val="TableParagraph"/>
              <w:spacing w:line="227" w:lineRule="exact"/>
              <w:jc w:val="both"/>
              <w:rPr>
                <w:sz w:val="20"/>
              </w:rPr>
            </w:pPr>
            <w:r>
              <w:rPr>
                <w:sz w:val="20"/>
              </w:rPr>
              <w:t>Es la causa número uno de infecciones en hospitales.</w:t>
            </w:r>
          </w:p>
          <w:p>
            <w:pPr>
              <w:pStyle w:val="TableParagraph"/>
              <w:spacing w:before="5"/>
              <w:ind w:left="0"/>
              <w:jc w:val="left"/>
              <w:rPr>
                <w:b/>
                <w:sz w:val="20"/>
              </w:rPr>
            </w:pPr>
          </w:p>
          <w:p>
            <w:pPr>
              <w:pStyle w:val="TableParagraph"/>
              <w:spacing w:line="362" w:lineRule="auto"/>
              <w:ind w:right="107"/>
              <w:jc w:val="both"/>
              <w:rPr>
                <w:sz w:val="20"/>
              </w:rPr>
            </w:pPr>
            <w:r>
              <w:rPr>
                <w:sz w:val="20"/>
              </w:rPr>
              <w:t>La primera cepa fue aislada en 1961 en Londres, Reino Unido.</w:t>
            </w:r>
          </w:p>
          <w:p>
            <w:pPr>
              <w:pStyle w:val="TableParagraph"/>
              <w:spacing w:before="121"/>
              <w:jc w:val="both"/>
              <w:rPr>
                <w:sz w:val="20"/>
              </w:rPr>
            </w:pPr>
            <w:r>
              <w:rPr>
                <w:sz w:val="20"/>
              </w:rPr>
              <w:t>Cepas involucradas solo en infecciones nosocomiales.</w:t>
            </w:r>
          </w:p>
          <w:p>
            <w:pPr>
              <w:pStyle w:val="TableParagraph"/>
              <w:spacing w:before="3"/>
              <w:ind w:left="0"/>
              <w:jc w:val="left"/>
              <w:rPr>
                <w:b/>
                <w:sz w:val="20"/>
              </w:rPr>
            </w:pPr>
          </w:p>
          <w:p>
            <w:pPr>
              <w:pStyle w:val="TableParagraph"/>
              <w:spacing w:line="360" w:lineRule="auto"/>
              <w:ind w:right="100"/>
              <w:jc w:val="both"/>
              <w:rPr>
                <w:sz w:val="20"/>
              </w:rPr>
            </w:pPr>
            <w:r>
              <w:rPr>
                <w:sz w:val="20"/>
              </w:rPr>
              <w:t>La mayoría de las infecciones se manifiestan como complicaciones</w:t>
            </w:r>
            <w:r>
              <w:rPr>
                <w:spacing w:val="-12"/>
                <w:sz w:val="20"/>
              </w:rPr>
              <w:t> </w:t>
            </w:r>
            <w:r>
              <w:rPr>
                <w:sz w:val="20"/>
              </w:rPr>
              <w:t>de</w:t>
            </w:r>
            <w:r>
              <w:rPr>
                <w:spacing w:val="-14"/>
                <w:sz w:val="20"/>
              </w:rPr>
              <w:t> </w:t>
            </w:r>
            <w:r>
              <w:rPr>
                <w:sz w:val="20"/>
              </w:rPr>
              <w:t>procedimientos</w:t>
            </w:r>
            <w:r>
              <w:rPr>
                <w:spacing w:val="-13"/>
                <w:sz w:val="20"/>
              </w:rPr>
              <w:t> </w:t>
            </w:r>
            <w:r>
              <w:rPr>
                <w:sz w:val="20"/>
              </w:rPr>
              <w:t>del</w:t>
            </w:r>
            <w:r>
              <w:rPr>
                <w:spacing w:val="-14"/>
                <w:sz w:val="20"/>
              </w:rPr>
              <w:t> </w:t>
            </w:r>
            <w:r>
              <w:rPr>
                <w:sz w:val="20"/>
              </w:rPr>
              <w:t>cuidado</w:t>
            </w:r>
            <w:r>
              <w:rPr>
                <w:spacing w:val="-12"/>
                <w:sz w:val="20"/>
              </w:rPr>
              <w:t> </w:t>
            </w:r>
            <w:r>
              <w:rPr>
                <w:sz w:val="20"/>
              </w:rPr>
              <w:t>de</w:t>
            </w:r>
            <w:r>
              <w:rPr>
                <w:spacing w:val="-12"/>
                <w:sz w:val="20"/>
              </w:rPr>
              <w:t> </w:t>
            </w:r>
            <w:r>
              <w:rPr>
                <w:sz w:val="20"/>
              </w:rPr>
              <w:t>la</w:t>
            </w:r>
            <w:r>
              <w:rPr>
                <w:spacing w:val="-12"/>
                <w:sz w:val="20"/>
              </w:rPr>
              <w:t> </w:t>
            </w:r>
            <w:r>
              <w:rPr>
                <w:sz w:val="20"/>
              </w:rPr>
              <w:t>salud, los pacientes son colonizados y e infectados durante la hospitalización o en estancias en centros de Salud a</w:t>
            </w:r>
            <w:r>
              <w:rPr>
                <w:spacing w:val="-32"/>
                <w:sz w:val="20"/>
              </w:rPr>
              <w:t> </w:t>
            </w:r>
            <w:r>
              <w:rPr>
                <w:sz w:val="20"/>
              </w:rPr>
              <w:t>largo plazo; después de una operación o después del contacto con una persona que tienen una infección o es portador asintomático de</w:t>
            </w:r>
            <w:r>
              <w:rPr>
                <w:spacing w:val="-8"/>
                <w:sz w:val="20"/>
              </w:rPr>
              <w:t> </w:t>
            </w:r>
            <w:r>
              <w:rPr>
                <w:sz w:val="20"/>
              </w:rPr>
              <w:t>MRSA.</w:t>
            </w:r>
          </w:p>
          <w:p>
            <w:pPr>
              <w:pStyle w:val="TableParagraph"/>
              <w:tabs>
                <w:tab w:pos="1885" w:val="left" w:leader="none"/>
                <w:tab w:pos="3495" w:val="left" w:leader="none"/>
                <w:tab w:pos="5150" w:val="left" w:leader="none"/>
              </w:tabs>
              <w:spacing w:line="360" w:lineRule="auto" w:before="121"/>
              <w:ind w:right="103"/>
              <w:jc w:val="both"/>
              <w:rPr>
                <w:sz w:val="20"/>
              </w:rPr>
            </w:pPr>
            <w:r>
              <w:rPr>
                <w:sz w:val="20"/>
              </w:rPr>
              <w:t>Incrementado especialmente en pacientes hospitalizados con</w:t>
            </w:r>
            <w:r>
              <w:rPr>
                <w:spacing w:val="-12"/>
                <w:sz w:val="20"/>
              </w:rPr>
              <w:t> </w:t>
            </w:r>
            <w:r>
              <w:rPr>
                <w:sz w:val="20"/>
              </w:rPr>
              <w:t>severas</w:t>
            </w:r>
            <w:r>
              <w:rPr>
                <w:spacing w:val="-7"/>
                <w:sz w:val="20"/>
              </w:rPr>
              <w:t> </w:t>
            </w:r>
            <w:r>
              <w:rPr>
                <w:sz w:val="20"/>
              </w:rPr>
              <w:t>infecciones</w:t>
            </w:r>
            <w:r>
              <w:rPr>
                <w:spacing w:val="-10"/>
                <w:sz w:val="20"/>
              </w:rPr>
              <w:t> </w:t>
            </w:r>
            <w:r>
              <w:rPr>
                <w:sz w:val="20"/>
              </w:rPr>
              <w:t>de</w:t>
            </w:r>
            <w:r>
              <w:rPr>
                <w:spacing w:val="-7"/>
                <w:sz w:val="20"/>
              </w:rPr>
              <w:t> </w:t>
            </w:r>
            <w:r>
              <w:rPr>
                <w:sz w:val="20"/>
              </w:rPr>
              <w:t>tejidos</w:t>
            </w:r>
            <w:r>
              <w:rPr>
                <w:spacing w:val="-8"/>
                <w:sz w:val="20"/>
              </w:rPr>
              <w:t> </w:t>
            </w:r>
            <w:r>
              <w:rPr>
                <w:sz w:val="20"/>
              </w:rPr>
              <w:t>blandos,</w:t>
            </w:r>
            <w:r>
              <w:rPr>
                <w:spacing w:val="-9"/>
                <w:sz w:val="20"/>
              </w:rPr>
              <w:t> </w:t>
            </w:r>
            <w:r>
              <w:rPr>
                <w:sz w:val="20"/>
              </w:rPr>
              <w:t>infecciones</w:t>
            </w:r>
            <w:r>
              <w:rPr>
                <w:spacing w:val="-8"/>
                <w:sz w:val="20"/>
              </w:rPr>
              <w:t> </w:t>
            </w:r>
            <w:r>
              <w:rPr>
                <w:sz w:val="20"/>
              </w:rPr>
              <w:t>de torrente sanguíneo y neumonía; también está presente</w:t>
            </w:r>
            <w:r>
              <w:rPr>
                <w:spacing w:val="-15"/>
                <w:sz w:val="20"/>
              </w:rPr>
              <w:t> </w:t>
            </w:r>
            <w:r>
              <w:rPr>
                <w:sz w:val="20"/>
              </w:rPr>
              <w:t>en infecciones de sitio quirúrgico como: neurológicas, ortopédicas,</w:t>
              <w:tab/>
              <w:t>cardiacas,</w:t>
              <w:tab/>
              <w:t>vasculares</w:t>
              <w:tab/>
              <w:t>y obstétricas/ginecológicas.</w:t>
            </w:r>
          </w:p>
        </w:tc>
        <w:tc>
          <w:tcPr>
            <w:tcW w:w="3886" w:type="dxa"/>
          </w:tcPr>
          <w:p>
            <w:pPr>
              <w:pStyle w:val="TableParagraph"/>
              <w:spacing w:line="227" w:lineRule="exact"/>
              <w:jc w:val="both"/>
              <w:rPr>
                <w:sz w:val="20"/>
              </w:rPr>
            </w:pPr>
            <w:r>
              <w:rPr>
                <w:sz w:val="20"/>
              </w:rPr>
              <w:t>Fuera de ambientes hospitalarios.</w:t>
            </w:r>
          </w:p>
          <w:p>
            <w:pPr>
              <w:pStyle w:val="TableParagraph"/>
              <w:spacing w:before="5"/>
              <w:ind w:left="0"/>
              <w:jc w:val="left"/>
              <w:rPr>
                <w:b/>
                <w:sz w:val="20"/>
              </w:rPr>
            </w:pPr>
          </w:p>
          <w:p>
            <w:pPr>
              <w:pStyle w:val="TableParagraph"/>
              <w:spacing w:line="360" w:lineRule="auto"/>
              <w:ind w:right="103"/>
              <w:jc w:val="both"/>
              <w:rPr>
                <w:sz w:val="20"/>
              </w:rPr>
            </w:pPr>
            <w:r>
              <w:rPr>
                <w:sz w:val="20"/>
              </w:rPr>
              <w:t>En 1990 aparecieron las infecciones por CA-MRSA y estas infecciones fueron asociadas con linajes genéticamente distintos de MRSA.</w:t>
            </w:r>
          </w:p>
          <w:p>
            <w:pPr>
              <w:pStyle w:val="TableParagraph"/>
              <w:spacing w:line="360" w:lineRule="auto" w:before="124"/>
              <w:ind w:right="106"/>
              <w:jc w:val="both"/>
              <w:rPr>
                <w:sz w:val="20"/>
              </w:rPr>
            </w:pPr>
            <w:r>
              <w:rPr>
                <w:sz w:val="20"/>
              </w:rPr>
              <w:t>Emergió en individuos sanos sin enlaces a ámbitos hospitalarios y sin factores de riesgo previos, se diseminan de persona a persona en hogares</w:t>
            </w:r>
          </w:p>
          <w:p>
            <w:pPr>
              <w:pStyle w:val="TableParagraph"/>
              <w:spacing w:line="360" w:lineRule="auto" w:before="124"/>
              <w:ind w:right="102"/>
              <w:jc w:val="both"/>
              <w:rPr>
                <w:sz w:val="20"/>
              </w:rPr>
            </w:pPr>
            <w:r>
              <w:rPr>
                <w:sz w:val="20"/>
              </w:rPr>
              <w:t>Particularmente virulento, más susceptibles a otra clase de antibióticos que a los β-lactámicos, sus genotipos no son los mismos que los aislamientos de hospitales locales, más propensos a codificar un putativo factor de virulencia llamado leucocidina Panton Valentine y produce toxinas exfoliativas.</w:t>
            </w:r>
          </w:p>
        </w:tc>
        <w:tc>
          <w:tcPr>
            <w:tcW w:w="3872" w:type="dxa"/>
          </w:tcPr>
          <w:p>
            <w:pPr>
              <w:pStyle w:val="TableParagraph"/>
              <w:spacing w:line="360" w:lineRule="auto"/>
              <w:ind w:right="103"/>
              <w:jc w:val="both"/>
              <w:rPr>
                <w:sz w:val="20"/>
              </w:rPr>
            </w:pPr>
            <w:r>
              <w:rPr>
                <w:sz w:val="20"/>
              </w:rPr>
              <w:t>En 1970 se reportó por primera vez infecciones en animales por MRSA, cuando</w:t>
            </w:r>
            <w:r>
              <w:rPr>
                <w:spacing w:val="-13"/>
                <w:sz w:val="20"/>
              </w:rPr>
              <w:t> </w:t>
            </w:r>
            <w:r>
              <w:rPr>
                <w:sz w:val="20"/>
              </w:rPr>
              <w:t>la</w:t>
            </w:r>
            <w:r>
              <w:rPr>
                <w:spacing w:val="-15"/>
                <w:sz w:val="20"/>
              </w:rPr>
              <w:t> </w:t>
            </w:r>
            <w:r>
              <w:rPr>
                <w:sz w:val="20"/>
              </w:rPr>
              <w:t>bacteria</w:t>
            </w:r>
            <w:r>
              <w:rPr>
                <w:spacing w:val="-15"/>
                <w:sz w:val="20"/>
              </w:rPr>
              <w:t> </w:t>
            </w:r>
            <w:r>
              <w:rPr>
                <w:sz w:val="20"/>
              </w:rPr>
              <w:t>fue</w:t>
            </w:r>
            <w:r>
              <w:rPr>
                <w:spacing w:val="-16"/>
                <w:sz w:val="20"/>
              </w:rPr>
              <w:t> </w:t>
            </w:r>
            <w:r>
              <w:rPr>
                <w:sz w:val="20"/>
              </w:rPr>
              <w:t>aislada</w:t>
            </w:r>
            <w:r>
              <w:rPr>
                <w:spacing w:val="-16"/>
                <w:sz w:val="20"/>
              </w:rPr>
              <w:t> </w:t>
            </w:r>
            <w:r>
              <w:rPr>
                <w:sz w:val="20"/>
              </w:rPr>
              <w:t>de</w:t>
            </w:r>
            <w:r>
              <w:rPr>
                <w:spacing w:val="-16"/>
                <w:sz w:val="20"/>
              </w:rPr>
              <w:t> </w:t>
            </w:r>
            <w:r>
              <w:rPr>
                <w:sz w:val="20"/>
              </w:rPr>
              <w:t>leche</w:t>
            </w:r>
            <w:r>
              <w:rPr>
                <w:spacing w:val="-16"/>
                <w:sz w:val="20"/>
              </w:rPr>
              <w:t> </w:t>
            </w:r>
            <w:r>
              <w:rPr>
                <w:sz w:val="20"/>
              </w:rPr>
              <w:t>de vacas lecheras con mastitis en Bélgica. Los riesgos potenciales para la prevalencia de LA-MRSA son el tratamiento de antibióticos, la duración del tratamiento y la higiene de la granja, así como el contacto animal</w:t>
            </w:r>
            <w:r>
              <w:rPr>
                <w:spacing w:val="-12"/>
                <w:sz w:val="20"/>
              </w:rPr>
              <w:t> </w:t>
            </w:r>
            <w:r>
              <w:rPr>
                <w:sz w:val="20"/>
              </w:rPr>
              <w:t>intensivo.</w:t>
            </w:r>
          </w:p>
          <w:p>
            <w:pPr>
              <w:pStyle w:val="TableParagraph"/>
              <w:spacing w:line="360" w:lineRule="auto" w:before="124"/>
              <w:ind w:right="106"/>
              <w:jc w:val="both"/>
              <w:rPr>
                <w:sz w:val="20"/>
              </w:rPr>
            </w:pPr>
            <w:r>
              <w:rPr>
                <w:sz w:val="20"/>
              </w:rPr>
              <w:t>Se ha mostrado la relación directa entre el uso de antibióticos en animales y la transferencia de organismos resistentes a antimicrobianos a humanos.</w:t>
            </w:r>
          </w:p>
          <w:p>
            <w:pPr>
              <w:pStyle w:val="TableParagraph"/>
              <w:spacing w:line="360" w:lineRule="auto" w:before="124"/>
              <w:ind w:right="106"/>
              <w:jc w:val="both"/>
              <w:rPr>
                <w:sz w:val="20"/>
              </w:rPr>
            </w:pPr>
            <w:r>
              <w:rPr>
                <w:sz w:val="20"/>
              </w:rPr>
              <w:t>Detectado en animales productores de alimentos; puercos, ganado vacuno, pollos, caballos y animales de compañía.</w:t>
            </w:r>
          </w:p>
          <w:p>
            <w:pPr>
              <w:pStyle w:val="TableParagraph"/>
              <w:spacing w:line="360" w:lineRule="auto" w:before="124"/>
              <w:ind w:right="106"/>
              <w:jc w:val="both"/>
              <w:rPr>
                <w:sz w:val="20"/>
              </w:rPr>
            </w:pPr>
            <w:r>
              <w:rPr>
                <w:sz w:val="20"/>
              </w:rPr>
              <w:t>Causa necrosis, condronecrosis bacteriana, que causa debilidad en las piernas/cojera,  septicemia,  enfermedad</w:t>
            </w:r>
          </w:p>
        </w:tc>
      </w:tr>
    </w:tbl>
    <w:p>
      <w:pPr>
        <w:spacing w:after="0" w:line="360" w:lineRule="auto"/>
        <w:jc w:val="both"/>
        <w:rPr>
          <w:sz w:val="20"/>
        </w:rPr>
        <w:sectPr>
          <w:pgSz w:w="15840" w:h="12240" w:orient="landscape"/>
          <w:pgMar w:header="730" w:footer="711" w:top="960" w:bottom="900" w:left="1280" w:right="1180"/>
        </w:sectPr>
      </w:pPr>
    </w:p>
    <w:p>
      <w:pPr>
        <w:pStyle w:val="BodyText"/>
        <w:rPr>
          <w:b/>
          <w:sz w:val="20"/>
        </w:rPr>
      </w:pPr>
    </w:p>
    <w:p>
      <w:pPr>
        <w:pStyle w:val="BodyText"/>
        <w:rPr>
          <w:b/>
          <w:sz w:val="20"/>
        </w:rPr>
      </w:pPr>
    </w:p>
    <w:p>
      <w:pPr>
        <w:pStyle w:val="BodyText"/>
        <w:spacing w:before="7" w:after="1"/>
        <w:rPr>
          <w:b/>
          <w:sz w:val="23"/>
        </w:rPr>
      </w:pPr>
    </w:p>
    <w:tbl>
      <w:tblPr>
        <w:tblW w:w="0" w:type="auto"/>
        <w:jc w:val="left"/>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65"/>
        <w:gridCol w:w="3886"/>
        <w:gridCol w:w="3872"/>
      </w:tblGrid>
      <w:tr>
        <w:trPr>
          <w:trHeight w:val="6819" w:hRule="exact"/>
        </w:trPr>
        <w:tc>
          <w:tcPr>
            <w:tcW w:w="5365" w:type="dxa"/>
          </w:tcPr>
          <w:p>
            <w:pPr>
              <w:pStyle w:val="TableParagraph"/>
              <w:spacing w:line="360" w:lineRule="auto"/>
              <w:ind w:right="107"/>
              <w:jc w:val="both"/>
              <w:rPr>
                <w:sz w:val="20"/>
              </w:rPr>
            </w:pPr>
            <w:r>
              <w:rPr>
                <w:sz w:val="20"/>
              </w:rPr>
              <w:t>La</w:t>
            </w:r>
            <w:r>
              <w:rPr>
                <w:spacing w:val="-12"/>
                <w:sz w:val="20"/>
              </w:rPr>
              <w:t> </w:t>
            </w:r>
            <w:r>
              <w:rPr>
                <w:sz w:val="20"/>
              </w:rPr>
              <w:t>infección</w:t>
            </w:r>
            <w:r>
              <w:rPr>
                <w:spacing w:val="-12"/>
                <w:sz w:val="20"/>
              </w:rPr>
              <w:t> </w:t>
            </w:r>
            <w:r>
              <w:rPr>
                <w:sz w:val="20"/>
              </w:rPr>
              <w:t>aumenta</w:t>
            </w:r>
            <w:r>
              <w:rPr>
                <w:spacing w:val="-12"/>
                <w:sz w:val="20"/>
              </w:rPr>
              <w:t> </w:t>
            </w:r>
            <w:r>
              <w:rPr>
                <w:sz w:val="20"/>
              </w:rPr>
              <w:t>la</w:t>
            </w:r>
            <w:r>
              <w:rPr>
                <w:spacing w:val="-12"/>
                <w:sz w:val="20"/>
              </w:rPr>
              <w:t> </w:t>
            </w:r>
            <w:r>
              <w:rPr>
                <w:sz w:val="20"/>
              </w:rPr>
              <w:t>morbilidad,</w:t>
            </w:r>
            <w:r>
              <w:rPr>
                <w:spacing w:val="-12"/>
                <w:sz w:val="20"/>
              </w:rPr>
              <w:t> </w:t>
            </w:r>
            <w:r>
              <w:rPr>
                <w:sz w:val="20"/>
              </w:rPr>
              <w:t>el</w:t>
            </w:r>
            <w:r>
              <w:rPr>
                <w:spacing w:val="-12"/>
                <w:sz w:val="20"/>
              </w:rPr>
              <w:t> </w:t>
            </w:r>
            <w:r>
              <w:rPr>
                <w:sz w:val="20"/>
              </w:rPr>
              <w:t>riesgo</w:t>
            </w:r>
            <w:r>
              <w:rPr>
                <w:spacing w:val="-12"/>
                <w:sz w:val="20"/>
              </w:rPr>
              <w:t> </w:t>
            </w:r>
            <w:r>
              <w:rPr>
                <w:sz w:val="20"/>
              </w:rPr>
              <w:t>de</w:t>
            </w:r>
            <w:r>
              <w:rPr>
                <w:spacing w:val="-12"/>
                <w:sz w:val="20"/>
              </w:rPr>
              <w:t> </w:t>
            </w:r>
            <w:r>
              <w:rPr>
                <w:sz w:val="20"/>
              </w:rPr>
              <w:t>mortalidad y costos. Esas infecciones también causan daños psicológica y</w:t>
            </w:r>
            <w:r>
              <w:rPr>
                <w:spacing w:val="-12"/>
                <w:sz w:val="20"/>
              </w:rPr>
              <w:t> </w:t>
            </w:r>
            <w:r>
              <w:rPr>
                <w:sz w:val="20"/>
              </w:rPr>
              <w:t>financieramente.</w:t>
            </w:r>
          </w:p>
          <w:p>
            <w:pPr>
              <w:pStyle w:val="TableParagraph"/>
              <w:spacing w:line="360" w:lineRule="auto" w:before="124"/>
              <w:ind w:right="103" w:firstLine="55"/>
              <w:jc w:val="both"/>
              <w:rPr>
                <w:sz w:val="20"/>
              </w:rPr>
            </w:pPr>
            <w:r>
              <w:rPr>
                <w:sz w:val="20"/>
              </w:rPr>
              <w:t>El costo social se acumula ya sea directamente por los gastos causados por la extensión de la estancia en el hospital, diagnóstico adicional o procedimientos terapéuticos o indirectamente mediante la perdida de la productividad, discapacidad a largo plazo y un exceso de mortalidad. Otras repercusiones financieras incluyen los costos de contención de los brotes o los hábitos de prescripción de antibióticos empíricos deliberados o involutarios.</w:t>
            </w:r>
          </w:p>
          <w:p>
            <w:pPr>
              <w:pStyle w:val="TableParagraph"/>
              <w:spacing w:line="357" w:lineRule="auto" w:before="124"/>
              <w:ind w:right="105"/>
              <w:jc w:val="both"/>
              <w:rPr>
                <w:sz w:val="20"/>
              </w:rPr>
            </w:pPr>
            <w:r>
              <w:rPr>
                <w:sz w:val="20"/>
              </w:rPr>
              <w:t>Las cepas HA-MRSA tienden a ser multiresistentes, generalmente producen enterotoxinas y síndrome del shock tóxico. Portan </w:t>
            </w:r>
            <w:r>
              <w:rPr>
                <w:i/>
                <w:sz w:val="20"/>
              </w:rPr>
              <w:t>SCCmec </w:t>
            </w:r>
            <w:r>
              <w:rPr>
                <w:sz w:val="20"/>
              </w:rPr>
              <w:t>I, II, III y VIII.</w:t>
            </w:r>
          </w:p>
          <w:p>
            <w:pPr>
              <w:pStyle w:val="TableParagraph"/>
              <w:spacing w:line="360" w:lineRule="auto" w:before="128"/>
              <w:ind w:right="110"/>
              <w:jc w:val="both"/>
              <w:rPr>
                <w:sz w:val="20"/>
              </w:rPr>
            </w:pPr>
            <w:r>
              <w:rPr>
                <w:sz w:val="20"/>
              </w:rPr>
              <w:t>La prevalencia varía entre instituciones de salud y áreas geográficas.</w:t>
            </w:r>
          </w:p>
        </w:tc>
        <w:tc>
          <w:tcPr>
            <w:tcW w:w="3886" w:type="dxa"/>
          </w:tcPr>
          <w:p>
            <w:pPr>
              <w:pStyle w:val="TableParagraph"/>
              <w:spacing w:line="360" w:lineRule="auto"/>
              <w:ind w:right="104"/>
              <w:jc w:val="both"/>
              <w:rPr>
                <w:sz w:val="20"/>
              </w:rPr>
            </w:pPr>
            <w:r>
              <w:rPr>
                <w:sz w:val="20"/>
              </w:rPr>
              <w:t>Pequeño cassette estafilocócico meticilina resistente </w:t>
            </w:r>
            <w:r>
              <w:rPr>
                <w:i/>
                <w:sz w:val="20"/>
              </w:rPr>
              <w:t>mec </w:t>
            </w:r>
            <w:r>
              <w:rPr>
                <w:sz w:val="20"/>
              </w:rPr>
              <w:t>(</w:t>
            </w:r>
            <w:r>
              <w:rPr>
                <w:i/>
                <w:sz w:val="20"/>
              </w:rPr>
              <w:t>SCCmec</w:t>
            </w:r>
            <w:r>
              <w:rPr>
                <w:sz w:val="20"/>
              </w:rPr>
              <w:t>) tipos IV, V, VI, y VII.</w:t>
            </w:r>
          </w:p>
          <w:p>
            <w:pPr>
              <w:pStyle w:val="TableParagraph"/>
              <w:spacing w:line="360" w:lineRule="auto" w:before="124"/>
              <w:ind w:right="103"/>
              <w:jc w:val="both"/>
              <w:rPr>
                <w:sz w:val="20"/>
              </w:rPr>
            </w:pPr>
            <w:r>
              <w:rPr>
                <w:sz w:val="20"/>
              </w:rPr>
              <w:t>Lo común de estos grupos es el alta intensidad de contacto físico que podría contribuir a la transmisión; se ha aislado de poblaciones indígenas, indigentes, hombres que tienen sexo con otros hombres, reclusos, militares reclutados, niños en guarderías y atletas competitivos, también se ha aislado de niños y adultos con lesiones en la piel y tejidos blandos, artritis séptica, bacteremia, síndrome del shock tóxico, fascitis necrosante y neumonía necrosante.</w:t>
            </w:r>
          </w:p>
        </w:tc>
        <w:tc>
          <w:tcPr>
            <w:tcW w:w="3872" w:type="dxa"/>
          </w:tcPr>
          <w:p>
            <w:pPr>
              <w:pStyle w:val="TableParagraph"/>
              <w:spacing w:line="360" w:lineRule="auto"/>
              <w:ind w:right="104"/>
              <w:jc w:val="both"/>
              <w:rPr>
                <w:sz w:val="20"/>
              </w:rPr>
            </w:pPr>
            <w:r>
              <w:rPr>
                <w:sz w:val="20"/>
              </w:rPr>
              <w:t>supurativa,</w:t>
            </w:r>
            <w:r>
              <w:rPr>
                <w:spacing w:val="-13"/>
                <w:sz w:val="20"/>
              </w:rPr>
              <w:t> </w:t>
            </w:r>
            <w:r>
              <w:rPr>
                <w:sz w:val="20"/>
              </w:rPr>
              <w:t>mastitis,</w:t>
            </w:r>
            <w:r>
              <w:rPr>
                <w:spacing w:val="-13"/>
                <w:sz w:val="20"/>
              </w:rPr>
              <w:t> </w:t>
            </w:r>
            <w:r>
              <w:rPr>
                <w:sz w:val="20"/>
              </w:rPr>
              <w:t>artritis</w:t>
            </w:r>
            <w:r>
              <w:rPr>
                <w:spacing w:val="-9"/>
                <w:sz w:val="20"/>
              </w:rPr>
              <w:t> </w:t>
            </w:r>
            <w:r>
              <w:rPr>
                <w:sz w:val="20"/>
              </w:rPr>
              <w:t>e</w:t>
            </w:r>
            <w:r>
              <w:rPr>
                <w:spacing w:val="-13"/>
                <w:sz w:val="20"/>
              </w:rPr>
              <w:t> </w:t>
            </w:r>
            <w:r>
              <w:rPr>
                <w:sz w:val="20"/>
              </w:rPr>
              <w:t>infección</w:t>
            </w:r>
            <w:r>
              <w:rPr>
                <w:spacing w:val="-13"/>
                <w:sz w:val="20"/>
              </w:rPr>
              <w:t> </w:t>
            </w:r>
            <w:r>
              <w:rPr>
                <w:sz w:val="20"/>
              </w:rPr>
              <w:t>del tracto</w:t>
            </w:r>
            <w:r>
              <w:rPr>
                <w:spacing w:val="-5"/>
                <w:sz w:val="20"/>
              </w:rPr>
              <w:t> </w:t>
            </w:r>
            <w:r>
              <w:rPr>
                <w:sz w:val="20"/>
              </w:rPr>
              <w:t>urinario</w:t>
            </w:r>
          </w:p>
          <w:p>
            <w:pPr>
              <w:pStyle w:val="TableParagraph"/>
              <w:spacing w:line="360" w:lineRule="auto" w:before="121"/>
              <w:ind w:right="108"/>
              <w:jc w:val="both"/>
              <w:rPr>
                <w:sz w:val="20"/>
              </w:rPr>
            </w:pPr>
            <w:r>
              <w:rPr>
                <w:sz w:val="20"/>
              </w:rPr>
              <w:t>Varía de acuerdo a algunos factores, incluyendo el país, tipo de granja y edad de los animales</w:t>
            </w:r>
          </w:p>
          <w:p>
            <w:pPr>
              <w:pStyle w:val="TableParagraph"/>
              <w:spacing w:line="360" w:lineRule="auto" w:before="124"/>
              <w:ind w:right="107"/>
              <w:jc w:val="both"/>
              <w:rPr>
                <w:sz w:val="20"/>
              </w:rPr>
            </w:pPr>
            <w:r>
              <w:rPr>
                <w:sz w:val="20"/>
              </w:rPr>
              <w:t>Produce toxinas extracelulares, enterotoxinas, Síndrome de Shock Tóxico, adhesinas, proteasas, capsula, porta </w:t>
            </w:r>
            <w:r>
              <w:rPr>
                <w:i/>
                <w:sz w:val="20"/>
              </w:rPr>
              <w:t>SCCmec </w:t>
            </w:r>
            <w:r>
              <w:rPr>
                <w:sz w:val="20"/>
              </w:rPr>
              <w:t>III, V, IV, II</w:t>
            </w:r>
          </w:p>
          <w:p>
            <w:pPr>
              <w:pStyle w:val="TableParagraph"/>
              <w:spacing w:line="360" w:lineRule="auto" w:before="126"/>
              <w:ind w:right="107"/>
              <w:jc w:val="both"/>
              <w:rPr>
                <w:sz w:val="20"/>
              </w:rPr>
            </w:pPr>
            <w:r>
              <w:rPr>
                <w:sz w:val="20"/>
              </w:rPr>
              <w:t>Es el patógeno más común que causa infecciones intramamarias en vacas lecheras.; se ha aislado de especies diferentes de animales en las que se incluyen, caballos, ovejas, cerdos, vacas lecheras, terneros y gallinas.</w:t>
            </w:r>
          </w:p>
          <w:p>
            <w:pPr>
              <w:pStyle w:val="TableParagraph"/>
              <w:spacing w:line="360" w:lineRule="auto" w:before="124"/>
              <w:ind w:right="104"/>
              <w:jc w:val="both"/>
              <w:rPr>
                <w:sz w:val="20"/>
              </w:rPr>
            </w:pPr>
            <w:r>
              <w:rPr>
                <w:sz w:val="20"/>
              </w:rPr>
              <w:t>Transmisión de MRSA de puercos a granjeros, ganado a granjeros y entre pollos y granjeros</w:t>
            </w:r>
          </w:p>
        </w:tc>
      </w:tr>
    </w:tbl>
    <w:p>
      <w:pPr>
        <w:spacing w:line="360" w:lineRule="auto" w:before="0"/>
        <w:ind w:left="237" w:right="11" w:firstLine="0"/>
        <w:jc w:val="left"/>
        <w:rPr>
          <w:sz w:val="20"/>
        </w:rPr>
      </w:pPr>
      <w:r>
        <w:rPr>
          <w:sz w:val="20"/>
        </w:rPr>
        <w:t>Fuente: Guzmán-Blanco </w:t>
      </w:r>
      <w:r>
        <w:rPr>
          <w:i/>
          <w:sz w:val="20"/>
        </w:rPr>
        <w:t>et al., </w:t>
      </w:r>
      <w:r>
        <w:rPr>
          <w:sz w:val="20"/>
        </w:rPr>
        <w:t>(2009); Grundmann </w:t>
      </w:r>
      <w:r>
        <w:rPr>
          <w:i/>
          <w:sz w:val="20"/>
        </w:rPr>
        <w:t>et al.</w:t>
      </w:r>
      <w:r>
        <w:rPr>
          <w:sz w:val="20"/>
        </w:rPr>
        <w:t>, (2006); Petinaki y Spiliopoulou (2012); Luini </w:t>
      </w:r>
      <w:r>
        <w:rPr>
          <w:i/>
          <w:sz w:val="20"/>
        </w:rPr>
        <w:t>et al., </w:t>
      </w:r>
      <w:r>
        <w:rPr>
          <w:sz w:val="20"/>
        </w:rPr>
        <w:t>(2015); Pesavento </w:t>
      </w:r>
      <w:r>
        <w:rPr>
          <w:i/>
          <w:sz w:val="20"/>
        </w:rPr>
        <w:t>et al., </w:t>
      </w:r>
      <w:r>
        <w:rPr>
          <w:sz w:val="20"/>
        </w:rPr>
        <w:t>(2007); Ferreira </w:t>
      </w:r>
      <w:r>
        <w:rPr>
          <w:i/>
          <w:sz w:val="20"/>
        </w:rPr>
        <w:t>et al., </w:t>
      </w:r>
      <w:r>
        <w:rPr>
          <w:sz w:val="20"/>
        </w:rPr>
        <w:t>(2014); Traversa </w:t>
      </w:r>
      <w:r>
        <w:rPr>
          <w:i/>
          <w:sz w:val="20"/>
        </w:rPr>
        <w:t>et al., </w:t>
      </w:r>
      <w:r>
        <w:rPr>
          <w:sz w:val="20"/>
        </w:rPr>
        <w:t>(2015); Stefani y Goglio, (2010); Rodríguez-Lázaro </w:t>
      </w:r>
      <w:r>
        <w:rPr>
          <w:i/>
          <w:sz w:val="20"/>
        </w:rPr>
        <w:t>et al., </w:t>
      </w:r>
      <w:r>
        <w:rPr>
          <w:sz w:val="20"/>
        </w:rPr>
        <w:t>(2015); Fluit (2010); Leonard y Markey, (2008).</w:t>
      </w:r>
    </w:p>
    <w:p>
      <w:pPr>
        <w:spacing w:after="0" w:line="360" w:lineRule="auto"/>
        <w:jc w:val="left"/>
        <w:rPr>
          <w:sz w:val="20"/>
        </w:rPr>
        <w:sectPr>
          <w:footerReference w:type="default" r:id="rId23"/>
          <w:pgSz w:w="15840" w:h="12240" w:orient="landscape"/>
          <w:pgMar w:footer="711" w:header="730" w:top="960" w:bottom="900" w:left="1280" w:right="1180"/>
        </w:sectPr>
      </w:pPr>
    </w:p>
    <w:p>
      <w:pPr>
        <w:pStyle w:val="BodyText"/>
        <w:spacing w:before="9"/>
        <w:rPr>
          <w:sz w:val="12"/>
        </w:rPr>
      </w:pPr>
    </w:p>
    <w:p>
      <w:pPr>
        <w:pStyle w:val="Heading2"/>
        <w:jc w:val="both"/>
      </w:pPr>
      <w:bookmarkStart w:name="_bookmark19" w:id="26"/>
      <w:bookmarkEnd w:id="26"/>
      <w:r>
        <w:rPr>
          <w:b w:val="0"/>
        </w:rPr>
      </w:r>
      <w:r>
        <w:rPr/>
        <w:t>MRSA en animales de compañía y especies marinas</w:t>
      </w:r>
    </w:p>
    <w:p>
      <w:pPr>
        <w:pStyle w:val="BodyText"/>
        <w:spacing w:line="276" w:lineRule="auto" w:before="26"/>
        <w:ind w:left="142" w:right="136"/>
        <w:jc w:val="both"/>
      </w:pPr>
      <w:r>
        <w:rPr/>
        <w:t>La</w:t>
      </w:r>
      <w:r>
        <w:rPr>
          <w:spacing w:val="-3"/>
        </w:rPr>
        <w:t> </w:t>
      </w:r>
      <w:r>
        <w:rPr/>
        <w:t>presencia</w:t>
      </w:r>
      <w:r>
        <w:rPr>
          <w:spacing w:val="-4"/>
        </w:rPr>
        <w:t> </w:t>
      </w:r>
      <w:r>
        <w:rPr/>
        <w:t>de</w:t>
      </w:r>
      <w:r>
        <w:rPr>
          <w:spacing w:val="-4"/>
        </w:rPr>
        <w:t> </w:t>
      </w:r>
      <w:r>
        <w:rPr/>
        <w:t>MRSA</w:t>
      </w:r>
      <w:r>
        <w:rPr>
          <w:spacing w:val="-4"/>
        </w:rPr>
        <w:t> </w:t>
      </w:r>
      <w:r>
        <w:rPr/>
        <w:t>en</w:t>
      </w:r>
      <w:r>
        <w:rPr>
          <w:spacing w:val="-4"/>
        </w:rPr>
        <w:t> </w:t>
      </w:r>
      <w:r>
        <w:rPr/>
        <w:t>animales</w:t>
      </w:r>
      <w:r>
        <w:rPr>
          <w:spacing w:val="-4"/>
        </w:rPr>
        <w:t> </w:t>
      </w:r>
      <w:r>
        <w:rPr/>
        <w:t>de</w:t>
      </w:r>
      <w:r>
        <w:rPr>
          <w:spacing w:val="-4"/>
        </w:rPr>
        <w:t> </w:t>
      </w:r>
      <w:r>
        <w:rPr/>
        <w:t>compañía</w:t>
      </w:r>
      <w:r>
        <w:rPr>
          <w:spacing w:val="-4"/>
        </w:rPr>
        <w:t> </w:t>
      </w:r>
      <w:r>
        <w:rPr/>
        <w:t>como</w:t>
      </w:r>
      <w:r>
        <w:rPr>
          <w:spacing w:val="-4"/>
        </w:rPr>
        <w:t> </w:t>
      </w:r>
      <w:r>
        <w:rPr/>
        <w:t>caballos,</w:t>
      </w:r>
      <w:r>
        <w:rPr>
          <w:spacing w:val="-6"/>
        </w:rPr>
        <w:t> </w:t>
      </w:r>
      <w:r>
        <w:rPr/>
        <w:t>perros</w:t>
      </w:r>
      <w:r>
        <w:rPr>
          <w:spacing w:val="-4"/>
        </w:rPr>
        <w:t> </w:t>
      </w:r>
      <w:r>
        <w:rPr/>
        <w:t>y</w:t>
      </w:r>
      <w:r>
        <w:rPr>
          <w:spacing w:val="-7"/>
        </w:rPr>
        <w:t> </w:t>
      </w:r>
      <w:r>
        <w:rPr/>
        <w:t>gatos</w:t>
      </w:r>
      <w:r>
        <w:rPr>
          <w:spacing w:val="-4"/>
        </w:rPr>
        <w:t> </w:t>
      </w:r>
      <w:r>
        <w:rPr/>
        <w:t>se debe</w:t>
      </w:r>
      <w:r>
        <w:rPr>
          <w:spacing w:val="-7"/>
        </w:rPr>
        <w:t> </w:t>
      </w:r>
      <w:r>
        <w:rPr/>
        <w:t>principalmente</w:t>
      </w:r>
      <w:r>
        <w:rPr>
          <w:spacing w:val="-7"/>
        </w:rPr>
        <w:t> </w:t>
      </w:r>
      <w:r>
        <w:rPr/>
        <w:t>a</w:t>
      </w:r>
      <w:r>
        <w:rPr>
          <w:spacing w:val="-9"/>
        </w:rPr>
        <w:t> </w:t>
      </w:r>
      <w:r>
        <w:rPr/>
        <w:t>la</w:t>
      </w:r>
      <w:r>
        <w:rPr>
          <w:spacing w:val="-7"/>
        </w:rPr>
        <w:t> </w:t>
      </w:r>
      <w:r>
        <w:rPr/>
        <w:t>transmisión</w:t>
      </w:r>
      <w:r>
        <w:rPr>
          <w:spacing w:val="-7"/>
        </w:rPr>
        <w:t> </w:t>
      </w:r>
      <w:r>
        <w:rPr/>
        <w:t>de</w:t>
      </w:r>
      <w:r>
        <w:rPr>
          <w:spacing w:val="-7"/>
        </w:rPr>
        <w:t> </w:t>
      </w:r>
      <w:r>
        <w:rPr/>
        <w:t>un</w:t>
      </w:r>
      <w:r>
        <w:rPr>
          <w:spacing w:val="-7"/>
        </w:rPr>
        <w:t> </w:t>
      </w:r>
      <w:r>
        <w:rPr/>
        <w:t>reservorio</w:t>
      </w:r>
      <w:r>
        <w:rPr>
          <w:spacing w:val="-7"/>
        </w:rPr>
        <w:t> </w:t>
      </w:r>
      <w:r>
        <w:rPr/>
        <w:t>humano</w:t>
      </w:r>
      <w:r>
        <w:rPr>
          <w:spacing w:val="-7"/>
        </w:rPr>
        <w:t> </w:t>
      </w:r>
      <w:r>
        <w:rPr/>
        <w:t>de</w:t>
      </w:r>
      <w:r>
        <w:rPr>
          <w:spacing w:val="-7"/>
        </w:rPr>
        <w:t> </w:t>
      </w:r>
      <w:r>
        <w:rPr/>
        <w:t>la</w:t>
      </w:r>
      <w:r>
        <w:rPr>
          <w:spacing w:val="-10"/>
        </w:rPr>
        <w:t> </w:t>
      </w:r>
      <w:r>
        <w:rPr/>
        <w:t>misma</w:t>
      </w:r>
      <w:r>
        <w:rPr>
          <w:spacing w:val="-7"/>
        </w:rPr>
        <w:t> </w:t>
      </w:r>
      <w:r>
        <w:rPr/>
        <w:t>manera que aquellos destinados a la producción de alimentos (Kluytmans, 2010), además es capaz de colonizar el pelaje de perros sanos (Leonard y Markey, 2008). Perros y gatos son capaces de intercambiar patógenos resistentes con humanos, reforzando el hecho de que la transmisión humano-animal y animal-humano es posible, también se ha encontrado en animales marinos como focas, delfines, morsas en el que se establece la posibilidad de transmisión por agua, colonización transitoria de los mamíferos y la necesidad de aplicar medidas de control de infección (Petinaki y Spiliopoulou,</w:t>
      </w:r>
      <w:r>
        <w:rPr>
          <w:spacing w:val="-9"/>
        </w:rPr>
        <w:t> </w:t>
      </w:r>
      <w:r>
        <w:rPr/>
        <w:t>2012).</w:t>
      </w:r>
    </w:p>
    <w:p>
      <w:pPr>
        <w:pStyle w:val="BodyText"/>
        <w:spacing w:line="276" w:lineRule="auto" w:before="123"/>
        <w:ind w:left="142" w:right="143"/>
        <w:jc w:val="both"/>
      </w:pPr>
      <w:r>
        <w:rPr/>
        <w:t>Las maneras en que MRSA puede ser transmitida a animales son a través de contacto directo con los animales, contaminación ambiental y comiendo o manipulando</w:t>
      </w:r>
      <w:r>
        <w:rPr>
          <w:spacing w:val="-12"/>
        </w:rPr>
        <w:t> </w:t>
      </w:r>
      <w:r>
        <w:rPr/>
        <w:t>alimentos</w:t>
      </w:r>
      <w:r>
        <w:rPr>
          <w:spacing w:val="-10"/>
        </w:rPr>
        <w:t> </w:t>
      </w:r>
      <w:r>
        <w:rPr/>
        <w:t>contaminados;</w:t>
      </w:r>
      <w:r>
        <w:rPr>
          <w:spacing w:val="-10"/>
        </w:rPr>
        <w:t> </w:t>
      </w:r>
      <w:r>
        <w:rPr/>
        <w:t>individuos</w:t>
      </w:r>
      <w:r>
        <w:rPr>
          <w:spacing w:val="-10"/>
        </w:rPr>
        <w:t> </w:t>
      </w:r>
      <w:r>
        <w:rPr/>
        <w:t>que</w:t>
      </w:r>
      <w:r>
        <w:rPr>
          <w:spacing w:val="-12"/>
        </w:rPr>
        <w:t> </w:t>
      </w:r>
      <w:r>
        <w:rPr/>
        <w:t>están</w:t>
      </w:r>
      <w:r>
        <w:rPr>
          <w:spacing w:val="-9"/>
        </w:rPr>
        <w:t> </w:t>
      </w:r>
      <w:r>
        <w:rPr/>
        <w:t>en</w:t>
      </w:r>
      <w:r>
        <w:rPr>
          <w:spacing w:val="-9"/>
        </w:rPr>
        <w:t> </w:t>
      </w:r>
      <w:r>
        <w:rPr/>
        <w:t>contacto</w:t>
      </w:r>
      <w:r>
        <w:rPr>
          <w:spacing w:val="-11"/>
        </w:rPr>
        <w:t> </w:t>
      </w:r>
      <w:r>
        <w:rPr/>
        <w:t>directo</w:t>
      </w:r>
      <w:r>
        <w:rPr>
          <w:spacing w:val="-9"/>
        </w:rPr>
        <w:t> </w:t>
      </w:r>
      <w:r>
        <w:rPr/>
        <w:t>con animales</w:t>
      </w:r>
      <w:r>
        <w:rPr>
          <w:spacing w:val="-5"/>
        </w:rPr>
        <w:t> </w:t>
      </w:r>
      <w:r>
        <w:rPr/>
        <w:t>de</w:t>
      </w:r>
      <w:r>
        <w:rPr>
          <w:spacing w:val="-5"/>
        </w:rPr>
        <w:t> </w:t>
      </w:r>
      <w:r>
        <w:rPr/>
        <w:t>la</w:t>
      </w:r>
      <w:r>
        <w:rPr>
          <w:spacing w:val="-5"/>
        </w:rPr>
        <w:t> </w:t>
      </w:r>
      <w:r>
        <w:rPr/>
        <w:t>granja</w:t>
      </w:r>
      <w:r>
        <w:rPr>
          <w:spacing w:val="-9"/>
        </w:rPr>
        <w:t> </w:t>
      </w:r>
      <w:r>
        <w:rPr/>
        <w:t>que</w:t>
      </w:r>
      <w:r>
        <w:rPr>
          <w:spacing w:val="-5"/>
        </w:rPr>
        <w:t> </w:t>
      </w:r>
      <w:r>
        <w:rPr/>
        <w:t>portan</w:t>
      </w:r>
      <w:r>
        <w:rPr>
          <w:spacing w:val="-5"/>
        </w:rPr>
        <w:t> </w:t>
      </w:r>
      <w:r>
        <w:rPr/>
        <w:t>MRSA</w:t>
      </w:r>
      <w:r>
        <w:rPr>
          <w:spacing w:val="-7"/>
        </w:rPr>
        <w:t> </w:t>
      </w:r>
      <w:r>
        <w:rPr/>
        <w:t>tienen</w:t>
      </w:r>
      <w:r>
        <w:rPr>
          <w:spacing w:val="-5"/>
        </w:rPr>
        <w:t> </w:t>
      </w:r>
      <w:r>
        <w:rPr/>
        <w:t>un</w:t>
      </w:r>
      <w:r>
        <w:rPr>
          <w:spacing w:val="-5"/>
        </w:rPr>
        <w:t> </w:t>
      </w:r>
      <w:r>
        <w:rPr/>
        <w:t>alto</w:t>
      </w:r>
      <w:r>
        <w:rPr>
          <w:spacing w:val="-5"/>
        </w:rPr>
        <w:t> </w:t>
      </w:r>
      <w:r>
        <w:rPr/>
        <w:t>riesgo</w:t>
      </w:r>
      <w:r>
        <w:rPr>
          <w:spacing w:val="-5"/>
        </w:rPr>
        <w:t> </w:t>
      </w:r>
      <w:r>
        <w:rPr/>
        <w:t>de</w:t>
      </w:r>
      <w:r>
        <w:rPr>
          <w:spacing w:val="-5"/>
        </w:rPr>
        <w:t> </w:t>
      </w:r>
      <w:r>
        <w:rPr/>
        <w:t>adquirir</w:t>
      </w:r>
      <w:r>
        <w:rPr>
          <w:spacing w:val="-7"/>
        </w:rPr>
        <w:t> </w:t>
      </w:r>
      <w:r>
        <w:rPr/>
        <w:t>(Petinaki</w:t>
      </w:r>
      <w:r>
        <w:rPr>
          <w:spacing w:val="-6"/>
        </w:rPr>
        <w:t> </w:t>
      </w:r>
      <w:r>
        <w:rPr/>
        <w:t>y Spiliopoulou,</w:t>
      </w:r>
      <w:r>
        <w:rPr>
          <w:spacing w:val="-5"/>
        </w:rPr>
        <w:t> </w:t>
      </w:r>
      <w:r>
        <w:rPr/>
        <w:t>2012).</w:t>
      </w:r>
    </w:p>
    <w:p>
      <w:pPr>
        <w:pStyle w:val="Heading2"/>
        <w:spacing w:before="120"/>
        <w:jc w:val="both"/>
      </w:pPr>
      <w:bookmarkStart w:name="_bookmark20" w:id="27"/>
      <w:bookmarkEnd w:id="27"/>
      <w:r>
        <w:rPr>
          <w:b w:val="0"/>
        </w:rPr>
      </w:r>
      <w:r>
        <w:rPr/>
        <w:t>MRSA en alimentos</w:t>
      </w:r>
    </w:p>
    <w:p>
      <w:pPr>
        <w:pStyle w:val="BodyText"/>
        <w:spacing w:line="276" w:lineRule="auto" w:before="26"/>
        <w:ind w:left="142" w:right="136"/>
        <w:jc w:val="both"/>
      </w:pPr>
      <w:r>
        <w:rPr/>
        <w:t>El</w:t>
      </w:r>
      <w:r>
        <w:rPr>
          <w:spacing w:val="-18"/>
        </w:rPr>
        <w:t> </w:t>
      </w:r>
      <w:r>
        <w:rPr/>
        <w:t>uso</w:t>
      </w:r>
      <w:r>
        <w:rPr>
          <w:spacing w:val="-19"/>
        </w:rPr>
        <w:t> </w:t>
      </w:r>
      <w:r>
        <w:rPr/>
        <w:t>de</w:t>
      </w:r>
      <w:r>
        <w:rPr>
          <w:spacing w:val="-17"/>
        </w:rPr>
        <w:t> </w:t>
      </w:r>
      <w:r>
        <w:rPr/>
        <w:t>antimicrobianos</w:t>
      </w:r>
      <w:r>
        <w:rPr>
          <w:spacing w:val="-17"/>
        </w:rPr>
        <w:t> </w:t>
      </w:r>
      <w:r>
        <w:rPr/>
        <w:t>en</w:t>
      </w:r>
      <w:r>
        <w:rPr>
          <w:spacing w:val="-17"/>
        </w:rPr>
        <w:t> </w:t>
      </w:r>
      <w:r>
        <w:rPr/>
        <w:t>la</w:t>
      </w:r>
      <w:r>
        <w:rPr>
          <w:spacing w:val="-19"/>
        </w:rPr>
        <w:t> </w:t>
      </w:r>
      <w:r>
        <w:rPr/>
        <w:t>producción</w:t>
      </w:r>
      <w:r>
        <w:rPr>
          <w:spacing w:val="-17"/>
        </w:rPr>
        <w:t> </w:t>
      </w:r>
      <w:r>
        <w:rPr/>
        <w:t>de</w:t>
      </w:r>
      <w:r>
        <w:rPr>
          <w:spacing w:val="-19"/>
        </w:rPr>
        <w:t> </w:t>
      </w:r>
      <w:r>
        <w:rPr/>
        <w:t>alimentos</w:t>
      </w:r>
      <w:r>
        <w:rPr>
          <w:spacing w:val="-20"/>
        </w:rPr>
        <w:t> </w:t>
      </w:r>
      <w:r>
        <w:rPr/>
        <w:t>de</w:t>
      </w:r>
      <w:r>
        <w:rPr>
          <w:spacing w:val="-19"/>
        </w:rPr>
        <w:t> </w:t>
      </w:r>
      <w:r>
        <w:rPr/>
        <w:t>origen</w:t>
      </w:r>
      <w:r>
        <w:rPr>
          <w:spacing w:val="-19"/>
        </w:rPr>
        <w:t> </w:t>
      </w:r>
      <w:r>
        <w:rPr/>
        <w:t>animal</w:t>
      </w:r>
      <w:r>
        <w:rPr>
          <w:spacing w:val="-18"/>
        </w:rPr>
        <w:t> </w:t>
      </w:r>
      <w:r>
        <w:rPr/>
        <w:t>contribuye a que organismos resistentes y genes de resistencia se puedan transmitir de animales a humanos por contacto directo o a través de la cadena alimenticia y la virulencia del microorganismo implicado puede conducir a enfermedades humanas más difíciles de tratar debido a la presencia de resistencia antimicrobiana, además las bacterias resistentes ingeridas pueden transferir sus genes de resistencia a las bacterias de la flora del comensal humano (Kluytmans,</w:t>
      </w:r>
      <w:r>
        <w:rPr>
          <w:spacing w:val="-21"/>
        </w:rPr>
        <w:t> </w:t>
      </w:r>
      <w:r>
        <w:rPr/>
        <w:t>2010).</w:t>
      </w:r>
    </w:p>
    <w:p>
      <w:pPr>
        <w:pStyle w:val="BodyText"/>
        <w:spacing w:line="276" w:lineRule="auto" w:before="120"/>
        <w:ind w:left="142" w:right="138"/>
        <w:jc w:val="both"/>
      </w:pPr>
      <w:r>
        <w:rPr/>
        <w:t>El peligro que representan manipuladores en la trasmisión de alimentos contaminados</w:t>
      </w:r>
      <w:r>
        <w:rPr>
          <w:spacing w:val="-6"/>
        </w:rPr>
        <w:t> </w:t>
      </w:r>
      <w:r>
        <w:rPr/>
        <w:t>es</w:t>
      </w:r>
      <w:r>
        <w:rPr>
          <w:spacing w:val="-8"/>
        </w:rPr>
        <w:t> </w:t>
      </w:r>
      <w:r>
        <w:rPr/>
        <w:t>muy</w:t>
      </w:r>
      <w:r>
        <w:rPr>
          <w:spacing w:val="-8"/>
        </w:rPr>
        <w:t> </w:t>
      </w:r>
      <w:r>
        <w:rPr/>
        <w:t>reconocido</w:t>
      </w:r>
      <w:r>
        <w:rPr>
          <w:spacing w:val="-3"/>
        </w:rPr>
        <w:t> </w:t>
      </w:r>
      <w:r>
        <w:rPr/>
        <w:t>y</w:t>
      </w:r>
      <w:r>
        <w:rPr>
          <w:spacing w:val="-6"/>
        </w:rPr>
        <w:t> </w:t>
      </w:r>
      <w:r>
        <w:rPr/>
        <w:t>su</w:t>
      </w:r>
      <w:r>
        <w:rPr>
          <w:spacing w:val="-3"/>
        </w:rPr>
        <w:t> </w:t>
      </w:r>
      <w:r>
        <w:rPr/>
        <w:t>rol</w:t>
      </w:r>
      <w:r>
        <w:rPr>
          <w:spacing w:val="-6"/>
        </w:rPr>
        <w:t> </w:t>
      </w:r>
      <w:r>
        <w:rPr/>
        <w:t>es</w:t>
      </w:r>
      <w:r>
        <w:rPr>
          <w:spacing w:val="-8"/>
        </w:rPr>
        <w:t> </w:t>
      </w:r>
      <w:r>
        <w:rPr/>
        <w:t>crucial</w:t>
      </w:r>
      <w:r>
        <w:rPr>
          <w:spacing w:val="-3"/>
        </w:rPr>
        <w:t> </w:t>
      </w:r>
      <w:r>
        <w:rPr/>
        <w:t>en</w:t>
      </w:r>
      <w:r>
        <w:rPr>
          <w:spacing w:val="-5"/>
        </w:rPr>
        <w:t> </w:t>
      </w:r>
      <w:r>
        <w:rPr/>
        <w:t>la</w:t>
      </w:r>
      <w:r>
        <w:rPr>
          <w:spacing w:val="-5"/>
        </w:rPr>
        <w:t> </w:t>
      </w:r>
      <w:r>
        <w:rPr/>
        <w:t>determinación</w:t>
      </w:r>
      <w:r>
        <w:rPr>
          <w:spacing w:val="-5"/>
        </w:rPr>
        <w:t> </w:t>
      </w:r>
      <w:r>
        <w:rPr/>
        <w:t>del</w:t>
      </w:r>
      <w:r>
        <w:rPr>
          <w:spacing w:val="-6"/>
        </w:rPr>
        <w:t> </w:t>
      </w:r>
      <w:r>
        <w:rPr/>
        <w:t>estatus higiénico del producto final, la manipulación deficiente incrementa la posibilidad de la</w:t>
      </w:r>
      <w:r>
        <w:rPr>
          <w:spacing w:val="-11"/>
        </w:rPr>
        <w:t> </w:t>
      </w:r>
      <w:r>
        <w:rPr/>
        <w:t>contaminación</w:t>
      </w:r>
      <w:r>
        <w:rPr>
          <w:spacing w:val="-10"/>
        </w:rPr>
        <w:t> </w:t>
      </w:r>
      <w:r>
        <w:rPr/>
        <w:t>trasmitida</w:t>
      </w:r>
      <w:r>
        <w:rPr>
          <w:spacing w:val="-10"/>
        </w:rPr>
        <w:t> </w:t>
      </w:r>
      <w:r>
        <w:rPr/>
        <w:t>de</w:t>
      </w:r>
      <w:r>
        <w:rPr>
          <w:spacing w:val="-10"/>
        </w:rPr>
        <w:t> </w:t>
      </w:r>
      <w:r>
        <w:rPr/>
        <w:t>estafilococos</w:t>
      </w:r>
      <w:r>
        <w:rPr>
          <w:spacing w:val="-14"/>
        </w:rPr>
        <w:t> </w:t>
      </w:r>
      <w:r>
        <w:rPr/>
        <w:t>enterotoxigenicos</w:t>
      </w:r>
      <w:r>
        <w:rPr>
          <w:spacing w:val="-11"/>
        </w:rPr>
        <w:t> </w:t>
      </w:r>
      <w:r>
        <w:rPr/>
        <w:t>o</w:t>
      </w:r>
      <w:r>
        <w:rPr>
          <w:spacing w:val="-10"/>
        </w:rPr>
        <w:t> </w:t>
      </w:r>
      <w:r>
        <w:rPr/>
        <w:t>multiresistentes</w:t>
      </w:r>
      <w:r>
        <w:rPr>
          <w:spacing w:val="-14"/>
        </w:rPr>
        <w:t> </w:t>
      </w:r>
      <w:r>
        <w:rPr/>
        <w:t>ya que la transferencia de genes puede ocurrir durante la fabricación de alimentos debido a que </w:t>
      </w:r>
      <w:r>
        <w:rPr>
          <w:i/>
        </w:rPr>
        <w:t>Staphylococcus aureus </w:t>
      </w:r>
      <w:r>
        <w:rPr/>
        <w:t>es altamente prevalente en alimentos y ambientes de producción de alimentos, y MRSA podría seguir el mismo patrón de transmisión (Ferreira </w:t>
      </w:r>
      <w:r>
        <w:rPr>
          <w:i/>
        </w:rPr>
        <w:t>et al.,</w:t>
      </w:r>
      <w:r>
        <w:rPr>
          <w:i/>
          <w:spacing w:val="-9"/>
        </w:rPr>
        <w:t> </w:t>
      </w:r>
      <w:r>
        <w:rPr/>
        <w:t>2014).</w:t>
      </w:r>
    </w:p>
    <w:p>
      <w:pPr>
        <w:pStyle w:val="BodyText"/>
        <w:spacing w:line="276" w:lineRule="auto" w:before="123"/>
        <w:ind w:left="142" w:right="138"/>
        <w:jc w:val="both"/>
      </w:pPr>
      <w:r>
        <w:rPr/>
        <w:t>Animales y cadenas de alimentos son una ruta potencial para la transmisión de microorganismos entre los animales productores de alimentos incluyendo fauna silvestre y humanos y viceversa (Traversa </w:t>
      </w:r>
      <w:r>
        <w:rPr>
          <w:i/>
        </w:rPr>
        <w:t>et al., </w:t>
      </w:r>
      <w:r>
        <w:rPr/>
        <w:t>2015). En la población en general y en individuos inmunocomprometidos la transferencia de bacterias resistentes a antibióticos</w:t>
      </w:r>
      <w:r>
        <w:rPr>
          <w:spacing w:val="-12"/>
        </w:rPr>
        <w:t> </w:t>
      </w:r>
      <w:r>
        <w:rPr/>
        <w:t>al</w:t>
      </w:r>
      <w:r>
        <w:rPr>
          <w:spacing w:val="-12"/>
        </w:rPr>
        <w:t> </w:t>
      </w:r>
      <w:r>
        <w:rPr/>
        <w:t>tracto</w:t>
      </w:r>
      <w:r>
        <w:rPr>
          <w:spacing w:val="-10"/>
        </w:rPr>
        <w:t> </w:t>
      </w:r>
      <w:r>
        <w:rPr/>
        <w:t>gastrointestinal</w:t>
      </w:r>
      <w:r>
        <w:rPr>
          <w:spacing w:val="-12"/>
        </w:rPr>
        <w:t> </w:t>
      </w:r>
      <w:r>
        <w:rPr/>
        <w:t>es</w:t>
      </w:r>
      <w:r>
        <w:rPr>
          <w:spacing w:val="-12"/>
        </w:rPr>
        <w:t> </w:t>
      </w:r>
      <w:r>
        <w:rPr/>
        <w:t>de</w:t>
      </w:r>
      <w:r>
        <w:rPr>
          <w:spacing w:val="-13"/>
        </w:rPr>
        <w:t> </w:t>
      </w:r>
      <w:r>
        <w:rPr/>
        <w:t>manera</w:t>
      </w:r>
      <w:r>
        <w:rPr>
          <w:spacing w:val="-11"/>
        </w:rPr>
        <w:t> </w:t>
      </w:r>
      <w:r>
        <w:rPr/>
        <w:t>muy</w:t>
      </w:r>
      <w:r>
        <w:rPr>
          <w:spacing w:val="-14"/>
        </w:rPr>
        <w:t> </w:t>
      </w:r>
      <w:r>
        <w:rPr/>
        <w:t>eficiente;</w:t>
      </w:r>
      <w:r>
        <w:rPr>
          <w:spacing w:val="-11"/>
        </w:rPr>
        <w:t> </w:t>
      </w:r>
      <w:r>
        <w:rPr/>
        <w:t>y</w:t>
      </w:r>
      <w:r>
        <w:rPr>
          <w:spacing w:val="-14"/>
        </w:rPr>
        <w:t> </w:t>
      </w:r>
      <w:r>
        <w:rPr/>
        <w:t>es</w:t>
      </w:r>
      <w:r>
        <w:rPr>
          <w:spacing w:val="-12"/>
        </w:rPr>
        <w:t> </w:t>
      </w:r>
      <w:r>
        <w:rPr/>
        <w:t>un</w:t>
      </w:r>
      <w:r>
        <w:rPr>
          <w:spacing w:val="-5"/>
        </w:rPr>
        <w:t> </w:t>
      </w:r>
      <w:r>
        <w:rPr/>
        <w:t>sitio</w:t>
      </w:r>
      <w:r>
        <w:rPr>
          <w:spacing w:val="-11"/>
        </w:rPr>
        <w:t> </w:t>
      </w:r>
      <w:r>
        <w:rPr/>
        <w:t>donde puede ocurrir la transferencia de genes desde bacterias resistentes a susceptibles, entre</w:t>
      </w:r>
      <w:r>
        <w:rPr>
          <w:spacing w:val="-7"/>
        </w:rPr>
        <w:t> </w:t>
      </w:r>
      <w:r>
        <w:rPr/>
        <w:t>bacterias</w:t>
      </w:r>
      <w:r>
        <w:rPr>
          <w:spacing w:val="-8"/>
        </w:rPr>
        <w:t> </w:t>
      </w:r>
      <w:r>
        <w:rPr/>
        <w:t>no</w:t>
      </w:r>
      <w:r>
        <w:rPr>
          <w:spacing w:val="-7"/>
        </w:rPr>
        <w:t> </w:t>
      </w:r>
      <w:r>
        <w:rPr/>
        <w:t>patógenas</w:t>
      </w:r>
      <w:r>
        <w:rPr>
          <w:spacing w:val="-6"/>
        </w:rPr>
        <w:t> </w:t>
      </w:r>
      <w:r>
        <w:rPr/>
        <w:t>y</w:t>
      </w:r>
      <w:r>
        <w:rPr>
          <w:spacing w:val="-8"/>
        </w:rPr>
        <w:t> </w:t>
      </w:r>
      <w:r>
        <w:rPr/>
        <w:t>bacterias</w:t>
      </w:r>
      <w:r>
        <w:rPr>
          <w:spacing w:val="-8"/>
        </w:rPr>
        <w:t> </w:t>
      </w:r>
      <w:r>
        <w:rPr/>
        <w:t>patógenas</w:t>
      </w:r>
      <w:r>
        <w:rPr>
          <w:spacing w:val="-8"/>
        </w:rPr>
        <w:t> </w:t>
      </w:r>
      <w:r>
        <w:rPr/>
        <w:t>o</w:t>
      </w:r>
      <w:r>
        <w:rPr>
          <w:spacing w:val="-7"/>
        </w:rPr>
        <w:t> </w:t>
      </w:r>
      <w:r>
        <w:rPr/>
        <w:t>oportunistas;</w:t>
      </w:r>
      <w:r>
        <w:rPr>
          <w:spacing w:val="-6"/>
        </w:rPr>
        <w:t> </w:t>
      </w:r>
      <w:r>
        <w:rPr/>
        <w:t>la</w:t>
      </w:r>
      <w:r>
        <w:rPr>
          <w:spacing w:val="-6"/>
        </w:rPr>
        <w:t> </w:t>
      </w:r>
      <w:r>
        <w:rPr/>
        <w:t>transferencia</w:t>
      </w:r>
    </w:p>
    <w:p>
      <w:pPr>
        <w:spacing w:after="0" w:line="276" w:lineRule="auto"/>
        <w:jc w:val="both"/>
        <w:sectPr>
          <w:headerReference w:type="default" r:id="rId24"/>
          <w:footerReference w:type="default" r:id="rId25"/>
          <w:pgSz w:w="12240" w:h="15840"/>
          <w:pgMar w:header="728" w:footer="710" w:top="1200" w:bottom="900" w:left="1560" w:right="1560"/>
          <w:pgNumType w:start="22"/>
        </w:sectPr>
      </w:pPr>
    </w:p>
    <w:p>
      <w:pPr>
        <w:pStyle w:val="BodyText"/>
        <w:spacing w:before="9"/>
        <w:rPr>
          <w:sz w:val="12"/>
        </w:rPr>
      </w:pPr>
    </w:p>
    <w:p>
      <w:pPr>
        <w:pStyle w:val="BodyText"/>
        <w:spacing w:line="276" w:lineRule="auto" w:before="70"/>
        <w:ind w:left="142" w:right="137"/>
        <w:jc w:val="both"/>
      </w:pPr>
      <w:r>
        <w:rPr/>
        <w:t>puede</w:t>
      </w:r>
      <w:r>
        <w:rPr>
          <w:spacing w:val="-14"/>
        </w:rPr>
        <w:t> </w:t>
      </w:r>
      <w:r>
        <w:rPr/>
        <w:t>ser</w:t>
      </w:r>
      <w:r>
        <w:rPr>
          <w:spacing w:val="-17"/>
        </w:rPr>
        <w:t> </w:t>
      </w:r>
      <w:r>
        <w:rPr/>
        <w:t>de</w:t>
      </w:r>
      <w:r>
        <w:rPr>
          <w:spacing w:val="-14"/>
        </w:rPr>
        <w:t> </w:t>
      </w:r>
      <w:r>
        <w:rPr/>
        <w:t>tres</w:t>
      </w:r>
      <w:r>
        <w:rPr>
          <w:spacing w:val="-16"/>
        </w:rPr>
        <w:t> </w:t>
      </w:r>
      <w:r>
        <w:rPr/>
        <w:t>maneras;</w:t>
      </w:r>
      <w:r>
        <w:rPr>
          <w:spacing w:val="-14"/>
        </w:rPr>
        <w:t> </w:t>
      </w:r>
      <w:r>
        <w:rPr/>
        <w:t>mediante</w:t>
      </w:r>
      <w:r>
        <w:rPr>
          <w:spacing w:val="-14"/>
        </w:rPr>
        <w:t> </w:t>
      </w:r>
      <w:r>
        <w:rPr/>
        <w:t>residuos</w:t>
      </w:r>
      <w:r>
        <w:rPr>
          <w:spacing w:val="-14"/>
        </w:rPr>
        <w:t> </w:t>
      </w:r>
      <w:r>
        <w:rPr/>
        <w:t>de</w:t>
      </w:r>
      <w:r>
        <w:rPr>
          <w:spacing w:val="-14"/>
        </w:rPr>
        <w:t> </w:t>
      </w:r>
      <w:r>
        <w:rPr/>
        <w:t>antibióticos</w:t>
      </w:r>
      <w:r>
        <w:rPr>
          <w:spacing w:val="-14"/>
        </w:rPr>
        <w:t> </w:t>
      </w:r>
      <w:r>
        <w:rPr/>
        <w:t>en</w:t>
      </w:r>
      <w:r>
        <w:rPr>
          <w:spacing w:val="-15"/>
        </w:rPr>
        <w:t> </w:t>
      </w:r>
      <w:r>
        <w:rPr/>
        <w:t>alimentos,</w:t>
      </w:r>
      <w:r>
        <w:rPr>
          <w:spacing w:val="-16"/>
        </w:rPr>
        <w:t> </w:t>
      </w:r>
      <w:r>
        <w:rPr/>
        <w:t>a</w:t>
      </w:r>
      <w:r>
        <w:rPr>
          <w:spacing w:val="-14"/>
        </w:rPr>
        <w:t> </w:t>
      </w:r>
      <w:r>
        <w:rPr/>
        <w:t>través de patógenos resistentes transferidas por alimentos o por la ingestión de partes resistentes de la microflora original y la transferencia de la resistencia a los microorganismos patógenos (Pesavento </w:t>
      </w:r>
      <w:r>
        <w:rPr>
          <w:i/>
        </w:rPr>
        <w:t>et al., </w:t>
      </w:r>
      <w:r>
        <w:rPr/>
        <w:t>2007; Flórez y Mayo,</w:t>
      </w:r>
      <w:r>
        <w:rPr>
          <w:spacing w:val="-25"/>
        </w:rPr>
        <w:t> </w:t>
      </w:r>
      <w:r>
        <w:rPr/>
        <w:t>2015).</w:t>
      </w:r>
    </w:p>
    <w:p>
      <w:pPr>
        <w:pStyle w:val="BodyText"/>
        <w:spacing w:line="276" w:lineRule="auto" w:before="123"/>
        <w:ind w:left="142" w:right="135"/>
        <w:jc w:val="both"/>
      </w:pPr>
      <w:r>
        <w:rPr/>
        <w:t>Se</w:t>
      </w:r>
      <w:r>
        <w:rPr>
          <w:spacing w:val="-7"/>
        </w:rPr>
        <w:t> </w:t>
      </w:r>
      <w:r>
        <w:rPr/>
        <w:t>ha</w:t>
      </w:r>
      <w:r>
        <w:rPr>
          <w:spacing w:val="-5"/>
        </w:rPr>
        <w:t> </w:t>
      </w:r>
      <w:r>
        <w:rPr/>
        <w:t>identificado</w:t>
      </w:r>
      <w:r>
        <w:rPr>
          <w:spacing w:val="-7"/>
        </w:rPr>
        <w:t> </w:t>
      </w:r>
      <w:r>
        <w:rPr/>
        <w:t>MRSA</w:t>
      </w:r>
      <w:r>
        <w:rPr>
          <w:spacing w:val="-5"/>
        </w:rPr>
        <w:t> </w:t>
      </w:r>
      <w:r>
        <w:rPr/>
        <w:t>en</w:t>
      </w:r>
      <w:r>
        <w:rPr>
          <w:spacing w:val="-7"/>
        </w:rPr>
        <w:t> </w:t>
      </w:r>
      <w:r>
        <w:rPr/>
        <w:t>productos</w:t>
      </w:r>
      <w:r>
        <w:rPr>
          <w:spacing w:val="-8"/>
        </w:rPr>
        <w:t> </w:t>
      </w:r>
      <w:r>
        <w:rPr/>
        <w:t>cárnicos</w:t>
      </w:r>
      <w:r>
        <w:rPr>
          <w:spacing w:val="-5"/>
        </w:rPr>
        <w:t> </w:t>
      </w:r>
      <w:r>
        <w:rPr/>
        <w:t>vendidos</w:t>
      </w:r>
      <w:r>
        <w:rPr>
          <w:spacing w:val="-5"/>
        </w:rPr>
        <w:t> </w:t>
      </w:r>
      <w:r>
        <w:rPr/>
        <w:t>al</w:t>
      </w:r>
      <w:r>
        <w:rPr>
          <w:spacing w:val="-8"/>
        </w:rPr>
        <w:t> </w:t>
      </w:r>
      <w:r>
        <w:rPr/>
        <w:t>menudeo,</w:t>
      </w:r>
      <w:r>
        <w:rPr>
          <w:spacing w:val="-5"/>
        </w:rPr>
        <w:t> </w:t>
      </w:r>
      <w:r>
        <w:rPr/>
        <w:t>leche</w:t>
      </w:r>
      <w:r>
        <w:rPr>
          <w:spacing w:val="-7"/>
        </w:rPr>
        <w:t> </w:t>
      </w:r>
      <w:r>
        <w:rPr/>
        <w:t>cruda, productos</w:t>
      </w:r>
      <w:r>
        <w:rPr>
          <w:spacing w:val="-9"/>
        </w:rPr>
        <w:t> </w:t>
      </w:r>
      <w:r>
        <w:rPr/>
        <w:t>lácteos,</w:t>
      </w:r>
      <w:r>
        <w:rPr>
          <w:spacing w:val="-9"/>
        </w:rPr>
        <w:t> </w:t>
      </w:r>
      <w:r>
        <w:rPr/>
        <w:t>pescado</w:t>
      </w:r>
      <w:r>
        <w:rPr>
          <w:spacing w:val="-8"/>
        </w:rPr>
        <w:t> </w:t>
      </w:r>
      <w:r>
        <w:rPr/>
        <w:t>crudo</w:t>
      </w:r>
      <w:r>
        <w:rPr>
          <w:spacing w:val="-8"/>
        </w:rPr>
        <w:t> </w:t>
      </w:r>
      <w:r>
        <w:rPr/>
        <w:t>y</w:t>
      </w:r>
      <w:r>
        <w:rPr>
          <w:spacing w:val="-12"/>
        </w:rPr>
        <w:t> </w:t>
      </w:r>
      <w:r>
        <w:rPr/>
        <w:t>listo</w:t>
      </w:r>
      <w:r>
        <w:rPr>
          <w:spacing w:val="-8"/>
        </w:rPr>
        <w:t> </w:t>
      </w:r>
      <w:r>
        <w:rPr/>
        <w:t>para</w:t>
      </w:r>
      <w:r>
        <w:rPr>
          <w:spacing w:val="-9"/>
        </w:rPr>
        <w:t> </w:t>
      </w:r>
      <w:r>
        <w:rPr/>
        <w:t>consumir</w:t>
      </w:r>
      <w:r>
        <w:rPr>
          <w:spacing w:val="-10"/>
        </w:rPr>
        <w:t> </w:t>
      </w:r>
      <w:r>
        <w:rPr/>
        <w:t>(Ferreira</w:t>
      </w:r>
      <w:r>
        <w:rPr>
          <w:spacing w:val="-3"/>
        </w:rPr>
        <w:t> </w:t>
      </w:r>
      <w:r>
        <w:rPr>
          <w:i/>
        </w:rPr>
        <w:t>et</w:t>
      </w:r>
      <w:r>
        <w:rPr>
          <w:i/>
          <w:spacing w:val="-9"/>
        </w:rPr>
        <w:t> </w:t>
      </w:r>
      <w:r>
        <w:rPr>
          <w:i/>
        </w:rPr>
        <w:t>al.,</w:t>
      </w:r>
      <w:r>
        <w:rPr>
          <w:i/>
          <w:spacing w:val="-8"/>
        </w:rPr>
        <w:t> </w:t>
      </w:r>
      <w:r>
        <w:rPr/>
        <w:t>2014),</w:t>
      </w:r>
      <w:r>
        <w:rPr>
          <w:spacing w:val="-9"/>
        </w:rPr>
        <w:t> </w:t>
      </w:r>
      <w:r>
        <w:rPr/>
        <w:t>carne vendida al menudeo, en Suiza y Japón con prevalencias de 23 y 65%, durante el sacrificio se puede producir la contaminación de los animales portadores a las canales, en ese sentido, la Agencia Holandesa de seguridad alimentaria realizó un muestreo</w:t>
      </w:r>
      <w:r>
        <w:rPr>
          <w:spacing w:val="-11"/>
        </w:rPr>
        <w:t> </w:t>
      </w:r>
      <w:r>
        <w:rPr/>
        <w:t>en</w:t>
      </w:r>
      <w:r>
        <w:rPr>
          <w:spacing w:val="-11"/>
        </w:rPr>
        <w:t> </w:t>
      </w:r>
      <w:r>
        <w:rPr/>
        <w:t>alimentos</w:t>
      </w:r>
      <w:r>
        <w:rPr>
          <w:spacing w:val="-12"/>
        </w:rPr>
        <w:t> </w:t>
      </w:r>
      <w:r>
        <w:rPr/>
        <w:t>vendidos</w:t>
      </w:r>
      <w:r>
        <w:rPr>
          <w:spacing w:val="-12"/>
        </w:rPr>
        <w:t> </w:t>
      </w:r>
      <w:r>
        <w:rPr/>
        <w:t>al</w:t>
      </w:r>
      <w:r>
        <w:rPr>
          <w:spacing w:val="-10"/>
        </w:rPr>
        <w:t> </w:t>
      </w:r>
      <w:r>
        <w:rPr/>
        <w:t>menudeo</w:t>
      </w:r>
      <w:r>
        <w:rPr>
          <w:spacing w:val="-11"/>
        </w:rPr>
        <w:t> </w:t>
      </w:r>
      <w:r>
        <w:rPr/>
        <w:t>donde</w:t>
      </w:r>
      <w:r>
        <w:rPr>
          <w:spacing w:val="-8"/>
        </w:rPr>
        <w:t> </w:t>
      </w:r>
      <w:r>
        <w:rPr/>
        <w:t>MRSA</w:t>
      </w:r>
      <w:r>
        <w:rPr>
          <w:spacing w:val="-8"/>
        </w:rPr>
        <w:t> </w:t>
      </w:r>
      <w:r>
        <w:rPr/>
        <w:t>se</w:t>
      </w:r>
      <w:r>
        <w:rPr>
          <w:spacing w:val="-8"/>
        </w:rPr>
        <w:t> </w:t>
      </w:r>
      <w:r>
        <w:rPr/>
        <w:t>aisló</w:t>
      </w:r>
      <w:r>
        <w:rPr>
          <w:spacing w:val="-13"/>
        </w:rPr>
        <w:t> </w:t>
      </w:r>
      <w:r>
        <w:rPr/>
        <w:t>de</w:t>
      </w:r>
      <w:r>
        <w:rPr>
          <w:spacing w:val="-8"/>
        </w:rPr>
        <w:t> </w:t>
      </w:r>
      <w:r>
        <w:rPr/>
        <w:t>264</w:t>
      </w:r>
      <w:r>
        <w:rPr>
          <w:spacing w:val="-8"/>
        </w:rPr>
        <w:t> </w:t>
      </w:r>
      <w:r>
        <w:rPr/>
        <w:t>(11.9%), de 2217 muestras analizadas (Kluytmans, 2010). La presencia de MRSA asociado a alimentos es de gran preocupación debido al potencial que tiene para su diseminación en la población, debido a que pueden ser una ruta exitosa para la transmisión de linajes de MRSA y su prevalencia varia ampliamente dependiendo del animal y del país de origen (Oniciuc </w:t>
      </w:r>
      <w:r>
        <w:rPr>
          <w:i/>
        </w:rPr>
        <w:t>et al., </w:t>
      </w:r>
      <w:r>
        <w:rPr/>
        <w:t>2015), los aislamientos de MRSA portan el tipo </w:t>
      </w:r>
      <w:r>
        <w:rPr>
          <w:i/>
        </w:rPr>
        <w:t>SCCmec </w:t>
      </w:r>
      <w:r>
        <w:rPr/>
        <w:t>IVc y PVL genes (Rodríguez-Lázaro </w:t>
      </w:r>
      <w:r>
        <w:rPr>
          <w:i/>
        </w:rPr>
        <w:t>et al.,</w:t>
      </w:r>
      <w:r>
        <w:rPr>
          <w:i/>
          <w:spacing w:val="-21"/>
        </w:rPr>
        <w:t> </w:t>
      </w:r>
      <w:r>
        <w:rPr/>
        <w:t>2015).</w:t>
      </w:r>
    </w:p>
    <w:p>
      <w:pPr>
        <w:pStyle w:val="BodyText"/>
        <w:spacing w:line="276" w:lineRule="auto" w:before="125"/>
        <w:ind w:left="142" w:right="135"/>
        <w:jc w:val="both"/>
      </w:pPr>
      <w:r>
        <w:rPr/>
        <w:t>Hay diferentes maneras en que los alimentos de origen animal pueden ser contaminados con MRSA como se muestra en la figura 7. MRSA ya presente en o sobre</w:t>
      </w:r>
      <w:r>
        <w:rPr>
          <w:spacing w:val="-4"/>
        </w:rPr>
        <w:t> </w:t>
      </w:r>
      <w:r>
        <w:rPr/>
        <w:t>el</w:t>
      </w:r>
      <w:r>
        <w:rPr>
          <w:spacing w:val="-5"/>
        </w:rPr>
        <w:t> </w:t>
      </w:r>
      <w:r>
        <w:rPr/>
        <w:t>animal</w:t>
      </w:r>
      <w:r>
        <w:rPr>
          <w:spacing w:val="-5"/>
        </w:rPr>
        <w:t> </w:t>
      </w:r>
      <w:r>
        <w:rPr/>
        <w:t>puede</w:t>
      </w:r>
      <w:r>
        <w:rPr>
          <w:spacing w:val="-6"/>
        </w:rPr>
        <w:t> </w:t>
      </w:r>
      <w:r>
        <w:rPr/>
        <w:t>contaminar</w:t>
      </w:r>
      <w:r>
        <w:rPr>
          <w:spacing w:val="-5"/>
        </w:rPr>
        <w:t> </w:t>
      </w:r>
      <w:r>
        <w:rPr/>
        <w:t>las</w:t>
      </w:r>
      <w:r>
        <w:rPr>
          <w:spacing w:val="-4"/>
        </w:rPr>
        <w:t> </w:t>
      </w:r>
      <w:r>
        <w:rPr/>
        <w:t>canales</w:t>
      </w:r>
      <w:r>
        <w:rPr>
          <w:spacing w:val="-6"/>
        </w:rPr>
        <w:t> </w:t>
      </w:r>
      <w:r>
        <w:rPr/>
        <w:t>durante</w:t>
      </w:r>
      <w:r>
        <w:rPr>
          <w:spacing w:val="-4"/>
        </w:rPr>
        <w:t> </w:t>
      </w:r>
      <w:r>
        <w:rPr/>
        <w:t>el</w:t>
      </w:r>
      <w:r>
        <w:rPr>
          <w:spacing w:val="-5"/>
        </w:rPr>
        <w:t> </w:t>
      </w:r>
      <w:r>
        <w:rPr/>
        <w:t>proceso</w:t>
      </w:r>
      <w:r>
        <w:rPr>
          <w:spacing w:val="-4"/>
        </w:rPr>
        <w:t> </w:t>
      </w:r>
      <w:r>
        <w:rPr/>
        <w:t>de</w:t>
      </w:r>
      <w:r>
        <w:rPr>
          <w:spacing w:val="-6"/>
        </w:rPr>
        <w:t> </w:t>
      </w:r>
      <w:r>
        <w:rPr/>
        <w:t>sacrificio</w:t>
      </w:r>
      <w:r>
        <w:rPr>
          <w:spacing w:val="-4"/>
        </w:rPr>
        <w:t> </w:t>
      </w:r>
      <w:r>
        <w:rPr/>
        <w:t>en</w:t>
      </w:r>
      <w:r>
        <w:rPr>
          <w:spacing w:val="-4"/>
        </w:rPr>
        <w:t> </w:t>
      </w:r>
      <w:r>
        <w:rPr/>
        <w:t>la disección de cadáveres o evisceración y puede ser transferido al medio ambiente del matadero (durante el desplume de pollos y pavos o depilación de los cerdos), representando una fuente de contaminación para otros canales y trabajadores de los rastros. Personal colonizado que interviene en el proceso de masacre también pueden transferir MRSA a los canales; también puede ser transferido directamente de los seres humanos y herramientas contaminadas durante el posterior procesamiento</w:t>
      </w:r>
      <w:r>
        <w:rPr>
          <w:spacing w:val="-19"/>
        </w:rPr>
        <w:t> </w:t>
      </w:r>
      <w:r>
        <w:rPr/>
        <w:t>de</w:t>
      </w:r>
      <w:r>
        <w:rPr>
          <w:spacing w:val="-19"/>
        </w:rPr>
        <w:t> </w:t>
      </w:r>
      <w:r>
        <w:rPr/>
        <w:t>los</w:t>
      </w:r>
      <w:r>
        <w:rPr>
          <w:spacing w:val="-19"/>
        </w:rPr>
        <w:t> </w:t>
      </w:r>
      <w:r>
        <w:rPr/>
        <w:t>alimentos</w:t>
      </w:r>
      <w:r>
        <w:rPr>
          <w:spacing w:val="-20"/>
        </w:rPr>
        <w:t> </w:t>
      </w:r>
      <w:r>
        <w:rPr/>
        <w:t>(Wendlandt</w:t>
      </w:r>
      <w:r>
        <w:rPr>
          <w:spacing w:val="-16"/>
        </w:rPr>
        <w:t> </w:t>
      </w:r>
      <w:r>
        <w:rPr>
          <w:i/>
        </w:rPr>
        <w:t>et</w:t>
      </w:r>
      <w:r>
        <w:rPr>
          <w:i/>
          <w:spacing w:val="-22"/>
        </w:rPr>
        <w:t> </w:t>
      </w:r>
      <w:r>
        <w:rPr>
          <w:i/>
        </w:rPr>
        <w:t>al.</w:t>
      </w:r>
      <w:r>
        <w:rPr/>
        <w:t>,</w:t>
      </w:r>
      <w:r>
        <w:rPr>
          <w:spacing w:val="-19"/>
        </w:rPr>
        <w:t> </w:t>
      </w:r>
      <w:r>
        <w:rPr/>
        <w:t>2013).</w:t>
      </w:r>
      <w:r>
        <w:rPr>
          <w:spacing w:val="-20"/>
        </w:rPr>
        <w:t> </w:t>
      </w:r>
      <w:r>
        <w:rPr/>
        <w:t>La</w:t>
      </w:r>
      <w:r>
        <w:rPr>
          <w:spacing w:val="-19"/>
        </w:rPr>
        <w:t> </w:t>
      </w:r>
      <w:r>
        <w:rPr/>
        <w:t>higiene</w:t>
      </w:r>
      <w:r>
        <w:rPr>
          <w:spacing w:val="-19"/>
        </w:rPr>
        <w:t> </w:t>
      </w:r>
      <w:r>
        <w:rPr/>
        <w:t>de</w:t>
      </w:r>
      <w:r>
        <w:rPr>
          <w:spacing w:val="-19"/>
        </w:rPr>
        <w:t> </w:t>
      </w:r>
      <w:r>
        <w:rPr/>
        <w:t>manos</w:t>
      </w:r>
      <w:r>
        <w:rPr>
          <w:spacing w:val="-20"/>
        </w:rPr>
        <w:t> </w:t>
      </w:r>
      <w:r>
        <w:rPr/>
        <w:t>(lavar con jabón y agua o usando un desinfectante de manos a base de alcohol), ha sido considerada</w:t>
      </w:r>
      <w:r>
        <w:rPr>
          <w:spacing w:val="-7"/>
        </w:rPr>
        <w:t> </w:t>
      </w:r>
      <w:r>
        <w:rPr/>
        <w:t>una</w:t>
      </w:r>
      <w:r>
        <w:rPr>
          <w:spacing w:val="-7"/>
        </w:rPr>
        <w:t> </w:t>
      </w:r>
      <w:r>
        <w:rPr/>
        <w:t>de</w:t>
      </w:r>
      <w:r>
        <w:rPr>
          <w:spacing w:val="-7"/>
        </w:rPr>
        <w:t> </w:t>
      </w:r>
      <w:r>
        <w:rPr/>
        <w:t>las</w:t>
      </w:r>
      <w:r>
        <w:rPr>
          <w:spacing w:val="-8"/>
        </w:rPr>
        <w:t> </w:t>
      </w:r>
      <w:r>
        <w:rPr/>
        <w:t>medidas</w:t>
      </w:r>
      <w:r>
        <w:rPr>
          <w:spacing w:val="-8"/>
        </w:rPr>
        <w:t> </w:t>
      </w:r>
      <w:r>
        <w:rPr/>
        <w:t>de</w:t>
      </w:r>
      <w:r>
        <w:rPr>
          <w:spacing w:val="-7"/>
        </w:rPr>
        <w:t> </w:t>
      </w:r>
      <w:r>
        <w:rPr/>
        <w:t>control</w:t>
      </w:r>
      <w:r>
        <w:rPr>
          <w:spacing w:val="-8"/>
        </w:rPr>
        <w:t> </w:t>
      </w:r>
      <w:r>
        <w:rPr/>
        <w:t>de</w:t>
      </w:r>
      <w:r>
        <w:rPr>
          <w:spacing w:val="-7"/>
        </w:rPr>
        <w:t> </w:t>
      </w:r>
      <w:r>
        <w:rPr/>
        <w:t>infecciones</w:t>
      </w:r>
      <w:r>
        <w:rPr>
          <w:spacing w:val="-8"/>
        </w:rPr>
        <w:t> </w:t>
      </w:r>
      <w:r>
        <w:rPr/>
        <w:t>más</w:t>
      </w:r>
      <w:r>
        <w:rPr>
          <w:spacing w:val="-8"/>
        </w:rPr>
        <w:t> </w:t>
      </w:r>
      <w:r>
        <w:rPr/>
        <w:t>importantes</w:t>
      </w:r>
      <w:r>
        <w:rPr>
          <w:spacing w:val="-8"/>
        </w:rPr>
        <w:t> </w:t>
      </w:r>
      <w:r>
        <w:rPr/>
        <w:t>para</w:t>
      </w:r>
      <w:r>
        <w:rPr>
          <w:spacing w:val="-8"/>
        </w:rPr>
        <w:t> </w:t>
      </w:r>
      <w:r>
        <w:rPr/>
        <w:t>su prevención (Ferreira </w:t>
      </w:r>
      <w:r>
        <w:rPr>
          <w:i/>
        </w:rPr>
        <w:t>et al.,</w:t>
      </w:r>
      <w:r>
        <w:rPr>
          <w:i/>
          <w:spacing w:val="-7"/>
        </w:rPr>
        <w:t> </w:t>
      </w:r>
      <w:r>
        <w:rPr/>
        <w:t>2014).</w:t>
      </w:r>
    </w:p>
    <w:p>
      <w:pPr>
        <w:pStyle w:val="BodyText"/>
        <w:spacing w:line="276" w:lineRule="auto" w:before="121"/>
        <w:ind w:left="142" w:right="138"/>
        <w:jc w:val="both"/>
      </w:pPr>
      <w:r>
        <w:rPr/>
        <w:t>Figura 7: Presentación esquemática de las fuentes potenciales de </w:t>
      </w:r>
      <w:r>
        <w:rPr>
          <w:i/>
        </w:rPr>
        <w:t>Staphylococcus </w:t>
      </w:r>
      <w:r>
        <w:rPr>
          <w:i/>
        </w:rPr>
        <w:t>aureus </w:t>
      </w:r>
      <w:r>
        <w:rPr/>
        <w:t>(MRSA), contaminación a nivel de la granja, rastros, lácteos y venta al por menor.</w:t>
      </w:r>
    </w:p>
    <w:p>
      <w:pPr>
        <w:spacing w:after="0" w:line="276" w:lineRule="auto"/>
        <w:jc w:val="both"/>
        <w:sectPr>
          <w:pgSz w:w="12240" w:h="15840"/>
          <w:pgMar w:header="728" w:footer="710" w:top="1200" w:bottom="900" w:left="1560" w:right="1560"/>
        </w:sectPr>
      </w:pPr>
    </w:p>
    <w:p>
      <w:pPr>
        <w:pStyle w:val="BodyText"/>
        <w:spacing w:before="11"/>
        <w:rPr>
          <w:sz w:val="18"/>
        </w:rPr>
      </w:pPr>
    </w:p>
    <w:p>
      <w:pPr>
        <w:pStyle w:val="BodyText"/>
        <w:ind w:left="1574"/>
        <w:rPr>
          <w:sz w:val="20"/>
        </w:rPr>
      </w:pPr>
      <w:r>
        <w:rPr>
          <w:sz w:val="20"/>
        </w:rPr>
        <w:drawing>
          <wp:inline distT="0" distB="0" distL="0" distR="0">
            <wp:extent cx="3810288" cy="2813304"/>
            <wp:effectExtent l="0" t="0" r="0" b="0"/>
            <wp:docPr id="11" name="image9.jpeg" descr=""/>
            <wp:cNvGraphicFramePr>
              <a:graphicFrameLocks noChangeAspect="1"/>
            </wp:cNvGraphicFramePr>
            <a:graphic>
              <a:graphicData uri="http://schemas.openxmlformats.org/drawingml/2006/picture">
                <pic:pic>
                  <pic:nvPicPr>
                    <pic:cNvPr id="12" name="image9.jpeg"/>
                    <pic:cNvPicPr/>
                  </pic:nvPicPr>
                  <pic:blipFill>
                    <a:blip r:embed="rId26" cstate="print"/>
                    <a:stretch>
                      <a:fillRect/>
                    </a:stretch>
                  </pic:blipFill>
                  <pic:spPr>
                    <a:xfrm>
                      <a:off x="0" y="0"/>
                      <a:ext cx="3810288" cy="2813304"/>
                    </a:xfrm>
                    <a:prstGeom prst="rect">
                      <a:avLst/>
                    </a:prstGeom>
                  </pic:spPr>
                </pic:pic>
              </a:graphicData>
            </a:graphic>
          </wp:inline>
        </w:drawing>
      </w:r>
      <w:r>
        <w:rPr>
          <w:sz w:val="20"/>
        </w:rPr>
      </w:r>
    </w:p>
    <w:p>
      <w:pPr>
        <w:pStyle w:val="BodyText"/>
        <w:spacing w:line="250" w:lineRule="exact"/>
        <w:ind w:left="250" w:right="1550"/>
      </w:pPr>
      <w:r>
        <w:rPr/>
        <w:t>Fuente: Wendlandt </w:t>
      </w:r>
      <w:r>
        <w:rPr>
          <w:i/>
        </w:rPr>
        <w:t>et al.</w:t>
      </w:r>
      <w:r>
        <w:rPr/>
        <w:t>, (2013)</w:t>
      </w:r>
    </w:p>
    <w:p>
      <w:pPr>
        <w:pStyle w:val="BodyText"/>
      </w:pPr>
    </w:p>
    <w:p>
      <w:pPr>
        <w:pStyle w:val="BodyText"/>
        <w:spacing w:before="7"/>
        <w:rPr>
          <w:sz w:val="30"/>
        </w:rPr>
      </w:pPr>
    </w:p>
    <w:p>
      <w:pPr>
        <w:pStyle w:val="BodyText"/>
        <w:spacing w:line="276" w:lineRule="auto" w:before="1"/>
        <w:ind w:left="142" w:right="137"/>
        <w:jc w:val="both"/>
      </w:pPr>
      <w:r>
        <w:rPr/>
        <w:t>Alimentos fermentados como el queso, en el cual crecen varios tipos de bacterias en</w:t>
      </w:r>
      <w:r>
        <w:rPr>
          <w:spacing w:val="-9"/>
        </w:rPr>
        <w:t> </w:t>
      </w:r>
      <w:r>
        <w:rPr/>
        <w:t>altas</w:t>
      </w:r>
      <w:r>
        <w:rPr>
          <w:spacing w:val="-9"/>
        </w:rPr>
        <w:t> </w:t>
      </w:r>
      <w:r>
        <w:rPr/>
        <w:t>densidades</w:t>
      </w:r>
      <w:r>
        <w:rPr>
          <w:spacing w:val="-9"/>
        </w:rPr>
        <w:t> </w:t>
      </w:r>
      <w:r>
        <w:rPr/>
        <w:t>celulares</w:t>
      </w:r>
      <w:r>
        <w:rPr>
          <w:spacing w:val="-9"/>
        </w:rPr>
        <w:t> </w:t>
      </w:r>
      <w:r>
        <w:rPr/>
        <w:t>juagan</w:t>
      </w:r>
      <w:r>
        <w:rPr>
          <w:spacing w:val="-11"/>
        </w:rPr>
        <w:t> </w:t>
      </w:r>
      <w:r>
        <w:rPr/>
        <w:t>papeles</w:t>
      </w:r>
      <w:r>
        <w:rPr>
          <w:spacing w:val="-11"/>
        </w:rPr>
        <w:t> </w:t>
      </w:r>
      <w:r>
        <w:rPr/>
        <w:t>clave</w:t>
      </w:r>
      <w:r>
        <w:rPr>
          <w:spacing w:val="-9"/>
        </w:rPr>
        <w:t> </w:t>
      </w:r>
      <w:r>
        <w:rPr/>
        <w:t>en</w:t>
      </w:r>
      <w:r>
        <w:rPr>
          <w:spacing w:val="-9"/>
        </w:rPr>
        <w:t> </w:t>
      </w:r>
      <w:r>
        <w:rPr/>
        <w:t>la</w:t>
      </w:r>
      <w:r>
        <w:rPr>
          <w:spacing w:val="-9"/>
        </w:rPr>
        <w:t> </w:t>
      </w:r>
      <w:r>
        <w:rPr/>
        <w:t>transmisión</w:t>
      </w:r>
      <w:r>
        <w:rPr>
          <w:spacing w:val="-11"/>
        </w:rPr>
        <w:t> </w:t>
      </w:r>
      <w:r>
        <w:rPr/>
        <w:t>de</w:t>
      </w:r>
      <w:r>
        <w:rPr>
          <w:spacing w:val="-9"/>
        </w:rPr>
        <w:t> </w:t>
      </w:r>
      <w:r>
        <w:rPr/>
        <w:t>resistencia a antibióticos entre benéficos/comensales y bacterias patógenas debido a que comunidades complejas de bacterias componen la microbiota natural del queso, además</w:t>
      </w:r>
      <w:r>
        <w:rPr>
          <w:spacing w:val="-10"/>
        </w:rPr>
        <w:t> </w:t>
      </w:r>
      <w:r>
        <w:rPr/>
        <w:t>de</w:t>
      </w:r>
      <w:r>
        <w:rPr>
          <w:spacing w:val="-9"/>
        </w:rPr>
        <w:t> </w:t>
      </w:r>
      <w:r>
        <w:rPr/>
        <w:t>una</w:t>
      </w:r>
      <w:r>
        <w:rPr>
          <w:spacing w:val="-9"/>
        </w:rPr>
        <w:t> </w:t>
      </w:r>
      <w:r>
        <w:rPr/>
        <w:t>serie</w:t>
      </w:r>
      <w:r>
        <w:rPr>
          <w:spacing w:val="-9"/>
        </w:rPr>
        <w:t> </w:t>
      </w:r>
      <w:r>
        <w:rPr/>
        <w:t>de</w:t>
      </w:r>
      <w:r>
        <w:rPr>
          <w:spacing w:val="-9"/>
        </w:rPr>
        <w:t> </w:t>
      </w:r>
      <w:r>
        <w:rPr/>
        <w:t>microorganismos</w:t>
      </w:r>
      <w:r>
        <w:rPr>
          <w:spacing w:val="-10"/>
        </w:rPr>
        <w:t> </w:t>
      </w:r>
      <w:r>
        <w:rPr/>
        <w:t>ambientales</w:t>
      </w:r>
      <w:r>
        <w:rPr>
          <w:spacing w:val="-7"/>
        </w:rPr>
        <w:t> </w:t>
      </w:r>
      <w:r>
        <w:rPr/>
        <w:t>se</w:t>
      </w:r>
      <w:r>
        <w:rPr>
          <w:spacing w:val="-7"/>
        </w:rPr>
        <w:t> </w:t>
      </w:r>
      <w:r>
        <w:rPr/>
        <w:t>desarrollan</w:t>
      </w:r>
      <w:r>
        <w:rPr>
          <w:spacing w:val="-7"/>
        </w:rPr>
        <w:t> </w:t>
      </w:r>
      <w:r>
        <w:rPr/>
        <w:t>y</w:t>
      </w:r>
      <w:r>
        <w:rPr>
          <w:spacing w:val="-10"/>
        </w:rPr>
        <w:t> </w:t>
      </w:r>
      <w:r>
        <w:rPr/>
        <w:t>cambian</w:t>
      </w:r>
      <w:r>
        <w:rPr>
          <w:spacing w:val="-9"/>
        </w:rPr>
        <w:t> </w:t>
      </w:r>
      <w:r>
        <w:rPr/>
        <w:t>en alimentos fermentados a través del tiempo particularmente en aquellos quesos a partir de leche cruda que no tienen un cultivo iniciador y los quesos hechos con leche</w:t>
      </w:r>
      <w:r>
        <w:rPr>
          <w:spacing w:val="-14"/>
        </w:rPr>
        <w:t> </w:t>
      </w:r>
      <w:r>
        <w:rPr/>
        <w:t>cruda</w:t>
      </w:r>
      <w:r>
        <w:rPr>
          <w:spacing w:val="-16"/>
        </w:rPr>
        <w:t> </w:t>
      </w:r>
      <w:r>
        <w:rPr/>
        <w:t>han</w:t>
      </w:r>
      <w:r>
        <w:rPr>
          <w:spacing w:val="-16"/>
        </w:rPr>
        <w:t> </w:t>
      </w:r>
      <w:r>
        <w:rPr/>
        <w:t>sido</w:t>
      </w:r>
      <w:r>
        <w:rPr>
          <w:spacing w:val="-16"/>
        </w:rPr>
        <w:t> </w:t>
      </w:r>
      <w:r>
        <w:rPr/>
        <w:t>reportados</w:t>
      </w:r>
      <w:r>
        <w:rPr>
          <w:spacing w:val="-15"/>
        </w:rPr>
        <w:t> </w:t>
      </w:r>
      <w:r>
        <w:rPr/>
        <w:t>con</w:t>
      </w:r>
      <w:r>
        <w:rPr>
          <w:spacing w:val="-16"/>
        </w:rPr>
        <w:t> </w:t>
      </w:r>
      <w:r>
        <w:rPr/>
        <w:t>altas</w:t>
      </w:r>
      <w:r>
        <w:rPr>
          <w:spacing w:val="-17"/>
        </w:rPr>
        <w:t> </w:t>
      </w:r>
      <w:r>
        <w:rPr/>
        <w:t>cargas</w:t>
      </w:r>
      <w:r>
        <w:rPr>
          <w:spacing w:val="-15"/>
        </w:rPr>
        <w:t> </w:t>
      </w:r>
      <w:r>
        <w:rPr/>
        <w:t>de</w:t>
      </w:r>
      <w:r>
        <w:rPr>
          <w:spacing w:val="-16"/>
        </w:rPr>
        <w:t> </w:t>
      </w:r>
      <w:r>
        <w:rPr/>
        <w:t>genes</w:t>
      </w:r>
      <w:r>
        <w:rPr>
          <w:spacing w:val="-17"/>
        </w:rPr>
        <w:t> </w:t>
      </w:r>
      <w:r>
        <w:rPr/>
        <w:t>resistentes</w:t>
      </w:r>
      <w:r>
        <w:rPr>
          <w:spacing w:val="-15"/>
        </w:rPr>
        <w:t> </w:t>
      </w:r>
      <w:r>
        <w:rPr/>
        <w:t>a</w:t>
      </w:r>
      <w:r>
        <w:rPr>
          <w:spacing w:val="-16"/>
        </w:rPr>
        <w:t> </w:t>
      </w:r>
      <w:r>
        <w:rPr/>
        <w:t>antibióticos (Flórez y Mayo,</w:t>
      </w:r>
      <w:r>
        <w:rPr>
          <w:spacing w:val="-8"/>
        </w:rPr>
        <w:t> </w:t>
      </w:r>
      <w:r>
        <w:rPr/>
        <w:t>2015).</w:t>
      </w:r>
    </w:p>
    <w:p>
      <w:pPr>
        <w:spacing w:after="0" w:line="276" w:lineRule="auto"/>
        <w:jc w:val="both"/>
        <w:sectPr>
          <w:pgSz w:w="12240" w:h="15840"/>
          <w:pgMar w:header="728" w:footer="710" w:top="1200" w:bottom="900" w:left="1560" w:right="1560"/>
        </w:sectPr>
      </w:pPr>
    </w:p>
    <w:p>
      <w:pPr>
        <w:pStyle w:val="BodyText"/>
        <w:spacing w:before="9"/>
        <w:rPr>
          <w:sz w:val="12"/>
        </w:rPr>
      </w:pPr>
    </w:p>
    <w:p>
      <w:pPr>
        <w:pStyle w:val="Heading2"/>
        <w:numPr>
          <w:ilvl w:val="0"/>
          <w:numId w:val="4"/>
        </w:numPr>
        <w:tabs>
          <w:tab w:pos="411" w:val="left" w:leader="none"/>
        </w:tabs>
        <w:spacing w:line="240" w:lineRule="auto" w:before="70" w:after="0"/>
        <w:ind w:left="410" w:right="0" w:hanging="268"/>
        <w:jc w:val="both"/>
      </w:pPr>
      <w:bookmarkStart w:name="_bookmark21" w:id="28"/>
      <w:bookmarkEnd w:id="28"/>
      <w:r>
        <w:rPr>
          <w:b w:val="0"/>
        </w:rPr>
      </w:r>
      <w:bookmarkStart w:name="_bookmark21" w:id="29"/>
      <w:bookmarkEnd w:id="29"/>
      <w:r>
        <w:rPr/>
        <w:t>QUE</w:t>
      </w:r>
      <w:r>
        <w:rPr/>
        <w:t>SO</w:t>
      </w:r>
      <w:r>
        <w:rPr>
          <w:spacing w:val="-4"/>
        </w:rPr>
        <w:t> </w:t>
      </w:r>
      <w:r>
        <w:rPr/>
        <w:t>FRESCO</w:t>
      </w:r>
    </w:p>
    <w:p>
      <w:pPr>
        <w:pStyle w:val="Heading2"/>
        <w:spacing w:before="67"/>
        <w:jc w:val="both"/>
      </w:pPr>
      <w:bookmarkStart w:name="_bookmark22" w:id="30"/>
      <w:bookmarkEnd w:id="30"/>
      <w:r>
        <w:rPr>
          <w:b w:val="0"/>
        </w:rPr>
      </w:r>
      <w:r>
        <w:rPr/>
        <w:t>Sistemas de producción lechera en México</w:t>
      </w:r>
    </w:p>
    <w:p>
      <w:pPr>
        <w:pStyle w:val="BodyText"/>
        <w:spacing w:line="276" w:lineRule="auto" w:before="26"/>
        <w:ind w:left="142" w:right="141"/>
        <w:jc w:val="both"/>
      </w:pPr>
      <w:r>
        <w:rPr/>
        <w:t>Según el SIAP (2007), en México existen cuatro sistemas productivos de leche: El especializado, el semiespecializado, el de doble propósito y el familiar (o de traspatio).</w:t>
      </w:r>
    </w:p>
    <w:p>
      <w:pPr>
        <w:pStyle w:val="BodyText"/>
        <w:spacing w:line="276" w:lineRule="auto" w:before="120"/>
        <w:ind w:left="142" w:right="137"/>
        <w:jc w:val="both"/>
      </w:pPr>
      <w:r>
        <w:rPr/>
        <w:t>Especializado: Cuenta con ganado de la raza Holstein y en menor medida Jersey</w:t>
      </w:r>
      <w:r>
        <w:rPr>
          <w:spacing w:val="-29"/>
        </w:rPr>
        <w:t> </w:t>
      </w:r>
      <w:r>
        <w:rPr/>
        <w:t>y Pardo Suizo Americano, posee tecnología altamente especializada para la producción láctea; el sistema de manejo del ganado es predominantemente estabulado, la dieta del ganado se basa en forrajes de corte y alimentos balanceados, la ordeña está mecanizada y los volúmenes producidos se destinan principalmente a las plantas pasteurizadoras y</w:t>
      </w:r>
      <w:r>
        <w:rPr>
          <w:spacing w:val="-26"/>
        </w:rPr>
        <w:t> </w:t>
      </w:r>
      <w:r>
        <w:rPr/>
        <w:t>transformadoras.</w:t>
      </w:r>
    </w:p>
    <w:p>
      <w:pPr>
        <w:pStyle w:val="BodyText"/>
        <w:spacing w:line="276" w:lineRule="auto" w:before="123"/>
        <w:ind w:left="142" w:right="138"/>
        <w:jc w:val="both"/>
      </w:pPr>
      <w:r>
        <w:rPr/>
        <w:t>Semiespecializado:</w:t>
      </w:r>
      <w:r>
        <w:rPr>
          <w:spacing w:val="-12"/>
        </w:rPr>
        <w:t> </w:t>
      </w:r>
      <w:r>
        <w:rPr/>
        <w:t>En</w:t>
      </w:r>
      <w:r>
        <w:rPr>
          <w:spacing w:val="-12"/>
        </w:rPr>
        <w:t> </w:t>
      </w:r>
      <w:r>
        <w:rPr/>
        <w:t>la</w:t>
      </w:r>
      <w:r>
        <w:rPr>
          <w:spacing w:val="-10"/>
        </w:rPr>
        <w:t> </w:t>
      </w:r>
      <w:r>
        <w:rPr/>
        <w:t>base</w:t>
      </w:r>
      <w:r>
        <w:rPr>
          <w:spacing w:val="-9"/>
        </w:rPr>
        <w:t> </w:t>
      </w:r>
      <w:r>
        <w:rPr/>
        <w:t>genética</w:t>
      </w:r>
      <w:r>
        <w:rPr>
          <w:spacing w:val="-12"/>
        </w:rPr>
        <w:t> </w:t>
      </w:r>
      <w:r>
        <w:rPr/>
        <w:t>de</w:t>
      </w:r>
      <w:r>
        <w:rPr>
          <w:spacing w:val="-9"/>
        </w:rPr>
        <w:t> </w:t>
      </w:r>
      <w:r>
        <w:rPr/>
        <w:t>este</w:t>
      </w:r>
      <w:r>
        <w:rPr>
          <w:spacing w:val="-9"/>
        </w:rPr>
        <w:t> </w:t>
      </w:r>
      <w:r>
        <w:rPr/>
        <w:t>sistema</w:t>
      </w:r>
      <w:r>
        <w:rPr>
          <w:spacing w:val="-9"/>
        </w:rPr>
        <w:t> </w:t>
      </w:r>
      <w:r>
        <w:rPr/>
        <w:t>predomina</w:t>
      </w:r>
      <w:r>
        <w:rPr>
          <w:spacing w:val="-11"/>
        </w:rPr>
        <w:t> </w:t>
      </w:r>
      <w:r>
        <w:rPr/>
        <w:t>la</w:t>
      </w:r>
      <w:r>
        <w:rPr>
          <w:spacing w:val="-10"/>
        </w:rPr>
        <w:t> </w:t>
      </w:r>
      <w:r>
        <w:rPr/>
        <w:t>raza</w:t>
      </w:r>
      <w:r>
        <w:rPr>
          <w:spacing w:val="-9"/>
        </w:rPr>
        <w:t> </w:t>
      </w:r>
      <w:r>
        <w:rPr/>
        <w:t>Holstein y Pardo Suizo, sin llegar a los niveles de producción y lactancia del sistema especializado. El ganado se mantiene en condiciones de semiestabulación, se desarrolla en pequeñas extensiones de terreno. Las instalaciones están acondicionadas o adaptadas para la explotación del ganado. La ordeña se realiza en forma manual, con ordeñadoras individuales o de pocas unidades. En su mayor parte carece de equipo propio para el enfriamiento y conservación de la leche, por lo que se considera un nivel medio de incorporación tecnológica en infraestructura y equipo. Existe cierto tipo de control productivo y programas en reproducción que incluye inseminación</w:t>
      </w:r>
      <w:r>
        <w:rPr>
          <w:spacing w:val="-8"/>
        </w:rPr>
        <w:t> </w:t>
      </w:r>
      <w:r>
        <w:rPr/>
        <w:t>artificial.</w:t>
      </w:r>
    </w:p>
    <w:p>
      <w:pPr>
        <w:pStyle w:val="BodyText"/>
        <w:spacing w:line="276" w:lineRule="auto" w:before="120"/>
        <w:ind w:left="142" w:right="142"/>
        <w:jc w:val="both"/>
      </w:pPr>
      <w:r>
        <w:rPr/>
        <w:t>Doble propósito: Utiliza razas Cebuinas y sus cruzas, se caracteriza porque el ganado es para producción de carne y leche. El manejo de los animales se</w:t>
      </w:r>
      <w:r>
        <w:rPr>
          <w:spacing w:val="-38"/>
        </w:rPr>
        <w:t> </w:t>
      </w:r>
      <w:r>
        <w:rPr/>
        <w:t>efectúa en forma extensiva y su alimentación </w:t>
      </w:r>
      <w:r>
        <w:rPr>
          <w:spacing w:val="2"/>
        </w:rPr>
        <w:t>se </w:t>
      </w:r>
      <w:r>
        <w:rPr/>
        <w:t>basa en el pastoreo con un mínimo de suplementación alimenticia y ocasionalmente con el empleo de subproductos agrícolas. Cuenta con instalaciones adaptadas y la ordeña se realiza en forma manual.</w:t>
      </w:r>
    </w:p>
    <w:p>
      <w:pPr>
        <w:pStyle w:val="BodyText"/>
        <w:spacing w:line="276" w:lineRule="auto" w:before="120"/>
        <w:ind w:left="142" w:right="135"/>
        <w:jc w:val="both"/>
      </w:pPr>
      <w:r>
        <w:rPr/>
        <w:t>Familiar (o de Traspatio): Este sistema representa la tradición ganadera de</w:t>
      </w:r>
      <w:r>
        <w:rPr>
          <w:spacing w:val="-30"/>
        </w:rPr>
        <w:t> </w:t>
      </w:r>
      <w:r>
        <w:rPr/>
        <w:t>nuestro país.</w:t>
      </w:r>
      <w:r>
        <w:rPr>
          <w:spacing w:val="-14"/>
        </w:rPr>
        <w:t> </w:t>
      </w:r>
      <w:r>
        <w:rPr/>
        <w:t>La</w:t>
      </w:r>
      <w:r>
        <w:rPr>
          <w:spacing w:val="-17"/>
        </w:rPr>
        <w:t> </w:t>
      </w:r>
      <w:r>
        <w:rPr/>
        <w:t>explotación</w:t>
      </w:r>
      <w:r>
        <w:rPr>
          <w:spacing w:val="-16"/>
        </w:rPr>
        <w:t> </w:t>
      </w:r>
      <w:r>
        <w:rPr/>
        <w:t>del</w:t>
      </w:r>
      <w:r>
        <w:rPr>
          <w:spacing w:val="-15"/>
        </w:rPr>
        <w:t> </w:t>
      </w:r>
      <w:r>
        <w:rPr/>
        <w:t>ganado</w:t>
      </w:r>
      <w:r>
        <w:rPr>
          <w:spacing w:val="-14"/>
        </w:rPr>
        <w:t> </w:t>
      </w:r>
      <w:r>
        <w:rPr/>
        <w:t>se</w:t>
      </w:r>
      <w:r>
        <w:rPr>
          <w:spacing w:val="-14"/>
        </w:rPr>
        <w:t> </w:t>
      </w:r>
      <w:r>
        <w:rPr/>
        <w:t>limita</w:t>
      </w:r>
      <w:r>
        <w:rPr>
          <w:spacing w:val="-14"/>
        </w:rPr>
        <w:t> </w:t>
      </w:r>
      <w:r>
        <w:rPr/>
        <w:t>a</w:t>
      </w:r>
      <w:r>
        <w:rPr>
          <w:spacing w:val="-17"/>
        </w:rPr>
        <w:t> </w:t>
      </w:r>
      <w:r>
        <w:rPr/>
        <w:t>áreas</w:t>
      </w:r>
      <w:r>
        <w:rPr>
          <w:spacing w:val="-15"/>
        </w:rPr>
        <w:t> </w:t>
      </w:r>
      <w:r>
        <w:rPr/>
        <w:t>pequeñas,</w:t>
      </w:r>
      <w:r>
        <w:rPr>
          <w:spacing w:val="-17"/>
        </w:rPr>
        <w:t> </w:t>
      </w:r>
      <w:r>
        <w:rPr/>
        <w:t>cuando</w:t>
      </w:r>
      <w:r>
        <w:rPr>
          <w:spacing w:val="-16"/>
        </w:rPr>
        <w:t> </w:t>
      </w:r>
      <w:r>
        <w:rPr/>
        <w:t>se</w:t>
      </w:r>
      <w:r>
        <w:rPr>
          <w:spacing w:val="-14"/>
        </w:rPr>
        <w:t> </w:t>
      </w:r>
      <w:r>
        <w:rPr/>
        <w:t>ubican</w:t>
      </w:r>
      <w:r>
        <w:rPr>
          <w:spacing w:val="-14"/>
        </w:rPr>
        <w:t> </w:t>
      </w:r>
      <w:r>
        <w:rPr/>
        <w:t>cerca de las viviendas se les denomina de "traspatio". Los animales son</w:t>
      </w:r>
      <w:r>
        <w:rPr>
          <w:spacing w:val="-37"/>
        </w:rPr>
        <w:t> </w:t>
      </w:r>
      <w:r>
        <w:rPr/>
        <w:t>preferentemente de</w:t>
      </w:r>
      <w:r>
        <w:rPr>
          <w:spacing w:val="-6"/>
        </w:rPr>
        <w:t> </w:t>
      </w:r>
      <w:r>
        <w:rPr/>
        <w:t>las</w:t>
      </w:r>
      <w:r>
        <w:rPr>
          <w:spacing w:val="-9"/>
        </w:rPr>
        <w:t> </w:t>
      </w:r>
      <w:r>
        <w:rPr/>
        <w:t>razas</w:t>
      </w:r>
      <w:r>
        <w:rPr>
          <w:spacing w:val="-7"/>
        </w:rPr>
        <w:t> </w:t>
      </w:r>
      <w:r>
        <w:rPr/>
        <w:t>Holstein</w:t>
      </w:r>
      <w:r>
        <w:rPr>
          <w:spacing w:val="-9"/>
        </w:rPr>
        <w:t> </w:t>
      </w:r>
      <w:r>
        <w:rPr/>
        <w:t>y</w:t>
      </w:r>
      <w:r>
        <w:rPr>
          <w:spacing w:val="-9"/>
        </w:rPr>
        <w:t> </w:t>
      </w:r>
      <w:r>
        <w:rPr/>
        <w:t>en</w:t>
      </w:r>
      <w:r>
        <w:rPr>
          <w:spacing w:val="-8"/>
        </w:rPr>
        <w:t> </w:t>
      </w:r>
      <w:r>
        <w:rPr/>
        <w:t>menor</w:t>
      </w:r>
      <w:r>
        <w:rPr>
          <w:spacing w:val="-7"/>
        </w:rPr>
        <w:t> </w:t>
      </w:r>
      <w:r>
        <w:rPr/>
        <w:t>proporción</w:t>
      </w:r>
      <w:r>
        <w:rPr>
          <w:spacing w:val="-6"/>
        </w:rPr>
        <w:t> </w:t>
      </w:r>
      <w:r>
        <w:rPr/>
        <w:t>Suizo</w:t>
      </w:r>
      <w:r>
        <w:rPr>
          <w:spacing w:val="-6"/>
        </w:rPr>
        <w:t> </w:t>
      </w:r>
      <w:r>
        <w:rPr/>
        <w:t>Americano</w:t>
      </w:r>
      <w:r>
        <w:rPr>
          <w:spacing w:val="-6"/>
        </w:rPr>
        <w:t> </w:t>
      </w:r>
      <w:r>
        <w:rPr/>
        <w:t>y</w:t>
      </w:r>
      <w:r>
        <w:rPr>
          <w:spacing w:val="-9"/>
        </w:rPr>
        <w:t> </w:t>
      </w:r>
      <w:r>
        <w:rPr/>
        <w:t>cruzas;</w:t>
      </w:r>
      <w:r>
        <w:rPr>
          <w:spacing w:val="-6"/>
        </w:rPr>
        <w:t> </w:t>
      </w:r>
      <w:r>
        <w:rPr/>
        <w:t>se</w:t>
      </w:r>
      <w:r>
        <w:rPr>
          <w:spacing w:val="-8"/>
        </w:rPr>
        <w:t> </w:t>
      </w:r>
      <w:r>
        <w:rPr/>
        <w:t>le</w:t>
      </w:r>
      <w:r>
        <w:rPr>
          <w:spacing w:val="-9"/>
        </w:rPr>
        <w:t> </w:t>
      </w:r>
      <w:r>
        <w:rPr/>
        <w:t>puede encontrar estabulado o semiestabulado; la alimentación se basa en el pastoreo o en</w:t>
      </w:r>
      <w:r>
        <w:rPr>
          <w:spacing w:val="-6"/>
        </w:rPr>
        <w:t> </w:t>
      </w:r>
      <w:r>
        <w:rPr/>
        <w:t>el</w:t>
      </w:r>
      <w:r>
        <w:rPr>
          <w:spacing w:val="-5"/>
        </w:rPr>
        <w:t> </w:t>
      </w:r>
      <w:r>
        <w:rPr/>
        <w:t>suministro</w:t>
      </w:r>
      <w:r>
        <w:rPr>
          <w:spacing w:val="-7"/>
        </w:rPr>
        <w:t> </w:t>
      </w:r>
      <w:r>
        <w:rPr/>
        <w:t>de</w:t>
      </w:r>
      <w:r>
        <w:rPr>
          <w:spacing w:val="-8"/>
        </w:rPr>
        <w:t> </w:t>
      </w:r>
      <w:r>
        <w:rPr/>
        <w:t>forrajes</w:t>
      </w:r>
      <w:r>
        <w:rPr>
          <w:spacing w:val="-4"/>
        </w:rPr>
        <w:t> </w:t>
      </w:r>
      <w:r>
        <w:rPr/>
        <w:t>y</w:t>
      </w:r>
      <w:r>
        <w:rPr>
          <w:spacing w:val="-7"/>
        </w:rPr>
        <w:t> </w:t>
      </w:r>
      <w:r>
        <w:rPr/>
        <w:t>esquilmos</w:t>
      </w:r>
      <w:r>
        <w:rPr>
          <w:spacing w:val="-7"/>
        </w:rPr>
        <w:t> </w:t>
      </w:r>
      <w:r>
        <w:rPr/>
        <w:t>provenientes</w:t>
      </w:r>
      <w:r>
        <w:rPr>
          <w:spacing w:val="-7"/>
        </w:rPr>
        <w:t> </w:t>
      </w:r>
      <w:r>
        <w:rPr/>
        <w:t>de</w:t>
      </w:r>
      <w:r>
        <w:rPr>
          <w:spacing w:val="-6"/>
        </w:rPr>
        <w:t> </w:t>
      </w:r>
      <w:r>
        <w:rPr/>
        <w:t>los</w:t>
      </w:r>
      <w:r>
        <w:rPr>
          <w:spacing w:val="-6"/>
        </w:rPr>
        <w:t> </w:t>
      </w:r>
      <w:r>
        <w:rPr/>
        <w:t>cultivos</w:t>
      </w:r>
      <w:r>
        <w:rPr>
          <w:spacing w:val="-7"/>
        </w:rPr>
        <w:t> </w:t>
      </w:r>
      <w:r>
        <w:rPr/>
        <w:t>que</w:t>
      </w:r>
      <w:r>
        <w:rPr>
          <w:spacing w:val="-4"/>
        </w:rPr>
        <w:t> </w:t>
      </w:r>
      <w:r>
        <w:rPr/>
        <w:t>produce</w:t>
      </w:r>
      <w:r>
        <w:rPr>
          <w:spacing w:val="-8"/>
        </w:rPr>
        <w:t> </w:t>
      </w:r>
      <w:r>
        <w:rPr/>
        <w:t>el mismo productor. La producción de leche se considera de buena calidad (SIAP, 2007). Gran parte de los productores no cuentan con equipo de enfriamiento y presenta deficiencias de control sanitario en la producción, los productores no reciben</w:t>
      </w:r>
      <w:r>
        <w:rPr>
          <w:spacing w:val="-13"/>
        </w:rPr>
        <w:t> </w:t>
      </w:r>
      <w:r>
        <w:rPr/>
        <w:t>capacitación</w:t>
      </w:r>
      <w:r>
        <w:rPr>
          <w:spacing w:val="-13"/>
        </w:rPr>
        <w:t> </w:t>
      </w:r>
      <w:r>
        <w:rPr/>
        <w:t>y</w:t>
      </w:r>
      <w:r>
        <w:rPr>
          <w:spacing w:val="-16"/>
        </w:rPr>
        <w:t> </w:t>
      </w:r>
      <w:r>
        <w:rPr/>
        <w:t>tienen</w:t>
      </w:r>
      <w:r>
        <w:rPr>
          <w:spacing w:val="-13"/>
        </w:rPr>
        <w:t> </w:t>
      </w:r>
      <w:r>
        <w:rPr/>
        <w:t>acceso</w:t>
      </w:r>
      <w:r>
        <w:rPr>
          <w:spacing w:val="-13"/>
        </w:rPr>
        <w:t> </w:t>
      </w:r>
      <w:r>
        <w:rPr/>
        <w:t>limitado</w:t>
      </w:r>
      <w:r>
        <w:rPr>
          <w:spacing w:val="-16"/>
        </w:rPr>
        <w:t> </w:t>
      </w:r>
      <w:r>
        <w:rPr/>
        <w:t>al</w:t>
      </w:r>
      <w:r>
        <w:rPr>
          <w:spacing w:val="-14"/>
        </w:rPr>
        <w:t> </w:t>
      </w:r>
      <w:r>
        <w:rPr/>
        <w:t>crédito</w:t>
      </w:r>
      <w:r>
        <w:rPr>
          <w:spacing w:val="-13"/>
        </w:rPr>
        <w:t> </w:t>
      </w:r>
      <w:r>
        <w:rPr/>
        <w:t>y</w:t>
      </w:r>
      <w:r>
        <w:rPr>
          <w:spacing w:val="-16"/>
        </w:rPr>
        <w:t> </w:t>
      </w:r>
      <w:r>
        <w:rPr/>
        <w:t>la</w:t>
      </w:r>
      <w:r>
        <w:rPr>
          <w:spacing w:val="-13"/>
        </w:rPr>
        <w:t> </w:t>
      </w:r>
      <w:r>
        <w:rPr/>
        <w:t>tecnología.</w:t>
      </w:r>
      <w:r>
        <w:rPr>
          <w:spacing w:val="-13"/>
        </w:rPr>
        <w:t> </w:t>
      </w:r>
      <w:r>
        <w:rPr/>
        <w:t>Este</w:t>
      </w:r>
      <w:r>
        <w:rPr>
          <w:spacing w:val="-13"/>
        </w:rPr>
        <w:t> </w:t>
      </w:r>
      <w:r>
        <w:rPr/>
        <w:t>sistema de producción requiere de una fuerte reconversión en las formas de producir  </w:t>
      </w:r>
      <w:r>
        <w:rPr>
          <w:spacing w:val="54"/>
        </w:rPr>
        <w:t> </w:t>
      </w:r>
      <w:r>
        <w:rPr/>
        <w:t>que</w:t>
      </w:r>
    </w:p>
    <w:p>
      <w:pPr>
        <w:spacing w:after="0" w:line="276" w:lineRule="auto"/>
        <w:jc w:val="both"/>
        <w:sectPr>
          <w:pgSz w:w="12240" w:h="15840"/>
          <w:pgMar w:header="728" w:footer="710" w:top="1200" w:bottom="900" w:left="1560" w:right="1560"/>
        </w:sectPr>
      </w:pPr>
    </w:p>
    <w:p>
      <w:pPr>
        <w:pStyle w:val="BodyText"/>
        <w:spacing w:before="9"/>
        <w:rPr>
          <w:sz w:val="12"/>
        </w:rPr>
      </w:pPr>
    </w:p>
    <w:p>
      <w:pPr>
        <w:pStyle w:val="BodyText"/>
        <w:spacing w:line="276" w:lineRule="auto" w:before="70"/>
        <w:ind w:left="142" w:right="146"/>
        <w:jc w:val="both"/>
      </w:pPr>
      <w:r>
        <w:rPr/>
        <w:t>atañen a la calidad y a la productividad no solo de leche, sino también de sus derivados (Villegas, 2004).</w:t>
      </w:r>
    </w:p>
    <w:p>
      <w:pPr>
        <w:pStyle w:val="Heading2"/>
        <w:spacing w:before="120"/>
        <w:jc w:val="both"/>
      </w:pPr>
      <w:bookmarkStart w:name="_bookmark23" w:id="31"/>
      <w:bookmarkEnd w:id="31"/>
      <w:r>
        <w:rPr>
          <w:b w:val="0"/>
        </w:rPr>
      </w:r>
      <w:r>
        <w:rPr/>
        <w:t>Queso</w:t>
      </w:r>
    </w:p>
    <w:p>
      <w:pPr>
        <w:pStyle w:val="BodyText"/>
        <w:spacing w:line="276" w:lineRule="auto" w:before="29"/>
        <w:ind w:left="142" w:right="136"/>
        <w:jc w:val="both"/>
      </w:pPr>
      <w:r>
        <w:rPr/>
        <w:t>Según la NOM-243-SSA1-2010, queso “es el producto elaborado de la cuajada de leche</w:t>
      </w:r>
      <w:r>
        <w:rPr>
          <w:spacing w:val="-12"/>
        </w:rPr>
        <w:t> </w:t>
      </w:r>
      <w:r>
        <w:rPr/>
        <w:t>estandarizada</w:t>
      </w:r>
      <w:r>
        <w:rPr>
          <w:spacing w:val="-12"/>
        </w:rPr>
        <w:t> </w:t>
      </w:r>
      <w:r>
        <w:rPr/>
        <w:t>y</w:t>
      </w:r>
      <w:r>
        <w:rPr>
          <w:spacing w:val="-13"/>
        </w:rPr>
        <w:t> </w:t>
      </w:r>
      <w:r>
        <w:rPr/>
        <w:t>pasteurizada</w:t>
      </w:r>
      <w:r>
        <w:rPr>
          <w:spacing w:val="-12"/>
        </w:rPr>
        <w:t> </w:t>
      </w:r>
      <w:r>
        <w:rPr/>
        <w:t>de</w:t>
      </w:r>
      <w:r>
        <w:rPr>
          <w:spacing w:val="-12"/>
        </w:rPr>
        <w:t> </w:t>
      </w:r>
      <w:r>
        <w:rPr/>
        <w:t>vaca</w:t>
      </w:r>
      <w:r>
        <w:rPr>
          <w:spacing w:val="-12"/>
        </w:rPr>
        <w:t> </w:t>
      </w:r>
      <w:r>
        <w:rPr/>
        <w:t>o</w:t>
      </w:r>
      <w:r>
        <w:rPr>
          <w:spacing w:val="-14"/>
        </w:rPr>
        <w:t> </w:t>
      </w:r>
      <w:r>
        <w:rPr/>
        <w:t>de</w:t>
      </w:r>
      <w:r>
        <w:rPr>
          <w:spacing w:val="-12"/>
        </w:rPr>
        <w:t> </w:t>
      </w:r>
      <w:r>
        <w:rPr/>
        <w:t>otras</w:t>
      </w:r>
      <w:r>
        <w:rPr>
          <w:spacing w:val="-13"/>
        </w:rPr>
        <w:t> </w:t>
      </w:r>
      <w:r>
        <w:rPr/>
        <w:t>especies</w:t>
      </w:r>
      <w:r>
        <w:rPr>
          <w:spacing w:val="-14"/>
        </w:rPr>
        <w:t> </w:t>
      </w:r>
      <w:r>
        <w:rPr/>
        <w:t>animales,</w:t>
      </w:r>
      <w:r>
        <w:rPr>
          <w:spacing w:val="-12"/>
        </w:rPr>
        <w:t> </w:t>
      </w:r>
      <w:r>
        <w:rPr/>
        <w:t>con</w:t>
      </w:r>
      <w:r>
        <w:rPr>
          <w:spacing w:val="-12"/>
        </w:rPr>
        <w:t> </w:t>
      </w:r>
      <w:r>
        <w:rPr/>
        <w:t>o</w:t>
      </w:r>
      <w:r>
        <w:rPr>
          <w:spacing w:val="-12"/>
        </w:rPr>
        <w:t> </w:t>
      </w:r>
      <w:r>
        <w:rPr/>
        <w:t>sin adición de crema, obtenida de la coagulación de la caseína con cuajo, gérmenes lácticos, enzimas apropiadas, ácidos orgánicos comestibles y con o sin tratamiento ulterior, por calentamiento, drenada, prensada o no, con o sin adición de</w:t>
      </w:r>
      <w:r>
        <w:rPr>
          <w:spacing w:val="-37"/>
        </w:rPr>
        <w:t> </w:t>
      </w:r>
      <w:r>
        <w:rPr/>
        <w:t>fermentos de maduración, mohos especiales, sales fundentes e ingredientes comestibles opcionales,</w:t>
      </w:r>
      <w:r>
        <w:rPr>
          <w:spacing w:val="-13"/>
        </w:rPr>
        <w:t> </w:t>
      </w:r>
      <w:r>
        <w:rPr/>
        <w:t>dando</w:t>
      </w:r>
      <w:r>
        <w:rPr>
          <w:spacing w:val="-13"/>
        </w:rPr>
        <w:t> </w:t>
      </w:r>
      <w:r>
        <w:rPr/>
        <w:t>lugar</w:t>
      </w:r>
      <w:r>
        <w:rPr>
          <w:spacing w:val="-12"/>
        </w:rPr>
        <w:t> </w:t>
      </w:r>
      <w:r>
        <w:rPr/>
        <w:t>a</w:t>
      </w:r>
      <w:r>
        <w:rPr>
          <w:spacing w:val="-11"/>
        </w:rPr>
        <w:t> </w:t>
      </w:r>
      <w:r>
        <w:rPr/>
        <w:t>las</w:t>
      </w:r>
      <w:r>
        <w:rPr>
          <w:spacing w:val="-13"/>
        </w:rPr>
        <w:t> </w:t>
      </w:r>
      <w:r>
        <w:rPr/>
        <w:t>diferentes</w:t>
      </w:r>
      <w:r>
        <w:rPr>
          <w:spacing w:val="-12"/>
        </w:rPr>
        <w:t> </w:t>
      </w:r>
      <w:r>
        <w:rPr/>
        <w:t>variedades</w:t>
      </w:r>
      <w:r>
        <w:rPr>
          <w:spacing w:val="-14"/>
        </w:rPr>
        <w:t> </w:t>
      </w:r>
      <w:r>
        <w:rPr/>
        <w:t>de</w:t>
      </w:r>
      <w:r>
        <w:rPr>
          <w:spacing w:val="-13"/>
        </w:rPr>
        <w:t> </w:t>
      </w:r>
      <w:r>
        <w:rPr/>
        <w:t>quesos</w:t>
      </w:r>
      <w:r>
        <w:rPr>
          <w:spacing w:val="-12"/>
        </w:rPr>
        <w:t> </w:t>
      </w:r>
      <w:r>
        <w:rPr/>
        <w:t>y</w:t>
      </w:r>
      <w:r>
        <w:rPr>
          <w:spacing w:val="-14"/>
        </w:rPr>
        <w:t> </w:t>
      </w:r>
      <w:r>
        <w:rPr/>
        <w:t>que</w:t>
      </w:r>
      <w:r>
        <w:rPr>
          <w:spacing w:val="-13"/>
        </w:rPr>
        <w:t> </w:t>
      </w:r>
      <w:r>
        <w:rPr/>
        <w:t>por</w:t>
      </w:r>
      <w:r>
        <w:rPr>
          <w:spacing w:val="-12"/>
        </w:rPr>
        <w:t> </w:t>
      </w:r>
      <w:r>
        <w:rPr/>
        <w:t>su</w:t>
      </w:r>
      <w:r>
        <w:rPr>
          <w:spacing w:val="-13"/>
        </w:rPr>
        <w:t> </w:t>
      </w:r>
      <w:r>
        <w:rPr/>
        <w:t>proceso pueden ser: fresco, madurado o procesado y quesos de</w:t>
      </w:r>
      <w:r>
        <w:rPr>
          <w:spacing w:val="-25"/>
        </w:rPr>
        <w:t> </w:t>
      </w:r>
      <w:r>
        <w:rPr/>
        <w:t>suero”.</w:t>
      </w:r>
    </w:p>
    <w:p>
      <w:pPr>
        <w:pStyle w:val="BodyText"/>
        <w:spacing w:before="123"/>
        <w:ind w:left="142"/>
        <w:jc w:val="both"/>
      </w:pPr>
      <w:r>
        <w:rPr/>
        <w:t>Asimismo hace la clasificación de los quesos en 4 categorías:</w:t>
      </w:r>
    </w:p>
    <w:p>
      <w:pPr>
        <w:pStyle w:val="BodyText"/>
        <w:spacing w:line="276" w:lineRule="auto" w:before="161"/>
        <w:ind w:left="142" w:right="145"/>
        <w:jc w:val="both"/>
      </w:pPr>
      <w:r>
        <w:rPr/>
        <w:t>Queso fresco: Además de cumplir con la descripción general de queso se caracterizan por su alto contenido de humedad, y por no tener corteza o tener corteza muy fina, con o sin adición de aditivos e ingredientes opcionales.</w:t>
      </w:r>
    </w:p>
    <w:p>
      <w:pPr>
        <w:pStyle w:val="BodyText"/>
        <w:spacing w:line="276" w:lineRule="auto" w:before="123"/>
        <w:ind w:left="142" w:right="141"/>
        <w:jc w:val="both"/>
      </w:pPr>
      <w:r>
        <w:rPr/>
        <w:t>Quesos</w:t>
      </w:r>
      <w:r>
        <w:rPr>
          <w:spacing w:val="-15"/>
        </w:rPr>
        <w:t> </w:t>
      </w:r>
      <w:r>
        <w:rPr/>
        <w:t>madurados:</w:t>
      </w:r>
      <w:r>
        <w:rPr>
          <w:spacing w:val="-12"/>
        </w:rPr>
        <w:t> </w:t>
      </w:r>
      <w:r>
        <w:rPr/>
        <w:t>De</w:t>
      </w:r>
      <w:r>
        <w:rPr>
          <w:spacing w:val="-12"/>
        </w:rPr>
        <w:t> </w:t>
      </w:r>
      <w:r>
        <w:rPr/>
        <w:t>pasta</w:t>
      </w:r>
      <w:r>
        <w:rPr>
          <w:spacing w:val="-14"/>
        </w:rPr>
        <w:t> </w:t>
      </w:r>
      <w:r>
        <w:rPr/>
        <w:t>dura,</w:t>
      </w:r>
      <w:r>
        <w:rPr>
          <w:spacing w:val="-14"/>
        </w:rPr>
        <w:t> </w:t>
      </w:r>
      <w:r>
        <w:rPr/>
        <w:t>semidura</w:t>
      </w:r>
      <w:r>
        <w:rPr>
          <w:spacing w:val="-15"/>
        </w:rPr>
        <w:t> </w:t>
      </w:r>
      <w:r>
        <w:rPr/>
        <w:t>o</w:t>
      </w:r>
      <w:r>
        <w:rPr>
          <w:spacing w:val="-12"/>
        </w:rPr>
        <w:t> </w:t>
      </w:r>
      <w:r>
        <w:rPr/>
        <w:t>blanda</w:t>
      </w:r>
      <w:r>
        <w:rPr>
          <w:spacing w:val="-12"/>
        </w:rPr>
        <w:t> </w:t>
      </w:r>
      <w:r>
        <w:rPr/>
        <w:t>y</w:t>
      </w:r>
      <w:r>
        <w:rPr>
          <w:spacing w:val="-15"/>
        </w:rPr>
        <w:t> </w:t>
      </w:r>
      <w:r>
        <w:rPr/>
        <w:t>pueden</w:t>
      </w:r>
      <w:r>
        <w:rPr>
          <w:spacing w:val="-12"/>
        </w:rPr>
        <w:t> </w:t>
      </w:r>
      <w:r>
        <w:rPr/>
        <w:t>tener</w:t>
      </w:r>
      <w:r>
        <w:rPr>
          <w:spacing w:val="-13"/>
        </w:rPr>
        <w:t> </w:t>
      </w:r>
      <w:r>
        <w:rPr/>
        <w:t>o</w:t>
      </w:r>
      <w:r>
        <w:rPr>
          <w:spacing w:val="-12"/>
        </w:rPr>
        <w:t> </w:t>
      </w:r>
      <w:r>
        <w:rPr/>
        <w:t>no</w:t>
      </w:r>
      <w:r>
        <w:rPr>
          <w:spacing w:val="-12"/>
        </w:rPr>
        <w:t> </w:t>
      </w:r>
      <w:r>
        <w:rPr/>
        <w:t>corteza; son sometidos a un proceso de maduración mediante adición de microorganismos, bajo condiciones controladas de tiempo, temperatura y humedad, para provocar</w:t>
      </w:r>
      <w:r>
        <w:rPr>
          <w:spacing w:val="-39"/>
        </w:rPr>
        <w:t> </w:t>
      </w:r>
      <w:r>
        <w:rPr/>
        <w:t>en ellos cambios bioquímicos y físicos característicos del producto del que se trate, lo que le permite prolongar su vida de anaquel, los cuales pueden o no requerir condiciones de</w:t>
      </w:r>
      <w:r>
        <w:rPr>
          <w:spacing w:val="-9"/>
        </w:rPr>
        <w:t> </w:t>
      </w:r>
      <w:r>
        <w:rPr/>
        <w:t>refrigeración.</w:t>
      </w:r>
    </w:p>
    <w:p>
      <w:pPr>
        <w:pStyle w:val="BodyText"/>
        <w:spacing w:line="276" w:lineRule="auto" w:before="120"/>
        <w:ind w:left="142" w:right="142"/>
        <w:jc w:val="both"/>
      </w:pPr>
      <w:r>
        <w:rPr/>
        <w:t>Quesos procesados: Elaborados con mezclas de quesos, fusión y emulsión con sales fundentes, aditivos para alimentos permitidos e ingredientes opcionales, sometidos</w:t>
      </w:r>
      <w:r>
        <w:rPr>
          <w:spacing w:val="-15"/>
        </w:rPr>
        <w:t> </w:t>
      </w:r>
      <w:r>
        <w:rPr/>
        <w:t>a</w:t>
      </w:r>
      <w:r>
        <w:rPr>
          <w:spacing w:val="-12"/>
        </w:rPr>
        <w:t> </w:t>
      </w:r>
      <w:r>
        <w:rPr/>
        <w:t>proceso</w:t>
      </w:r>
      <w:r>
        <w:rPr>
          <w:spacing w:val="-14"/>
        </w:rPr>
        <w:t> </w:t>
      </w:r>
      <w:r>
        <w:rPr/>
        <w:t>térmico</w:t>
      </w:r>
      <w:r>
        <w:rPr>
          <w:spacing w:val="-12"/>
        </w:rPr>
        <w:t> </w:t>
      </w:r>
      <w:r>
        <w:rPr/>
        <w:t>de</w:t>
      </w:r>
      <w:r>
        <w:rPr>
          <w:spacing w:val="-12"/>
        </w:rPr>
        <w:t> </w:t>
      </w:r>
      <w:r>
        <w:rPr/>
        <w:t>70°C</w:t>
      </w:r>
      <w:r>
        <w:rPr>
          <w:spacing w:val="-13"/>
        </w:rPr>
        <w:t> </w:t>
      </w:r>
      <w:r>
        <w:rPr/>
        <w:t>durante</w:t>
      </w:r>
      <w:r>
        <w:rPr>
          <w:spacing w:val="-16"/>
        </w:rPr>
        <w:t> </w:t>
      </w:r>
      <w:r>
        <w:rPr/>
        <w:t>30</w:t>
      </w:r>
      <w:r>
        <w:rPr>
          <w:spacing w:val="-12"/>
        </w:rPr>
        <w:t> </w:t>
      </w:r>
      <w:r>
        <w:rPr/>
        <w:t>segundos</w:t>
      </w:r>
      <w:r>
        <w:rPr>
          <w:spacing w:val="-15"/>
        </w:rPr>
        <w:t> </w:t>
      </w:r>
      <w:r>
        <w:rPr/>
        <w:t>o</w:t>
      </w:r>
      <w:r>
        <w:rPr>
          <w:spacing w:val="-12"/>
        </w:rPr>
        <w:t> </w:t>
      </w:r>
      <w:r>
        <w:rPr/>
        <w:t>someterse</w:t>
      </w:r>
      <w:r>
        <w:rPr>
          <w:spacing w:val="-12"/>
        </w:rPr>
        <w:t> </w:t>
      </w:r>
      <w:r>
        <w:rPr/>
        <w:t>a</w:t>
      </w:r>
      <w:r>
        <w:rPr>
          <w:spacing w:val="-12"/>
        </w:rPr>
        <w:t> </w:t>
      </w:r>
      <w:r>
        <w:rPr/>
        <w:t>cualquier otra combinación equivalente o mayor de tiempo y temperatura, lo que le permite prolongar su vida de</w:t>
      </w:r>
      <w:r>
        <w:rPr>
          <w:spacing w:val="-8"/>
        </w:rPr>
        <w:t> </w:t>
      </w:r>
      <w:r>
        <w:rPr/>
        <w:t>anaquel.</w:t>
      </w:r>
    </w:p>
    <w:p>
      <w:pPr>
        <w:pStyle w:val="BodyText"/>
        <w:spacing w:line="276" w:lineRule="auto" w:before="120"/>
        <w:ind w:left="142" w:right="142"/>
        <w:jc w:val="both"/>
      </w:pPr>
      <w:r>
        <w:rPr/>
        <w:t>Quesos</w:t>
      </w:r>
      <w:r>
        <w:rPr>
          <w:spacing w:val="-7"/>
        </w:rPr>
        <w:t> </w:t>
      </w:r>
      <w:r>
        <w:rPr/>
        <w:t>de</w:t>
      </w:r>
      <w:r>
        <w:rPr>
          <w:spacing w:val="-6"/>
        </w:rPr>
        <w:t> </w:t>
      </w:r>
      <w:r>
        <w:rPr/>
        <w:t>suero:</w:t>
      </w:r>
      <w:r>
        <w:rPr>
          <w:spacing w:val="-6"/>
        </w:rPr>
        <w:t> </w:t>
      </w:r>
      <w:r>
        <w:rPr/>
        <w:t>Obtenidos</w:t>
      </w:r>
      <w:r>
        <w:rPr>
          <w:spacing w:val="-7"/>
        </w:rPr>
        <w:t> </w:t>
      </w:r>
      <w:r>
        <w:rPr/>
        <w:t>a</w:t>
      </w:r>
      <w:r>
        <w:rPr>
          <w:spacing w:val="-6"/>
        </w:rPr>
        <w:t> </w:t>
      </w:r>
      <w:r>
        <w:rPr/>
        <w:t>partir</w:t>
      </w:r>
      <w:r>
        <w:rPr>
          <w:spacing w:val="-5"/>
        </w:rPr>
        <w:t> </w:t>
      </w:r>
      <w:r>
        <w:rPr/>
        <w:t>del</w:t>
      </w:r>
      <w:r>
        <w:rPr>
          <w:spacing w:val="-5"/>
        </w:rPr>
        <w:t> </w:t>
      </w:r>
      <w:r>
        <w:rPr/>
        <w:t>suero</w:t>
      </w:r>
      <w:r>
        <w:rPr>
          <w:spacing w:val="-4"/>
        </w:rPr>
        <w:t> </w:t>
      </w:r>
      <w:r>
        <w:rPr/>
        <w:t>de</w:t>
      </w:r>
      <w:r>
        <w:rPr>
          <w:spacing w:val="-4"/>
        </w:rPr>
        <w:t> </w:t>
      </w:r>
      <w:r>
        <w:rPr/>
        <w:t>leche</w:t>
      </w:r>
      <w:r>
        <w:rPr>
          <w:spacing w:val="-6"/>
        </w:rPr>
        <w:t> </w:t>
      </w:r>
      <w:r>
        <w:rPr/>
        <w:t>entera,</w:t>
      </w:r>
      <w:r>
        <w:rPr>
          <w:spacing w:val="-4"/>
        </w:rPr>
        <w:t> </w:t>
      </w:r>
      <w:r>
        <w:rPr/>
        <w:t>semidescremada,</w:t>
      </w:r>
      <w:r>
        <w:rPr>
          <w:spacing w:val="-9"/>
        </w:rPr>
        <w:t> </w:t>
      </w:r>
      <w:r>
        <w:rPr/>
        <w:t>o descremada pasteurizada de vaca, cabra u oveja, el cual es coagulado por calentamiento en medio ácido para favorecer la obtención de la cuajada, la que es salada, drenada, moldeada, empacada y etiquetada y posteriormente refrigerada para su</w:t>
      </w:r>
      <w:r>
        <w:rPr>
          <w:spacing w:val="-7"/>
        </w:rPr>
        <w:t> </w:t>
      </w:r>
      <w:r>
        <w:rPr/>
        <w:t>conservación.</w:t>
      </w:r>
    </w:p>
    <w:p>
      <w:pPr>
        <w:pStyle w:val="BodyText"/>
      </w:pPr>
    </w:p>
    <w:p>
      <w:pPr>
        <w:pStyle w:val="BodyText"/>
        <w:spacing w:before="4"/>
        <w:rPr>
          <w:sz w:val="23"/>
        </w:rPr>
      </w:pPr>
    </w:p>
    <w:p>
      <w:pPr>
        <w:pStyle w:val="Heading2"/>
        <w:spacing w:before="1"/>
        <w:jc w:val="both"/>
      </w:pPr>
      <w:bookmarkStart w:name="_bookmark24" w:id="32"/>
      <w:bookmarkEnd w:id="32"/>
      <w:r>
        <w:rPr>
          <w:b w:val="0"/>
        </w:rPr>
      </w:r>
      <w:r>
        <w:rPr/>
        <w:t>Producción de queso en México</w:t>
      </w:r>
    </w:p>
    <w:p>
      <w:pPr>
        <w:pStyle w:val="BodyText"/>
        <w:spacing w:line="276" w:lineRule="auto" w:before="26"/>
        <w:ind w:left="142" w:right="136"/>
        <w:jc w:val="both"/>
      </w:pPr>
      <w:r>
        <w:rPr/>
        <w:t>En México el queso se ha elaborado desde los tiempos de la Colonia, cuando los conquistadores españoles trajeron a la Nueva España los primeros rebaños de cabras,</w:t>
      </w:r>
      <w:r>
        <w:rPr>
          <w:spacing w:val="-14"/>
        </w:rPr>
        <w:t> </w:t>
      </w:r>
      <w:r>
        <w:rPr/>
        <w:t>ovejas</w:t>
      </w:r>
      <w:r>
        <w:rPr>
          <w:spacing w:val="-14"/>
        </w:rPr>
        <w:t> </w:t>
      </w:r>
      <w:r>
        <w:rPr/>
        <w:t>y</w:t>
      </w:r>
      <w:r>
        <w:rPr>
          <w:spacing w:val="-17"/>
        </w:rPr>
        <w:t> </w:t>
      </w:r>
      <w:r>
        <w:rPr/>
        <w:t>ejemplares</w:t>
      </w:r>
      <w:r>
        <w:rPr>
          <w:spacing w:val="-15"/>
        </w:rPr>
        <w:t> </w:t>
      </w:r>
      <w:r>
        <w:rPr/>
        <w:t>de</w:t>
      </w:r>
      <w:r>
        <w:rPr>
          <w:spacing w:val="-14"/>
        </w:rPr>
        <w:t> </w:t>
      </w:r>
      <w:r>
        <w:rPr/>
        <w:t>ganado</w:t>
      </w:r>
      <w:r>
        <w:rPr>
          <w:spacing w:val="-14"/>
        </w:rPr>
        <w:t> </w:t>
      </w:r>
      <w:r>
        <w:rPr/>
        <w:t>criollo,</w:t>
      </w:r>
      <w:r>
        <w:rPr>
          <w:spacing w:val="-17"/>
        </w:rPr>
        <w:t> </w:t>
      </w:r>
      <w:r>
        <w:rPr/>
        <w:t>sin</w:t>
      </w:r>
      <w:r>
        <w:rPr>
          <w:spacing w:val="-14"/>
        </w:rPr>
        <w:t> </w:t>
      </w:r>
      <w:r>
        <w:rPr/>
        <w:t>embargo</w:t>
      </w:r>
      <w:r>
        <w:rPr>
          <w:spacing w:val="-14"/>
        </w:rPr>
        <w:t> </w:t>
      </w:r>
      <w:r>
        <w:rPr/>
        <w:t>la</w:t>
      </w:r>
      <w:r>
        <w:rPr>
          <w:spacing w:val="-14"/>
        </w:rPr>
        <w:t> </w:t>
      </w:r>
      <w:r>
        <w:rPr/>
        <w:t>agroindustria</w:t>
      </w:r>
      <w:r>
        <w:rPr>
          <w:spacing w:val="-14"/>
        </w:rPr>
        <w:t> </w:t>
      </w:r>
      <w:r>
        <w:rPr/>
        <w:t>quesera presenta</w:t>
      </w:r>
      <w:r>
        <w:rPr>
          <w:spacing w:val="-8"/>
        </w:rPr>
        <w:t> </w:t>
      </w:r>
      <w:r>
        <w:rPr/>
        <w:t>registros</w:t>
      </w:r>
      <w:r>
        <w:rPr>
          <w:spacing w:val="-9"/>
        </w:rPr>
        <w:t> </w:t>
      </w:r>
      <w:r>
        <w:rPr/>
        <w:t>sólo</w:t>
      </w:r>
      <w:r>
        <w:rPr>
          <w:spacing w:val="-10"/>
        </w:rPr>
        <w:t> </w:t>
      </w:r>
      <w:r>
        <w:rPr/>
        <w:t>en</w:t>
      </w:r>
      <w:r>
        <w:rPr>
          <w:spacing w:val="-10"/>
        </w:rPr>
        <w:t> </w:t>
      </w:r>
      <w:r>
        <w:rPr/>
        <w:t>algunas</w:t>
      </w:r>
      <w:r>
        <w:rPr>
          <w:spacing w:val="-8"/>
        </w:rPr>
        <w:t> </w:t>
      </w:r>
      <w:r>
        <w:rPr/>
        <w:t>regiones</w:t>
      </w:r>
      <w:r>
        <w:rPr>
          <w:spacing w:val="-11"/>
        </w:rPr>
        <w:t> </w:t>
      </w:r>
      <w:r>
        <w:rPr/>
        <w:t>a</w:t>
      </w:r>
      <w:r>
        <w:rPr>
          <w:spacing w:val="-10"/>
        </w:rPr>
        <w:t> </w:t>
      </w:r>
      <w:r>
        <w:rPr/>
        <w:t>partir</w:t>
      </w:r>
      <w:r>
        <w:rPr>
          <w:spacing w:val="-9"/>
        </w:rPr>
        <w:t> </w:t>
      </w:r>
      <w:r>
        <w:rPr/>
        <w:t>de</w:t>
      </w:r>
      <w:r>
        <w:rPr>
          <w:spacing w:val="-10"/>
        </w:rPr>
        <w:t> </w:t>
      </w:r>
      <w:r>
        <w:rPr/>
        <w:t>la</w:t>
      </w:r>
      <w:r>
        <w:rPr>
          <w:spacing w:val="-8"/>
        </w:rPr>
        <w:t> </w:t>
      </w:r>
      <w:r>
        <w:rPr/>
        <w:t>década</w:t>
      </w:r>
      <w:r>
        <w:rPr>
          <w:spacing w:val="-8"/>
        </w:rPr>
        <w:t> </w:t>
      </w:r>
      <w:r>
        <w:rPr/>
        <w:t>de</w:t>
      </w:r>
      <w:r>
        <w:rPr>
          <w:spacing w:val="-10"/>
        </w:rPr>
        <w:t> </w:t>
      </w:r>
      <w:r>
        <w:rPr/>
        <w:t>los</w:t>
      </w:r>
      <w:r>
        <w:rPr>
          <w:spacing w:val="-8"/>
        </w:rPr>
        <w:t> </w:t>
      </w:r>
      <w:r>
        <w:rPr/>
        <w:t>años</w:t>
      </w:r>
      <w:r>
        <w:rPr>
          <w:spacing w:val="-8"/>
        </w:rPr>
        <w:t> </w:t>
      </w:r>
      <w:r>
        <w:rPr/>
        <w:t>treinta no</w:t>
      </w:r>
      <w:r>
        <w:rPr>
          <w:spacing w:val="-13"/>
        </w:rPr>
        <w:t> </w:t>
      </w:r>
      <w:r>
        <w:rPr/>
        <w:t>obstante</w:t>
      </w:r>
      <w:r>
        <w:rPr>
          <w:spacing w:val="-13"/>
        </w:rPr>
        <w:t> </w:t>
      </w:r>
      <w:r>
        <w:rPr/>
        <w:t>el</w:t>
      </w:r>
      <w:r>
        <w:rPr>
          <w:spacing w:val="-14"/>
        </w:rPr>
        <w:t> </w:t>
      </w:r>
      <w:r>
        <w:rPr/>
        <w:t>queso</w:t>
      </w:r>
      <w:r>
        <w:rPr>
          <w:spacing w:val="-13"/>
        </w:rPr>
        <w:t> </w:t>
      </w:r>
      <w:r>
        <w:rPr/>
        <w:t>se</w:t>
      </w:r>
      <w:r>
        <w:rPr>
          <w:spacing w:val="-13"/>
        </w:rPr>
        <w:t> </w:t>
      </w:r>
      <w:r>
        <w:rPr/>
        <w:t>elaboraba</w:t>
      </w:r>
      <w:r>
        <w:rPr>
          <w:spacing w:val="-13"/>
        </w:rPr>
        <w:t> </w:t>
      </w:r>
      <w:r>
        <w:rPr/>
        <w:t>y</w:t>
      </w:r>
      <w:r>
        <w:rPr>
          <w:spacing w:val="-16"/>
        </w:rPr>
        <w:t> </w:t>
      </w:r>
      <w:r>
        <w:rPr/>
        <w:t>se</w:t>
      </w:r>
      <w:r>
        <w:rPr>
          <w:spacing w:val="-13"/>
        </w:rPr>
        <w:t> </w:t>
      </w:r>
      <w:r>
        <w:rPr/>
        <w:t>comercializaba</w:t>
      </w:r>
      <w:r>
        <w:rPr>
          <w:spacing w:val="-13"/>
        </w:rPr>
        <w:t> </w:t>
      </w:r>
      <w:r>
        <w:rPr/>
        <w:t>desde</w:t>
      </w:r>
      <w:r>
        <w:rPr>
          <w:spacing w:val="-13"/>
        </w:rPr>
        <w:t> </w:t>
      </w:r>
      <w:r>
        <w:rPr/>
        <w:t>antaño</w:t>
      </w:r>
      <w:r>
        <w:rPr>
          <w:spacing w:val="-13"/>
        </w:rPr>
        <w:t> </w:t>
      </w:r>
      <w:r>
        <w:rPr/>
        <w:t>a</w:t>
      </w:r>
      <w:r>
        <w:rPr>
          <w:spacing w:val="-13"/>
        </w:rPr>
        <w:t> </w:t>
      </w:r>
      <w:r>
        <w:rPr/>
        <w:t>nivel</w:t>
      </w:r>
      <w:r>
        <w:rPr>
          <w:spacing w:val="-14"/>
        </w:rPr>
        <w:t> </w:t>
      </w:r>
      <w:r>
        <w:rPr/>
        <w:t>familiar</w:t>
      </w:r>
    </w:p>
    <w:p>
      <w:pPr>
        <w:spacing w:after="0" w:line="276" w:lineRule="auto"/>
        <w:jc w:val="both"/>
        <w:sectPr>
          <w:pgSz w:w="12240" w:h="15840"/>
          <w:pgMar w:header="728" w:footer="710" w:top="1200" w:bottom="900" w:left="1560" w:right="1560"/>
        </w:sectPr>
      </w:pPr>
    </w:p>
    <w:p>
      <w:pPr>
        <w:pStyle w:val="BodyText"/>
        <w:spacing w:before="9"/>
        <w:rPr>
          <w:sz w:val="12"/>
        </w:rPr>
      </w:pPr>
    </w:p>
    <w:p>
      <w:pPr>
        <w:pStyle w:val="BodyText"/>
        <w:spacing w:line="276" w:lineRule="auto" w:before="70"/>
        <w:ind w:left="142" w:right="134"/>
        <w:jc w:val="both"/>
      </w:pPr>
      <w:r>
        <w:rPr/>
        <w:t>o artesanal (Villegas, 2004). Desde la introducción del queso al país, estos productos fueron modificados, moldeados y adaptados a las condiciones y a nuestros gustos; con sus sabores, aromas y texturas se incorporaron a la gastronomía nacional en donde se encuentran como ingrediente principal en un gran número de platillos logrando ser reconocido como patrimonio cultural (Grass- Ramírez</w:t>
      </w:r>
      <w:r>
        <w:rPr>
          <w:spacing w:val="-5"/>
        </w:rPr>
        <w:t> </w:t>
      </w:r>
      <w:r>
        <w:rPr/>
        <w:t>y</w:t>
      </w:r>
      <w:r>
        <w:rPr>
          <w:spacing w:val="-6"/>
        </w:rPr>
        <w:t> </w:t>
      </w:r>
      <w:r>
        <w:rPr/>
        <w:t>Cesín-Vargas,</w:t>
      </w:r>
      <w:r>
        <w:rPr>
          <w:spacing w:val="-4"/>
        </w:rPr>
        <w:t> </w:t>
      </w:r>
      <w:r>
        <w:rPr/>
        <w:t>2014).</w:t>
      </w:r>
      <w:r>
        <w:rPr>
          <w:spacing w:val="-5"/>
        </w:rPr>
        <w:t> </w:t>
      </w:r>
      <w:r>
        <w:rPr/>
        <w:t>En</w:t>
      </w:r>
      <w:r>
        <w:rPr>
          <w:spacing w:val="-4"/>
        </w:rPr>
        <w:t> </w:t>
      </w:r>
      <w:r>
        <w:rPr/>
        <w:t>nuestro</w:t>
      </w:r>
      <w:r>
        <w:rPr>
          <w:spacing w:val="-7"/>
        </w:rPr>
        <w:t> </w:t>
      </w:r>
      <w:r>
        <w:rPr/>
        <w:t>país</w:t>
      </w:r>
      <w:r>
        <w:rPr>
          <w:spacing w:val="-4"/>
        </w:rPr>
        <w:t> </w:t>
      </w:r>
      <w:r>
        <w:rPr/>
        <w:t>predomina</w:t>
      </w:r>
      <w:r>
        <w:rPr>
          <w:spacing w:val="-6"/>
        </w:rPr>
        <w:t> </w:t>
      </w:r>
      <w:r>
        <w:rPr/>
        <w:t>el</w:t>
      </w:r>
      <w:r>
        <w:rPr>
          <w:spacing w:val="-5"/>
        </w:rPr>
        <w:t> </w:t>
      </w:r>
      <w:r>
        <w:rPr/>
        <w:t>consumo</w:t>
      </w:r>
      <w:r>
        <w:rPr>
          <w:spacing w:val="-6"/>
        </w:rPr>
        <w:t> </w:t>
      </w:r>
      <w:r>
        <w:rPr/>
        <w:t>de</w:t>
      </w:r>
      <w:r>
        <w:rPr>
          <w:spacing w:val="-4"/>
        </w:rPr>
        <w:t> </w:t>
      </w:r>
      <w:r>
        <w:rPr/>
        <w:t>quesos frescos, mismos que forman parte de una enorme variedad de platillos que constituyen nuestro legado gastronómico (Ramírez-López y Vélez-Ruíz, 2012). La relevancia de los quesos mexicanos genuinos no se evidencia en panorama actual ya que mientras algunos han incrementado su producción, otros presentan un proceso gradual de desaparición que se manifiesta en una menor producción e inferior participación en el mercado (Grass-Ramírez y Cesín-Vargas,</w:t>
      </w:r>
      <w:r>
        <w:rPr>
          <w:spacing w:val="-21"/>
        </w:rPr>
        <w:t> </w:t>
      </w:r>
      <w:r>
        <w:rPr/>
        <w:t>2014).</w:t>
      </w:r>
    </w:p>
    <w:p>
      <w:pPr>
        <w:pStyle w:val="BodyText"/>
        <w:spacing w:line="276" w:lineRule="auto" w:before="123"/>
        <w:ind w:left="142" w:right="135"/>
        <w:jc w:val="both"/>
      </w:pPr>
      <w:r>
        <w:rPr/>
        <w:t>La transformación de la leche en queso involucra una importancia económica y social múltiple pues permite guardar la leche en forma natural, con el objetivo de transportarla a centros de consumo para su fácil comercialización, o bien para conservar los sólidos de la leche en aquellas zonas de condiciones ambientales hostiles</w:t>
      </w:r>
      <w:r>
        <w:rPr>
          <w:spacing w:val="-6"/>
        </w:rPr>
        <w:t> </w:t>
      </w:r>
      <w:r>
        <w:rPr/>
        <w:t>a</w:t>
      </w:r>
      <w:r>
        <w:rPr>
          <w:spacing w:val="-8"/>
        </w:rPr>
        <w:t> </w:t>
      </w:r>
      <w:r>
        <w:rPr/>
        <w:t>la</w:t>
      </w:r>
      <w:r>
        <w:rPr>
          <w:spacing w:val="-6"/>
        </w:rPr>
        <w:t> </w:t>
      </w:r>
      <w:r>
        <w:rPr/>
        <w:t>preservación,</w:t>
      </w:r>
      <w:r>
        <w:rPr>
          <w:spacing w:val="-6"/>
        </w:rPr>
        <w:t> </w:t>
      </w:r>
      <w:r>
        <w:rPr/>
        <w:t>como</w:t>
      </w:r>
      <w:r>
        <w:rPr>
          <w:spacing w:val="-6"/>
        </w:rPr>
        <w:t> </w:t>
      </w:r>
      <w:r>
        <w:rPr/>
        <w:t>es</w:t>
      </w:r>
      <w:r>
        <w:rPr>
          <w:spacing w:val="-9"/>
        </w:rPr>
        <w:t> </w:t>
      </w:r>
      <w:r>
        <w:rPr/>
        <w:t>el</w:t>
      </w:r>
      <w:r>
        <w:rPr>
          <w:spacing w:val="-7"/>
        </w:rPr>
        <w:t> </w:t>
      </w:r>
      <w:r>
        <w:rPr/>
        <w:t>trópico,</w:t>
      </w:r>
      <w:r>
        <w:rPr>
          <w:spacing w:val="-9"/>
        </w:rPr>
        <w:t> </w:t>
      </w:r>
      <w:r>
        <w:rPr/>
        <w:t>las</w:t>
      </w:r>
      <w:r>
        <w:rPr>
          <w:spacing w:val="-6"/>
        </w:rPr>
        <w:t> </w:t>
      </w:r>
      <w:r>
        <w:rPr/>
        <w:t>zonas</w:t>
      </w:r>
      <w:r>
        <w:rPr>
          <w:spacing w:val="-7"/>
        </w:rPr>
        <w:t> </w:t>
      </w:r>
      <w:r>
        <w:rPr/>
        <w:t>calurosas</w:t>
      </w:r>
      <w:r>
        <w:rPr>
          <w:spacing w:val="-7"/>
        </w:rPr>
        <w:t> </w:t>
      </w:r>
      <w:r>
        <w:rPr/>
        <w:t>y</w:t>
      </w:r>
      <w:r>
        <w:rPr>
          <w:spacing w:val="-9"/>
        </w:rPr>
        <w:t> </w:t>
      </w:r>
      <w:r>
        <w:rPr/>
        <w:t>secas, además constituye</w:t>
      </w:r>
      <w:r>
        <w:rPr>
          <w:spacing w:val="-14"/>
        </w:rPr>
        <w:t> </w:t>
      </w:r>
      <w:r>
        <w:rPr/>
        <w:t>una</w:t>
      </w:r>
      <w:r>
        <w:rPr>
          <w:spacing w:val="-17"/>
        </w:rPr>
        <w:t> </w:t>
      </w:r>
      <w:r>
        <w:rPr/>
        <w:t>forma</w:t>
      </w:r>
      <w:r>
        <w:rPr>
          <w:spacing w:val="-14"/>
        </w:rPr>
        <w:t> </w:t>
      </w:r>
      <w:r>
        <w:rPr/>
        <w:t>de</w:t>
      </w:r>
      <w:r>
        <w:rPr>
          <w:spacing w:val="-14"/>
        </w:rPr>
        <w:t> </w:t>
      </w:r>
      <w:r>
        <w:rPr/>
        <w:t>comercializar</w:t>
      </w:r>
      <w:r>
        <w:rPr>
          <w:spacing w:val="-16"/>
        </w:rPr>
        <w:t> </w:t>
      </w:r>
      <w:r>
        <w:rPr/>
        <w:t>la</w:t>
      </w:r>
      <w:r>
        <w:rPr>
          <w:spacing w:val="-14"/>
        </w:rPr>
        <w:t> </w:t>
      </w:r>
      <w:r>
        <w:rPr/>
        <w:t>leche</w:t>
      </w:r>
      <w:r>
        <w:rPr>
          <w:spacing w:val="-14"/>
        </w:rPr>
        <w:t> </w:t>
      </w:r>
      <w:r>
        <w:rPr/>
        <w:t>en</w:t>
      </w:r>
      <w:r>
        <w:rPr>
          <w:spacing w:val="-14"/>
        </w:rPr>
        <w:t> </w:t>
      </w:r>
      <w:r>
        <w:rPr/>
        <w:t>regiones</w:t>
      </w:r>
      <w:r>
        <w:rPr>
          <w:spacing w:val="-15"/>
        </w:rPr>
        <w:t> </w:t>
      </w:r>
      <w:r>
        <w:rPr/>
        <w:t>donde</w:t>
      </w:r>
      <w:r>
        <w:rPr>
          <w:spacing w:val="-14"/>
        </w:rPr>
        <w:t> </w:t>
      </w:r>
      <w:r>
        <w:rPr/>
        <w:t>no</w:t>
      </w:r>
      <w:r>
        <w:rPr>
          <w:spacing w:val="-14"/>
        </w:rPr>
        <w:t> </w:t>
      </w:r>
      <w:r>
        <w:rPr/>
        <w:t>existe</w:t>
      </w:r>
      <w:r>
        <w:rPr>
          <w:spacing w:val="-14"/>
        </w:rPr>
        <w:t> </w:t>
      </w:r>
      <w:r>
        <w:rPr/>
        <w:t>el</w:t>
      </w:r>
      <w:r>
        <w:rPr>
          <w:spacing w:val="-15"/>
        </w:rPr>
        <w:t> </w:t>
      </w:r>
      <w:r>
        <w:rPr/>
        <w:t>hábito de consumo de leche fluida (Cervantes </w:t>
      </w:r>
      <w:r>
        <w:rPr>
          <w:i/>
        </w:rPr>
        <w:t>et al.,</w:t>
      </w:r>
      <w:r>
        <w:rPr>
          <w:i/>
          <w:spacing w:val="-16"/>
        </w:rPr>
        <w:t> </w:t>
      </w:r>
      <w:r>
        <w:rPr/>
        <w:t>2008).</w:t>
      </w:r>
    </w:p>
    <w:p>
      <w:pPr>
        <w:pStyle w:val="BodyText"/>
        <w:spacing w:line="276" w:lineRule="auto" w:before="123"/>
        <w:ind w:left="142" w:right="138"/>
        <w:jc w:val="both"/>
      </w:pPr>
      <w:r>
        <w:rPr/>
        <w:t>La quesería artesanal se considera como una importante generadora de valor agregado al sistema de producción de leche en México, reviste gran importancia al elaborar un alimento valioso de bondades nutricionales, de gran diversidad composicional</w:t>
      </w:r>
      <w:r>
        <w:rPr>
          <w:spacing w:val="-6"/>
        </w:rPr>
        <w:t> </w:t>
      </w:r>
      <w:r>
        <w:rPr/>
        <w:t>y</w:t>
      </w:r>
      <w:r>
        <w:rPr>
          <w:spacing w:val="-8"/>
        </w:rPr>
        <w:t> </w:t>
      </w:r>
      <w:r>
        <w:rPr/>
        <w:t>sensorial</w:t>
      </w:r>
      <w:r>
        <w:rPr>
          <w:spacing w:val="-6"/>
        </w:rPr>
        <w:t> </w:t>
      </w:r>
      <w:r>
        <w:rPr/>
        <w:t>para</w:t>
      </w:r>
      <w:r>
        <w:rPr>
          <w:spacing w:val="-8"/>
        </w:rPr>
        <w:t> </w:t>
      </w:r>
      <w:r>
        <w:rPr/>
        <w:t>los</w:t>
      </w:r>
      <w:r>
        <w:rPr>
          <w:spacing w:val="-6"/>
        </w:rPr>
        <w:t> </w:t>
      </w:r>
      <w:r>
        <w:rPr/>
        <w:t>consumidores,</w:t>
      </w:r>
      <w:r>
        <w:rPr>
          <w:spacing w:val="-7"/>
        </w:rPr>
        <w:t> </w:t>
      </w:r>
      <w:r>
        <w:rPr/>
        <w:t>además</w:t>
      </w:r>
      <w:r>
        <w:rPr>
          <w:spacing w:val="-8"/>
        </w:rPr>
        <w:t> </w:t>
      </w:r>
      <w:r>
        <w:rPr/>
        <w:t>del</w:t>
      </w:r>
      <w:r>
        <w:rPr>
          <w:spacing w:val="-6"/>
        </w:rPr>
        <w:t> </w:t>
      </w:r>
      <w:r>
        <w:rPr/>
        <w:t>valor</w:t>
      </w:r>
      <w:r>
        <w:rPr>
          <w:spacing w:val="-6"/>
        </w:rPr>
        <w:t> </w:t>
      </w:r>
      <w:r>
        <w:rPr/>
        <w:t>económico</w:t>
      </w:r>
      <w:r>
        <w:rPr>
          <w:spacing w:val="-7"/>
        </w:rPr>
        <w:t> </w:t>
      </w:r>
      <w:r>
        <w:rPr/>
        <w:t>que representa la actividad procesadora al generar un valor agregado a la leche y su capacidad para generar, ampliar y mantener el empleo de un gran número de trabajadores sobre todo del medio rural; ofrece oportunidades a pequeños y medianos productores de leche que no encuentran espacio en las cadenas industriales, también aportan estabilidad al precio de la leche en periodos de estacionalidad, mejora los ingresos familiares en los territorios en donde se producen, lo cual estimula el interés y la permanencia en la actividad quesera (Villegas, 2004; Cervantes </w:t>
      </w:r>
      <w:r>
        <w:rPr>
          <w:i/>
        </w:rPr>
        <w:t>et al., </w:t>
      </w:r>
      <w:r>
        <w:rPr/>
        <w:t>2008; Grass-Ramírez y Cesín-Vargas,</w:t>
      </w:r>
      <w:r>
        <w:rPr>
          <w:spacing w:val="-25"/>
        </w:rPr>
        <w:t> </w:t>
      </w:r>
      <w:r>
        <w:rPr/>
        <w:t>2014).</w:t>
      </w:r>
    </w:p>
    <w:p>
      <w:pPr>
        <w:pStyle w:val="BodyText"/>
        <w:spacing w:line="276" w:lineRule="auto" w:before="123"/>
        <w:ind w:left="142" w:right="136"/>
        <w:jc w:val="both"/>
      </w:pPr>
      <w:r>
        <w:rPr/>
        <w:t>Los</w:t>
      </w:r>
      <w:r>
        <w:rPr>
          <w:spacing w:val="-10"/>
        </w:rPr>
        <w:t> </w:t>
      </w:r>
      <w:r>
        <w:rPr/>
        <w:t>quesos</w:t>
      </w:r>
      <w:r>
        <w:rPr>
          <w:spacing w:val="-10"/>
        </w:rPr>
        <w:t> </w:t>
      </w:r>
      <w:r>
        <w:rPr/>
        <w:t>tradicionales</w:t>
      </w:r>
      <w:r>
        <w:rPr>
          <w:spacing w:val="-10"/>
        </w:rPr>
        <w:t> </w:t>
      </w:r>
      <w:r>
        <w:rPr/>
        <w:t>también</w:t>
      </w:r>
      <w:r>
        <w:rPr>
          <w:spacing w:val="-9"/>
        </w:rPr>
        <w:t> </w:t>
      </w:r>
      <w:r>
        <w:rPr/>
        <w:t>se</w:t>
      </w:r>
      <w:r>
        <w:rPr>
          <w:spacing w:val="-12"/>
        </w:rPr>
        <w:t> </w:t>
      </w:r>
      <w:r>
        <w:rPr/>
        <w:t>definen</w:t>
      </w:r>
      <w:r>
        <w:rPr>
          <w:spacing w:val="-12"/>
        </w:rPr>
        <w:t> </w:t>
      </w:r>
      <w:r>
        <w:rPr/>
        <w:t>a</w:t>
      </w:r>
      <w:r>
        <w:rPr>
          <w:spacing w:val="-9"/>
        </w:rPr>
        <w:t> </w:t>
      </w:r>
      <w:r>
        <w:rPr/>
        <w:t>partir</w:t>
      </w:r>
      <w:r>
        <w:rPr>
          <w:spacing w:val="-11"/>
        </w:rPr>
        <w:t> </w:t>
      </w:r>
      <w:r>
        <w:rPr/>
        <w:t>de</w:t>
      </w:r>
      <w:r>
        <w:rPr>
          <w:spacing w:val="-9"/>
        </w:rPr>
        <w:t> </w:t>
      </w:r>
      <w:r>
        <w:rPr/>
        <w:t>criterios</w:t>
      </w:r>
      <w:r>
        <w:rPr>
          <w:spacing w:val="-10"/>
        </w:rPr>
        <w:t> </w:t>
      </w:r>
      <w:r>
        <w:rPr/>
        <w:t>relacionados</w:t>
      </w:r>
      <w:r>
        <w:rPr>
          <w:spacing w:val="-10"/>
        </w:rPr>
        <w:t> </w:t>
      </w:r>
      <w:r>
        <w:rPr/>
        <w:t>con</w:t>
      </w:r>
      <w:r>
        <w:rPr>
          <w:spacing w:val="-2"/>
        </w:rPr>
        <w:t> </w:t>
      </w:r>
      <w:r>
        <w:rPr/>
        <w:t>la tecnología, la forma y el tamaño o denominación, por lo que los quesos mantienen un</w:t>
      </w:r>
      <w:r>
        <w:rPr>
          <w:spacing w:val="-13"/>
        </w:rPr>
        <w:t> </w:t>
      </w:r>
      <w:r>
        <w:rPr/>
        <w:t>profundo</w:t>
      </w:r>
      <w:r>
        <w:rPr>
          <w:spacing w:val="-13"/>
        </w:rPr>
        <w:t> </w:t>
      </w:r>
      <w:r>
        <w:rPr/>
        <w:t>vinculo</w:t>
      </w:r>
      <w:r>
        <w:rPr>
          <w:spacing w:val="-13"/>
        </w:rPr>
        <w:t> </w:t>
      </w:r>
      <w:r>
        <w:rPr/>
        <w:t>territorial,</w:t>
      </w:r>
      <w:r>
        <w:rPr>
          <w:spacing w:val="-14"/>
        </w:rPr>
        <w:t> </w:t>
      </w:r>
      <w:r>
        <w:rPr/>
        <w:t>la</w:t>
      </w:r>
      <w:r>
        <w:rPr>
          <w:spacing w:val="-13"/>
        </w:rPr>
        <w:t> </w:t>
      </w:r>
      <w:r>
        <w:rPr/>
        <w:t>conservación</w:t>
      </w:r>
      <w:r>
        <w:rPr>
          <w:spacing w:val="-15"/>
        </w:rPr>
        <w:t> </w:t>
      </w:r>
      <w:r>
        <w:rPr/>
        <w:t>del</w:t>
      </w:r>
      <w:r>
        <w:rPr>
          <w:spacing w:val="-14"/>
        </w:rPr>
        <w:t> </w:t>
      </w:r>
      <w:r>
        <w:rPr/>
        <w:t>saber-hacer</w:t>
      </w:r>
      <w:r>
        <w:rPr>
          <w:spacing w:val="-15"/>
        </w:rPr>
        <w:t> </w:t>
      </w:r>
      <w:r>
        <w:rPr/>
        <w:t>y</w:t>
      </w:r>
      <w:r>
        <w:rPr>
          <w:spacing w:val="-16"/>
        </w:rPr>
        <w:t> </w:t>
      </w:r>
      <w:r>
        <w:rPr/>
        <w:t>las</w:t>
      </w:r>
      <w:r>
        <w:rPr>
          <w:spacing w:val="-13"/>
        </w:rPr>
        <w:t> </w:t>
      </w:r>
      <w:r>
        <w:rPr/>
        <w:t>particularidades que</w:t>
      </w:r>
      <w:r>
        <w:rPr>
          <w:spacing w:val="-17"/>
        </w:rPr>
        <w:t> </w:t>
      </w:r>
      <w:r>
        <w:rPr/>
        <w:t>le</w:t>
      </w:r>
      <w:r>
        <w:rPr>
          <w:spacing w:val="-17"/>
        </w:rPr>
        <w:t> </w:t>
      </w:r>
      <w:r>
        <w:rPr/>
        <w:t>otorga</w:t>
      </w:r>
      <w:r>
        <w:rPr>
          <w:spacing w:val="-17"/>
        </w:rPr>
        <w:t> </w:t>
      </w:r>
      <w:r>
        <w:rPr/>
        <w:t>la</w:t>
      </w:r>
      <w:r>
        <w:rPr>
          <w:spacing w:val="-17"/>
        </w:rPr>
        <w:t> </w:t>
      </w:r>
      <w:r>
        <w:rPr/>
        <w:t>leche,</w:t>
      </w:r>
      <w:r>
        <w:rPr>
          <w:spacing w:val="-20"/>
        </w:rPr>
        <w:t> </w:t>
      </w:r>
      <w:r>
        <w:rPr/>
        <w:t>así</w:t>
      </w:r>
      <w:r>
        <w:rPr>
          <w:spacing w:val="-20"/>
        </w:rPr>
        <w:t> </w:t>
      </w:r>
      <w:r>
        <w:rPr/>
        <w:t>como</w:t>
      </w:r>
      <w:r>
        <w:rPr>
          <w:spacing w:val="-19"/>
        </w:rPr>
        <w:t> </w:t>
      </w:r>
      <w:r>
        <w:rPr/>
        <w:t>el</w:t>
      </w:r>
      <w:r>
        <w:rPr>
          <w:spacing w:val="-18"/>
        </w:rPr>
        <w:t> </w:t>
      </w:r>
      <w:r>
        <w:rPr/>
        <w:t>clima</w:t>
      </w:r>
      <w:r>
        <w:rPr>
          <w:spacing w:val="-19"/>
        </w:rPr>
        <w:t> </w:t>
      </w:r>
      <w:r>
        <w:rPr/>
        <w:t>en</w:t>
      </w:r>
      <w:r>
        <w:rPr>
          <w:spacing w:val="-17"/>
        </w:rPr>
        <w:t> </w:t>
      </w:r>
      <w:r>
        <w:rPr/>
        <w:t>el</w:t>
      </w:r>
      <w:r>
        <w:rPr>
          <w:spacing w:val="-21"/>
        </w:rPr>
        <w:t> </w:t>
      </w:r>
      <w:r>
        <w:rPr/>
        <w:t>proceso</w:t>
      </w:r>
      <w:r>
        <w:rPr>
          <w:spacing w:val="-19"/>
        </w:rPr>
        <w:t> </w:t>
      </w:r>
      <w:r>
        <w:rPr/>
        <w:t>de</w:t>
      </w:r>
      <w:r>
        <w:rPr>
          <w:spacing w:val="-19"/>
        </w:rPr>
        <w:t> </w:t>
      </w:r>
      <w:r>
        <w:rPr/>
        <w:t>fermentación</w:t>
      </w:r>
      <w:r>
        <w:rPr>
          <w:spacing w:val="-17"/>
        </w:rPr>
        <w:t> </w:t>
      </w:r>
      <w:r>
        <w:rPr/>
        <w:t>y</w:t>
      </w:r>
      <w:r>
        <w:rPr>
          <w:spacing w:val="-20"/>
        </w:rPr>
        <w:t> </w:t>
      </w:r>
      <w:r>
        <w:rPr/>
        <w:t>maduración de las cuajadas, otorgan oportunidades para explorar procesos de calificación y certificación de estos productos (Grass-Ramírez y Cesín-Vargas,</w:t>
      </w:r>
      <w:r>
        <w:rPr>
          <w:spacing w:val="-20"/>
        </w:rPr>
        <w:t> </w:t>
      </w:r>
      <w:r>
        <w:rPr/>
        <w:t>2014).</w:t>
      </w:r>
    </w:p>
    <w:p>
      <w:pPr>
        <w:pStyle w:val="BodyText"/>
        <w:spacing w:line="276" w:lineRule="auto" w:before="123"/>
        <w:ind w:left="142" w:right="146"/>
        <w:jc w:val="both"/>
      </w:pPr>
      <w:r>
        <w:rPr/>
        <w:t>La agroindustria quesera transforma la materia prima más perecedera debido a su alta concentración de microorganismos (mayor a 100 000 células/ml), a su riqueza</w:t>
      </w:r>
    </w:p>
    <w:p>
      <w:pPr>
        <w:spacing w:after="0" w:line="276" w:lineRule="auto"/>
        <w:jc w:val="both"/>
        <w:sectPr>
          <w:pgSz w:w="12240" w:h="15840"/>
          <w:pgMar w:header="728" w:footer="710" w:top="1200" w:bottom="900" w:left="1560" w:right="1560"/>
        </w:sectPr>
      </w:pPr>
    </w:p>
    <w:p>
      <w:pPr>
        <w:pStyle w:val="BodyText"/>
        <w:spacing w:before="9"/>
        <w:rPr>
          <w:sz w:val="12"/>
        </w:rPr>
      </w:pPr>
    </w:p>
    <w:p>
      <w:pPr>
        <w:pStyle w:val="BodyText"/>
        <w:spacing w:line="276" w:lineRule="auto" w:before="70"/>
        <w:ind w:left="142" w:right="147"/>
        <w:jc w:val="both"/>
      </w:pPr>
      <w:r>
        <w:rPr/>
        <w:t>en nutrientes y a su elevado porcentaje en agua (mayor a 85%), actividad que se realiza en horas posteriores a partir de la ordeña (6 horas si es bronca y menos de</w:t>
      </w:r>
    </w:p>
    <w:p>
      <w:pPr>
        <w:pStyle w:val="BodyText"/>
        <w:spacing w:line="276" w:lineRule="auto"/>
        <w:ind w:left="142" w:right="136"/>
        <w:jc w:val="both"/>
      </w:pPr>
      <w:r>
        <w:rPr/>
        <w:t>24 si es enfriada y pasteurizada). La producción es influenciada por la estacionalidad es decir; a escasez y a excedentes de leche influyendo en la capacidad utilizada en las plantas, en la mano de obra y en el mercado de productores, es una actividad pesada debido a que labora paralelamente a la actividad productora de la leche, y es más notable en empresas pequeñas, que no poseen métodos de conservación de la leche fluida (Cervantes </w:t>
      </w:r>
      <w:r>
        <w:rPr>
          <w:i/>
        </w:rPr>
        <w:t>et al., </w:t>
      </w:r>
      <w:r>
        <w:rPr/>
        <w:t>2008).</w:t>
      </w:r>
    </w:p>
    <w:p>
      <w:pPr>
        <w:pStyle w:val="BodyText"/>
        <w:spacing w:line="276" w:lineRule="auto" w:before="123"/>
        <w:ind w:left="142" w:right="147"/>
        <w:jc w:val="both"/>
      </w:pPr>
      <w:r>
        <w:rPr/>
        <w:t>Se define a la quesería en tres estratos según el volumen de leche que procesa diariamente:</w:t>
      </w:r>
    </w:p>
    <w:p>
      <w:pPr>
        <w:pStyle w:val="ListParagraph"/>
        <w:numPr>
          <w:ilvl w:val="0"/>
          <w:numId w:val="6"/>
        </w:numPr>
        <w:tabs>
          <w:tab w:pos="861" w:val="left" w:leader="none"/>
          <w:tab w:pos="862" w:val="left" w:leader="none"/>
        </w:tabs>
        <w:spacing w:line="240" w:lineRule="auto" w:before="119" w:after="0"/>
        <w:ind w:left="862" w:right="0" w:hanging="360"/>
        <w:jc w:val="left"/>
        <w:rPr>
          <w:sz w:val="24"/>
        </w:rPr>
      </w:pPr>
      <w:r>
        <w:rPr>
          <w:sz w:val="24"/>
        </w:rPr>
        <w:t>Pequeña: Volúmenes menores de 2000</w:t>
      </w:r>
      <w:r>
        <w:rPr>
          <w:spacing w:val="-20"/>
          <w:sz w:val="24"/>
        </w:rPr>
        <w:t> </w:t>
      </w:r>
      <w:r>
        <w:rPr>
          <w:sz w:val="24"/>
        </w:rPr>
        <w:t>lt/día</w:t>
      </w:r>
    </w:p>
    <w:p>
      <w:pPr>
        <w:pStyle w:val="ListParagraph"/>
        <w:numPr>
          <w:ilvl w:val="0"/>
          <w:numId w:val="6"/>
        </w:numPr>
        <w:tabs>
          <w:tab w:pos="861" w:val="left" w:leader="none"/>
          <w:tab w:pos="862" w:val="left" w:leader="none"/>
        </w:tabs>
        <w:spacing w:line="240" w:lineRule="auto" w:before="39" w:after="0"/>
        <w:ind w:left="862" w:right="0" w:hanging="360"/>
        <w:jc w:val="left"/>
        <w:rPr>
          <w:sz w:val="24"/>
        </w:rPr>
      </w:pPr>
      <w:r>
        <w:rPr>
          <w:sz w:val="24"/>
        </w:rPr>
        <w:t>Mediana: Entre 2000 y 20000</w:t>
      </w:r>
      <w:r>
        <w:rPr>
          <w:spacing w:val="-14"/>
          <w:sz w:val="24"/>
        </w:rPr>
        <w:t> </w:t>
      </w:r>
      <w:r>
        <w:rPr>
          <w:sz w:val="24"/>
        </w:rPr>
        <w:t>lt/día</w:t>
      </w:r>
    </w:p>
    <w:p>
      <w:pPr>
        <w:pStyle w:val="ListParagraph"/>
        <w:numPr>
          <w:ilvl w:val="0"/>
          <w:numId w:val="6"/>
        </w:numPr>
        <w:tabs>
          <w:tab w:pos="861" w:val="left" w:leader="none"/>
          <w:tab w:pos="862" w:val="left" w:leader="none"/>
        </w:tabs>
        <w:spacing w:line="240" w:lineRule="auto" w:before="42" w:after="0"/>
        <w:ind w:left="862" w:right="0" w:hanging="360"/>
        <w:jc w:val="left"/>
        <w:rPr>
          <w:sz w:val="24"/>
        </w:rPr>
      </w:pPr>
      <w:r>
        <w:rPr>
          <w:sz w:val="24"/>
        </w:rPr>
        <w:t>Gran industria: Volumen mayor a 20 000</w:t>
      </w:r>
      <w:r>
        <w:rPr>
          <w:spacing w:val="-15"/>
          <w:sz w:val="24"/>
        </w:rPr>
        <w:t> </w:t>
      </w:r>
      <w:r>
        <w:rPr>
          <w:sz w:val="24"/>
        </w:rPr>
        <w:t>lt/día</w:t>
      </w:r>
    </w:p>
    <w:p>
      <w:pPr>
        <w:pStyle w:val="BodyText"/>
        <w:spacing w:before="8"/>
        <w:rPr>
          <w:sz w:val="20"/>
        </w:rPr>
      </w:pPr>
    </w:p>
    <w:p>
      <w:pPr>
        <w:pStyle w:val="BodyText"/>
        <w:spacing w:line="276" w:lineRule="auto"/>
        <w:ind w:left="142" w:right="137"/>
        <w:jc w:val="both"/>
      </w:pPr>
      <w:r>
        <w:rPr/>
        <w:t>La producción artesanal se realiza en unidades de producción pequeñas y generalmente mal planeadas, requiere mucha mano de obra que maneja métodos operativos empíricos, producto de la práctica y repetición que carecen de conocimientos de base científica, escasa maquinaria, utensilios mínimos e indispensables para la transformación de la leche (ollas o tinas para cuajar, mesas de madera o metal para moldear y amasar, quemadores de gas, liras o palas de madera para cortar la cuajada, cubetas, enseres menores y en el menor de los casos</w:t>
      </w:r>
      <w:r>
        <w:rPr>
          <w:spacing w:val="-10"/>
        </w:rPr>
        <w:t> </w:t>
      </w:r>
      <w:r>
        <w:rPr/>
        <w:t>termómetro,</w:t>
      </w:r>
      <w:r>
        <w:rPr>
          <w:spacing w:val="-10"/>
        </w:rPr>
        <w:t> </w:t>
      </w:r>
      <w:r>
        <w:rPr/>
        <w:t>densitómetro</w:t>
      </w:r>
      <w:r>
        <w:rPr>
          <w:spacing w:val="-10"/>
        </w:rPr>
        <w:t> </w:t>
      </w:r>
      <w:r>
        <w:rPr/>
        <w:t>o</w:t>
      </w:r>
      <w:r>
        <w:rPr>
          <w:spacing w:val="-12"/>
        </w:rPr>
        <w:t> </w:t>
      </w:r>
      <w:r>
        <w:rPr/>
        <w:t>balanza),</w:t>
      </w:r>
      <w:r>
        <w:rPr>
          <w:spacing w:val="-10"/>
        </w:rPr>
        <w:t> </w:t>
      </w:r>
      <w:r>
        <w:rPr/>
        <w:t>la</w:t>
      </w:r>
      <w:r>
        <w:rPr>
          <w:spacing w:val="-9"/>
        </w:rPr>
        <w:t> </w:t>
      </w:r>
      <w:r>
        <w:rPr/>
        <w:t>complejidad</w:t>
      </w:r>
      <w:r>
        <w:rPr>
          <w:spacing w:val="-9"/>
        </w:rPr>
        <w:t> </w:t>
      </w:r>
      <w:r>
        <w:rPr/>
        <w:t>de</w:t>
      </w:r>
      <w:r>
        <w:rPr>
          <w:spacing w:val="-9"/>
        </w:rPr>
        <w:t> </w:t>
      </w:r>
      <w:r>
        <w:rPr/>
        <w:t>la</w:t>
      </w:r>
      <w:r>
        <w:rPr>
          <w:spacing w:val="-9"/>
        </w:rPr>
        <w:t> </w:t>
      </w:r>
      <w:r>
        <w:rPr/>
        <w:t>tecnología</w:t>
      </w:r>
      <w:r>
        <w:rPr>
          <w:spacing w:val="-9"/>
        </w:rPr>
        <w:t> </w:t>
      </w:r>
      <w:r>
        <w:rPr/>
        <w:t>está</w:t>
      </w:r>
      <w:r>
        <w:rPr>
          <w:spacing w:val="-9"/>
        </w:rPr>
        <w:t> </w:t>
      </w:r>
      <w:r>
        <w:rPr/>
        <w:t>en función</w:t>
      </w:r>
      <w:r>
        <w:rPr>
          <w:spacing w:val="-17"/>
        </w:rPr>
        <w:t> </w:t>
      </w:r>
      <w:r>
        <w:rPr/>
        <w:t>del</w:t>
      </w:r>
      <w:r>
        <w:rPr>
          <w:spacing w:val="-18"/>
        </w:rPr>
        <w:t> </w:t>
      </w:r>
      <w:r>
        <w:rPr/>
        <w:t>queso</w:t>
      </w:r>
      <w:r>
        <w:rPr>
          <w:spacing w:val="-17"/>
        </w:rPr>
        <w:t> </w:t>
      </w:r>
      <w:r>
        <w:rPr/>
        <w:t>que</w:t>
      </w:r>
      <w:r>
        <w:rPr>
          <w:spacing w:val="-19"/>
        </w:rPr>
        <w:t> </w:t>
      </w:r>
      <w:r>
        <w:rPr/>
        <w:t>se</w:t>
      </w:r>
      <w:r>
        <w:rPr>
          <w:spacing w:val="-17"/>
        </w:rPr>
        <w:t> </w:t>
      </w:r>
      <w:r>
        <w:rPr/>
        <w:t>va</w:t>
      </w:r>
      <w:r>
        <w:rPr>
          <w:spacing w:val="-17"/>
        </w:rPr>
        <w:t> </w:t>
      </w:r>
      <w:r>
        <w:rPr/>
        <w:t>a</w:t>
      </w:r>
      <w:r>
        <w:rPr>
          <w:spacing w:val="-13"/>
        </w:rPr>
        <w:t> </w:t>
      </w:r>
      <w:r>
        <w:rPr/>
        <w:t>elaborar,</w:t>
      </w:r>
      <w:r>
        <w:rPr>
          <w:spacing w:val="-18"/>
        </w:rPr>
        <w:t> </w:t>
      </w:r>
      <w:r>
        <w:rPr/>
        <w:t>los</w:t>
      </w:r>
      <w:r>
        <w:rPr>
          <w:spacing w:val="-17"/>
        </w:rPr>
        <w:t> </w:t>
      </w:r>
      <w:r>
        <w:rPr/>
        <w:t>procesos</w:t>
      </w:r>
      <w:r>
        <w:rPr>
          <w:spacing w:val="-20"/>
        </w:rPr>
        <w:t> </w:t>
      </w:r>
      <w:r>
        <w:rPr/>
        <w:t>no</w:t>
      </w:r>
      <w:r>
        <w:rPr>
          <w:spacing w:val="-17"/>
        </w:rPr>
        <w:t> </w:t>
      </w:r>
      <w:r>
        <w:rPr/>
        <w:t>son</w:t>
      </w:r>
      <w:r>
        <w:rPr>
          <w:spacing w:val="-17"/>
        </w:rPr>
        <w:t> </w:t>
      </w:r>
      <w:r>
        <w:rPr/>
        <w:t>estandarizados,</w:t>
      </w:r>
      <w:r>
        <w:rPr>
          <w:spacing w:val="-19"/>
        </w:rPr>
        <w:t> </w:t>
      </w:r>
      <w:r>
        <w:rPr/>
        <w:t>maneja bajos volúmenes de producción operando al margen de la normatividad técnica y sanitaria que deberían cumplir, viven en el rezago tecnológico en cuanto a sus elementos</w:t>
      </w:r>
      <w:r>
        <w:rPr>
          <w:spacing w:val="-13"/>
        </w:rPr>
        <w:t> </w:t>
      </w:r>
      <w:r>
        <w:rPr/>
        <w:t>materiales,</w:t>
      </w:r>
      <w:r>
        <w:rPr>
          <w:spacing w:val="-14"/>
        </w:rPr>
        <w:t> </w:t>
      </w:r>
      <w:r>
        <w:rPr/>
        <w:t>componentes</w:t>
      </w:r>
      <w:r>
        <w:rPr>
          <w:spacing w:val="-10"/>
        </w:rPr>
        <w:t> </w:t>
      </w:r>
      <w:r>
        <w:rPr/>
        <w:t>tecnológicos</w:t>
      </w:r>
      <w:r>
        <w:rPr>
          <w:spacing w:val="-10"/>
        </w:rPr>
        <w:t> </w:t>
      </w:r>
      <w:r>
        <w:rPr/>
        <w:t>como</w:t>
      </w:r>
      <w:r>
        <w:rPr>
          <w:spacing w:val="-12"/>
        </w:rPr>
        <w:t> </w:t>
      </w:r>
      <w:r>
        <w:rPr/>
        <w:t>el</w:t>
      </w:r>
      <w:r>
        <w:rPr>
          <w:spacing w:val="-13"/>
        </w:rPr>
        <w:t> </w:t>
      </w:r>
      <w:r>
        <w:rPr/>
        <w:t>manejo</w:t>
      </w:r>
      <w:r>
        <w:rPr>
          <w:spacing w:val="-12"/>
        </w:rPr>
        <w:t> </w:t>
      </w:r>
      <w:r>
        <w:rPr/>
        <w:t>de</w:t>
      </w:r>
      <w:r>
        <w:rPr>
          <w:spacing w:val="-9"/>
        </w:rPr>
        <w:t> </w:t>
      </w:r>
      <w:r>
        <w:rPr/>
        <w:t>la</w:t>
      </w:r>
      <w:r>
        <w:rPr>
          <w:spacing w:val="-12"/>
        </w:rPr>
        <w:t> </w:t>
      </w:r>
      <w:r>
        <w:rPr/>
        <w:t>información (contabilidad), organización para la producción y comercialización, estrategias de mercado y calidad. (Villegas, 2004; Cervantes </w:t>
      </w:r>
      <w:r>
        <w:rPr>
          <w:i/>
        </w:rPr>
        <w:t>et al.,</w:t>
      </w:r>
      <w:r>
        <w:rPr>
          <w:i/>
          <w:spacing w:val="-17"/>
        </w:rPr>
        <w:t> </w:t>
      </w:r>
      <w:r>
        <w:rPr/>
        <w:t>2008).</w:t>
      </w:r>
    </w:p>
    <w:p>
      <w:pPr>
        <w:pStyle w:val="BodyText"/>
        <w:spacing w:line="276" w:lineRule="auto" w:before="123"/>
        <w:ind w:left="142" w:right="136"/>
        <w:jc w:val="both"/>
      </w:pPr>
      <w:r>
        <w:rPr/>
        <w:t>La desigualdad en el ingreso y en la cultura entre la población de la República Mexicana podría explicar los “nichos” en el mercado nacional del queso, la elaboración de queso constituye la salida principal para muchos pequeños y medianos</w:t>
      </w:r>
      <w:r>
        <w:rPr>
          <w:spacing w:val="-7"/>
        </w:rPr>
        <w:t> </w:t>
      </w:r>
      <w:r>
        <w:rPr/>
        <w:t>productores</w:t>
      </w:r>
      <w:r>
        <w:rPr>
          <w:spacing w:val="-7"/>
        </w:rPr>
        <w:t> </w:t>
      </w:r>
      <w:r>
        <w:rPr/>
        <w:t>de</w:t>
      </w:r>
      <w:r>
        <w:rPr>
          <w:spacing w:val="-5"/>
        </w:rPr>
        <w:t> </w:t>
      </w:r>
      <w:r>
        <w:rPr/>
        <w:t>leche</w:t>
      </w:r>
      <w:r>
        <w:rPr>
          <w:spacing w:val="-5"/>
        </w:rPr>
        <w:t> </w:t>
      </w:r>
      <w:r>
        <w:rPr/>
        <w:t>(al</w:t>
      </w:r>
      <w:r>
        <w:rPr>
          <w:spacing w:val="-6"/>
        </w:rPr>
        <w:t> </w:t>
      </w:r>
      <w:r>
        <w:rPr/>
        <w:t>venderla</w:t>
      </w:r>
      <w:r>
        <w:rPr>
          <w:spacing w:val="-5"/>
        </w:rPr>
        <w:t> </w:t>
      </w:r>
      <w:r>
        <w:rPr/>
        <w:t>o</w:t>
      </w:r>
      <w:r>
        <w:rPr>
          <w:spacing w:val="-6"/>
        </w:rPr>
        <w:t> </w:t>
      </w:r>
      <w:r>
        <w:rPr/>
        <w:t>industrializarla</w:t>
      </w:r>
      <w:r>
        <w:rPr>
          <w:spacing w:val="-5"/>
        </w:rPr>
        <w:t> </w:t>
      </w:r>
      <w:r>
        <w:rPr/>
        <w:t>ellos</w:t>
      </w:r>
      <w:r>
        <w:rPr>
          <w:spacing w:val="-5"/>
        </w:rPr>
        <w:t> </w:t>
      </w:r>
      <w:r>
        <w:rPr/>
        <w:t>mismos),</w:t>
      </w:r>
      <w:r>
        <w:rPr>
          <w:spacing w:val="-6"/>
        </w:rPr>
        <w:t> </w:t>
      </w:r>
      <w:r>
        <w:rPr/>
        <w:t>ante</w:t>
      </w:r>
      <w:r>
        <w:rPr>
          <w:spacing w:val="-4"/>
        </w:rPr>
        <w:t> </w:t>
      </w:r>
      <w:r>
        <w:rPr/>
        <w:t>la baja rentabilidad de su actividad, originada por el incremento de los insumos para la producción y el bajo margen de la apropiación en la cadena agroindustrial leche/derivados lácteos, la mayoría de los quesos que son elaborados a nivel artesanal circulan en un ámbito comercial regional, a veces muy estrecho de unos cuantos municipios (Villegas,</w:t>
      </w:r>
      <w:r>
        <w:rPr>
          <w:spacing w:val="-9"/>
        </w:rPr>
        <w:t> </w:t>
      </w:r>
      <w:r>
        <w:rPr/>
        <w:t>2004).</w:t>
      </w:r>
    </w:p>
    <w:p>
      <w:pPr>
        <w:pStyle w:val="BodyText"/>
        <w:spacing w:line="276" w:lineRule="auto" w:before="120"/>
        <w:ind w:left="142" w:right="143"/>
        <w:jc w:val="both"/>
      </w:pPr>
      <w:r>
        <w:rPr/>
        <w:t>Los quesos mexicanos genuinos contribuyen a la preservación de la seguridad y soberanía alimentaria del país al reducir la dependencia de este tipo de productos,</w:t>
      </w:r>
    </w:p>
    <w:p>
      <w:pPr>
        <w:spacing w:after="0" w:line="276" w:lineRule="auto"/>
        <w:jc w:val="both"/>
        <w:sectPr>
          <w:pgSz w:w="12240" w:h="15840"/>
          <w:pgMar w:header="728" w:footer="710" w:top="1200" w:bottom="900" w:left="1560" w:right="1560"/>
        </w:sectPr>
      </w:pPr>
    </w:p>
    <w:p>
      <w:pPr>
        <w:pStyle w:val="BodyText"/>
        <w:spacing w:before="9"/>
        <w:rPr>
          <w:sz w:val="12"/>
        </w:rPr>
      </w:pPr>
    </w:p>
    <w:p>
      <w:pPr>
        <w:pStyle w:val="BodyText"/>
        <w:spacing w:line="276" w:lineRule="auto" w:before="70"/>
        <w:ind w:left="142" w:right="142"/>
        <w:jc w:val="both"/>
      </w:pPr>
      <w:r>
        <w:rPr/>
        <w:t>contribuyen a la preservación del saber-hacer y la gastronomía regional, proveen productos lácteos a sectores de la población de bajos ingresos que sin este tipo de productos estarían obligados a consumir sucedáneos de menor calidad nutricional (Grass-Ramírez y Cesín-Vargas, 2014).</w:t>
      </w:r>
    </w:p>
    <w:p>
      <w:pPr>
        <w:pStyle w:val="Heading2"/>
        <w:spacing w:before="120"/>
        <w:jc w:val="both"/>
      </w:pPr>
      <w:bookmarkStart w:name="_bookmark25" w:id="33"/>
      <w:bookmarkEnd w:id="33"/>
      <w:r>
        <w:rPr>
          <w:b w:val="0"/>
        </w:rPr>
      </w:r>
      <w:r>
        <w:rPr/>
        <w:t>Quesos genuinos mexicanos</w:t>
      </w:r>
    </w:p>
    <w:p>
      <w:pPr>
        <w:pStyle w:val="BodyText"/>
        <w:spacing w:line="276" w:lineRule="auto" w:before="26"/>
        <w:ind w:left="142" w:right="137"/>
        <w:jc w:val="both"/>
      </w:pPr>
      <w:r>
        <w:rPr/>
        <w:t>Los quesos genuinos, entre ellos los artesanales con base en leche cruda, son los que históricamente se elaboraron primero, dominaron por 30 siglos y tuvieron que esperar el desarrollo de la tecnología, incluyendo el uso de la descremadora, la pasteurización,</w:t>
      </w:r>
      <w:r>
        <w:rPr>
          <w:spacing w:val="-4"/>
        </w:rPr>
        <w:t> </w:t>
      </w:r>
      <w:r>
        <w:rPr/>
        <w:t>la</w:t>
      </w:r>
      <w:r>
        <w:rPr>
          <w:spacing w:val="-4"/>
        </w:rPr>
        <w:t> </w:t>
      </w:r>
      <w:r>
        <w:rPr/>
        <w:t>refrigeración</w:t>
      </w:r>
      <w:r>
        <w:rPr>
          <w:spacing w:val="-4"/>
        </w:rPr>
        <w:t> </w:t>
      </w:r>
      <w:r>
        <w:rPr/>
        <w:t>y</w:t>
      </w:r>
      <w:r>
        <w:rPr>
          <w:spacing w:val="-7"/>
        </w:rPr>
        <w:t> </w:t>
      </w:r>
      <w:r>
        <w:rPr/>
        <w:t>de</w:t>
      </w:r>
      <w:r>
        <w:rPr>
          <w:spacing w:val="-4"/>
        </w:rPr>
        <w:t> </w:t>
      </w:r>
      <w:r>
        <w:rPr/>
        <w:t>cultivos</w:t>
      </w:r>
      <w:r>
        <w:rPr>
          <w:spacing w:val="-4"/>
        </w:rPr>
        <w:t> </w:t>
      </w:r>
      <w:r>
        <w:rPr/>
        <w:t>lácticos</w:t>
      </w:r>
      <w:r>
        <w:rPr>
          <w:spacing w:val="-4"/>
        </w:rPr>
        <w:t> </w:t>
      </w:r>
      <w:r>
        <w:rPr/>
        <w:t>seleccionados</w:t>
      </w:r>
      <w:r>
        <w:rPr>
          <w:spacing w:val="-7"/>
        </w:rPr>
        <w:t> </w:t>
      </w:r>
      <w:r>
        <w:rPr/>
        <w:t>para</w:t>
      </w:r>
      <w:r>
        <w:rPr>
          <w:spacing w:val="-4"/>
        </w:rPr>
        <w:t> </w:t>
      </w:r>
      <w:r>
        <w:rPr/>
        <w:t>dar</w:t>
      </w:r>
      <w:r>
        <w:rPr>
          <w:spacing w:val="-5"/>
        </w:rPr>
        <w:t> </w:t>
      </w:r>
      <w:r>
        <w:rPr/>
        <w:t>paso</w:t>
      </w:r>
      <w:r>
        <w:rPr>
          <w:spacing w:val="-8"/>
        </w:rPr>
        <w:t> </w:t>
      </w:r>
      <w:r>
        <w:rPr/>
        <w:t>a los quesos de leche pasteurizada (Villegas, 2004). La mayor parte de los quesos mexicanos genuinos se comenzaron a elaborar en ranchos y rancherías para aprovechar</w:t>
      </w:r>
      <w:r>
        <w:rPr>
          <w:spacing w:val="-17"/>
        </w:rPr>
        <w:t> </w:t>
      </w:r>
      <w:r>
        <w:rPr/>
        <w:t>los</w:t>
      </w:r>
      <w:r>
        <w:rPr>
          <w:spacing w:val="-15"/>
        </w:rPr>
        <w:t> </w:t>
      </w:r>
      <w:r>
        <w:rPr/>
        <w:t>excedentes</w:t>
      </w:r>
      <w:r>
        <w:rPr>
          <w:spacing w:val="-16"/>
        </w:rPr>
        <w:t> </w:t>
      </w:r>
      <w:r>
        <w:rPr/>
        <w:t>de</w:t>
      </w:r>
      <w:r>
        <w:rPr>
          <w:spacing w:val="-15"/>
        </w:rPr>
        <w:t> </w:t>
      </w:r>
      <w:r>
        <w:rPr/>
        <w:t>leche</w:t>
      </w:r>
      <w:r>
        <w:rPr>
          <w:spacing w:val="-15"/>
        </w:rPr>
        <w:t> </w:t>
      </w:r>
      <w:r>
        <w:rPr/>
        <w:t>generados</w:t>
      </w:r>
      <w:r>
        <w:rPr>
          <w:spacing w:val="-16"/>
        </w:rPr>
        <w:t> </w:t>
      </w:r>
      <w:r>
        <w:rPr/>
        <w:t>durante</w:t>
      </w:r>
      <w:r>
        <w:rPr>
          <w:spacing w:val="-17"/>
        </w:rPr>
        <w:t> </w:t>
      </w:r>
      <w:r>
        <w:rPr/>
        <w:t>el</w:t>
      </w:r>
      <w:r>
        <w:rPr>
          <w:spacing w:val="-16"/>
        </w:rPr>
        <w:t> </w:t>
      </w:r>
      <w:r>
        <w:rPr/>
        <w:t>periodo</w:t>
      </w:r>
      <w:r>
        <w:rPr>
          <w:spacing w:val="-15"/>
        </w:rPr>
        <w:t> </w:t>
      </w:r>
      <w:r>
        <w:rPr/>
        <w:t>de</w:t>
      </w:r>
      <w:r>
        <w:rPr>
          <w:spacing w:val="-15"/>
        </w:rPr>
        <w:t> </w:t>
      </w:r>
      <w:r>
        <w:rPr/>
        <w:t>lluvias,</w:t>
      </w:r>
      <w:r>
        <w:rPr>
          <w:spacing w:val="-15"/>
        </w:rPr>
        <w:t> </w:t>
      </w:r>
      <w:r>
        <w:rPr/>
        <w:t>debido a esto, la acumulación de la producción y la ausencia de canales de comercialización</w:t>
      </w:r>
      <w:r>
        <w:rPr>
          <w:spacing w:val="-16"/>
        </w:rPr>
        <w:t> </w:t>
      </w:r>
      <w:r>
        <w:rPr/>
        <w:t>estimularon</w:t>
      </w:r>
      <w:r>
        <w:rPr>
          <w:spacing w:val="-17"/>
        </w:rPr>
        <w:t> </w:t>
      </w:r>
      <w:r>
        <w:rPr/>
        <w:t>el</w:t>
      </w:r>
      <w:r>
        <w:rPr>
          <w:spacing w:val="-20"/>
        </w:rPr>
        <w:t> </w:t>
      </w:r>
      <w:r>
        <w:rPr/>
        <w:t>autoconsumo:</w:t>
      </w:r>
      <w:r>
        <w:rPr>
          <w:spacing w:val="-17"/>
        </w:rPr>
        <w:t> </w:t>
      </w:r>
      <w:r>
        <w:rPr/>
        <w:t>queso</w:t>
      </w:r>
      <w:r>
        <w:rPr>
          <w:spacing w:val="-19"/>
        </w:rPr>
        <w:t> </w:t>
      </w:r>
      <w:r>
        <w:rPr/>
        <w:t>fresco</w:t>
      </w:r>
      <w:r>
        <w:rPr>
          <w:spacing w:val="-17"/>
        </w:rPr>
        <w:t> </w:t>
      </w:r>
      <w:r>
        <w:rPr/>
        <w:t>en</w:t>
      </w:r>
      <w:r>
        <w:rPr>
          <w:spacing w:val="-19"/>
        </w:rPr>
        <w:t> </w:t>
      </w:r>
      <w:r>
        <w:rPr/>
        <w:t>temporada</w:t>
      </w:r>
      <w:r>
        <w:rPr>
          <w:spacing w:val="-19"/>
        </w:rPr>
        <w:t> </w:t>
      </w:r>
      <w:r>
        <w:rPr/>
        <w:t>de</w:t>
      </w:r>
      <w:r>
        <w:rPr>
          <w:spacing w:val="-17"/>
        </w:rPr>
        <w:t> </w:t>
      </w:r>
      <w:r>
        <w:rPr/>
        <w:t>lluvias y queso añejo en estiaje (Grass-Ramírez y Cesín-Vargas,</w:t>
      </w:r>
      <w:r>
        <w:rPr>
          <w:spacing w:val="-20"/>
        </w:rPr>
        <w:t> </w:t>
      </w:r>
      <w:r>
        <w:rPr/>
        <w:t>2014).</w:t>
      </w:r>
    </w:p>
    <w:p>
      <w:pPr>
        <w:pStyle w:val="BodyText"/>
        <w:spacing w:line="276" w:lineRule="auto" w:before="123"/>
        <w:ind w:left="142" w:right="136"/>
        <w:jc w:val="both"/>
      </w:pPr>
      <w:r>
        <w:rPr/>
        <w:t>También</w:t>
      </w:r>
      <w:r>
        <w:rPr>
          <w:spacing w:val="-13"/>
        </w:rPr>
        <w:t> </w:t>
      </w:r>
      <w:r>
        <w:rPr/>
        <w:t>son</w:t>
      </w:r>
      <w:r>
        <w:rPr>
          <w:spacing w:val="-13"/>
        </w:rPr>
        <w:t> </w:t>
      </w:r>
      <w:r>
        <w:rPr/>
        <w:t>llamados</w:t>
      </w:r>
      <w:r>
        <w:rPr>
          <w:spacing w:val="-14"/>
        </w:rPr>
        <w:t> </w:t>
      </w:r>
      <w:r>
        <w:rPr/>
        <w:t>quesos</w:t>
      </w:r>
      <w:r>
        <w:rPr>
          <w:spacing w:val="-14"/>
        </w:rPr>
        <w:t> </w:t>
      </w:r>
      <w:r>
        <w:rPr/>
        <w:t>auténticos</w:t>
      </w:r>
      <w:r>
        <w:rPr>
          <w:spacing w:val="-14"/>
        </w:rPr>
        <w:t> </w:t>
      </w:r>
      <w:r>
        <w:rPr/>
        <w:t>y/o</w:t>
      </w:r>
      <w:r>
        <w:rPr>
          <w:spacing w:val="-12"/>
        </w:rPr>
        <w:t> </w:t>
      </w:r>
      <w:r>
        <w:rPr/>
        <w:t>quesos</w:t>
      </w:r>
      <w:r>
        <w:rPr>
          <w:spacing w:val="-14"/>
        </w:rPr>
        <w:t> </w:t>
      </w:r>
      <w:r>
        <w:rPr/>
        <w:t>naturales,</w:t>
      </w:r>
      <w:r>
        <w:rPr>
          <w:spacing w:val="-13"/>
        </w:rPr>
        <w:t> </w:t>
      </w:r>
      <w:r>
        <w:rPr/>
        <w:t>algunas</w:t>
      </w:r>
      <w:r>
        <w:rPr>
          <w:spacing w:val="-11"/>
        </w:rPr>
        <w:t> </w:t>
      </w:r>
      <w:r>
        <w:rPr/>
        <w:t>variedades de queso se consumen frescos (menos de dos semanas), sin un proceso de afinamiento, la diversidad se debe a un gran número de características, como tipo de leche, tipo de pasta, consistencia de la pasta, métodos de elaboración, tamaño, forma y empaque (Villegas, 2004). Los quesos mexicanos artesanales tienen un gran potencial como desencadenadores de desarrollo económico en zonas</w:t>
      </w:r>
      <w:r>
        <w:rPr>
          <w:spacing w:val="-46"/>
        </w:rPr>
        <w:t> </w:t>
      </w:r>
      <w:r>
        <w:rPr/>
        <w:t>rurales. Su importancia gastronómica y cultural es incuestionable, sin embargo, poco se sabe de ellos (Solís-Méndez </w:t>
      </w:r>
      <w:r>
        <w:rPr>
          <w:i/>
        </w:rPr>
        <w:t>et al.,</w:t>
      </w:r>
      <w:r>
        <w:rPr>
          <w:i/>
          <w:spacing w:val="-15"/>
        </w:rPr>
        <w:t> </w:t>
      </w:r>
      <w:r>
        <w:rPr/>
        <w:t>2012).</w:t>
      </w:r>
    </w:p>
    <w:p>
      <w:pPr>
        <w:pStyle w:val="BodyText"/>
        <w:spacing w:line="276" w:lineRule="auto" w:before="125"/>
        <w:ind w:left="142" w:right="136"/>
        <w:jc w:val="both"/>
      </w:pPr>
      <w:r>
        <w:rPr/>
        <w:t>En México se elaboran más de 30 tipos diferentes de queso, la mayor parte artesanales</w:t>
      </w:r>
      <w:r>
        <w:rPr>
          <w:spacing w:val="-11"/>
        </w:rPr>
        <w:t> </w:t>
      </w:r>
      <w:r>
        <w:rPr/>
        <w:t>y</w:t>
      </w:r>
      <w:r>
        <w:rPr>
          <w:spacing w:val="-14"/>
        </w:rPr>
        <w:t> </w:t>
      </w:r>
      <w:r>
        <w:rPr/>
        <w:t>de</w:t>
      </w:r>
      <w:r>
        <w:rPr>
          <w:spacing w:val="-11"/>
        </w:rPr>
        <w:t> </w:t>
      </w:r>
      <w:r>
        <w:rPr/>
        <w:t>difusión</w:t>
      </w:r>
      <w:r>
        <w:rPr>
          <w:spacing w:val="-10"/>
        </w:rPr>
        <w:t> </w:t>
      </w:r>
      <w:r>
        <w:rPr/>
        <w:t>regional</w:t>
      </w:r>
      <w:r>
        <w:rPr>
          <w:spacing w:val="-12"/>
        </w:rPr>
        <w:t> </w:t>
      </w:r>
      <w:r>
        <w:rPr/>
        <w:t>donde</w:t>
      </w:r>
      <w:r>
        <w:rPr>
          <w:spacing w:val="-11"/>
        </w:rPr>
        <w:t> </w:t>
      </w:r>
      <w:r>
        <w:rPr/>
        <w:t>la</w:t>
      </w:r>
      <w:r>
        <w:rPr>
          <w:spacing w:val="-7"/>
        </w:rPr>
        <w:t> </w:t>
      </w:r>
      <w:r>
        <w:rPr/>
        <w:t>información</w:t>
      </w:r>
      <w:r>
        <w:rPr>
          <w:spacing w:val="-11"/>
        </w:rPr>
        <w:t> </w:t>
      </w:r>
      <w:r>
        <w:rPr/>
        <w:t>se</w:t>
      </w:r>
      <w:r>
        <w:rPr>
          <w:spacing w:val="-11"/>
        </w:rPr>
        <w:t> </w:t>
      </w:r>
      <w:r>
        <w:rPr/>
        <w:t>basa</w:t>
      </w:r>
      <w:r>
        <w:rPr>
          <w:spacing w:val="-11"/>
        </w:rPr>
        <w:t> </w:t>
      </w:r>
      <w:r>
        <w:rPr/>
        <w:t>solamente</w:t>
      </w:r>
      <w:r>
        <w:rPr>
          <w:spacing w:val="-10"/>
        </w:rPr>
        <w:t> </w:t>
      </w:r>
      <w:r>
        <w:rPr/>
        <w:t>en</w:t>
      </w:r>
      <w:r>
        <w:rPr>
          <w:spacing w:val="-11"/>
        </w:rPr>
        <w:t> </w:t>
      </w:r>
      <w:r>
        <w:rPr/>
        <w:t>datos proporcionados por establecimientos sujetos a registro censal (Villegas, 2004). La legislación de control sanitario en México solo aplica a empresas establecidas por lo que para las empresas pequeñas y familiares no </w:t>
      </w:r>
      <w:r>
        <w:rPr>
          <w:spacing w:val="2"/>
        </w:rPr>
        <w:t>hay </w:t>
      </w:r>
      <w:r>
        <w:rPr/>
        <w:t>un estricto control sobre la higiene con la que se producen estos alimentos; en su mayoría los quesos se elaboran sin pasteurizar y tienen una vida de anaquel de 3 a 4 días, tienen como mercado los tianguis donde se hace la entrega el día en que se efectúa (sin refrigeración), no hay un inventario de los quesos que se comercializan sin registro del fabricante y se considera que el porcentaje es de hasta el 50% de los quesos que son comercializados en el país (Picos y Torres,</w:t>
      </w:r>
      <w:r>
        <w:rPr>
          <w:spacing w:val="-21"/>
        </w:rPr>
        <w:t> </w:t>
      </w:r>
      <w:r>
        <w:rPr/>
        <w:t>2006).</w:t>
      </w:r>
    </w:p>
    <w:p>
      <w:pPr>
        <w:pStyle w:val="BodyText"/>
      </w:pPr>
    </w:p>
    <w:p>
      <w:pPr>
        <w:pStyle w:val="BodyText"/>
        <w:spacing w:before="5"/>
      </w:pPr>
    </w:p>
    <w:p>
      <w:pPr>
        <w:pStyle w:val="Heading2"/>
        <w:spacing w:before="0"/>
        <w:jc w:val="both"/>
      </w:pPr>
      <w:bookmarkStart w:name="_bookmark26" w:id="34"/>
      <w:bookmarkEnd w:id="34"/>
      <w:r>
        <w:rPr>
          <w:b w:val="0"/>
        </w:rPr>
      </w:r>
      <w:r>
        <w:rPr/>
        <w:t>Clasificación de los quesos mexicanos genuinos</w:t>
      </w:r>
    </w:p>
    <w:p>
      <w:pPr>
        <w:pStyle w:val="BodyText"/>
        <w:spacing w:line="276" w:lineRule="auto" w:before="26"/>
        <w:ind w:left="142" w:right="141"/>
        <w:jc w:val="both"/>
      </w:pPr>
      <w:r>
        <w:rPr/>
        <w:t>Para Cervantes </w:t>
      </w:r>
      <w:r>
        <w:rPr>
          <w:i/>
        </w:rPr>
        <w:t>et al. </w:t>
      </w:r>
      <w:r>
        <w:rPr/>
        <w:t>(2008), los quesos nacionales pueden clasificarse siguiendo varios criterios: Según su formato (peso y tamaño), tipo de pasta, consistencia y grado de maduración entre otros.</w:t>
      </w:r>
    </w:p>
    <w:p>
      <w:pPr>
        <w:spacing w:after="0" w:line="276" w:lineRule="auto"/>
        <w:jc w:val="both"/>
        <w:sectPr>
          <w:pgSz w:w="12240" w:h="15840"/>
          <w:pgMar w:header="728" w:footer="710" w:top="1200" w:bottom="900" w:left="1560" w:right="1560"/>
        </w:sectPr>
      </w:pPr>
    </w:p>
    <w:p>
      <w:pPr>
        <w:pStyle w:val="BodyText"/>
        <w:spacing w:before="9"/>
        <w:rPr>
          <w:sz w:val="12"/>
        </w:rPr>
      </w:pPr>
    </w:p>
    <w:p>
      <w:pPr>
        <w:pStyle w:val="BodyText"/>
        <w:spacing w:line="276" w:lineRule="auto" w:before="70"/>
        <w:ind w:left="142" w:right="136"/>
        <w:jc w:val="both"/>
      </w:pPr>
      <w:r>
        <w:rPr/>
        <w:t>Por su forma predominan los cilindros aplanados (queso chihuahua, el de aro, de sal, sierra, de hoja y de rueda), los de diámetro-talón (altura) (queso Cotija), los de prisma</w:t>
      </w:r>
      <w:r>
        <w:rPr>
          <w:spacing w:val="-17"/>
        </w:rPr>
        <w:t> </w:t>
      </w:r>
      <w:r>
        <w:rPr/>
        <w:t>rectangular</w:t>
      </w:r>
      <w:r>
        <w:rPr>
          <w:spacing w:val="-18"/>
        </w:rPr>
        <w:t> </w:t>
      </w:r>
      <w:r>
        <w:rPr/>
        <w:t>(queso</w:t>
      </w:r>
      <w:r>
        <w:rPr>
          <w:spacing w:val="-17"/>
        </w:rPr>
        <w:t> </w:t>
      </w:r>
      <w:r>
        <w:rPr/>
        <w:t>adobera,</w:t>
      </w:r>
      <w:r>
        <w:rPr>
          <w:spacing w:val="-17"/>
        </w:rPr>
        <w:t> </w:t>
      </w:r>
      <w:r>
        <w:rPr/>
        <w:t>chihuahua,</w:t>
      </w:r>
      <w:r>
        <w:rPr>
          <w:spacing w:val="-17"/>
        </w:rPr>
        <w:t> </w:t>
      </w:r>
      <w:r>
        <w:rPr/>
        <w:t>el</w:t>
      </w:r>
      <w:r>
        <w:rPr>
          <w:spacing w:val="-18"/>
        </w:rPr>
        <w:t> </w:t>
      </w:r>
      <w:r>
        <w:rPr/>
        <w:t>crema,</w:t>
      </w:r>
      <w:r>
        <w:rPr>
          <w:spacing w:val="-17"/>
        </w:rPr>
        <w:t> </w:t>
      </w:r>
      <w:r>
        <w:rPr/>
        <w:t>tropical,</w:t>
      </w:r>
      <w:r>
        <w:rPr>
          <w:spacing w:val="-17"/>
        </w:rPr>
        <w:t> </w:t>
      </w:r>
      <w:r>
        <w:rPr/>
        <w:t>el</w:t>
      </w:r>
      <w:r>
        <w:rPr>
          <w:spacing w:val="-19"/>
        </w:rPr>
        <w:t> </w:t>
      </w:r>
      <w:r>
        <w:rPr/>
        <w:t>de</w:t>
      </w:r>
      <w:r>
        <w:rPr>
          <w:spacing w:val="-17"/>
        </w:rPr>
        <w:t> </w:t>
      </w:r>
      <w:r>
        <w:rPr/>
        <w:t>poro)</w:t>
      </w:r>
      <w:r>
        <w:rPr>
          <w:spacing w:val="-18"/>
        </w:rPr>
        <w:t> </w:t>
      </w:r>
      <w:r>
        <w:rPr/>
        <w:t>y</w:t>
      </w:r>
      <w:r>
        <w:rPr>
          <w:spacing w:val="-19"/>
        </w:rPr>
        <w:t> </w:t>
      </w:r>
      <w:r>
        <w:rPr/>
        <w:t>otras formas</w:t>
      </w:r>
      <w:r>
        <w:rPr>
          <w:spacing w:val="-14"/>
        </w:rPr>
        <w:t> </w:t>
      </w:r>
      <w:r>
        <w:rPr/>
        <w:t>como</w:t>
      </w:r>
      <w:r>
        <w:rPr>
          <w:spacing w:val="-13"/>
        </w:rPr>
        <w:t> </w:t>
      </w:r>
      <w:r>
        <w:rPr/>
        <w:t>el</w:t>
      </w:r>
      <w:r>
        <w:rPr>
          <w:spacing w:val="-14"/>
        </w:rPr>
        <w:t> </w:t>
      </w:r>
      <w:r>
        <w:rPr/>
        <w:t>panela</w:t>
      </w:r>
      <w:r>
        <w:rPr>
          <w:spacing w:val="-16"/>
        </w:rPr>
        <w:t> </w:t>
      </w:r>
      <w:r>
        <w:rPr/>
        <w:t>(tronconica),</w:t>
      </w:r>
      <w:r>
        <w:rPr>
          <w:spacing w:val="-13"/>
        </w:rPr>
        <w:t> </w:t>
      </w:r>
      <w:r>
        <w:rPr/>
        <w:t>el</w:t>
      </w:r>
      <w:r>
        <w:rPr>
          <w:spacing w:val="-14"/>
        </w:rPr>
        <w:t> </w:t>
      </w:r>
      <w:r>
        <w:rPr/>
        <w:t>guaje</w:t>
      </w:r>
      <w:r>
        <w:rPr>
          <w:spacing w:val="-13"/>
        </w:rPr>
        <w:t> </w:t>
      </w:r>
      <w:r>
        <w:rPr/>
        <w:t>(basto),</w:t>
      </w:r>
      <w:r>
        <w:rPr>
          <w:spacing w:val="-14"/>
        </w:rPr>
        <w:t> </w:t>
      </w:r>
      <w:r>
        <w:rPr/>
        <w:t>el</w:t>
      </w:r>
      <w:r>
        <w:rPr>
          <w:spacing w:val="-14"/>
        </w:rPr>
        <w:t> </w:t>
      </w:r>
      <w:r>
        <w:rPr/>
        <w:t>oaxaca,</w:t>
      </w:r>
      <w:r>
        <w:rPr>
          <w:spacing w:val="-13"/>
        </w:rPr>
        <w:t> </w:t>
      </w:r>
      <w:r>
        <w:rPr/>
        <w:t>el</w:t>
      </w:r>
      <w:r>
        <w:rPr>
          <w:spacing w:val="-14"/>
        </w:rPr>
        <w:t> </w:t>
      </w:r>
      <w:r>
        <w:rPr/>
        <w:t>trenzado</w:t>
      </w:r>
      <w:r>
        <w:rPr>
          <w:spacing w:val="-13"/>
        </w:rPr>
        <w:t> </w:t>
      </w:r>
      <w:r>
        <w:rPr/>
        <w:t>y</w:t>
      </w:r>
      <w:r>
        <w:rPr>
          <w:spacing w:val="-16"/>
        </w:rPr>
        <w:t> </w:t>
      </w:r>
      <w:r>
        <w:rPr/>
        <w:t>el</w:t>
      </w:r>
      <w:r>
        <w:rPr>
          <w:spacing w:val="-14"/>
        </w:rPr>
        <w:t> </w:t>
      </w:r>
      <w:r>
        <w:rPr/>
        <w:t>bola de Ocosingo. Por tamaño y peso oscila desde los pequeños oaxaca (quesillos), de unos</w:t>
      </w:r>
      <w:r>
        <w:rPr>
          <w:spacing w:val="-13"/>
        </w:rPr>
        <w:t> </w:t>
      </w:r>
      <w:r>
        <w:rPr/>
        <w:t>cuantos</w:t>
      </w:r>
      <w:r>
        <w:rPr>
          <w:spacing w:val="-13"/>
        </w:rPr>
        <w:t> </w:t>
      </w:r>
      <w:r>
        <w:rPr/>
        <w:t>gramos</w:t>
      </w:r>
      <w:r>
        <w:rPr>
          <w:spacing w:val="-14"/>
        </w:rPr>
        <w:t> </w:t>
      </w:r>
      <w:r>
        <w:rPr/>
        <w:t>para</w:t>
      </w:r>
      <w:r>
        <w:rPr>
          <w:spacing w:val="-12"/>
        </w:rPr>
        <w:t> </w:t>
      </w:r>
      <w:r>
        <w:rPr/>
        <w:t>botana</w:t>
      </w:r>
      <w:r>
        <w:rPr>
          <w:spacing w:val="-12"/>
        </w:rPr>
        <w:t> </w:t>
      </w:r>
      <w:r>
        <w:rPr/>
        <w:t>y</w:t>
      </w:r>
      <w:r>
        <w:rPr>
          <w:spacing w:val="-15"/>
        </w:rPr>
        <w:t> </w:t>
      </w:r>
      <w:r>
        <w:rPr/>
        <w:t>golosina,</w:t>
      </w:r>
      <w:r>
        <w:rPr>
          <w:spacing w:val="-12"/>
        </w:rPr>
        <w:t> </w:t>
      </w:r>
      <w:r>
        <w:rPr/>
        <w:t>hasta</w:t>
      </w:r>
      <w:r>
        <w:rPr>
          <w:spacing w:val="-12"/>
        </w:rPr>
        <w:t> </w:t>
      </w:r>
      <w:r>
        <w:rPr/>
        <w:t>los</w:t>
      </w:r>
      <w:r>
        <w:rPr>
          <w:spacing w:val="-14"/>
        </w:rPr>
        <w:t> </w:t>
      </w:r>
      <w:r>
        <w:rPr/>
        <w:t>de</w:t>
      </w:r>
      <w:r>
        <w:rPr>
          <w:spacing w:val="-12"/>
        </w:rPr>
        <w:t> </w:t>
      </w:r>
      <w:r>
        <w:rPr/>
        <w:t>varios</w:t>
      </w:r>
      <w:r>
        <w:rPr>
          <w:spacing w:val="-13"/>
        </w:rPr>
        <w:t> </w:t>
      </w:r>
      <w:r>
        <w:rPr/>
        <w:t>kilogramos</w:t>
      </w:r>
      <w:r>
        <w:rPr>
          <w:spacing w:val="-13"/>
        </w:rPr>
        <w:t> </w:t>
      </w:r>
      <w:r>
        <w:rPr/>
        <w:t>(queso Cotija). Por el tipo de pasta pueden ser blandos (queso panela), semiduros (chihuahua, chapingo), duros (sierra y adobera), untables (requesón), tajables (sierra, adobera), rallables (queso de sal añejo), de pasta ligeramente cocida (el chihuahua), de pasta lavada (tipo manchego mexicano), de pasta filada (el</w:t>
      </w:r>
      <w:r>
        <w:rPr>
          <w:spacing w:val="-36"/>
        </w:rPr>
        <w:t> </w:t>
      </w:r>
      <w:r>
        <w:rPr/>
        <w:t>oaxaca, trenzado y el guaje) y están los exóticos como el caso de los chongos y el</w:t>
      </w:r>
      <w:r>
        <w:rPr>
          <w:spacing w:val="-35"/>
        </w:rPr>
        <w:t> </w:t>
      </w:r>
      <w:r>
        <w:rPr/>
        <w:t>jocoque. Según el grado de maduración pueden clasificarse en frescos (la mayor parte), ligeramente</w:t>
      </w:r>
      <w:r>
        <w:rPr>
          <w:spacing w:val="-13"/>
        </w:rPr>
        <w:t> </w:t>
      </w:r>
      <w:r>
        <w:rPr/>
        <w:t>madurados</w:t>
      </w:r>
      <w:r>
        <w:rPr>
          <w:spacing w:val="-12"/>
        </w:rPr>
        <w:t> </w:t>
      </w:r>
      <w:r>
        <w:rPr/>
        <w:t>(poro,</w:t>
      </w:r>
      <w:r>
        <w:rPr>
          <w:spacing w:val="-11"/>
        </w:rPr>
        <w:t> </w:t>
      </w:r>
      <w:r>
        <w:rPr/>
        <w:t>chihuahua,</w:t>
      </w:r>
      <w:r>
        <w:rPr>
          <w:spacing w:val="-11"/>
        </w:rPr>
        <w:t> </w:t>
      </w:r>
      <w:r>
        <w:rPr/>
        <w:t>tipo</w:t>
      </w:r>
      <w:r>
        <w:rPr>
          <w:spacing w:val="-11"/>
        </w:rPr>
        <w:t> </w:t>
      </w:r>
      <w:r>
        <w:rPr/>
        <w:t>manchego)</w:t>
      </w:r>
      <w:r>
        <w:rPr>
          <w:spacing w:val="-12"/>
        </w:rPr>
        <w:t> </w:t>
      </w:r>
      <w:r>
        <w:rPr/>
        <w:t>y</w:t>
      </w:r>
      <w:r>
        <w:rPr>
          <w:spacing w:val="-14"/>
        </w:rPr>
        <w:t> </w:t>
      </w:r>
      <w:r>
        <w:rPr/>
        <w:t>madurados</w:t>
      </w:r>
      <w:r>
        <w:rPr>
          <w:spacing w:val="-12"/>
        </w:rPr>
        <w:t> </w:t>
      </w:r>
      <w:r>
        <w:rPr/>
        <w:t>(el</w:t>
      </w:r>
      <w:r>
        <w:rPr>
          <w:spacing w:val="-12"/>
        </w:rPr>
        <w:t> </w:t>
      </w:r>
      <w:r>
        <w:rPr/>
        <w:t>cotija</w:t>
      </w:r>
      <w:r>
        <w:rPr>
          <w:spacing w:val="-13"/>
        </w:rPr>
        <w:t> </w:t>
      </w:r>
      <w:r>
        <w:rPr/>
        <w:t>de la sierra de Jalmich, y los rancheros añejos secos). Por su área de difusión están los que se producen en varios estados del país y que se comercializan en otros lugares cercanos o lejanos, los que tienen alcance comercial regional y los que se producen</w:t>
      </w:r>
      <w:r>
        <w:rPr>
          <w:spacing w:val="-12"/>
        </w:rPr>
        <w:t> </w:t>
      </w:r>
      <w:r>
        <w:rPr/>
        <w:t>en</w:t>
      </w:r>
      <w:r>
        <w:rPr>
          <w:spacing w:val="-14"/>
        </w:rPr>
        <w:t> </w:t>
      </w:r>
      <w:r>
        <w:rPr/>
        <w:t>áreas</w:t>
      </w:r>
      <w:r>
        <w:rPr>
          <w:spacing w:val="-13"/>
        </w:rPr>
        <w:t> </w:t>
      </w:r>
      <w:r>
        <w:rPr/>
        <w:t>restringidas</w:t>
      </w:r>
      <w:r>
        <w:rPr>
          <w:spacing w:val="-10"/>
        </w:rPr>
        <w:t> </w:t>
      </w:r>
      <w:r>
        <w:rPr/>
        <w:t>del</w:t>
      </w:r>
      <w:r>
        <w:rPr>
          <w:spacing w:val="-13"/>
        </w:rPr>
        <w:t> </w:t>
      </w:r>
      <w:r>
        <w:rPr/>
        <w:t>país</w:t>
      </w:r>
      <w:r>
        <w:rPr>
          <w:spacing w:val="-10"/>
        </w:rPr>
        <w:t> </w:t>
      </w:r>
      <w:r>
        <w:rPr/>
        <w:t>y</w:t>
      </w:r>
      <w:r>
        <w:rPr>
          <w:spacing w:val="-13"/>
        </w:rPr>
        <w:t> </w:t>
      </w:r>
      <w:r>
        <w:rPr/>
        <w:t>se</w:t>
      </w:r>
      <w:r>
        <w:rPr>
          <w:spacing w:val="-12"/>
        </w:rPr>
        <w:t> </w:t>
      </w:r>
      <w:r>
        <w:rPr/>
        <w:t>comercializan</w:t>
      </w:r>
      <w:r>
        <w:rPr>
          <w:spacing w:val="-9"/>
        </w:rPr>
        <w:t> </w:t>
      </w:r>
      <w:r>
        <w:rPr/>
        <w:t>localmente</w:t>
      </w:r>
      <w:r>
        <w:rPr>
          <w:spacing w:val="-9"/>
        </w:rPr>
        <w:t> </w:t>
      </w:r>
      <w:r>
        <w:rPr/>
        <w:t>entre</w:t>
      </w:r>
      <w:r>
        <w:rPr>
          <w:spacing w:val="-12"/>
        </w:rPr>
        <w:t> </w:t>
      </w:r>
      <w:r>
        <w:rPr/>
        <w:t>los</w:t>
      </w:r>
      <w:r>
        <w:rPr>
          <w:spacing w:val="-12"/>
        </w:rPr>
        <w:t> </w:t>
      </w:r>
      <w:r>
        <w:rPr/>
        <w:t>que se encuentra el queso ranchero de aro u otro formato elaborados y vendidos en el entorno</w:t>
      </w:r>
      <w:r>
        <w:rPr>
          <w:spacing w:val="-8"/>
        </w:rPr>
        <w:t> </w:t>
      </w:r>
      <w:r>
        <w:rPr/>
        <w:t>inmediato.</w:t>
      </w:r>
    </w:p>
    <w:p>
      <w:pPr>
        <w:pStyle w:val="BodyText"/>
        <w:spacing w:before="120"/>
        <w:ind w:left="142"/>
        <w:jc w:val="both"/>
      </w:pPr>
      <w:r>
        <w:rPr/>
        <w:t>Sin embargo Picos y Torres (2006), los clasifican de la siguiente manera:</w:t>
      </w:r>
    </w:p>
    <w:p>
      <w:pPr>
        <w:pStyle w:val="BodyText"/>
        <w:spacing w:line="276" w:lineRule="auto" w:before="163"/>
        <w:ind w:left="142" w:right="144"/>
        <w:jc w:val="both"/>
      </w:pPr>
      <w:r>
        <w:rPr/>
        <w:t>Quesos</w:t>
      </w:r>
      <w:r>
        <w:rPr>
          <w:spacing w:val="-12"/>
        </w:rPr>
        <w:t> </w:t>
      </w:r>
      <w:r>
        <w:rPr/>
        <w:t>frescos</w:t>
      </w:r>
      <w:r>
        <w:rPr>
          <w:spacing w:val="-10"/>
        </w:rPr>
        <w:t> </w:t>
      </w:r>
      <w:r>
        <w:rPr/>
        <w:t>sin</w:t>
      </w:r>
      <w:r>
        <w:rPr>
          <w:spacing w:val="-7"/>
        </w:rPr>
        <w:t> </w:t>
      </w:r>
      <w:r>
        <w:rPr/>
        <w:t>prensar:</w:t>
      </w:r>
      <w:r>
        <w:rPr>
          <w:spacing w:val="-8"/>
        </w:rPr>
        <w:t> </w:t>
      </w:r>
      <w:r>
        <w:rPr/>
        <w:t>Dentro</w:t>
      </w:r>
      <w:r>
        <w:rPr>
          <w:spacing w:val="-10"/>
        </w:rPr>
        <w:t> </w:t>
      </w:r>
      <w:r>
        <w:rPr/>
        <w:t>de</w:t>
      </w:r>
      <w:r>
        <w:rPr>
          <w:spacing w:val="-9"/>
        </w:rPr>
        <w:t> </w:t>
      </w:r>
      <w:r>
        <w:rPr/>
        <w:t>esta</w:t>
      </w:r>
      <w:r>
        <w:rPr>
          <w:spacing w:val="-7"/>
        </w:rPr>
        <w:t> </w:t>
      </w:r>
      <w:r>
        <w:rPr/>
        <w:t>categoría</w:t>
      </w:r>
      <w:r>
        <w:rPr>
          <w:spacing w:val="-7"/>
        </w:rPr>
        <w:t> </w:t>
      </w:r>
      <w:r>
        <w:rPr/>
        <w:t>están</w:t>
      </w:r>
      <w:r>
        <w:rPr>
          <w:spacing w:val="-7"/>
        </w:rPr>
        <w:t> </w:t>
      </w:r>
      <w:r>
        <w:rPr/>
        <w:t>el</w:t>
      </w:r>
      <w:r>
        <w:rPr>
          <w:spacing w:val="-8"/>
        </w:rPr>
        <w:t> </w:t>
      </w:r>
      <w:r>
        <w:rPr/>
        <w:t>queso</w:t>
      </w:r>
      <w:r>
        <w:rPr>
          <w:spacing w:val="-9"/>
        </w:rPr>
        <w:t> </w:t>
      </w:r>
      <w:r>
        <w:rPr/>
        <w:t>fresco,</w:t>
      </w:r>
      <w:r>
        <w:rPr>
          <w:spacing w:val="-7"/>
        </w:rPr>
        <w:t> </w:t>
      </w:r>
      <w:r>
        <w:rPr/>
        <w:t>panela y</w:t>
      </w:r>
      <w:r>
        <w:rPr>
          <w:spacing w:val="-9"/>
        </w:rPr>
        <w:t> </w:t>
      </w:r>
      <w:r>
        <w:rPr/>
        <w:t>canasto</w:t>
      </w:r>
      <w:r>
        <w:rPr>
          <w:spacing w:val="-6"/>
        </w:rPr>
        <w:t> </w:t>
      </w:r>
      <w:r>
        <w:rPr/>
        <w:t>se</w:t>
      </w:r>
      <w:r>
        <w:rPr>
          <w:spacing w:val="-6"/>
        </w:rPr>
        <w:t> </w:t>
      </w:r>
      <w:r>
        <w:rPr/>
        <w:t>elaboran</w:t>
      </w:r>
      <w:r>
        <w:rPr>
          <w:spacing w:val="-8"/>
        </w:rPr>
        <w:t> </w:t>
      </w:r>
      <w:r>
        <w:rPr/>
        <w:t>con</w:t>
      </w:r>
      <w:r>
        <w:rPr>
          <w:spacing w:val="-6"/>
        </w:rPr>
        <w:t> </w:t>
      </w:r>
      <w:r>
        <w:rPr/>
        <w:t>leche</w:t>
      </w:r>
      <w:r>
        <w:rPr>
          <w:spacing w:val="-6"/>
        </w:rPr>
        <w:t> </w:t>
      </w:r>
      <w:r>
        <w:rPr/>
        <w:t>pasteurizada</w:t>
      </w:r>
      <w:r>
        <w:rPr>
          <w:spacing w:val="-6"/>
        </w:rPr>
        <w:t> </w:t>
      </w:r>
      <w:r>
        <w:rPr/>
        <w:t>a</w:t>
      </w:r>
      <w:r>
        <w:rPr>
          <w:spacing w:val="-6"/>
        </w:rPr>
        <w:t> </w:t>
      </w:r>
      <w:r>
        <w:rPr/>
        <w:t>una</w:t>
      </w:r>
      <w:r>
        <w:rPr>
          <w:spacing w:val="-6"/>
        </w:rPr>
        <w:t> </w:t>
      </w:r>
      <w:r>
        <w:rPr/>
        <w:t>temperatura</w:t>
      </w:r>
      <w:r>
        <w:rPr>
          <w:spacing w:val="-7"/>
        </w:rPr>
        <w:t> </w:t>
      </w:r>
      <w:r>
        <w:rPr/>
        <w:t>de</w:t>
      </w:r>
      <w:r>
        <w:rPr>
          <w:spacing w:val="-6"/>
        </w:rPr>
        <w:t> </w:t>
      </w:r>
      <w:r>
        <w:rPr/>
        <w:t>70</w:t>
      </w:r>
      <w:r>
        <w:rPr>
          <w:spacing w:val="-6"/>
        </w:rPr>
        <w:t> </w:t>
      </w:r>
      <w:r>
        <w:rPr/>
        <w:t>a</w:t>
      </w:r>
      <w:r>
        <w:rPr>
          <w:spacing w:val="-8"/>
        </w:rPr>
        <w:t> </w:t>
      </w:r>
      <w:r>
        <w:rPr/>
        <w:t>78°C,</w:t>
      </w:r>
      <w:r>
        <w:rPr>
          <w:spacing w:val="-9"/>
        </w:rPr>
        <w:t> </w:t>
      </w:r>
      <w:r>
        <w:rPr/>
        <w:t>a</w:t>
      </w:r>
      <w:r>
        <w:rPr>
          <w:spacing w:val="-6"/>
        </w:rPr>
        <w:t> </w:t>
      </w:r>
      <w:r>
        <w:rPr/>
        <w:t>la cuajada obtenida se le agrega sal y no es prensada, se deja escurrir en el molde durante la noche y al día siguiente se empaca y sale a la</w:t>
      </w:r>
      <w:r>
        <w:rPr>
          <w:spacing w:val="-23"/>
        </w:rPr>
        <w:t> </w:t>
      </w:r>
      <w:r>
        <w:rPr/>
        <w:t>venta.</w:t>
      </w:r>
    </w:p>
    <w:p>
      <w:pPr>
        <w:pStyle w:val="BodyText"/>
        <w:spacing w:line="276" w:lineRule="auto" w:before="123"/>
        <w:ind w:left="142" w:right="147"/>
        <w:jc w:val="both"/>
      </w:pPr>
      <w:r>
        <w:rPr/>
        <w:t>Quesos frescos prensados: Se incluyen el queso frescal, ranchero o de rancho, se elaboran con leche pasteurizada a una temperatura de 80 a 90°C y el producto es prensado y se empaca.</w:t>
      </w:r>
    </w:p>
    <w:p>
      <w:pPr>
        <w:pStyle w:val="BodyText"/>
        <w:spacing w:line="276" w:lineRule="auto" w:before="120"/>
        <w:ind w:left="142" w:right="143"/>
        <w:jc w:val="both"/>
      </w:pPr>
      <w:r>
        <w:rPr/>
        <w:t>Queso fresco fundido: Quesos oaxaca, quesillo, adobera, asadero y tetilla, son elaborados artesanalmente sin la adición de cultivos lácticos. La acidificación se lleva</w:t>
      </w:r>
      <w:r>
        <w:rPr>
          <w:spacing w:val="-6"/>
        </w:rPr>
        <w:t> </w:t>
      </w:r>
      <w:r>
        <w:rPr/>
        <w:t>a</w:t>
      </w:r>
      <w:r>
        <w:rPr>
          <w:spacing w:val="-6"/>
        </w:rPr>
        <w:t> </w:t>
      </w:r>
      <w:r>
        <w:rPr/>
        <w:t>cabo</w:t>
      </w:r>
      <w:r>
        <w:rPr>
          <w:spacing w:val="-6"/>
        </w:rPr>
        <w:t> </w:t>
      </w:r>
      <w:r>
        <w:rPr/>
        <w:t>de</w:t>
      </w:r>
      <w:r>
        <w:rPr>
          <w:spacing w:val="-6"/>
        </w:rPr>
        <w:t> </w:t>
      </w:r>
      <w:r>
        <w:rPr/>
        <w:t>manera</w:t>
      </w:r>
      <w:r>
        <w:rPr>
          <w:spacing w:val="-7"/>
        </w:rPr>
        <w:t> </w:t>
      </w:r>
      <w:r>
        <w:rPr/>
        <w:t>natural</w:t>
      </w:r>
      <w:r>
        <w:rPr>
          <w:spacing w:val="-7"/>
        </w:rPr>
        <w:t> </w:t>
      </w:r>
      <w:r>
        <w:rPr/>
        <w:t>de</w:t>
      </w:r>
      <w:r>
        <w:rPr>
          <w:spacing w:val="-6"/>
        </w:rPr>
        <w:t> </w:t>
      </w:r>
      <w:r>
        <w:rPr/>
        <w:t>la</w:t>
      </w:r>
      <w:r>
        <w:rPr>
          <w:spacing w:val="-6"/>
        </w:rPr>
        <w:t> </w:t>
      </w:r>
      <w:r>
        <w:rPr/>
        <w:t>leche</w:t>
      </w:r>
      <w:r>
        <w:rPr>
          <w:spacing w:val="-6"/>
        </w:rPr>
        <w:t> </w:t>
      </w:r>
      <w:r>
        <w:rPr/>
        <w:t>cruda</w:t>
      </w:r>
      <w:r>
        <w:rPr>
          <w:spacing w:val="-8"/>
        </w:rPr>
        <w:t> </w:t>
      </w:r>
      <w:r>
        <w:rPr/>
        <w:t>por</w:t>
      </w:r>
      <w:r>
        <w:rPr>
          <w:spacing w:val="-7"/>
        </w:rPr>
        <w:t> </w:t>
      </w:r>
      <w:r>
        <w:rPr/>
        <w:t>la</w:t>
      </w:r>
      <w:r>
        <w:rPr>
          <w:spacing w:val="-6"/>
        </w:rPr>
        <w:t> </w:t>
      </w:r>
      <w:r>
        <w:rPr/>
        <w:t>adición</w:t>
      </w:r>
      <w:r>
        <w:rPr>
          <w:spacing w:val="-6"/>
        </w:rPr>
        <w:t> </w:t>
      </w:r>
      <w:r>
        <w:rPr/>
        <w:t>de</w:t>
      </w:r>
      <w:r>
        <w:rPr>
          <w:spacing w:val="-6"/>
        </w:rPr>
        <w:t> </w:t>
      </w:r>
      <w:r>
        <w:rPr/>
        <w:t>leche</w:t>
      </w:r>
      <w:r>
        <w:rPr>
          <w:spacing w:val="-8"/>
        </w:rPr>
        <w:t> </w:t>
      </w:r>
      <w:r>
        <w:rPr/>
        <w:t>ácida</w:t>
      </w:r>
      <w:r>
        <w:rPr>
          <w:spacing w:val="-8"/>
        </w:rPr>
        <w:t> </w:t>
      </w:r>
      <w:r>
        <w:rPr/>
        <w:t>o</w:t>
      </w:r>
      <w:r>
        <w:rPr>
          <w:spacing w:val="-6"/>
        </w:rPr>
        <w:t> </w:t>
      </w:r>
      <w:r>
        <w:rPr/>
        <w:t>por la adición directa de ácido (acético o clorhídrico). La cuajada se deja en reposo hasta que tiene el “punto” de fundido. Este queso tiene una vida de anaquel de 3 a 5 días pues pierde la textura en anaquel y el sabor es irregular en cada</w:t>
      </w:r>
      <w:r>
        <w:rPr>
          <w:spacing w:val="-31"/>
        </w:rPr>
        <w:t> </w:t>
      </w:r>
      <w:r>
        <w:rPr/>
        <w:t>lote.</w:t>
      </w:r>
    </w:p>
    <w:p>
      <w:pPr>
        <w:pStyle w:val="Heading2"/>
        <w:spacing w:before="123"/>
        <w:jc w:val="both"/>
      </w:pPr>
      <w:bookmarkStart w:name="_bookmark27" w:id="35"/>
      <w:bookmarkEnd w:id="35"/>
      <w:r>
        <w:rPr>
          <w:b w:val="0"/>
        </w:rPr>
      </w:r>
      <w:r>
        <w:rPr/>
        <w:t>Queso fresco</w:t>
      </w:r>
    </w:p>
    <w:p>
      <w:pPr>
        <w:pStyle w:val="BodyText"/>
        <w:spacing w:line="276" w:lineRule="auto" w:before="26"/>
        <w:ind w:left="142" w:right="136"/>
        <w:jc w:val="both"/>
      </w:pPr>
      <w:r>
        <w:rPr/>
        <w:t>El queso ranchero artesanal pertenece a la categoría de los quesos frescos de América Latina conocidos también como quesos de estilo hispano en el que hay variedad de estilos de quesos frescos, cada uno con diferencias sutiles (Solís- Méndez</w:t>
      </w:r>
      <w:r>
        <w:rPr>
          <w:spacing w:val="-18"/>
        </w:rPr>
        <w:t> </w:t>
      </w:r>
      <w:r>
        <w:rPr>
          <w:i/>
        </w:rPr>
        <w:t>et</w:t>
      </w:r>
      <w:r>
        <w:rPr>
          <w:i/>
          <w:spacing w:val="-18"/>
        </w:rPr>
        <w:t> </w:t>
      </w:r>
      <w:r>
        <w:rPr>
          <w:i/>
        </w:rPr>
        <w:t>al.,</w:t>
      </w:r>
      <w:r>
        <w:rPr>
          <w:i/>
          <w:spacing w:val="-18"/>
        </w:rPr>
        <w:t> </w:t>
      </w:r>
      <w:r>
        <w:rPr/>
        <w:t>2012).</w:t>
      </w:r>
      <w:r>
        <w:rPr>
          <w:spacing w:val="-19"/>
        </w:rPr>
        <w:t> </w:t>
      </w:r>
      <w:r>
        <w:rPr/>
        <w:t>El</w:t>
      </w:r>
      <w:r>
        <w:rPr>
          <w:spacing w:val="-17"/>
        </w:rPr>
        <w:t> </w:t>
      </w:r>
      <w:r>
        <w:rPr/>
        <w:t>queso</w:t>
      </w:r>
      <w:r>
        <w:rPr>
          <w:spacing w:val="-18"/>
        </w:rPr>
        <w:t> </w:t>
      </w:r>
      <w:r>
        <w:rPr/>
        <w:t>fresco</w:t>
      </w:r>
      <w:r>
        <w:rPr>
          <w:spacing w:val="-18"/>
        </w:rPr>
        <w:t> </w:t>
      </w:r>
      <w:r>
        <w:rPr/>
        <w:t>mexicano</w:t>
      </w:r>
      <w:r>
        <w:rPr>
          <w:spacing w:val="-12"/>
        </w:rPr>
        <w:t> </w:t>
      </w:r>
      <w:r>
        <w:rPr/>
        <w:t>se</w:t>
      </w:r>
      <w:r>
        <w:rPr>
          <w:spacing w:val="-18"/>
        </w:rPr>
        <w:t> </w:t>
      </w:r>
      <w:r>
        <w:rPr/>
        <w:t>considera</w:t>
      </w:r>
      <w:r>
        <w:rPr>
          <w:spacing w:val="-16"/>
        </w:rPr>
        <w:t> </w:t>
      </w:r>
      <w:r>
        <w:rPr/>
        <w:t>como</w:t>
      </w:r>
      <w:r>
        <w:rPr>
          <w:spacing w:val="-18"/>
        </w:rPr>
        <w:t> </w:t>
      </w:r>
      <w:r>
        <w:rPr/>
        <w:t>el</w:t>
      </w:r>
      <w:r>
        <w:rPr>
          <w:spacing w:val="-17"/>
        </w:rPr>
        <w:t> </w:t>
      </w:r>
      <w:r>
        <w:rPr/>
        <w:t>queso</w:t>
      </w:r>
      <w:r>
        <w:rPr>
          <w:spacing w:val="-18"/>
        </w:rPr>
        <w:t> </w:t>
      </w:r>
      <w:r>
        <w:rPr/>
        <w:t>hispano más popular en los EE.UU y México, es un queso obtenido por la coagulación</w:t>
      </w:r>
      <w:r>
        <w:rPr>
          <w:spacing w:val="66"/>
        </w:rPr>
        <w:t> </w:t>
      </w:r>
      <w:r>
        <w:rPr/>
        <w:t>con</w:t>
      </w:r>
    </w:p>
    <w:p>
      <w:pPr>
        <w:spacing w:after="0" w:line="276" w:lineRule="auto"/>
        <w:jc w:val="both"/>
        <w:sectPr>
          <w:footerReference w:type="default" r:id="rId27"/>
          <w:pgSz w:w="12240" w:h="15840"/>
          <w:pgMar w:footer="710" w:header="728" w:top="1200" w:bottom="900" w:left="1560" w:right="1560"/>
        </w:sectPr>
      </w:pPr>
    </w:p>
    <w:p>
      <w:pPr>
        <w:pStyle w:val="BodyText"/>
        <w:spacing w:before="9"/>
        <w:rPr>
          <w:sz w:val="12"/>
        </w:rPr>
      </w:pPr>
    </w:p>
    <w:p>
      <w:pPr>
        <w:pStyle w:val="BodyText"/>
        <w:spacing w:line="276" w:lineRule="auto" w:before="70"/>
        <w:ind w:left="142" w:right="138"/>
        <w:jc w:val="both"/>
      </w:pPr>
      <w:r>
        <w:rPr/>
        <w:t>cuajo, elaborado a partir de leche descremada o semidescremada tiene un ligero sabor</w:t>
      </w:r>
      <w:r>
        <w:rPr>
          <w:spacing w:val="-7"/>
        </w:rPr>
        <w:t> </w:t>
      </w:r>
      <w:r>
        <w:rPr/>
        <w:t>lácteo,</w:t>
      </w:r>
      <w:r>
        <w:rPr>
          <w:spacing w:val="-6"/>
        </w:rPr>
        <w:t> </w:t>
      </w:r>
      <w:r>
        <w:rPr/>
        <w:t>con</w:t>
      </w:r>
      <w:r>
        <w:rPr>
          <w:spacing w:val="-8"/>
        </w:rPr>
        <w:t> </w:t>
      </w:r>
      <w:r>
        <w:rPr/>
        <w:t>notas</w:t>
      </w:r>
      <w:r>
        <w:rPr>
          <w:spacing w:val="-7"/>
        </w:rPr>
        <w:t> </w:t>
      </w:r>
      <w:r>
        <w:rPr/>
        <w:t>entre</w:t>
      </w:r>
      <w:r>
        <w:rPr>
          <w:spacing w:val="-8"/>
        </w:rPr>
        <w:t> </w:t>
      </w:r>
      <w:r>
        <w:rPr/>
        <w:t>dulce</w:t>
      </w:r>
      <w:r>
        <w:rPr>
          <w:spacing w:val="-6"/>
        </w:rPr>
        <w:t> </w:t>
      </w:r>
      <w:r>
        <w:rPr/>
        <w:t>y</w:t>
      </w:r>
      <w:r>
        <w:rPr>
          <w:spacing w:val="-9"/>
        </w:rPr>
        <w:t> </w:t>
      </w:r>
      <w:r>
        <w:rPr/>
        <w:t>salado;</w:t>
      </w:r>
      <w:r>
        <w:rPr>
          <w:spacing w:val="-11"/>
        </w:rPr>
        <w:t> </w:t>
      </w:r>
      <w:r>
        <w:rPr/>
        <w:t>este</w:t>
      </w:r>
      <w:r>
        <w:rPr>
          <w:spacing w:val="-8"/>
        </w:rPr>
        <w:t> </w:t>
      </w:r>
      <w:r>
        <w:rPr/>
        <w:t>tipo</w:t>
      </w:r>
      <w:r>
        <w:rPr>
          <w:spacing w:val="-8"/>
        </w:rPr>
        <w:t> </w:t>
      </w:r>
      <w:r>
        <w:rPr/>
        <w:t>de</w:t>
      </w:r>
      <w:r>
        <w:rPr>
          <w:spacing w:val="-8"/>
        </w:rPr>
        <w:t> </w:t>
      </w:r>
      <w:r>
        <w:rPr/>
        <w:t>queso</w:t>
      </w:r>
      <w:r>
        <w:rPr>
          <w:spacing w:val="-8"/>
        </w:rPr>
        <w:t> </w:t>
      </w:r>
      <w:r>
        <w:rPr/>
        <w:t>tiene</w:t>
      </w:r>
      <w:r>
        <w:rPr>
          <w:spacing w:val="-6"/>
        </w:rPr>
        <w:t> </w:t>
      </w:r>
      <w:r>
        <w:rPr/>
        <w:t>una</w:t>
      </w:r>
      <w:r>
        <w:rPr>
          <w:spacing w:val="-8"/>
        </w:rPr>
        <w:t> </w:t>
      </w:r>
      <w:r>
        <w:rPr/>
        <w:t>humedad entre 46-47%, 18-29% de grasa, 17-21% de proteína, sal de 1-3% y un pH&gt;6.1 (Ramírez-López y Vélez-Ruíz,</w:t>
      </w:r>
      <w:r>
        <w:rPr>
          <w:spacing w:val="-12"/>
        </w:rPr>
        <w:t> </w:t>
      </w:r>
      <w:r>
        <w:rPr/>
        <w:t>2012).</w:t>
      </w:r>
    </w:p>
    <w:p>
      <w:pPr>
        <w:pStyle w:val="BodyText"/>
        <w:spacing w:line="276" w:lineRule="auto" w:before="120"/>
        <w:ind w:left="142" w:right="136"/>
        <w:jc w:val="both"/>
      </w:pPr>
      <w:r>
        <w:rPr/>
        <w:t>Su nombre se asocia al molde que le da forma: un aro de lámina galvanizada, de plástico o de madera. El término “molido” se asocia a uno de sus pasos de elaboración en el que la cuajada se muele a mano al mismo tiempo que se sala; el de “ranchero” porque al seguir un proceso de fabricación tan sencillo es posible elaborarlo con utensilios muy rústicos en los ranchos o pequeñas poblaciones donde existe leche, presenta una escasa estandarización en materia prima y proceso (Cervantes </w:t>
      </w:r>
      <w:r>
        <w:rPr>
          <w:i/>
        </w:rPr>
        <w:t>et al., </w:t>
      </w:r>
      <w:r>
        <w:rPr/>
        <w:t>2008).</w:t>
      </w:r>
    </w:p>
    <w:p>
      <w:pPr>
        <w:pStyle w:val="BodyText"/>
        <w:spacing w:line="276" w:lineRule="auto" w:before="123"/>
        <w:ind w:left="142" w:right="135"/>
        <w:jc w:val="both"/>
      </w:pPr>
      <w:r>
        <w:rPr/>
        <w:t>El</w:t>
      </w:r>
      <w:r>
        <w:rPr>
          <w:spacing w:val="-14"/>
        </w:rPr>
        <w:t> </w:t>
      </w:r>
      <w:r>
        <w:rPr/>
        <w:t>queso</w:t>
      </w:r>
      <w:r>
        <w:rPr>
          <w:spacing w:val="-15"/>
        </w:rPr>
        <w:t> </w:t>
      </w:r>
      <w:r>
        <w:rPr/>
        <w:t>ranchero</w:t>
      </w:r>
      <w:r>
        <w:rPr>
          <w:spacing w:val="-16"/>
        </w:rPr>
        <w:t> </w:t>
      </w:r>
      <w:r>
        <w:rPr/>
        <w:t>es</w:t>
      </w:r>
      <w:r>
        <w:rPr>
          <w:spacing w:val="-16"/>
        </w:rPr>
        <w:t> </w:t>
      </w:r>
      <w:r>
        <w:rPr/>
        <w:t>un</w:t>
      </w:r>
      <w:r>
        <w:rPr>
          <w:spacing w:val="-13"/>
        </w:rPr>
        <w:t> </w:t>
      </w:r>
      <w:r>
        <w:rPr/>
        <w:t>auténtico</w:t>
      </w:r>
      <w:r>
        <w:rPr>
          <w:spacing w:val="-15"/>
        </w:rPr>
        <w:t> </w:t>
      </w:r>
      <w:r>
        <w:rPr/>
        <w:t>queso</w:t>
      </w:r>
      <w:r>
        <w:rPr>
          <w:spacing w:val="-15"/>
        </w:rPr>
        <w:t> </w:t>
      </w:r>
      <w:r>
        <w:rPr/>
        <w:t>mexicano</w:t>
      </w:r>
      <w:r>
        <w:rPr>
          <w:spacing w:val="-15"/>
        </w:rPr>
        <w:t> </w:t>
      </w:r>
      <w:r>
        <w:rPr/>
        <w:t>hecho</w:t>
      </w:r>
      <w:r>
        <w:rPr>
          <w:spacing w:val="-15"/>
        </w:rPr>
        <w:t> </w:t>
      </w:r>
      <w:r>
        <w:rPr/>
        <w:t>con</w:t>
      </w:r>
      <w:r>
        <w:rPr>
          <w:spacing w:val="-13"/>
        </w:rPr>
        <w:t> </w:t>
      </w:r>
      <w:r>
        <w:rPr/>
        <w:t>leche</w:t>
      </w:r>
      <w:r>
        <w:rPr>
          <w:spacing w:val="-18"/>
        </w:rPr>
        <w:t> </w:t>
      </w:r>
      <w:r>
        <w:rPr/>
        <w:t>cruda</w:t>
      </w:r>
      <w:r>
        <w:rPr>
          <w:spacing w:val="-16"/>
        </w:rPr>
        <w:t> </w:t>
      </w:r>
      <w:r>
        <w:rPr/>
        <w:t>o</w:t>
      </w:r>
      <w:r>
        <w:rPr>
          <w:spacing w:val="-16"/>
        </w:rPr>
        <w:t> </w:t>
      </w:r>
      <w:r>
        <w:rPr/>
        <w:t>bronca; de vaca, de cabra o una mezcla de ambas en un proceso artesanal, también es conocido como queso de aro, queso molido o ranchero, es probablemente el más difundido</w:t>
      </w:r>
      <w:r>
        <w:rPr>
          <w:spacing w:val="-8"/>
        </w:rPr>
        <w:t> </w:t>
      </w:r>
      <w:r>
        <w:rPr/>
        <w:t>del</w:t>
      </w:r>
      <w:r>
        <w:rPr>
          <w:spacing w:val="-10"/>
        </w:rPr>
        <w:t> </w:t>
      </w:r>
      <w:r>
        <w:rPr/>
        <w:t>país</w:t>
      </w:r>
      <w:r>
        <w:rPr>
          <w:spacing w:val="-9"/>
        </w:rPr>
        <w:t> </w:t>
      </w:r>
      <w:r>
        <w:rPr/>
        <w:t>pues</w:t>
      </w:r>
      <w:r>
        <w:rPr>
          <w:spacing w:val="-9"/>
        </w:rPr>
        <w:t> </w:t>
      </w:r>
      <w:r>
        <w:rPr/>
        <w:t>en</w:t>
      </w:r>
      <w:r>
        <w:rPr>
          <w:spacing w:val="-8"/>
        </w:rPr>
        <w:t> </w:t>
      </w:r>
      <w:r>
        <w:rPr/>
        <w:t>su</w:t>
      </w:r>
      <w:r>
        <w:rPr>
          <w:spacing w:val="-8"/>
        </w:rPr>
        <w:t> </w:t>
      </w:r>
      <w:r>
        <w:rPr/>
        <w:t>elaboración</w:t>
      </w:r>
      <w:r>
        <w:rPr>
          <w:spacing w:val="-8"/>
        </w:rPr>
        <w:t> </w:t>
      </w:r>
      <w:r>
        <w:rPr/>
        <w:t>no</w:t>
      </w:r>
      <w:r>
        <w:rPr>
          <w:spacing w:val="-8"/>
        </w:rPr>
        <w:t> </w:t>
      </w:r>
      <w:r>
        <w:rPr/>
        <w:t>se</w:t>
      </w:r>
      <w:r>
        <w:rPr>
          <w:spacing w:val="-6"/>
        </w:rPr>
        <w:t> </w:t>
      </w:r>
      <w:r>
        <w:rPr/>
        <w:t>requieren</w:t>
      </w:r>
      <w:r>
        <w:rPr>
          <w:spacing w:val="-8"/>
        </w:rPr>
        <w:t> </w:t>
      </w:r>
      <w:r>
        <w:rPr/>
        <w:t>profundos</w:t>
      </w:r>
      <w:r>
        <w:rPr>
          <w:spacing w:val="-12"/>
        </w:rPr>
        <w:t> </w:t>
      </w:r>
      <w:r>
        <w:rPr/>
        <w:t>conocimientos técnicos, es un cilindro de escasa altura, con un peso que oscila entre los 200 gr. hasta</w:t>
      </w:r>
      <w:r>
        <w:rPr>
          <w:spacing w:val="-15"/>
        </w:rPr>
        <w:t> </w:t>
      </w:r>
      <w:r>
        <w:rPr/>
        <w:t>un</w:t>
      </w:r>
      <w:r>
        <w:rPr>
          <w:spacing w:val="-13"/>
        </w:rPr>
        <w:t> </w:t>
      </w:r>
      <w:r>
        <w:rPr/>
        <w:t>kilogramo</w:t>
      </w:r>
      <w:r>
        <w:rPr>
          <w:spacing w:val="-13"/>
        </w:rPr>
        <w:t> </w:t>
      </w:r>
      <w:r>
        <w:rPr/>
        <w:t>siendo</w:t>
      </w:r>
      <w:r>
        <w:rPr>
          <w:spacing w:val="-16"/>
        </w:rPr>
        <w:t> </w:t>
      </w:r>
      <w:r>
        <w:rPr/>
        <w:t>el</w:t>
      </w:r>
      <w:r>
        <w:rPr>
          <w:spacing w:val="-14"/>
        </w:rPr>
        <w:t> </w:t>
      </w:r>
      <w:r>
        <w:rPr/>
        <w:t>de</w:t>
      </w:r>
      <w:r>
        <w:rPr>
          <w:spacing w:val="-18"/>
        </w:rPr>
        <w:t> </w:t>
      </w:r>
      <w:r>
        <w:rPr/>
        <w:t>formato</w:t>
      </w:r>
      <w:r>
        <w:rPr>
          <w:spacing w:val="-15"/>
        </w:rPr>
        <w:t> </w:t>
      </w:r>
      <w:r>
        <w:rPr/>
        <w:t>pequeño</w:t>
      </w:r>
      <w:r>
        <w:rPr>
          <w:spacing w:val="-16"/>
        </w:rPr>
        <w:t> </w:t>
      </w:r>
      <w:r>
        <w:rPr/>
        <w:t>el</w:t>
      </w:r>
      <w:r>
        <w:rPr>
          <w:spacing w:val="-14"/>
        </w:rPr>
        <w:t> </w:t>
      </w:r>
      <w:r>
        <w:rPr/>
        <w:t>más</w:t>
      </w:r>
      <w:r>
        <w:rPr>
          <w:spacing w:val="-16"/>
        </w:rPr>
        <w:t> </w:t>
      </w:r>
      <w:r>
        <w:rPr/>
        <w:t>frecuente</w:t>
      </w:r>
      <w:r>
        <w:rPr>
          <w:spacing w:val="-13"/>
        </w:rPr>
        <w:t> </w:t>
      </w:r>
      <w:r>
        <w:rPr/>
        <w:t>por</w:t>
      </w:r>
      <w:r>
        <w:rPr>
          <w:spacing w:val="-15"/>
        </w:rPr>
        <w:t> </w:t>
      </w:r>
      <w:r>
        <w:rPr/>
        <w:t>ser</w:t>
      </w:r>
      <w:r>
        <w:rPr>
          <w:spacing w:val="-15"/>
        </w:rPr>
        <w:t> </w:t>
      </w:r>
      <w:r>
        <w:rPr/>
        <w:t>accesible al consumidor. Es de consistencia blanda, quebradiza y sin envejecer. Tiene una vida útil corta desde unas horas hasta 7 días. El proceso de elaboración no ha cambiado en décadas, los queseros utilizan herramientas rudimentarias e instrumentos</w:t>
      </w:r>
      <w:r>
        <w:rPr>
          <w:spacing w:val="-14"/>
        </w:rPr>
        <w:t> </w:t>
      </w:r>
      <w:r>
        <w:rPr/>
        <w:t>de</w:t>
      </w:r>
      <w:r>
        <w:rPr>
          <w:spacing w:val="-11"/>
        </w:rPr>
        <w:t> </w:t>
      </w:r>
      <w:r>
        <w:rPr/>
        <w:t>cocina</w:t>
      </w:r>
      <w:r>
        <w:rPr>
          <w:spacing w:val="-11"/>
        </w:rPr>
        <w:t> </w:t>
      </w:r>
      <w:r>
        <w:rPr/>
        <w:t>básica,</w:t>
      </w:r>
      <w:r>
        <w:rPr>
          <w:spacing w:val="-11"/>
        </w:rPr>
        <w:t> </w:t>
      </w:r>
      <w:r>
        <w:rPr/>
        <w:t>no</w:t>
      </w:r>
      <w:r>
        <w:rPr>
          <w:spacing w:val="-11"/>
        </w:rPr>
        <w:t> </w:t>
      </w:r>
      <w:r>
        <w:rPr/>
        <w:t>se</w:t>
      </w:r>
      <w:r>
        <w:rPr>
          <w:spacing w:val="-11"/>
        </w:rPr>
        <w:t> </w:t>
      </w:r>
      <w:r>
        <w:rPr/>
        <w:t>utilizan</w:t>
      </w:r>
      <w:r>
        <w:rPr>
          <w:spacing w:val="-8"/>
        </w:rPr>
        <w:t> </w:t>
      </w:r>
      <w:r>
        <w:rPr/>
        <w:t>tecnologías</w:t>
      </w:r>
      <w:r>
        <w:rPr>
          <w:spacing w:val="-9"/>
        </w:rPr>
        <w:t> </w:t>
      </w:r>
      <w:r>
        <w:rPr/>
        <w:t>y</w:t>
      </w:r>
      <w:r>
        <w:rPr>
          <w:spacing w:val="-12"/>
        </w:rPr>
        <w:t> </w:t>
      </w:r>
      <w:r>
        <w:rPr/>
        <w:t>equipos</w:t>
      </w:r>
      <w:r>
        <w:rPr>
          <w:spacing w:val="-14"/>
        </w:rPr>
        <w:t> </w:t>
      </w:r>
      <w:r>
        <w:rPr/>
        <w:t>modernos</w:t>
      </w:r>
      <w:r>
        <w:rPr>
          <w:spacing w:val="-12"/>
        </w:rPr>
        <w:t> </w:t>
      </w:r>
      <w:r>
        <w:rPr/>
        <w:t>en</w:t>
      </w:r>
      <w:r>
        <w:rPr>
          <w:spacing w:val="-8"/>
        </w:rPr>
        <w:t> </w:t>
      </w:r>
      <w:r>
        <w:rPr/>
        <w:t>su elaboración.</w:t>
      </w:r>
      <w:r>
        <w:rPr>
          <w:spacing w:val="-8"/>
        </w:rPr>
        <w:t> </w:t>
      </w:r>
      <w:r>
        <w:rPr/>
        <w:t>Los</w:t>
      </w:r>
      <w:r>
        <w:rPr>
          <w:spacing w:val="-6"/>
        </w:rPr>
        <w:t> </w:t>
      </w:r>
      <w:r>
        <w:rPr/>
        <w:t>queseros</w:t>
      </w:r>
      <w:r>
        <w:rPr>
          <w:spacing w:val="-6"/>
        </w:rPr>
        <w:t> </w:t>
      </w:r>
      <w:r>
        <w:rPr/>
        <w:t>confían</w:t>
      </w:r>
      <w:r>
        <w:rPr>
          <w:spacing w:val="-8"/>
        </w:rPr>
        <w:t> </w:t>
      </w:r>
      <w:r>
        <w:rPr/>
        <w:t>sólo</w:t>
      </w:r>
      <w:r>
        <w:rPr>
          <w:spacing w:val="-8"/>
        </w:rPr>
        <w:t> </w:t>
      </w:r>
      <w:r>
        <w:rPr/>
        <w:t>en</w:t>
      </w:r>
      <w:r>
        <w:rPr>
          <w:spacing w:val="-6"/>
        </w:rPr>
        <w:t> </w:t>
      </w:r>
      <w:r>
        <w:rPr/>
        <w:t>sus</w:t>
      </w:r>
      <w:r>
        <w:rPr>
          <w:spacing w:val="-6"/>
        </w:rPr>
        <w:t> </w:t>
      </w:r>
      <w:r>
        <w:rPr/>
        <w:t>conocimientos,</w:t>
      </w:r>
      <w:r>
        <w:rPr>
          <w:spacing w:val="-8"/>
        </w:rPr>
        <w:t> </w:t>
      </w:r>
      <w:r>
        <w:rPr/>
        <w:t>ya</w:t>
      </w:r>
      <w:r>
        <w:rPr>
          <w:spacing w:val="-6"/>
        </w:rPr>
        <w:t> </w:t>
      </w:r>
      <w:r>
        <w:rPr/>
        <w:t>que</w:t>
      </w:r>
      <w:r>
        <w:rPr>
          <w:spacing w:val="-8"/>
        </w:rPr>
        <w:t> </w:t>
      </w:r>
      <w:r>
        <w:rPr/>
        <w:t>normalmente no</w:t>
      </w:r>
      <w:r>
        <w:rPr>
          <w:spacing w:val="-8"/>
        </w:rPr>
        <w:t> </w:t>
      </w:r>
      <w:r>
        <w:rPr/>
        <w:t>están</w:t>
      </w:r>
      <w:r>
        <w:rPr>
          <w:spacing w:val="-8"/>
        </w:rPr>
        <w:t> </w:t>
      </w:r>
      <w:r>
        <w:rPr/>
        <w:t>abiertos</w:t>
      </w:r>
      <w:r>
        <w:rPr>
          <w:spacing w:val="-9"/>
        </w:rPr>
        <w:t> </w:t>
      </w:r>
      <w:r>
        <w:rPr/>
        <w:t>a</w:t>
      </w:r>
      <w:r>
        <w:rPr>
          <w:spacing w:val="-6"/>
        </w:rPr>
        <w:t> </w:t>
      </w:r>
      <w:r>
        <w:rPr/>
        <w:t>la</w:t>
      </w:r>
      <w:r>
        <w:rPr>
          <w:spacing w:val="-9"/>
        </w:rPr>
        <w:t> </w:t>
      </w:r>
      <w:r>
        <w:rPr/>
        <w:t>innovación</w:t>
      </w:r>
      <w:r>
        <w:rPr>
          <w:spacing w:val="-8"/>
        </w:rPr>
        <w:t> </w:t>
      </w:r>
      <w:r>
        <w:rPr/>
        <w:t>y</w:t>
      </w:r>
      <w:r>
        <w:rPr>
          <w:spacing w:val="-9"/>
        </w:rPr>
        <w:t> </w:t>
      </w:r>
      <w:r>
        <w:rPr/>
        <w:t>son</w:t>
      </w:r>
      <w:r>
        <w:rPr>
          <w:spacing w:val="-8"/>
        </w:rPr>
        <w:t> </w:t>
      </w:r>
      <w:r>
        <w:rPr/>
        <w:t>reacios</w:t>
      </w:r>
      <w:r>
        <w:rPr>
          <w:spacing w:val="-7"/>
        </w:rPr>
        <w:t> </w:t>
      </w:r>
      <w:r>
        <w:rPr/>
        <w:t>a</w:t>
      </w:r>
      <w:r>
        <w:rPr>
          <w:spacing w:val="-8"/>
        </w:rPr>
        <w:t> </w:t>
      </w:r>
      <w:r>
        <w:rPr/>
        <w:t>cambiar</w:t>
      </w:r>
      <w:r>
        <w:rPr>
          <w:spacing w:val="-9"/>
        </w:rPr>
        <w:t> </w:t>
      </w:r>
      <w:r>
        <w:rPr/>
        <w:t>o</w:t>
      </w:r>
      <w:r>
        <w:rPr>
          <w:spacing w:val="-8"/>
        </w:rPr>
        <w:t> </w:t>
      </w:r>
      <w:r>
        <w:rPr/>
        <w:t>modificar</w:t>
      </w:r>
      <w:r>
        <w:rPr>
          <w:spacing w:val="-7"/>
        </w:rPr>
        <w:t> </w:t>
      </w:r>
      <w:r>
        <w:rPr/>
        <w:t>su</w:t>
      </w:r>
      <w:r>
        <w:rPr>
          <w:spacing w:val="-8"/>
        </w:rPr>
        <w:t> </w:t>
      </w:r>
      <w:r>
        <w:rPr/>
        <w:t>proceso</w:t>
      </w:r>
      <w:r>
        <w:rPr>
          <w:spacing w:val="-8"/>
        </w:rPr>
        <w:t> </w:t>
      </w:r>
      <w:r>
        <w:rPr/>
        <w:t>de producción que resulta en una calidad variable del queso que depende del</w:t>
      </w:r>
      <w:r>
        <w:rPr>
          <w:spacing w:val="-44"/>
        </w:rPr>
        <w:t> </w:t>
      </w:r>
      <w:r>
        <w:rPr/>
        <w:t>proceso empleado por cada quesero Se vende en mercados públicos y ambulantes (Cervantes </w:t>
      </w:r>
      <w:r>
        <w:rPr>
          <w:i/>
        </w:rPr>
        <w:t>et al., </w:t>
      </w:r>
      <w:r>
        <w:rPr/>
        <w:t>2008; Solis-Méndez </w:t>
      </w:r>
      <w:r>
        <w:rPr>
          <w:i/>
        </w:rPr>
        <w:t>et al.,</w:t>
      </w:r>
      <w:r>
        <w:rPr>
          <w:i/>
          <w:spacing w:val="-20"/>
        </w:rPr>
        <w:t> </w:t>
      </w:r>
      <w:r>
        <w:rPr/>
        <w:t>2012).</w:t>
      </w:r>
    </w:p>
    <w:p>
      <w:pPr>
        <w:pStyle w:val="BodyText"/>
        <w:spacing w:line="276" w:lineRule="auto" w:before="123"/>
        <w:ind w:left="142" w:right="135"/>
        <w:jc w:val="both"/>
      </w:pPr>
      <w:r>
        <w:rPr/>
        <w:t>Se emplean fragmentos de cuajar (seco) de bovino o caprino, “extractos” de cuajo rustico a base de suero acido-salado, cuajo de pastilla o cuajo líquido de varias enzimas.</w:t>
      </w:r>
      <w:r>
        <w:rPr>
          <w:spacing w:val="-19"/>
        </w:rPr>
        <w:t> </w:t>
      </w:r>
      <w:r>
        <w:rPr/>
        <w:t>La</w:t>
      </w:r>
      <w:r>
        <w:rPr>
          <w:spacing w:val="-19"/>
        </w:rPr>
        <w:t> </w:t>
      </w:r>
      <w:r>
        <w:rPr/>
        <w:t>cuajada</w:t>
      </w:r>
      <w:r>
        <w:rPr>
          <w:spacing w:val="-19"/>
        </w:rPr>
        <w:t> </w:t>
      </w:r>
      <w:r>
        <w:rPr/>
        <w:t>se</w:t>
      </w:r>
      <w:r>
        <w:rPr>
          <w:spacing w:val="-19"/>
        </w:rPr>
        <w:t> </w:t>
      </w:r>
      <w:r>
        <w:rPr/>
        <w:t>corta</w:t>
      </w:r>
      <w:r>
        <w:rPr>
          <w:spacing w:val="-19"/>
        </w:rPr>
        <w:t> </w:t>
      </w:r>
      <w:r>
        <w:rPr/>
        <w:t>de</w:t>
      </w:r>
      <w:r>
        <w:rPr>
          <w:spacing w:val="-19"/>
        </w:rPr>
        <w:t> </w:t>
      </w:r>
      <w:r>
        <w:rPr/>
        <w:t>distintas</w:t>
      </w:r>
      <w:r>
        <w:rPr>
          <w:spacing w:val="-20"/>
        </w:rPr>
        <w:t> </w:t>
      </w:r>
      <w:r>
        <w:rPr/>
        <w:t>maneras:</w:t>
      </w:r>
      <w:r>
        <w:rPr>
          <w:spacing w:val="-19"/>
        </w:rPr>
        <w:t> </w:t>
      </w:r>
      <w:r>
        <w:rPr/>
        <w:t>con</w:t>
      </w:r>
      <w:r>
        <w:rPr>
          <w:spacing w:val="-19"/>
        </w:rPr>
        <w:t> </w:t>
      </w:r>
      <w:r>
        <w:rPr/>
        <w:t>cuchillo,</w:t>
      </w:r>
      <w:r>
        <w:rPr>
          <w:spacing w:val="-19"/>
        </w:rPr>
        <w:t> </w:t>
      </w:r>
      <w:r>
        <w:rPr/>
        <w:t>con</w:t>
      </w:r>
      <w:r>
        <w:rPr>
          <w:spacing w:val="-19"/>
        </w:rPr>
        <w:t> </w:t>
      </w:r>
      <w:r>
        <w:rPr/>
        <w:t>pala</w:t>
      </w:r>
      <w:r>
        <w:rPr>
          <w:spacing w:val="-19"/>
        </w:rPr>
        <w:t> </w:t>
      </w:r>
      <w:r>
        <w:rPr/>
        <w:t>de</w:t>
      </w:r>
      <w:r>
        <w:rPr>
          <w:spacing w:val="-19"/>
        </w:rPr>
        <w:t> </w:t>
      </w:r>
      <w:r>
        <w:rPr/>
        <w:t>madera o con la mano (se dice que se quiebra o se bate). Se desuera aglomerándola manualmente o con la ayuda de una malla fina (Cervantes </w:t>
      </w:r>
      <w:r>
        <w:rPr>
          <w:i/>
        </w:rPr>
        <w:t>et al.,</w:t>
      </w:r>
      <w:r>
        <w:rPr>
          <w:i/>
          <w:spacing w:val="-24"/>
        </w:rPr>
        <w:t> </w:t>
      </w:r>
      <w:r>
        <w:rPr/>
        <w:t>2008).</w:t>
      </w:r>
    </w:p>
    <w:p>
      <w:pPr>
        <w:pStyle w:val="BodyText"/>
        <w:spacing w:line="276" w:lineRule="auto" w:before="123"/>
        <w:ind w:left="142" w:right="139"/>
        <w:jc w:val="both"/>
      </w:pPr>
      <w:r>
        <w:rPr/>
        <w:t>Es altamente perecedero debido a su elaboración con leche cruda y elevado contenido de agua (45-55%). La composición es heterogénea debido a la materia prima</w:t>
      </w:r>
      <w:r>
        <w:rPr>
          <w:spacing w:val="-18"/>
        </w:rPr>
        <w:t> </w:t>
      </w:r>
      <w:r>
        <w:rPr/>
        <w:t>y</w:t>
      </w:r>
      <w:r>
        <w:rPr>
          <w:spacing w:val="-21"/>
        </w:rPr>
        <w:t> </w:t>
      </w:r>
      <w:r>
        <w:rPr/>
        <w:t>al</w:t>
      </w:r>
      <w:r>
        <w:rPr>
          <w:spacing w:val="-19"/>
        </w:rPr>
        <w:t> </w:t>
      </w:r>
      <w:r>
        <w:rPr/>
        <w:t>método</w:t>
      </w:r>
      <w:r>
        <w:rPr>
          <w:spacing w:val="-18"/>
        </w:rPr>
        <w:t> </w:t>
      </w:r>
      <w:r>
        <w:rPr/>
        <w:t>de</w:t>
      </w:r>
      <w:r>
        <w:rPr>
          <w:spacing w:val="-18"/>
        </w:rPr>
        <w:t> </w:t>
      </w:r>
      <w:r>
        <w:rPr/>
        <w:t>elaboración</w:t>
      </w:r>
      <w:r>
        <w:rPr>
          <w:spacing w:val="-18"/>
        </w:rPr>
        <w:t> </w:t>
      </w:r>
      <w:r>
        <w:rPr/>
        <w:t>(Cervantes</w:t>
      </w:r>
      <w:r>
        <w:rPr>
          <w:spacing w:val="-15"/>
        </w:rPr>
        <w:t> </w:t>
      </w:r>
      <w:r>
        <w:rPr>
          <w:i/>
        </w:rPr>
        <w:t>et</w:t>
      </w:r>
      <w:r>
        <w:rPr>
          <w:i/>
          <w:spacing w:val="-18"/>
        </w:rPr>
        <w:t> </w:t>
      </w:r>
      <w:r>
        <w:rPr>
          <w:i/>
        </w:rPr>
        <w:t>al.,</w:t>
      </w:r>
      <w:r>
        <w:rPr>
          <w:i/>
          <w:spacing w:val="-17"/>
        </w:rPr>
        <w:t> </w:t>
      </w:r>
      <w:r>
        <w:rPr/>
        <w:t>2008).</w:t>
      </w:r>
      <w:r>
        <w:rPr>
          <w:spacing w:val="-21"/>
        </w:rPr>
        <w:t> </w:t>
      </w:r>
      <w:r>
        <w:rPr/>
        <w:t>Los</w:t>
      </w:r>
      <w:r>
        <w:rPr>
          <w:spacing w:val="-19"/>
        </w:rPr>
        <w:t> </w:t>
      </w:r>
      <w:r>
        <w:rPr/>
        <w:t>quesos</w:t>
      </w:r>
      <w:r>
        <w:rPr>
          <w:spacing w:val="-19"/>
        </w:rPr>
        <w:t> </w:t>
      </w:r>
      <w:r>
        <w:rPr/>
        <w:t>frescos</w:t>
      </w:r>
      <w:r>
        <w:rPr>
          <w:spacing w:val="-19"/>
        </w:rPr>
        <w:t> </w:t>
      </w:r>
      <w:r>
        <w:rPr/>
        <w:t>tienen un sabor suave debido a la calidad bacteriológica, higiene de la leche, tipo de flora presente en la leche pasteurizada y condiciones higiénicas del proceso; otros factores que intervienen en el sabor son el tipo de coagulación de la leche (por precipitación o coagulación de la proteína) y la cantidad de sal adicionada, la vida de anaquel depende de la flora bacteriana dominante pues al no contener </w:t>
      </w:r>
      <w:r>
        <w:rPr>
          <w:spacing w:val="1"/>
        </w:rPr>
        <w:t> </w:t>
      </w:r>
      <w:r>
        <w:rPr/>
        <w:t>cultivos</w:t>
      </w:r>
    </w:p>
    <w:p>
      <w:pPr>
        <w:spacing w:after="0" w:line="276" w:lineRule="auto"/>
        <w:jc w:val="both"/>
        <w:sectPr>
          <w:footerReference w:type="default" r:id="rId28"/>
          <w:pgSz w:w="12240" w:h="15840"/>
          <w:pgMar w:footer="710" w:header="728" w:top="1200" w:bottom="900" w:left="1560" w:right="1560"/>
          <w:pgNumType w:start="31"/>
        </w:sectPr>
      </w:pPr>
    </w:p>
    <w:p>
      <w:pPr>
        <w:pStyle w:val="BodyText"/>
        <w:spacing w:before="9"/>
        <w:rPr>
          <w:sz w:val="12"/>
        </w:rPr>
      </w:pPr>
    </w:p>
    <w:p>
      <w:pPr>
        <w:pStyle w:val="BodyText"/>
        <w:spacing w:line="276" w:lineRule="auto" w:before="70"/>
        <w:ind w:left="142" w:right="138"/>
        <w:jc w:val="both"/>
      </w:pPr>
      <w:r>
        <w:rPr/>
        <w:t>lácticos en la mayoría de los casos el sabor que adquiere el queso durante la vida de anaquel depende del tipo de microorganismos que contenga (Picos y Torres, 2006).</w:t>
      </w:r>
    </w:p>
    <w:p>
      <w:pPr>
        <w:pStyle w:val="BodyText"/>
        <w:spacing w:line="264" w:lineRule="auto" w:before="123"/>
        <w:ind w:left="142" w:right="136"/>
        <w:jc w:val="both"/>
      </w:pPr>
      <w:r>
        <w:rPr/>
        <w:t>Tienen una vida de anaquel de 3 a 5 días al ser elaborados sin una tecnología definida y sin pasteurizar mientras que los quesos elaborados con leche pasteurizada y buenas prácticas de manufactura tienen una duración de hasta </w:t>
      </w:r>
      <w:r>
        <w:rPr>
          <w:spacing w:val="5"/>
        </w:rPr>
        <w:t>40 </w:t>
      </w:r>
      <w:r>
        <w:rPr/>
        <w:t>días. Los quesos frescos que son cultivados y acidificados tienen una vida de anaquel</w:t>
      </w:r>
      <w:r>
        <w:rPr>
          <w:spacing w:val="-10"/>
        </w:rPr>
        <w:t> </w:t>
      </w:r>
      <w:r>
        <w:rPr/>
        <w:t>de</w:t>
      </w:r>
      <w:r>
        <w:rPr>
          <w:spacing w:val="-8"/>
        </w:rPr>
        <w:t> </w:t>
      </w:r>
      <w:r>
        <w:rPr/>
        <w:t>60</w:t>
      </w:r>
      <w:r>
        <w:rPr>
          <w:spacing w:val="-8"/>
        </w:rPr>
        <w:t> </w:t>
      </w:r>
      <w:r>
        <w:rPr/>
        <w:t>días,</w:t>
      </w:r>
      <w:r>
        <w:rPr>
          <w:spacing w:val="-6"/>
        </w:rPr>
        <w:t> </w:t>
      </w:r>
      <w:r>
        <w:rPr/>
        <w:t>cada</w:t>
      </w:r>
      <w:r>
        <w:rPr>
          <w:spacing w:val="-6"/>
        </w:rPr>
        <w:t> </w:t>
      </w:r>
      <w:r>
        <w:rPr/>
        <w:t>quesero</w:t>
      </w:r>
      <w:r>
        <w:rPr>
          <w:spacing w:val="-7"/>
        </w:rPr>
        <w:t> </w:t>
      </w:r>
      <w:r>
        <w:rPr/>
        <w:t>tiene</w:t>
      </w:r>
      <w:r>
        <w:rPr>
          <w:spacing w:val="-6"/>
        </w:rPr>
        <w:t> </w:t>
      </w:r>
      <w:r>
        <w:rPr/>
        <w:t>su</w:t>
      </w:r>
      <w:r>
        <w:rPr>
          <w:spacing w:val="-6"/>
        </w:rPr>
        <w:t> </w:t>
      </w:r>
      <w:r>
        <w:rPr/>
        <w:t>“técnica</w:t>
      </w:r>
      <w:r>
        <w:rPr>
          <w:spacing w:val="-6"/>
        </w:rPr>
        <w:t> </w:t>
      </w:r>
      <w:r>
        <w:rPr/>
        <w:t>o</w:t>
      </w:r>
      <w:r>
        <w:rPr>
          <w:spacing w:val="-8"/>
        </w:rPr>
        <w:t> </w:t>
      </w:r>
      <w:r>
        <w:rPr/>
        <w:t>toque</w:t>
      </w:r>
      <w:r>
        <w:rPr>
          <w:spacing w:val="-8"/>
        </w:rPr>
        <w:t> </w:t>
      </w:r>
      <w:r>
        <w:rPr/>
        <w:t>personal”</w:t>
      </w:r>
      <w:r>
        <w:rPr>
          <w:spacing w:val="-7"/>
        </w:rPr>
        <w:t> </w:t>
      </w:r>
      <w:r>
        <w:rPr/>
        <w:t>pero</w:t>
      </w:r>
      <w:r>
        <w:rPr>
          <w:spacing w:val="-9"/>
        </w:rPr>
        <w:t> </w:t>
      </w:r>
      <w:r>
        <w:rPr/>
        <w:t>no</w:t>
      </w:r>
      <w:r>
        <w:rPr>
          <w:spacing w:val="-8"/>
        </w:rPr>
        <w:t> </w:t>
      </w:r>
      <w:r>
        <w:rPr/>
        <w:t>es</w:t>
      </w:r>
      <w:r>
        <w:rPr>
          <w:spacing w:val="-9"/>
        </w:rPr>
        <w:t> </w:t>
      </w:r>
      <w:r>
        <w:rPr/>
        <w:t>un procedimiento con un proceso estándar; se utilizan procedimientos rústicos y característicos de la región (Picos y Torres,</w:t>
      </w:r>
      <w:r>
        <w:rPr>
          <w:spacing w:val="-14"/>
        </w:rPr>
        <w:t> </w:t>
      </w:r>
      <w:r>
        <w:rPr/>
        <w:t>2006).</w:t>
      </w:r>
    </w:p>
    <w:p>
      <w:pPr>
        <w:pStyle w:val="BodyText"/>
      </w:pPr>
    </w:p>
    <w:p>
      <w:pPr>
        <w:pStyle w:val="BodyText"/>
        <w:spacing w:before="7"/>
      </w:pPr>
    </w:p>
    <w:p>
      <w:pPr>
        <w:pStyle w:val="BodyText"/>
        <w:ind w:left="250" w:right="63"/>
      </w:pPr>
      <w:r>
        <w:rPr/>
        <w:t>Diagrama 1: Proceso de producción de queso fresco en la región central México.</w:t>
      </w:r>
    </w:p>
    <w:p>
      <w:pPr>
        <w:pStyle w:val="BodyText"/>
        <w:rPr>
          <w:sz w:val="20"/>
        </w:rPr>
      </w:pPr>
    </w:p>
    <w:p>
      <w:pPr>
        <w:pStyle w:val="BodyText"/>
        <w:rPr>
          <w:sz w:val="28"/>
        </w:rPr>
      </w:pPr>
    </w:p>
    <w:p>
      <w:pPr>
        <w:spacing w:after="0"/>
        <w:rPr>
          <w:sz w:val="28"/>
        </w:rPr>
        <w:sectPr>
          <w:pgSz w:w="12240" w:h="15840"/>
          <w:pgMar w:header="728" w:footer="710" w:top="1200" w:bottom="900" w:left="1560" w:right="1560"/>
        </w:sectPr>
      </w:pPr>
    </w:p>
    <w:p>
      <w:pPr>
        <w:spacing w:line="300" w:lineRule="auto" w:before="71"/>
        <w:ind w:left="1544" w:right="0" w:firstLine="158"/>
        <w:jc w:val="left"/>
        <w:rPr>
          <w:rFonts w:ascii="Calibri" w:hAnsi="Calibri"/>
          <w:sz w:val="14"/>
        </w:rPr>
      </w:pPr>
      <w:r>
        <w:rPr/>
        <w:pict>
          <v:group style="position:absolute;margin-left:139.300003pt;margin-top:-11.164973pt;width:81.8pt;height:231.3pt;mso-position-horizontal-relative:page;mso-position-vertical-relative:paragraph;z-index:-216232" coordorigin="2786,-223" coordsize="1636,4626">
            <v:shape style="position:absolute;left:2796;top:-213;width:1616;height:1448" coordorigin="2796,-213" coordsize="1616,1448" path="m4411,-116l4404,-154,4383,-185,4352,-206,4314,-213,2893,-213,2855,-206,2824,-185,2804,-154,2796,-116,2796,659,2804,697,2824,728,2855,749,2893,756,3053,756,3053,1234,3197,1234,3197,756,4314,756,4352,749,4383,728,4404,697,4411,659,4411,-116e" filled="true" fillcolor="#a4a4a4" stroked="false">
              <v:path arrowok="t"/>
              <v:fill type="solid"/>
            </v:shape>
            <v:shape style="position:absolute;left:2796;top:-213;width:1616;height:970" coordorigin="2796,-213" coordsize="1616,970" path="m2796,-116l2804,-154,2824,-185,2855,-206,2893,-213,4314,-213,4352,-206,4383,-185,4404,-154,4411,-116,4411,659,4404,697,4383,728,4352,749,4314,756,2893,756,2855,749,2824,728,2804,697,2796,659,2796,-116xe" filled="false" stroked="true" strokeweight=".96pt" strokecolor="#ffffff">
              <v:path arrowok="t"/>
            </v:shape>
            <v:rect style="position:absolute;left:3053;top:1244;width:144;height:1200" filled="true" fillcolor="#ac966d" stroked="false">
              <v:fill type="solid"/>
            </v:rect>
            <v:shape style="position:absolute;left:2796;top:999;width:1616;height:970" coordorigin="2796,999" coordsize="1616,970" path="m4314,999l2893,999,2855,1006,2824,1027,2804,1058,2796,1096,2796,1871,2804,1909,2824,1940,2855,1961,2893,1968,4314,1968,4352,1961,4383,1940,4404,1909,4411,1871,4411,1096,4404,1058,4383,1027,4352,1006,4314,999xe" filled="true" fillcolor="#ab9973" stroked="false">
              <v:path arrowok="t"/>
              <v:fill type="solid"/>
            </v:shape>
            <v:shape style="position:absolute;left:2796;top:999;width:1616;height:970" coordorigin="2796,999" coordsize="1616,970" path="m2796,1096l2804,1058,2824,1027,2855,1006,2893,999,4314,999,4352,1006,4383,1027,4404,1058,4411,1096,4411,1871,4404,1909,4383,1940,4352,1961,4314,1968,2893,1968,2855,1961,2824,1940,2804,1909,2796,1871,2796,1096xe" filled="false" stroked="true" strokeweight=".96pt" strokecolor="#ffffff">
              <v:path arrowok="t"/>
            </v:shape>
            <v:rect style="position:absolute;left:3053;top:2456;width:144;height:1200" filled="true" fillcolor="#ac863c" stroked="false">
              <v:fill type="solid"/>
            </v:rect>
            <v:shape style="position:absolute;left:2796;top:2211;width:1616;height:970" coordorigin="2796,2211" coordsize="1616,970" path="m4314,2211l2893,2211,2855,2218,2824,2239,2804,2270,2796,2308,2796,3083,2804,3121,2824,3152,2855,3173,2893,3180,4314,3180,4352,3173,4383,3152,4404,3121,4411,3083,4411,2308,4404,2270,4383,2239,4352,2218,4314,2211xe" filled="true" fillcolor="#ad8a45" stroked="false">
              <v:path arrowok="t"/>
              <v:fill type="solid"/>
            </v:shape>
            <v:shape style="position:absolute;left:2796;top:2211;width:1616;height:970" coordorigin="2796,2211" coordsize="1616,970" path="m2796,2308l2804,2270,2824,2239,2855,2218,2893,2211,4314,2211,4352,2218,4383,2239,4404,2270,4411,2308,4411,3083,4404,3121,4383,3152,4352,3173,4314,3180,2893,3180,2855,3173,2824,3152,2804,3121,2796,3083,2796,2308xe" filled="false" stroked="true" strokeweight=".96pt" strokecolor="#ffffff">
              <v:path arrowok="t"/>
            </v:shape>
            <v:shape style="position:absolute;left:2796;top:3423;width:1616;height:970" coordorigin="2796,3423" coordsize="1616,970" path="m4314,3423l2893,3423,2855,3430,2824,3451,2804,3482,2796,3520,2796,4295,2804,4333,2824,4364,2855,4385,2893,4392,4314,4392,4352,4385,4383,4364,4404,4333,4411,4295,4411,3520,4404,3482,4383,3451,4352,3430,4314,3423xe" filled="true" fillcolor="#ac7b1b" stroked="false">
              <v:path arrowok="t"/>
              <v:fill type="solid"/>
            </v:shape>
            <v:shape style="position:absolute;left:2796;top:3423;width:1616;height:970" coordorigin="2796,3423" coordsize="1616,970" path="m2796,3520l2804,3482,2824,3451,2855,3430,2893,3423,4314,3423,4352,3430,4383,3451,4404,3482,4411,3520,4411,4295,4404,4333,4383,4364,4352,4385,4314,4392,2893,4392,2855,4385,2824,4364,2804,4333,2796,4295,2796,3520xe" filled="false" stroked="true" strokeweight=".96pt" strokecolor="#ffffff">
              <v:path arrowok="t"/>
            </v:shape>
            <w10:wrap type="none"/>
          </v:group>
        </w:pict>
      </w:r>
      <w:r>
        <w:rPr>
          <w:rFonts w:ascii="Calibri" w:hAnsi="Calibri"/>
          <w:color w:val="FFFFFF"/>
          <w:sz w:val="14"/>
        </w:rPr>
        <w:t>Leche cruda 20-32°C; 35-40 °C</w:t>
      </w:r>
    </w:p>
    <w:p>
      <w:pPr>
        <w:spacing w:line="156" w:lineRule="exact" w:before="110"/>
        <w:ind w:left="906" w:right="-13" w:firstLine="45"/>
        <w:jc w:val="left"/>
        <w:rPr>
          <w:rFonts w:ascii="Calibri"/>
          <w:sz w:val="14"/>
        </w:rPr>
      </w:pPr>
      <w:r>
        <w:rPr/>
        <w:br w:type="column"/>
      </w:r>
      <w:r>
        <w:rPr>
          <w:rFonts w:ascii="Calibri"/>
          <w:color w:val="FFFFFF"/>
          <w:sz w:val="14"/>
        </w:rPr>
        <w:t>Amasado o molido fino generalmente es</w:t>
      </w:r>
      <w:r>
        <w:rPr>
          <w:rFonts w:ascii="Calibri"/>
          <w:color w:val="FFFFFF"/>
          <w:spacing w:val="-11"/>
          <w:sz w:val="14"/>
        </w:rPr>
        <w:t> </w:t>
      </w:r>
      <w:r>
        <w:rPr>
          <w:rFonts w:ascii="Calibri"/>
          <w:color w:val="FFFFFF"/>
          <w:sz w:val="14"/>
        </w:rPr>
        <w:t>manual</w:t>
      </w:r>
    </w:p>
    <w:p>
      <w:pPr>
        <w:spacing w:line="156" w:lineRule="exact" w:before="110"/>
        <w:ind w:left="1208" w:right="2171" w:hanging="392"/>
        <w:jc w:val="left"/>
        <w:rPr>
          <w:rFonts w:ascii="Calibri"/>
          <w:sz w:val="14"/>
        </w:rPr>
      </w:pPr>
      <w:r>
        <w:rPr/>
        <w:br w:type="column"/>
      </w:r>
      <w:r>
        <w:rPr>
          <w:rFonts w:ascii="Calibri"/>
          <w:color w:val="FFFFFF"/>
          <w:sz w:val="14"/>
        </w:rPr>
        <w:t>Salado simultaneo al molido</w:t>
      </w:r>
    </w:p>
    <w:p>
      <w:pPr>
        <w:spacing w:after="0" w:line="156" w:lineRule="exact"/>
        <w:jc w:val="left"/>
        <w:rPr>
          <w:rFonts w:ascii="Calibri"/>
          <w:sz w:val="14"/>
        </w:rPr>
        <w:sectPr>
          <w:type w:val="continuous"/>
          <w:pgSz w:w="12240" w:h="15840"/>
          <w:pgMar w:top="1300" w:bottom="280" w:left="1560" w:right="1560"/>
          <w:cols w:num="3" w:equalWidth="0">
            <w:col w:w="2543" w:space="40"/>
            <w:col w:w="2314" w:space="40"/>
            <w:col w:w="4183"/>
          </w:cols>
        </w:sectPr>
      </w:pPr>
    </w:p>
    <w:p>
      <w:pPr>
        <w:pStyle w:val="BodyText"/>
        <w:rPr>
          <w:rFonts w:ascii="Calibri"/>
          <w:sz w:val="20"/>
        </w:rPr>
      </w:pPr>
    </w:p>
    <w:p>
      <w:pPr>
        <w:pStyle w:val="BodyText"/>
        <w:rPr>
          <w:rFonts w:ascii="Calibri"/>
          <w:sz w:val="20"/>
        </w:rPr>
      </w:pPr>
    </w:p>
    <w:p>
      <w:pPr>
        <w:pStyle w:val="BodyText"/>
        <w:spacing w:before="5"/>
        <w:rPr>
          <w:rFonts w:ascii="Calibri"/>
          <w:sz w:val="18"/>
        </w:rPr>
      </w:pPr>
    </w:p>
    <w:p>
      <w:pPr>
        <w:spacing w:after="0"/>
        <w:rPr>
          <w:rFonts w:ascii="Calibri"/>
          <w:sz w:val="18"/>
        </w:rPr>
        <w:sectPr>
          <w:type w:val="continuous"/>
          <w:pgSz w:w="12240" w:h="15840"/>
          <w:pgMar w:top="1300" w:bottom="280" w:left="1560" w:right="1560"/>
        </w:sectPr>
      </w:pPr>
    </w:p>
    <w:p>
      <w:pPr>
        <w:spacing w:line="300" w:lineRule="auto" w:before="71"/>
        <w:ind w:left="1650" w:right="0" w:firstLine="31"/>
        <w:jc w:val="right"/>
        <w:rPr>
          <w:rFonts w:ascii="Calibri" w:hAnsi="Calibri"/>
          <w:sz w:val="14"/>
        </w:rPr>
      </w:pPr>
      <w:r>
        <w:rPr>
          <w:rFonts w:ascii="Calibri" w:hAnsi="Calibri"/>
          <w:color w:val="FFFFFF"/>
          <w:sz w:val="14"/>
        </w:rPr>
        <w:t>Coagulación 3 min-40 min</w:t>
      </w:r>
    </w:p>
    <w:p>
      <w:pPr>
        <w:pStyle w:val="BodyText"/>
        <w:spacing w:before="7"/>
        <w:rPr>
          <w:rFonts w:ascii="Calibri"/>
          <w:sz w:val="14"/>
        </w:rPr>
      </w:pPr>
      <w:r>
        <w:rPr/>
        <w:br w:type="column"/>
      </w:r>
      <w:r>
        <w:rPr>
          <w:rFonts w:ascii="Calibri"/>
          <w:sz w:val="14"/>
        </w:rPr>
      </w:r>
    </w:p>
    <w:p>
      <w:pPr>
        <w:spacing w:before="0"/>
        <w:ind w:left="1167" w:right="-11" w:firstLine="0"/>
        <w:jc w:val="left"/>
        <w:rPr>
          <w:rFonts w:ascii="Calibri"/>
          <w:sz w:val="14"/>
        </w:rPr>
      </w:pPr>
      <w:r>
        <w:rPr>
          <w:rFonts w:ascii="Calibri"/>
          <w:color w:val="FFFFFF"/>
          <w:sz w:val="14"/>
        </w:rPr>
        <w:t>Deshacer la</w:t>
      </w:r>
      <w:r>
        <w:rPr>
          <w:rFonts w:ascii="Calibri"/>
          <w:color w:val="FFFFFF"/>
          <w:spacing w:val="-13"/>
          <w:sz w:val="14"/>
        </w:rPr>
        <w:t> </w:t>
      </w:r>
      <w:r>
        <w:rPr>
          <w:rFonts w:ascii="Calibri"/>
          <w:color w:val="FFFFFF"/>
          <w:sz w:val="14"/>
        </w:rPr>
        <w:t>cuajada</w:t>
      </w:r>
    </w:p>
    <w:p>
      <w:pPr>
        <w:pStyle w:val="BodyText"/>
        <w:spacing w:before="7"/>
        <w:rPr>
          <w:rFonts w:ascii="Calibri"/>
          <w:sz w:val="14"/>
        </w:rPr>
      </w:pPr>
      <w:r>
        <w:rPr/>
        <w:br w:type="column"/>
      </w:r>
      <w:r>
        <w:rPr>
          <w:rFonts w:ascii="Calibri"/>
          <w:sz w:val="14"/>
        </w:rPr>
      </w:r>
    </w:p>
    <w:p>
      <w:pPr>
        <w:spacing w:before="0"/>
        <w:ind w:left="1256" w:right="0" w:firstLine="0"/>
        <w:jc w:val="left"/>
        <w:rPr>
          <w:rFonts w:ascii="Calibri"/>
          <w:sz w:val="14"/>
        </w:rPr>
      </w:pPr>
      <w:r>
        <w:rPr>
          <w:rFonts w:ascii="Calibri"/>
          <w:color w:val="FFFFFF"/>
          <w:sz w:val="14"/>
        </w:rPr>
        <w:t>Moldeado</w:t>
      </w:r>
    </w:p>
    <w:p>
      <w:pPr>
        <w:spacing w:after="0"/>
        <w:jc w:val="left"/>
        <w:rPr>
          <w:rFonts w:ascii="Calibri"/>
          <w:sz w:val="14"/>
        </w:rPr>
        <w:sectPr>
          <w:type w:val="continuous"/>
          <w:pgSz w:w="12240" w:h="15840"/>
          <w:pgMar w:top="1300" w:bottom="280" w:left="1560" w:right="1560"/>
          <w:cols w:num="3" w:equalWidth="0">
            <w:col w:w="2420" w:space="40"/>
            <w:col w:w="2296" w:space="40"/>
            <w:col w:w="4324"/>
          </w:cols>
        </w:sectPr>
      </w:pPr>
    </w:p>
    <w:p>
      <w:pPr>
        <w:pStyle w:val="BodyText"/>
        <w:rPr>
          <w:rFonts w:ascii="Calibri"/>
          <w:sz w:val="20"/>
        </w:rPr>
      </w:pPr>
    </w:p>
    <w:p>
      <w:pPr>
        <w:pStyle w:val="BodyText"/>
        <w:rPr>
          <w:rFonts w:ascii="Calibri"/>
          <w:sz w:val="20"/>
        </w:rPr>
      </w:pPr>
    </w:p>
    <w:p>
      <w:pPr>
        <w:pStyle w:val="BodyText"/>
        <w:spacing w:before="5"/>
        <w:rPr>
          <w:rFonts w:ascii="Calibri"/>
          <w:sz w:val="18"/>
        </w:rPr>
      </w:pPr>
    </w:p>
    <w:p>
      <w:pPr>
        <w:spacing w:after="0"/>
        <w:rPr>
          <w:rFonts w:ascii="Calibri"/>
          <w:sz w:val="18"/>
        </w:rPr>
        <w:sectPr>
          <w:type w:val="continuous"/>
          <w:pgSz w:w="12240" w:h="15840"/>
          <w:pgMar w:top="1300" w:bottom="280" w:left="1560" w:right="1560"/>
        </w:sectPr>
      </w:pPr>
    </w:p>
    <w:p>
      <w:pPr>
        <w:pStyle w:val="BodyText"/>
        <w:spacing w:before="7"/>
        <w:rPr>
          <w:rFonts w:ascii="Calibri"/>
          <w:sz w:val="14"/>
        </w:rPr>
      </w:pPr>
    </w:p>
    <w:p>
      <w:pPr>
        <w:spacing w:before="0"/>
        <w:ind w:left="1498" w:right="-12" w:firstLine="0"/>
        <w:jc w:val="left"/>
        <w:rPr>
          <w:rFonts w:ascii="Calibri"/>
          <w:sz w:val="14"/>
        </w:rPr>
      </w:pPr>
      <w:r>
        <w:rPr>
          <w:rFonts w:ascii="Calibri"/>
          <w:color w:val="FFFFFF"/>
          <w:sz w:val="14"/>
        </w:rPr>
        <w:t>Corte de la</w:t>
      </w:r>
      <w:r>
        <w:rPr>
          <w:rFonts w:ascii="Calibri"/>
          <w:color w:val="FFFFFF"/>
          <w:spacing w:val="-12"/>
          <w:sz w:val="14"/>
        </w:rPr>
        <w:t> </w:t>
      </w:r>
      <w:r>
        <w:rPr>
          <w:rFonts w:ascii="Calibri"/>
          <w:color w:val="FFFFFF"/>
          <w:sz w:val="14"/>
        </w:rPr>
        <w:t>cuajada</w:t>
      </w:r>
    </w:p>
    <w:p>
      <w:pPr>
        <w:spacing w:line="164" w:lineRule="exact" w:before="101"/>
        <w:ind w:left="857" w:right="0" w:firstLine="0"/>
        <w:jc w:val="center"/>
        <w:rPr>
          <w:rFonts w:ascii="Calibri" w:hAnsi="Calibri"/>
          <w:sz w:val="14"/>
        </w:rPr>
      </w:pPr>
      <w:r>
        <w:rPr/>
        <w:br w:type="column"/>
      </w:r>
      <w:r>
        <w:rPr>
          <w:rFonts w:ascii="Calibri" w:hAnsi="Calibri"/>
          <w:color w:val="FFFFFF"/>
          <w:sz w:val="14"/>
        </w:rPr>
        <w:t>Filtración por drenado</w:t>
      </w:r>
      <w:r>
        <w:rPr>
          <w:rFonts w:ascii="Calibri" w:hAnsi="Calibri"/>
          <w:color w:val="FFFFFF"/>
          <w:spacing w:val="-10"/>
          <w:sz w:val="14"/>
        </w:rPr>
        <w:t> </w:t>
      </w:r>
      <w:r>
        <w:rPr>
          <w:rFonts w:ascii="Calibri" w:hAnsi="Calibri"/>
          <w:color w:val="FFFFFF"/>
          <w:sz w:val="14"/>
        </w:rPr>
        <w:t>4-</w:t>
      </w:r>
    </w:p>
    <w:p>
      <w:pPr>
        <w:spacing w:line="164" w:lineRule="exact" w:before="0"/>
        <w:ind w:left="860" w:right="0" w:firstLine="0"/>
        <w:jc w:val="center"/>
        <w:rPr>
          <w:rFonts w:ascii="Calibri"/>
          <w:sz w:val="14"/>
        </w:rPr>
      </w:pPr>
      <w:r>
        <w:rPr>
          <w:rFonts w:ascii="Calibri"/>
          <w:color w:val="FFFFFF"/>
          <w:sz w:val="14"/>
        </w:rPr>
        <w:t>12 hr</w:t>
      </w:r>
    </w:p>
    <w:p>
      <w:pPr>
        <w:spacing w:line="300" w:lineRule="auto" w:before="71"/>
        <w:ind w:left="1214" w:right="2235" w:hanging="313"/>
        <w:jc w:val="left"/>
        <w:rPr>
          <w:rFonts w:ascii="Calibri"/>
          <w:sz w:val="14"/>
        </w:rPr>
      </w:pPr>
      <w:r>
        <w:rPr/>
        <w:br w:type="column"/>
      </w:r>
      <w:r>
        <w:rPr>
          <w:rFonts w:ascii="Calibri"/>
          <w:color w:val="FFFFFF"/>
          <w:sz w:val="14"/>
        </w:rPr>
        <w:t>Reposo del queso 4-12 hr</w:t>
      </w:r>
    </w:p>
    <w:p>
      <w:pPr>
        <w:spacing w:after="0" w:line="300" w:lineRule="auto"/>
        <w:jc w:val="left"/>
        <w:rPr>
          <w:rFonts w:ascii="Calibri"/>
          <w:sz w:val="14"/>
        </w:rPr>
        <w:sectPr>
          <w:type w:val="continuous"/>
          <w:pgSz w:w="12240" w:h="15840"/>
          <w:pgMar w:top="1300" w:bottom="280" w:left="1560" w:right="1560"/>
          <w:cols w:num="3" w:equalWidth="0">
            <w:col w:w="2587" w:space="40"/>
            <w:col w:w="2272" w:space="40"/>
            <w:col w:w="4181"/>
          </w:cols>
        </w:sectPr>
      </w:pPr>
    </w:p>
    <w:p>
      <w:pPr>
        <w:pStyle w:val="BodyText"/>
        <w:rPr>
          <w:rFonts w:ascii="Calibri"/>
          <w:sz w:val="20"/>
        </w:rPr>
      </w:pPr>
    </w:p>
    <w:p>
      <w:pPr>
        <w:pStyle w:val="BodyText"/>
        <w:spacing w:before="3"/>
        <w:rPr>
          <w:rFonts w:ascii="Calibri"/>
          <w:sz w:val="28"/>
        </w:rPr>
      </w:pPr>
    </w:p>
    <w:p>
      <w:pPr>
        <w:tabs>
          <w:tab w:pos="3583" w:val="left" w:leader="none"/>
        </w:tabs>
        <w:spacing w:line="153" w:lineRule="exact" w:before="72"/>
        <w:ind w:left="1572" w:right="1550" w:firstLine="0"/>
        <w:jc w:val="left"/>
        <w:rPr>
          <w:rFonts w:ascii="Calibri"/>
          <w:sz w:val="14"/>
        </w:rPr>
      </w:pPr>
      <w:r>
        <w:rPr>
          <w:rFonts w:ascii="Calibri"/>
          <w:color w:val="FFFFFF"/>
          <w:w w:val="99"/>
          <w:sz w:val="14"/>
          <w:shd w:fill="AC770D" w:color="auto" w:val="clear"/>
        </w:rPr>
        <w:t> </w:t>
      </w:r>
      <w:r>
        <w:rPr>
          <w:rFonts w:ascii="Calibri"/>
          <w:color w:val="FFFFFF"/>
          <w:sz w:val="14"/>
          <w:shd w:fill="AC770D" w:color="auto" w:val="clear"/>
        </w:rPr>
        <w:tab/>
        <w:t>Se</w:t>
      </w:r>
      <w:r>
        <w:rPr>
          <w:rFonts w:ascii="Calibri"/>
          <w:color w:val="FFFFFF"/>
          <w:sz w:val="14"/>
        </w:rPr>
        <w:t>cado de la</w:t>
      </w:r>
      <w:r>
        <w:rPr>
          <w:rFonts w:ascii="Calibri"/>
          <w:color w:val="FFFFFF"/>
          <w:spacing w:val="-11"/>
          <w:sz w:val="14"/>
        </w:rPr>
        <w:t> </w:t>
      </w:r>
      <w:r>
        <w:rPr>
          <w:rFonts w:ascii="Calibri"/>
          <w:color w:val="FFFFFF"/>
          <w:sz w:val="14"/>
        </w:rPr>
        <w:t>cuajada,</w:t>
      </w:r>
    </w:p>
    <w:p>
      <w:pPr>
        <w:spacing w:after="0" w:line="153" w:lineRule="exact"/>
        <w:jc w:val="left"/>
        <w:rPr>
          <w:rFonts w:ascii="Calibri"/>
          <w:sz w:val="14"/>
        </w:rPr>
        <w:sectPr>
          <w:type w:val="continuous"/>
          <w:pgSz w:w="12240" w:h="15840"/>
          <w:pgMar w:top="1300" w:bottom="280" w:left="1560" w:right="1560"/>
        </w:sectPr>
      </w:pPr>
    </w:p>
    <w:p>
      <w:pPr>
        <w:spacing w:line="142" w:lineRule="exact" w:before="0"/>
        <w:ind w:left="1443" w:right="0" w:firstLine="0"/>
        <w:jc w:val="center"/>
        <w:rPr>
          <w:rFonts w:ascii="Calibri"/>
          <w:sz w:val="14"/>
        </w:rPr>
      </w:pPr>
      <w:r>
        <w:rPr>
          <w:rFonts w:ascii="Calibri"/>
          <w:color w:val="FFFFFF"/>
          <w:sz w:val="14"/>
        </w:rPr>
        <w:t>Reposo de la</w:t>
      </w:r>
      <w:r>
        <w:rPr>
          <w:rFonts w:ascii="Calibri"/>
          <w:color w:val="FFFFFF"/>
          <w:spacing w:val="-13"/>
          <w:sz w:val="14"/>
        </w:rPr>
        <w:t> </w:t>
      </w:r>
      <w:r>
        <w:rPr>
          <w:rFonts w:ascii="Calibri"/>
          <w:color w:val="FFFFFF"/>
          <w:sz w:val="14"/>
        </w:rPr>
        <w:t>cuajada</w:t>
      </w:r>
    </w:p>
    <w:p>
      <w:pPr>
        <w:spacing w:before="42"/>
        <w:ind w:left="0" w:right="342" w:firstLine="0"/>
        <w:jc w:val="right"/>
        <w:rPr>
          <w:rFonts w:ascii="Calibri"/>
          <w:sz w:val="14"/>
        </w:rPr>
      </w:pPr>
      <w:r>
        <w:rPr>
          <w:rFonts w:ascii="Calibri"/>
          <w:color w:val="FFFFFF"/>
          <w:sz w:val="14"/>
        </w:rPr>
        <w:t>2-30 min</w:t>
      </w:r>
    </w:p>
    <w:p>
      <w:pPr>
        <w:spacing w:line="154" w:lineRule="exact" w:before="13"/>
        <w:ind w:left="836" w:right="4251" w:firstLine="48"/>
        <w:jc w:val="both"/>
        <w:rPr>
          <w:rFonts w:ascii="Calibri" w:hAnsi="Calibri"/>
          <w:sz w:val="14"/>
        </w:rPr>
      </w:pPr>
      <w:r>
        <w:rPr/>
        <w:br w:type="column"/>
      </w:r>
      <w:r>
        <w:rPr>
          <w:rFonts w:ascii="Calibri" w:hAnsi="Calibri"/>
          <w:color w:val="FFFFFF"/>
          <w:sz w:val="14"/>
        </w:rPr>
        <w:t>primero por filtración, agitación suave y luego por compresión</w:t>
      </w:r>
      <w:r>
        <w:rPr>
          <w:rFonts w:ascii="Calibri" w:hAnsi="Calibri"/>
          <w:color w:val="FFFFFF"/>
          <w:spacing w:val="-15"/>
          <w:sz w:val="14"/>
        </w:rPr>
        <w:t> </w:t>
      </w:r>
      <w:r>
        <w:rPr>
          <w:rFonts w:ascii="Calibri" w:hAnsi="Calibri"/>
          <w:color w:val="FFFFFF"/>
          <w:sz w:val="14"/>
        </w:rPr>
        <w:t>manual</w:t>
      </w:r>
    </w:p>
    <w:p>
      <w:pPr>
        <w:spacing w:after="0" w:line="154" w:lineRule="exact"/>
        <w:jc w:val="both"/>
        <w:rPr>
          <w:rFonts w:ascii="Calibri" w:hAnsi="Calibri"/>
          <w:sz w:val="14"/>
        </w:rPr>
        <w:sectPr>
          <w:type w:val="continuous"/>
          <w:pgSz w:w="12240" w:h="15840"/>
          <w:pgMar w:top="1300" w:bottom="280" w:left="1560" w:right="1560"/>
          <w:cols w:num="2" w:equalWidth="0">
            <w:col w:w="2640" w:space="40"/>
            <w:col w:w="6440"/>
          </w:cols>
        </w:sectPr>
      </w:pPr>
    </w:p>
    <w:p>
      <w:pPr>
        <w:pStyle w:val="BodyText"/>
        <w:rPr>
          <w:rFonts w:ascii="Calibri"/>
          <w:sz w:val="20"/>
        </w:rPr>
      </w:pPr>
    </w:p>
    <w:p>
      <w:pPr>
        <w:pStyle w:val="BodyText"/>
        <w:spacing w:before="8"/>
        <w:rPr>
          <w:rFonts w:ascii="Calibri"/>
          <w:sz w:val="15"/>
        </w:rPr>
      </w:pPr>
    </w:p>
    <w:p>
      <w:pPr>
        <w:spacing w:before="74"/>
        <w:ind w:left="250" w:right="1550" w:firstLine="0"/>
        <w:jc w:val="left"/>
        <w:rPr>
          <w:sz w:val="20"/>
        </w:rPr>
      </w:pPr>
      <w:r>
        <w:rPr/>
        <w:pict>
          <v:group style="position:absolute;margin-left:246.699997pt;margin-top:-243.450119pt;width:189.3pt;height:231.3pt;mso-position-horizontal-relative:page;mso-position-vertical-relative:paragraph;z-index:-216208" coordorigin="4934,-4869" coordsize="3786,4626">
            <v:rect style="position:absolute;left:5201;top:-2190;width:146;height:1200" filled="true" fillcolor="#ac6900" stroked="false">
              <v:fill type="solid"/>
            </v:rect>
            <v:shape style="position:absolute;left:4944;top:-1223;width:1616;height:970" coordorigin="4944,-1223" coordsize="1616,970" path="m6462,-1223l5041,-1223,5003,-1215,4972,-1195,4952,-1164,4944,-1126,4944,-350,4952,-313,4972,-282,5003,-261,5041,-253,6462,-253,6500,-261,6531,-282,6552,-313,6559,-350,6559,-1126,6552,-1164,6531,-1195,6500,-1215,6462,-1223xe" filled="true" fillcolor="#ab6d00" stroked="false">
              <v:path arrowok="t"/>
              <v:fill type="solid"/>
            </v:shape>
            <v:shape style="position:absolute;left:4944;top:-1223;width:1616;height:970" coordorigin="4944,-1223" coordsize="1616,970" path="m4944,-1126l4952,-1164,4972,-1195,5003,-1215,5041,-1223,6462,-1223,6500,-1215,6531,-1195,6552,-1164,6559,-1126,6559,-350,6552,-313,6531,-282,6500,-261,6462,-253,5041,-253,5003,-261,4972,-282,4952,-313,4944,-350,4944,-1126xe" filled="false" stroked="true" strokeweight=".96pt" strokecolor="#ffffff">
              <v:path arrowok="t"/>
            </v:shape>
            <v:rect style="position:absolute;left:5201;top:-3402;width:146;height:1200" filled="true" fillcolor="#ac5d00" stroked="false">
              <v:fill type="solid"/>
            </v:rect>
            <v:shape style="position:absolute;left:4944;top:-2435;width:1616;height:970" coordorigin="4944,-2435" coordsize="1616,970" path="m6462,-2435l5041,-2435,5003,-2427,4972,-2407,4952,-2376,4944,-2338,4944,-1562,4952,-1525,4972,-1494,5003,-1473,5041,-1465,6462,-1465,6500,-1473,6531,-1494,6552,-1525,6559,-1562,6559,-2338,6552,-2376,6531,-2407,6500,-2427,6462,-2435xe" filled="true" fillcolor="#ac6200" stroked="false">
              <v:path arrowok="t"/>
              <v:fill type="solid"/>
            </v:shape>
            <v:shape style="position:absolute;left:4944;top:-2435;width:1616;height:970" coordorigin="4944,-2435" coordsize="1616,970" path="m4944,-2338l4952,-2376,4972,-2407,5003,-2427,5041,-2435,6462,-2435,6500,-2427,6531,-2407,6552,-2376,6559,-2338,6559,-1562,6552,-1525,6531,-1494,6500,-1473,6462,-1465,5041,-1465,5003,-1473,4972,-1494,4952,-1525,4944,-1562,4944,-2338xe" filled="false" stroked="true" strokeweight=".96pt" strokecolor="#ffffff">
              <v:path arrowok="t"/>
            </v:shape>
            <v:rect style="position:absolute;left:5201;top:-4612;width:146;height:1200" filled="true" fillcolor="#ae5200" stroked="false">
              <v:fill type="solid"/>
            </v:rect>
            <v:shape style="position:absolute;left:4944;top:-3647;width:1616;height:970" coordorigin="4944,-3647" coordsize="1616,970" path="m6462,-3647l5041,-3647,5003,-3639,4972,-3619,4952,-3588,4944,-3550,4944,-2774,4952,-2737,4972,-2706,5003,-2685,5041,-2677,6462,-2677,6500,-2685,6531,-2706,6552,-2737,6559,-2774,6559,-3550,6552,-3588,6531,-3619,6500,-3639,6462,-3647xe" filled="true" fillcolor="#ad5700" stroked="false">
              <v:path arrowok="t"/>
              <v:fill type="solid"/>
            </v:shape>
            <v:shape style="position:absolute;left:4944;top:-3647;width:1616;height:970" coordorigin="4944,-3647" coordsize="1616,970" path="m4944,-3550l4952,-3588,4972,-3619,5003,-3639,5041,-3647,6462,-3647,6500,-3639,6531,-3619,6552,-3588,6559,-3550,6559,-2774,6552,-2737,6531,-2706,6500,-2685,6462,-2677,5041,-2677,5003,-2685,4972,-2706,4952,-2737,4944,-2774,4944,-3550xe" filled="false" stroked="true" strokeweight=".96pt" strokecolor="#ffffff">
              <v:path arrowok="t"/>
            </v:shape>
            <v:rect style="position:absolute;left:5280;top:-4691;width:2136;height:146" filled="true" fillcolor="#b04600" stroked="false">
              <v:fill type="solid"/>
            </v:rect>
            <v:shape style="position:absolute;left:4944;top:-4859;width:1616;height:970" coordorigin="4944,-4859" coordsize="1616,970" path="m6462,-4859l5041,-4859,5003,-4851,4972,-4831,4952,-4800,4944,-4762,4944,-3986,4952,-3949,4972,-3918,5003,-3897,5041,-3889,6462,-3889,6500,-3897,6531,-3918,6552,-3949,6559,-3986,6559,-4762,6552,-4800,6531,-4831,6500,-4851,6462,-4859xe" filled="true" fillcolor="#af4f00" stroked="false">
              <v:path arrowok="t"/>
              <v:fill type="solid"/>
            </v:shape>
            <v:shape style="position:absolute;left:4944;top:-4859;width:1616;height:970" coordorigin="4944,-4859" coordsize="1616,970" path="m4944,-4762l4952,-4800,4972,-4831,5003,-4851,5041,-4859,6462,-4859,6500,-4851,6531,-4831,6552,-4800,6559,-4762,6559,-3986,6552,-3949,6531,-3918,6500,-3897,6462,-3889,5041,-3889,5003,-3897,4972,-3918,4952,-3949,4944,-3986,4944,-4762xe" filled="false" stroked="true" strokeweight=".96pt" strokecolor="#ffffff">
              <v:path arrowok="t"/>
            </v:shape>
            <v:rect style="position:absolute;left:7349;top:-4612;width:146;height:1200" filled="true" fillcolor="#b13d00" stroked="false">
              <v:fill type="solid"/>
            </v:rect>
            <v:shape style="position:absolute;left:7094;top:-4859;width:1616;height:970" coordorigin="7094,-4859" coordsize="1616,970" path="m8613,-4859l7191,-4859,7154,-4851,7123,-4831,7102,-4800,7094,-4762,7094,-3986,7102,-3949,7123,-3918,7154,-3897,7191,-3889,8613,-3889,8650,-3897,8681,-3918,8702,-3949,8710,-3986,8710,-4762,8702,-4800,8681,-4831,8650,-4851,8613,-4859xe" filled="true" fillcolor="#b04500" stroked="false">
              <v:path arrowok="t"/>
              <v:fill type="solid"/>
            </v:shape>
            <v:shape style="position:absolute;left:7094;top:-4859;width:1616;height:970" coordorigin="7094,-4859" coordsize="1616,970" path="m7094,-4762l7102,-4800,7123,-4831,7154,-4851,7191,-4859,8613,-4859,8650,-4851,8681,-4831,8702,-4800,8710,-4762,8710,-3986,8702,-3949,8681,-3918,8650,-3897,8613,-3889,7191,-3889,7154,-3897,7123,-3918,7102,-3949,7094,-3986,7094,-4762xe" filled="false" stroked="true" strokeweight=".96pt" strokecolor="#ffffff">
              <v:path arrowok="t"/>
            </v:shape>
            <v:rect style="position:absolute;left:7349;top:-3402;width:146;height:1200" filled="true" fillcolor="#b43500" stroked="false">
              <v:fill type="solid"/>
            </v:rect>
            <v:shape style="position:absolute;left:7094;top:-3647;width:1616;height:970" coordorigin="7094,-3647" coordsize="1616,970" path="m8613,-3647l7191,-3647,7154,-3639,7123,-3619,7102,-3588,7094,-3550,7094,-2774,7102,-2737,7123,-2706,7154,-2685,7191,-2677,8613,-2677,8650,-2685,8681,-2706,8702,-2737,8710,-2774,8710,-3550,8702,-3588,8681,-3619,8650,-3639,8613,-3647xe" filled="true" fillcolor="#b33c00" stroked="false">
              <v:path arrowok="t"/>
              <v:fill type="solid"/>
            </v:shape>
            <v:shape style="position:absolute;left:7094;top:-3647;width:1616;height:970" coordorigin="7094,-3647" coordsize="1616,970" path="m7094,-3550l7102,-3588,7123,-3619,7154,-3639,7191,-3647,8613,-3647,8650,-3639,8681,-3619,8702,-3588,8710,-3550,8710,-2774,8702,-2737,8681,-2706,8650,-2685,8613,-2677,7191,-2677,7154,-2685,7123,-2706,7102,-2737,7094,-2774,7094,-3550xe" filled="false" stroked="true" strokeweight=".96pt" strokecolor="#ffffff">
              <v:path arrowok="t"/>
            </v:shape>
            <v:shape style="position:absolute;left:7094;top:-2435;width:1616;height:970" coordorigin="7094,-2435" coordsize="1616,970" path="m8613,-2435l7191,-2435,7154,-2427,7123,-2407,7102,-2376,7094,-2338,7094,-1562,7102,-1525,7123,-1494,7154,-1473,7191,-1465,8613,-1465,8650,-1473,8681,-1494,8702,-1525,8710,-1562,8710,-2338,8702,-2376,8681,-2407,8650,-2427,8613,-2435xe" filled="true" fillcolor="#b43500" stroked="false">
              <v:path arrowok="t"/>
              <v:fill type="solid"/>
            </v:shape>
            <v:shape style="position:absolute;left:7094;top:-2435;width:1616;height:970" coordorigin="7094,-2435" coordsize="1616,970" path="m7094,-2338l7102,-2376,7123,-2407,7154,-2427,7191,-2435,8613,-2435,8650,-2427,8681,-2407,8702,-2376,8710,-2338,8710,-1562,8702,-1525,8681,-1494,8650,-1473,8613,-1465,7191,-1465,7154,-1473,7123,-1494,7102,-1525,7094,-1562,7094,-2338xe" filled="false" stroked="true" strokeweight=".96pt" strokecolor="#ffffff">
              <v:path arrowok="t"/>
            </v:shape>
            <w10:wrap type="none"/>
          </v:group>
        </w:pict>
      </w:r>
      <w:r>
        <w:rPr>
          <w:sz w:val="20"/>
        </w:rPr>
        <w:t>Fuente: Solís-Méndez </w:t>
      </w:r>
      <w:r>
        <w:rPr>
          <w:i/>
          <w:sz w:val="20"/>
        </w:rPr>
        <w:t>et al., </w:t>
      </w:r>
      <w:r>
        <w:rPr>
          <w:sz w:val="20"/>
        </w:rPr>
        <w:t>(2012); Cervantes </w:t>
      </w:r>
      <w:r>
        <w:rPr>
          <w:i/>
          <w:sz w:val="20"/>
        </w:rPr>
        <w:t>et al., </w:t>
      </w:r>
      <w:r>
        <w:rPr>
          <w:sz w:val="20"/>
        </w:rPr>
        <w:t>(2008).</w:t>
      </w:r>
    </w:p>
    <w:p>
      <w:pPr>
        <w:pStyle w:val="BodyText"/>
        <w:spacing w:before="5"/>
        <w:rPr>
          <w:sz w:val="27"/>
        </w:rPr>
      </w:pPr>
    </w:p>
    <w:p>
      <w:pPr>
        <w:pStyle w:val="BodyText"/>
        <w:spacing w:line="276" w:lineRule="auto" w:before="1"/>
        <w:ind w:left="142" w:right="137"/>
        <w:jc w:val="both"/>
      </w:pPr>
      <w:r>
        <w:rPr/>
        <w:t>La producción de queso fresco en el Valle de Toluca surgió a la orilla de la laguna de Lerma, en tierras conocidas como Atenco propiedad de Hernán Cortés y que gracias al aprovechamiento de los humedales y pastos nativos en la temporada de lluvias para la alimentación de su ganado el cual contribuyó con derivados lácteos como:</w:t>
      </w:r>
      <w:r>
        <w:rPr>
          <w:spacing w:val="-7"/>
        </w:rPr>
        <w:t> </w:t>
      </w:r>
      <w:r>
        <w:rPr/>
        <w:t>mantequilla,</w:t>
      </w:r>
      <w:r>
        <w:rPr>
          <w:spacing w:val="-7"/>
        </w:rPr>
        <w:t> </w:t>
      </w:r>
      <w:r>
        <w:rPr/>
        <w:t>quesos</w:t>
      </w:r>
      <w:r>
        <w:rPr>
          <w:spacing w:val="-8"/>
        </w:rPr>
        <w:t> </w:t>
      </w:r>
      <w:r>
        <w:rPr/>
        <w:t>molidos</w:t>
      </w:r>
      <w:r>
        <w:rPr>
          <w:spacing w:val="-10"/>
        </w:rPr>
        <w:t> </w:t>
      </w:r>
      <w:r>
        <w:rPr/>
        <w:t>en</w:t>
      </w:r>
      <w:r>
        <w:rPr>
          <w:spacing w:val="-9"/>
        </w:rPr>
        <w:t> </w:t>
      </w:r>
      <w:r>
        <w:rPr/>
        <w:t>metate,</w:t>
      </w:r>
      <w:r>
        <w:rPr>
          <w:spacing w:val="-7"/>
        </w:rPr>
        <w:t> </w:t>
      </w:r>
      <w:r>
        <w:rPr/>
        <w:t>requesón</w:t>
      </w:r>
      <w:r>
        <w:rPr>
          <w:spacing w:val="-7"/>
        </w:rPr>
        <w:t> </w:t>
      </w:r>
      <w:r>
        <w:rPr/>
        <w:t>y</w:t>
      </w:r>
      <w:r>
        <w:rPr>
          <w:spacing w:val="-10"/>
        </w:rPr>
        <w:t> </w:t>
      </w:r>
      <w:r>
        <w:rPr/>
        <w:t>queso</w:t>
      </w:r>
      <w:r>
        <w:rPr>
          <w:spacing w:val="-7"/>
        </w:rPr>
        <w:t> </w:t>
      </w:r>
      <w:r>
        <w:rPr/>
        <w:t>fresco,</w:t>
      </w:r>
      <w:r>
        <w:rPr>
          <w:spacing w:val="-7"/>
        </w:rPr>
        <w:t> </w:t>
      </w:r>
      <w:r>
        <w:rPr/>
        <w:t>además</w:t>
      </w:r>
      <w:r>
        <w:rPr>
          <w:spacing w:val="-8"/>
        </w:rPr>
        <w:t> </w:t>
      </w:r>
      <w:r>
        <w:rPr/>
        <w:t>la incorporación</w:t>
      </w:r>
      <w:r>
        <w:rPr>
          <w:spacing w:val="-11"/>
        </w:rPr>
        <w:t> </w:t>
      </w:r>
      <w:r>
        <w:rPr/>
        <w:t>de</w:t>
      </w:r>
      <w:r>
        <w:rPr>
          <w:spacing w:val="-13"/>
        </w:rPr>
        <w:t> </w:t>
      </w:r>
      <w:r>
        <w:rPr/>
        <w:t>este</w:t>
      </w:r>
      <w:r>
        <w:rPr>
          <w:spacing w:val="-13"/>
        </w:rPr>
        <w:t> </w:t>
      </w:r>
      <w:r>
        <w:rPr/>
        <w:t>último</w:t>
      </w:r>
      <w:r>
        <w:rPr>
          <w:spacing w:val="-13"/>
        </w:rPr>
        <w:t> </w:t>
      </w:r>
      <w:r>
        <w:rPr/>
        <w:t>a</w:t>
      </w:r>
      <w:r>
        <w:rPr>
          <w:spacing w:val="-11"/>
        </w:rPr>
        <w:t> </w:t>
      </w:r>
      <w:r>
        <w:rPr/>
        <w:t>la</w:t>
      </w:r>
      <w:r>
        <w:rPr>
          <w:spacing w:val="-11"/>
        </w:rPr>
        <w:t> </w:t>
      </w:r>
      <w:r>
        <w:rPr/>
        <w:t>gastronomía</w:t>
      </w:r>
      <w:r>
        <w:rPr>
          <w:spacing w:val="-11"/>
        </w:rPr>
        <w:t> </w:t>
      </w:r>
      <w:r>
        <w:rPr/>
        <w:t>es</w:t>
      </w:r>
      <w:r>
        <w:rPr>
          <w:spacing w:val="-12"/>
        </w:rPr>
        <w:t> </w:t>
      </w:r>
      <w:r>
        <w:rPr/>
        <w:t>documentado</w:t>
      </w:r>
      <w:r>
        <w:rPr>
          <w:spacing w:val="-11"/>
        </w:rPr>
        <w:t> </w:t>
      </w:r>
      <w:r>
        <w:rPr/>
        <w:t>como</w:t>
      </w:r>
      <w:r>
        <w:rPr>
          <w:spacing w:val="-11"/>
        </w:rPr>
        <w:t> </w:t>
      </w:r>
      <w:r>
        <w:rPr/>
        <w:t>ingrediente</w:t>
      </w:r>
      <w:r>
        <w:rPr>
          <w:spacing w:val="-13"/>
        </w:rPr>
        <w:t> </w:t>
      </w:r>
      <w:r>
        <w:rPr/>
        <w:t>en los chiles en nogada sustituyendo a la crema (Romero </w:t>
      </w:r>
      <w:r>
        <w:rPr>
          <w:i/>
        </w:rPr>
        <w:t>et al.,</w:t>
      </w:r>
      <w:r>
        <w:rPr>
          <w:i/>
          <w:spacing w:val="-40"/>
        </w:rPr>
        <w:t> </w:t>
      </w:r>
      <w:r>
        <w:rPr/>
        <w:t>2010).</w:t>
      </w:r>
    </w:p>
    <w:p>
      <w:pPr>
        <w:pStyle w:val="BodyText"/>
        <w:spacing w:line="276" w:lineRule="auto" w:before="3"/>
        <w:ind w:left="142" w:right="141"/>
        <w:jc w:val="both"/>
      </w:pPr>
      <w:r>
        <w:rPr/>
        <w:t>El</w:t>
      </w:r>
      <w:r>
        <w:rPr>
          <w:spacing w:val="-12"/>
        </w:rPr>
        <w:t> </w:t>
      </w:r>
      <w:r>
        <w:rPr/>
        <w:t>queso</w:t>
      </w:r>
      <w:r>
        <w:rPr>
          <w:spacing w:val="-11"/>
        </w:rPr>
        <w:t> </w:t>
      </w:r>
      <w:r>
        <w:rPr/>
        <w:t>artesanal</w:t>
      </w:r>
      <w:r>
        <w:rPr>
          <w:spacing w:val="-12"/>
        </w:rPr>
        <w:t> </w:t>
      </w:r>
      <w:r>
        <w:rPr/>
        <w:t>que</w:t>
      </w:r>
      <w:r>
        <w:rPr>
          <w:spacing w:val="-13"/>
        </w:rPr>
        <w:t> </w:t>
      </w:r>
      <w:r>
        <w:rPr/>
        <w:t>se</w:t>
      </w:r>
      <w:r>
        <w:rPr>
          <w:spacing w:val="-11"/>
        </w:rPr>
        <w:t> </w:t>
      </w:r>
      <w:r>
        <w:rPr/>
        <w:t>comercializa</w:t>
      </w:r>
      <w:r>
        <w:rPr>
          <w:spacing w:val="-11"/>
        </w:rPr>
        <w:t> </w:t>
      </w:r>
      <w:r>
        <w:rPr/>
        <w:t>en</w:t>
      </w:r>
      <w:r>
        <w:rPr>
          <w:spacing w:val="-11"/>
        </w:rPr>
        <w:t> </w:t>
      </w:r>
      <w:r>
        <w:rPr/>
        <w:t>la</w:t>
      </w:r>
      <w:r>
        <w:rPr>
          <w:spacing w:val="-11"/>
        </w:rPr>
        <w:t> </w:t>
      </w:r>
      <w:r>
        <w:rPr/>
        <w:t>ciudad</w:t>
      </w:r>
      <w:r>
        <w:rPr>
          <w:spacing w:val="-13"/>
        </w:rPr>
        <w:t> </w:t>
      </w:r>
      <w:r>
        <w:rPr/>
        <w:t>de</w:t>
      </w:r>
      <w:r>
        <w:rPr>
          <w:spacing w:val="-13"/>
        </w:rPr>
        <w:t> </w:t>
      </w:r>
      <w:r>
        <w:rPr/>
        <w:t>Toluca</w:t>
      </w:r>
      <w:r>
        <w:rPr>
          <w:spacing w:val="-11"/>
        </w:rPr>
        <w:t> </w:t>
      </w:r>
      <w:r>
        <w:rPr/>
        <w:t>no</w:t>
      </w:r>
      <w:r>
        <w:rPr>
          <w:spacing w:val="-13"/>
        </w:rPr>
        <w:t> </w:t>
      </w:r>
      <w:r>
        <w:rPr/>
        <w:t>está</w:t>
      </w:r>
      <w:r>
        <w:rPr>
          <w:spacing w:val="-11"/>
        </w:rPr>
        <w:t> </w:t>
      </w:r>
      <w:r>
        <w:rPr/>
        <w:t>diferenciado, por lo que es susceptible de ser opacado por la imitación, calidad e higiene y producto</w:t>
      </w:r>
      <w:r>
        <w:rPr>
          <w:spacing w:val="35"/>
        </w:rPr>
        <w:t> </w:t>
      </w:r>
      <w:r>
        <w:rPr/>
        <w:t>no</w:t>
      </w:r>
      <w:r>
        <w:rPr>
          <w:spacing w:val="33"/>
        </w:rPr>
        <w:t> </w:t>
      </w:r>
      <w:r>
        <w:rPr/>
        <w:t>empacado</w:t>
      </w:r>
      <w:r>
        <w:rPr>
          <w:spacing w:val="35"/>
        </w:rPr>
        <w:t> </w:t>
      </w:r>
      <w:r>
        <w:rPr/>
        <w:t>usualmente</w:t>
      </w:r>
      <w:r>
        <w:rPr>
          <w:spacing w:val="33"/>
        </w:rPr>
        <w:t> </w:t>
      </w:r>
      <w:r>
        <w:rPr/>
        <w:t>no</w:t>
      </w:r>
      <w:r>
        <w:rPr>
          <w:spacing w:val="35"/>
        </w:rPr>
        <w:t> </w:t>
      </w:r>
      <w:r>
        <w:rPr/>
        <w:t>son</w:t>
      </w:r>
      <w:r>
        <w:rPr>
          <w:spacing w:val="35"/>
        </w:rPr>
        <w:t> </w:t>
      </w:r>
      <w:r>
        <w:rPr/>
        <w:t>consideradas</w:t>
      </w:r>
      <w:r>
        <w:rPr>
          <w:spacing w:val="35"/>
        </w:rPr>
        <w:t> </w:t>
      </w:r>
      <w:r>
        <w:rPr/>
        <w:t>importante</w:t>
      </w:r>
      <w:r>
        <w:rPr>
          <w:spacing w:val="36"/>
        </w:rPr>
        <w:t> </w:t>
      </w:r>
      <w:r>
        <w:rPr/>
        <w:t>en</w:t>
      </w:r>
      <w:r>
        <w:rPr>
          <w:spacing w:val="35"/>
        </w:rPr>
        <w:t> </w:t>
      </w:r>
      <w:r>
        <w:rPr/>
        <w:t>algunos</w:t>
      </w:r>
    </w:p>
    <w:p>
      <w:pPr>
        <w:spacing w:after="0" w:line="276" w:lineRule="auto"/>
        <w:jc w:val="both"/>
        <w:sectPr>
          <w:type w:val="continuous"/>
          <w:pgSz w:w="12240" w:h="15840"/>
          <w:pgMar w:top="1300" w:bottom="280" w:left="1560" w:right="1560"/>
        </w:sectPr>
      </w:pPr>
    </w:p>
    <w:p>
      <w:pPr>
        <w:pStyle w:val="BodyText"/>
        <w:spacing w:before="9"/>
        <w:rPr>
          <w:sz w:val="12"/>
        </w:rPr>
      </w:pPr>
    </w:p>
    <w:p>
      <w:pPr>
        <w:pStyle w:val="BodyText"/>
        <w:spacing w:line="273" w:lineRule="auto" w:before="70"/>
        <w:ind w:left="142" w:right="139"/>
        <w:jc w:val="both"/>
      </w:pPr>
      <w:r>
        <w:rPr/>
        <w:t>consumidores, debido a su menor precio y accesibilidad económica en centros de abasto (González </w:t>
      </w:r>
      <w:r>
        <w:rPr>
          <w:i/>
        </w:rPr>
        <w:t>et al., </w:t>
      </w:r>
      <w:r>
        <w:rPr/>
        <w:t>2007).</w:t>
      </w:r>
    </w:p>
    <w:p>
      <w:pPr>
        <w:pStyle w:val="BodyText"/>
      </w:pPr>
    </w:p>
    <w:p>
      <w:pPr>
        <w:pStyle w:val="Heading2"/>
        <w:spacing w:before="169"/>
        <w:jc w:val="both"/>
      </w:pPr>
      <w:bookmarkStart w:name="_bookmark28" w:id="36"/>
      <w:bookmarkEnd w:id="36"/>
      <w:r>
        <w:rPr>
          <w:b w:val="0"/>
        </w:rPr>
      </w:r>
      <w:r>
        <w:rPr/>
        <w:t>Calidad de los quesos</w:t>
      </w:r>
    </w:p>
    <w:p>
      <w:pPr>
        <w:pStyle w:val="BodyText"/>
        <w:spacing w:line="276" w:lineRule="auto" w:before="26"/>
        <w:ind w:left="142" w:right="138"/>
        <w:jc w:val="both"/>
      </w:pPr>
      <w:r>
        <w:rPr/>
        <w:t>La</w:t>
      </w:r>
      <w:r>
        <w:rPr>
          <w:spacing w:val="-4"/>
        </w:rPr>
        <w:t> </w:t>
      </w:r>
      <w:r>
        <w:rPr/>
        <w:t>calidad</w:t>
      </w:r>
      <w:r>
        <w:rPr>
          <w:spacing w:val="-6"/>
        </w:rPr>
        <w:t> </w:t>
      </w:r>
      <w:r>
        <w:rPr/>
        <w:t>de</w:t>
      </w:r>
      <w:r>
        <w:rPr>
          <w:spacing w:val="-4"/>
        </w:rPr>
        <w:t> </w:t>
      </w:r>
      <w:r>
        <w:rPr/>
        <w:t>los</w:t>
      </w:r>
      <w:r>
        <w:rPr>
          <w:spacing w:val="-4"/>
        </w:rPr>
        <w:t> </w:t>
      </w:r>
      <w:r>
        <w:rPr/>
        <w:t>quesos</w:t>
      </w:r>
      <w:r>
        <w:rPr>
          <w:spacing w:val="-4"/>
        </w:rPr>
        <w:t> </w:t>
      </w:r>
      <w:r>
        <w:rPr/>
        <w:t>es</w:t>
      </w:r>
      <w:r>
        <w:rPr>
          <w:spacing w:val="-7"/>
        </w:rPr>
        <w:t> </w:t>
      </w:r>
      <w:r>
        <w:rPr/>
        <w:t>muy</w:t>
      </w:r>
      <w:r>
        <w:rPr>
          <w:spacing w:val="-7"/>
        </w:rPr>
        <w:t> </w:t>
      </w:r>
      <w:r>
        <w:rPr/>
        <w:t>importante</w:t>
      </w:r>
      <w:r>
        <w:rPr>
          <w:spacing w:val="-8"/>
        </w:rPr>
        <w:t> </w:t>
      </w:r>
      <w:r>
        <w:rPr/>
        <w:t>siendo</w:t>
      </w:r>
      <w:r>
        <w:rPr>
          <w:spacing w:val="-8"/>
        </w:rPr>
        <w:t> </w:t>
      </w:r>
      <w:r>
        <w:rPr/>
        <w:t>factores</w:t>
      </w:r>
      <w:r>
        <w:rPr>
          <w:spacing w:val="-7"/>
        </w:rPr>
        <w:t> </w:t>
      </w:r>
      <w:r>
        <w:rPr/>
        <w:t>decisivos</w:t>
      </w:r>
      <w:r>
        <w:rPr>
          <w:spacing w:val="-4"/>
        </w:rPr>
        <w:t> </w:t>
      </w:r>
      <w:r>
        <w:rPr/>
        <w:t>el</w:t>
      </w:r>
      <w:r>
        <w:rPr>
          <w:spacing w:val="-7"/>
        </w:rPr>
        <w:t> </w:t>
      </w:r>
      <w:r>
        <w:rPr/>
        <w:t>empleo</w:t>
      </w:r>
      <w:r>
        <w:rPr>
          <w:spacing w:val="-6"/>
        </w:rPr>
        <w:t> </w:t>
      </w:r>
      <w:r>
        <w:rPr/>
        <w:t>de la leche cruda proveniente de animales sanos y de calidad o pasteurizada, las condiciones sanitarias de elaboración y almacenamiento, la maduración, uso de empaques, manejo antes del empaque y durante su comercialización y el tiempo transcurrido para ser consumido determinan la calidad final por lo que en procesos de calidad deficiente los productos son contaminados por microorganismos alterantes, dañando su estabilidad o bien con patógenos resultando un riesgo potencial</w:t>
      </w:r>
      <w:r>
        <w:rPr>
          <w:spacing w:val="-18"/>
        </w:rPr>
        <w:t> </w:t>
      </w:r>
      <w:r>
        <w:rPr/>
        <w:t>para</w:t>
      </w:r>
      <w:r>
        <w:rPr>
          <w:spacing w:val="-18"/>
        </w:rPr>
        <w:t> </w:t>
      </w:r>
      <w:r>
        <w:rPr/>
        <w:t>la</w:t>
      </w:r>
      <w:r>
        <w:rPr>
          <w:spacing w:val="-17"/>
        </w:rPr>
        <w:t> </w:t>
      </w:r>
      <w:r>
        <w:rPr/>
        <w:t>salud</w:t>
      </w:r>
      <w:r>
        <w:rPr>
          <w:spacing w:val="-19"/>
        </w:rPr>
        <w:t> </w:t>
      </w:r>
      <w:r>
        <w:rPr/>
        <w:t>del</w:t>
      </w:r>
      <w:r>
        <w:rPr>
          <w:spacing w:val="-18"/>
        </w:rPr>
        <w:t> </w:t>
      </w:r>
      <w:r>
        <w:rPr/>
        <w:t>consumidor</w:t>
      </w:r>
      <w:r>
        <w:rPr>
          <w:spacing w:val="-18"/>
        </w:rPr>
        <w:t> </w:t>
      </w:r>
      <w:r>
        <w:rPr/>
        <w:t>que</w:t>
      </w:r>
      <w:r>
        <w:rPr>
          <w:spacing w:val="-17"/>
        </w:rPr>
        <w:t> </w:t>
      </w:r>
      <w:r>
        <w:rPr/>
        <w:t>no</w:t>
      </w:r>
      <w:r>
        <w:rPr>
          <w:spacing w:val="-19"/>
        </w:rPr>
        <w:t> </w:t>
      </w:r>
      <w:r>
        <w:rPr/>
        <w:t>es</w:t>
      </w:r>
      <w:r>
        <w:rPr>
          <w:spacing w:val="-18"/>
        </w:rPr>
        <w:t> </w:t>
      </w:r>
      <w:r>
        <w:rPr/>
        <w:t>la</w:t>
      </w:r>
      <w:r>
        <w:rPr>
          <w:spacing w:val="-17"/>
        </w:rPr>
        <w:t> </w:t>
      </w:r>
      <w:r>
        <w:rPr/>
        <w:t>misma</w:t>
      </w:r>
      <w:r>
        <w:rPr>
          <w:spacing w:val="-17"/>
        </w:rPr>
        <w:t> </w:t>
      </w:r>
      <w:r>
        <w:rPr/>
        <w:t>para</w:t>
      </w:r>
      <w:r>
        <w:rPr>
          <w:spacing w:val="-17"/>
        </w:rPr>
        <w:t> </w:t>
      </w:r>
      <w:r>
        <w:rPr/>
        <w:t>todas</w:t>
      </w:r>
      <w:r>
        <w:rPr>
          <w:spacing w:val="-20"/>
        </w:rPr>
        <w:t> </w:t>
      </w:r>
      <w:r>
        <w:rPr/>
        <w:t>las</w:t>
      </w:r>
      <w:r>
        <w:rPr>
          <w:spacing w:val="-17"/>
        </w:rPr>
        <w:t> </w:t>
      </w:r>
      <w:r>
        <w:rPr/>
        <w:t>variedades de queso (Castro,</w:t>
      </w:r>
      <w:r>
        <w:rPr>
          <w:spacing w:val="-9"/>
        </w:rPr>
        <w:t> </w:t>
      </w:r>
      <w:r>
        <w:rPr/>
        <w:t>2007).</w:t>
      </w:r>
    </w:p>
    <w:p>
      <w:pPr>
        <w:pStyle w:val="BodyText"/>
        <w:spacing w:line="276" w:lineRule="auto" w:before="120"/>
        <w:ind w:left="142" w:right="137"/>
        <w:jc w:val="both"/>
      </w:pPr>
      <w:r>
        <w:rPr/>
        <w:t>El número de quesos elaborados con leche pasteurizada es muy limitado, pues la mayoría se elabora con leche cruda o bronca, generalmente por la pequeña y mediana</w:t>
      </w:r>
      <w:r>
        <w:rPr>
          <w:spacing w:val="-6"/>
        </w:rPr>
        <w:t> </w:t>
      </w:r>
      <w:r>
        <w:rPr/>
        <w:t>industria</w:t>
      </w:r>
      <w:r>
        <w:rPr>
          <w:spacing w:val="-4"/>
        </w:rPr>
        <w:t> </w:t>
      </w:r>
      <w:r>
        <w:rPr/>
        <w:t>con</w:t>
      </w:r>
      <w:r>
        <w:rPr>
          <w:spacing w:val="-6"/>
        </w:rPr>
        <w:t> </w:t>
      </w:r>
      <w:r>
        <w:rPr/>
        <w:t>el</w:t>
      </w:r>
      <w:r>
        <w:rPr>
          <w:spacing w:val="-5"/>
        </w:rPr>
        <w:t> </w:t>
      </w:r>
      <w:r>
        <w:rPr/>
        <w:t>empleo</w:t>
      </w:r>
      <w:r>
        <w:rPr>
          <w:spacing w:val="-4"/>
        </w:rPr>
        <w:t> </w:t>
      </w:r>
      <w:r>
        <w:rPr/>
        <w:t>de</w:t>
      </w:r>
      <w:r>
        <w:rPr>
          <w:spacing w:val="-6"/>
        </w:rPr>
        <w:t> </w:t>
      </w:r>
      <w:r>
        <w:rPr/>
        <w:t>métodos</w:t>
      </w:r>
      <w:r>
        <w:rPr>
          <w:spacing w:val="-9"/>
        </w:rPr>
        <w:t> </w:t>
      </w:r>
      <w:r>
        <w:rPr/>
        <w:t>artesanales</w:t>
      </w:r>
      <w:r>
        <w:rPr>
          <w:spacing w:val="-4"/>
        </w:rPr>
        <w:t> </w:t>
      </w:r>
      <w:r>
        <w:rPr/>
        <w:t>y</w:t>
      </w:r>
      <w:r>
        <w:rPr>
          <w:spacing w:val="-7"/>
        </w:rPr>
        <w:t> </w:t>
      </w:r>
      <w:r>
        <w:rPr/>
        <w:t>rústicos,</w:t>
      </w:r>
      <w:r>
        <w:rPr>
          <w:spacing w:val="-8"/>
        </w:rPr>
        <w:t> </w:t>
      </w:r>
      <w:r>
        <w:rPr/>
        <w:t>carentes</w:t>
      </w:r>
      <w:r>
        <w:rPr>
          <w:spacing w:val="-7"/>
        </w:rPr>
        <w:t> </w:t>
      </w:r>
      <w:r>
        <w:rPr/>
        <w:t>en</w:t>
      </w:r>
      <w:r>
        <w:rPr>
          <w:spacing w:val="-4"/>
        </w:rPr>
        <w:t> </w:t>
      </w:r>
      <w:r>
        <w:rPr/>
        <w:t>su mayoría por un control de calidad por lo que </w:t>
      </w:r>
      <w:r>
        <w:rPr>
          <w:spacing w:val="4"/>
        </w:rPr>
        <w:t>el </w:t>
      </w:r>
      <w:r>
        <w:rPr/>
        <w:t>producto final muestra heterogeneidad composicional y organoléptica además de una limitada conservación, además altas cargas de microorganismos sanitariamente objetables como</w:t>
      </w:r>
      <w:r>
        <w:rPr>
          <w:spacing w:val="-19"/>
        </w:rPr>
        <w:t> </w:t>
      </w:r>
      <w:r>
        <w:rPr/>
        <w:t>los</w:t>
      </w:r>
      <w:r>
        <w:rPr>
          <w:spacing w:val="-19"/>
        </w:rPr>
        <w:t> </w:t>
      </w:r>
      <w:r>
        <w:rPr/>
        <w:t>coliformes</w:t>
      </w:r>
      <w:r>
        <w:rPr>
          <w:spacing w:val="-20"/>
        </w:rPr>
        <w:t> </w:t>
      </w:r>
      <w:r>
        <w:rPr/>
        <w:t>y</w:t>
      </w:r>
      <w:r>
        <w:rPr>
          <w:spacing w:val="-20"/>
        </w:rPr>
        <w:t> </w:t>
      </w:r>
      <w:r>
        <w:rPr/>
        <w:t>los</w:t>
      </w:r>
      <w:r>
        <w:rPr>
          <w:spacing w:val="-17"/>
        </w:rPr>
        <w:t> </w:t>
      </w:r>
      <w:r>
        <w:rPr/>
        <w:t>patógenos</w:t>
      </w:r>
      <w:r>
        <w:rPr>
          <w:spacing w:val="-20"/>
        </w:rPr>
        <w:t> </w:t>
      </w:r>
      <w:r>
        <w:rPr/>
        <w:t>(</w:t>
      </w:r>
      <w:r>
        <w:rPr>
          <w:i/>
        </w:rPr>
        <w:t>Staphylococcus,</w:t>
      </w:r>
      <w:r>
        <w:rPr>
          <w:i/>
          <w:spacing w:val="-19"/>
        </w:rPr>
        <w:t> </w:t>
      </w:r>
      <w:r>
        <w:rPr>
          <w:i/>
        </w:rPr>
        <w:t>Salmonella</w:t>
      </w:r>
      <w:r>
        <w:rPr/>
        <w:t>,</w:t>
      </w:r>
      <w:r>
        <w:rPr>
          <w:spacing w:val="-17"/>
        </w:rPr>
        <w:t> </w:t>
      </w:r>
      <w:r>
        <w:rPr/>
        <w:t>cepas</w:t>
      </w:r>
      <w:r>
        <w:rPr>
          <w:spacing w:val="-20"/>
        </w:rPr>
        <w:t> </w:t>
      </w:r>
      <w:r>
        <w:rPr/>
        <w:t>patógenas de </w:t>
      </w:r>
      <w:r>
        <w:rPr>
          <w:i/>
        </w:rPr>
        <w:t>Enterococos </w:t>
      </w:r>
      <w:r>
        <w:rPr/>
        <w:t>y de </w:t>
      </w:r>
      <w:r>
        <w:rPr>
          <w:i/>
        </w:rPr>
        <w:t>E. coli) </w:t>
      </w:r>
      <w:r>
        <w:rPr/>
        <w:t>y las pequeñas y medianas queserías que operan con tecnología artesanal rehúyen de cualquier relación con instituciones de gobierno porque</w:t>
      </w:r>
      <w:r>
        <w:rPr>
          <w:spacing w:val="-14"/>
        </w:rPr>
        <w:t> </w:t>
      </w:r>
      <w:r>
        <w:rPr/>
        <w:t>están</w:t>
      </w:r>
      <w:r>
        <w:rPr>
          <w:spacing w:val="-16"/>
        </w:rPr>
        <w:t> </w:t>
      </w:r>
      <w:r>
        <w:rPr/>
        <w:t>acostumbradas</w:t>
      </w:r>
      <w:r>
        <w:rPr>
          <w:spacing w:val="-17"/>
        </w:rPr>
        <w:t> </w:t>
      </w:r>
      <w:r>
        <w:rPr/>
        <w:t>a</w:t>
      </w:r>
      <w:r>
        <w:rPr>
          <w:spacing w:val="-16"/>
        </w:rPr>
        <w:t> </w:t>
      </w:r>
      <w:r>
        <w:rPr/>
        <w:t>operar</w:t>
      </w:r>
      <w:r>
        <w:rPr>
          <w:spacing w:val="-15"/>
        </w:rPr>
        <w:t> </w:t>
      </w:r>
      <w:r>
        <w:rPr/>
        <w:t>en</w:t>
      </w:r>
      <w:r>
        <w:rPr>
          <w:spacing w:val="-14"/>
        </w:rPr>
        <w:t> </w:t>
      </w:r>
      <w:r>
        <w:rPr/>
        <w:t>la</w:t>
      </w:r>
      <w:r>
        <w:rPr>
          <w:spacing w:val="-19"/>
        </w:rPr>
        <w:t> </w:t>
      </w:r>
      <w:r>
        <w:rPr/>
        <w:t>marginalidad,</w:t>
      </w:r>
      <w:r>
        <w:rPr>
          <w:spacing w:val="-14"/>
        </w:rPr>
        <w:t> </w:t>
      </w:r>
      <w:r>
        <w:rPr/>
        <w:t>sin</w:t>
      </w:r>
      <w:r>
        <w:rPr>
          <w:spacing w:val="-17"/>
        </w:rPr>
        <w:t> </w:t>
      </w:r>
      <w:r>
        <w:rPr/>
        <w:t>grandes</w:t>
      </w:r>
      <w:r>
        <w:rPr>
          <w:spacing w:val="-15"/>
        </w:rPr>
        <w:t> </w:t>
      </w:r>
      <w:r>
        <w:rPr/>
        <w:t>compromisos de</w:t>
      </w:r>
      <w:r>
        <w:rPr>
          <w:spacing w:val="-13"/>
        </w:rPr>
        <w:t> </w:t>
      </w:r>
      <w:r>
        <w:rPr/>
        <w:t>tipo</w:t>
      </w:r>
      <w:r>
        <w:rPr>
          <w:spacing w:val="-16"/>
        </w:rPr>
        <w:t> </w:t>
      </w:r>
      <w:r>
        <w:rPr/>
        <w:t>fiscal,</w:t>
      </w:r>
      <w:r>
        <w:rPr>
          <w:spacing w:val="-14"/>
        </w:rPr>
        <w:t> </w:t>
      </w:r>
      <w:r>
        <w:rPr/>
        <w:t>laboral</w:t>
      </w:r>
      <w:r>
        <w:rPr>
          <w:spacing w:val="-14"/>
        </w:rPr>
        <w:t> </w:t>
      </w:r>
      <w:r>
        <w:rPr/>
        <w:t>y</w:t>
      </w:r>
      <w:r>
        <w:rPr>
          <w:spacing w:val="-14"/>
        </w:rPr>
        <w:t> </w:t>
      </w:r>
      <w:r>
        <w:rPr/>
        <w:t>sanitario</w:t>
      </w:r>
      <w:r>
        <w:rPr>
          <w:spacing w:val="-13"/>
        </w:rPr>
        <w:t> </w:t>
      </w:r>
      <w:r>
        <w:rPr/>
        <w:t>y</w:t>
      </w:r>
      <w:r>
        <w:rPr>
          <w:spacing w:val="-16"/>
        </w:rPr>
        <w:t> </w:t>
      </w:r>
      <w:r>
        <w:rPr/>
        <w:t>en</w:t>
      </w:r>
      <w:r>
        <w:rPr>
          <w:spacing w:val="-13"/>
        </w:rPr>
        <w:t> </w:t>
      </w:r>
      <w:r>
        <w:rPr/>
        <w:t>caso</w:t>
      </w:r>
      <w:r>
        <w:rPr>
          <w:spacing w:val="-16"/>
        </w:rPr>
        <w:t> </w:t>
      </w:r>
      <w:r>
        <w:rPr/>
        <w:t>de</w:t>
      </w:r>
      <w:r>
        <w:rPr>
          <w:spacing w:val="-16"/>
        </w:rPr>
        <w:t> </w:t>
      </w:r>
      <w:r>
        <w:rPr/>
        <w:t>hacerlo</w:t>
      </w:r>
      <w:r>
        <w:rPr>
          <w:spacing w:val="-13"/>
        </w:rPr>
        <w:t> </w:t>
      </w:r>
      <w:r>
        <w:rPr/>
        <w:t>lo</w:t>
      </w:r>
      <w:r>
        <w:rPr>
          <w:spacing w:val="-13"/>
        </w:rPr>
        <w:t> </w:t>
      </w:r>
      <w:r>
        <w:rPr/>
        <w:t>hacen</w:t>
      </w:r>
      <w:r>
        <w:rPr>
          <w:spacing w:val="-13"/>
        </w:rPr>
        <w:t> </w:t>
      </w:r>
      <w:r>
        <w:rPr/>
        <w:t>a</w:t>
      </w:r>
      <w:r>
        <w:rPr>
          <w:spacing w:val="-13"/>
        </w:rPr>
        <w:t> </w:t>
      </w:r>
      <w:r>
        <w:rPr/>
        <w:t>medias</w:t>
      </w:r>
      <w:r>
        <w:rPr>
          <w:spacing w:val="-13"/>
        </w:rPr>
        <w:t> </w:t>
      </w:r>
      <w:r>
        <w:rPr/>
        <w:t>o</w:t>
      </w:r>
      <w:r>
        <w:rPr>
          <w:spacing w:val="-13"/>
        </w:rPr>
        <w:t> </w:t>
      </w:r>
      <w:r>
        <w:rPr/>
        <w:t>evadiendo las disposiciones reglamentarias oficiales ante el solapamiento, complacencia o impotencia de las autoridades respectivas (Villegas,</w:t>
      </w:r>
      <w:r>
        <w:rPr>
          <w:spacing w:val="-22"/>
        </w:rPr>
        <w:t> </w:t>
      </w:r>
      <w:r>
        <w:rPr/>
        <w:t>2004).</w:t>
      </w:r>
    </w:p>
    <w:p>
      <w:pPr>
        <w:pStyle w:val="BodyText"/>
      </w:pPr>
    </w:p>
    <w:p>
      <w:pPr>
        <w:pStyle w:val="BodyText"/>
        <w:spacing w:before="7"/>
      </w:pPr>
    </w:p>
    <w:p>
      <w:pPr>
        <w:spacing w:before="1"/>
        <w:ind w:left="142" w:right="0" w:firstLine="0"/>
        <w:jc w:val="both"/>
        <w:rPr>
          <w:b/>
          <w:i/>
          <w:sz w:val="24"/>
        </w:rPr>
      </w:pPr>
      <w:bookmarkStart w:name="_bookmark29" w:id="37"/>
      <w:bookmarkEnd w:id="37"/>
      <w:r>
        <w:rPr/>
      </w:r>
      <w:r>
        <w:rPr>
          <w:b/>
          <w:sz w:val="24"/>
        </w:rPr>
        <w:t>Contaminación de queso por </w:t>
      </w:r>
      <w:r>
        <w:rPr>
          <w:b/>
          <w:i/>
          <w:sz w:val="24"/>
        </w:rPr>
        <w:t>Staphylococcus aureus</w:t>
      </w:r>
    </w:p>
    <w:p>
      <w:pPr>
        <w:pStyle w:val="BodyText"/>
        <w:spacing w:line="276" w:lineRule="auto" w:before="24"/>
        <w:ind w:left="142" w:right="135"/>
        <w:jc w:val="both"/>
      </w:pPr>
      <w:r>
        <w:rPr/>
        <w:t>En los países subdesarrollados </w:t>
      </w:r>
      <w:r>
        <w:rPr>
          <w:i/>
        </w:rPr>
        <w:t>S. aureus </w:t>
      </w:r>
      <w:r>
        <w:rPr/>
        <w:t>juega un papel importante como agente causal de mastitis subclínica y es un problema persistente en las unidades de producción debido a que se transmiten fácilmente en el rebaño durante el ordeño debido a la falta de implementación de buenas prácticas de ordeño relacionadas con la ausencia de programas de control y prevención de la mastitis y vacas lecheras con mastitis subclínica por </w:t>
      </w:r>
      <w:r>
        <w:rPr>
          <w:i/>
        </w:rPr>
        <w:t>S.aureus </w:t>
      </w:r>
      <w:r>
        <w:rPr/>
        <w:t>son los principales reservorios y </w:t>
      </w:r>
      <w:r>
        <w:rPr>
          <w:position w:val="1"/>
        </w:rPr>
        <w:t>pueden contaminar la leche al ser excretada en leche a un nivel hasta 8 log</w:t>
      </w:r>
      <w:r>
        <w:rPr>
          <w:sz w:val="16"/>
        </w:rPr>
        <w:t>10 </w:t>
      </w:r>
      <w:r>
        <w:rPr>
          <w:position w:val="1"/>
        </w:rPr>
        <w:t>ufc </w:t>
      </w:r>
      <w:r>
        <w:rPr/>
        <w:t>ml</w:t>
      </w:r>
      <w:r>
        <w:rPr>
          <w:position w:val="8"/>
          <w:sz w:val="16"/>
        </w:rPr>
        <w:t>-1</w:t>
      </w:r>
      <w:r>
        <w:rPr/>
        <w:t>,</w:t>
      </w:r>
      <w:r>
        <w:rPr>
          <w:spacing w:val="-5"/>
        </w:rPr>
        <w:t> </w:t>
      </w:r>
      <w:r>
        <w:rPr/>
        <w:t>o</w:t>
      </w:r>
      <w:r>
        <w:rPr>
          <w:spacing w:val="-7"/>
        </w:rPr>
        <w:t> </w:t>
      </w:r>
      <w:r>
        <w:rPr/>
        <w:t>por</w:t>
      </w:r>
      <w:r>
        <w:rPr>
          <w:spacing w:val="-6"/>
        </w:rPr>
        <w:t> </w:t>
      </w:r>
      <w:r>
        <w:rPr/>
        <w:t>contaminación</w:t>
      </w:r>
      <w:r>
        <w:rPr>
          <w:spacing w:val="-7"/>
        </w:rPr>
        <w:t> </w:t>
      </w:r>
      <w:r>
        <w:rPr/>
        <w:t>fecal</w:t>
      </w:r>
      <w:r>
        <w:rPr>
          <w:spacing w:val="-6"/>
        </w:rPr>
        <w:t> </w:t>
      </w:r>
      <w:r>
        <w:rPr/>
        <w:t>durante</w:t>
      </w:r>
      <w:r>
        <w:rPr>
          <w:spacing w:val="-5"/>
        </w:rPr>
        <w:t> </w:t>
      </w:r>
      <w:r>
        <w:rPr/>
        <w:t>el</w:t>
      </w:r>
      <w:r>
        <w:rPr>
          <w:spacing w:val="-8"/>
        </w:rPr>
        <w:t> </w:t>
      </w:r>
      <w:r>
        <w:rPr/>
        <w:t>ordeño</w:t>
      </w:r>
      <w:r>
        <w:rPr>
          <w:spacing w:val="-5"/>
        </w:rPr>
        <w:t> </w:t>
      </w:r>
      <w:r>
        <w:rPr/>
        <w:t>y</w:t>
      </w:r>
      <w:r>
        <w:rPr>
          <w:spacing w:val="-8"/>
        </w:rPr>
        <w:t> </w:t>
      </w:r>
      <w:r>
        <w:rPr/>
        <w:t>también</w:t>
      </w:r>
      <w:r>
        <w:rPr>
          <w:spacing w:val="-5"/>
        </w:rPr>
        <w:t> </w:t>
      </w:r>
      <w:r>
        <w:rPr/>
        <w:t>otros</w:t>
      </w:r>
      <w:r>
        <w:rPr>
          <w:spacing w:val="-5"/>
        </w:rPr>
        <w:t> </w:t>
      </w:r>
      <w:r>
        <w:rPr/>
        <w:t>productos</w:t>
      </w:r>
      <w:r>
        <w:rPr>
          <w:spacing w:val="-5"/>
        </w:rPr>
        <w:t> </w:t>
      </w:r>
      <w:r>
        <w:rPr/>
        <w:t>lácteos por lo que </w:t>
      </w:r>
      <w:r>
        <w:rPr>
          <w:i/>
        </w:rPr>
        <w:t>S. aureus </w:t>
      </w:r>
      <w:r>
        <w:rPr/>
        <w:t>es frecuentemente asociado con quesos de leche cruda o sin especificar (Fagundes </w:t>
      </w:r>
      <w:r>
        <w:rPr>
          <w:i/>
        </w:rPr>
        <w:t>et al., </w:t>
      </w:r>
      <w:r>
        <w:rPr/>
        <w:t>2010; André </w:t>
      </w:r>
      <w:r>
        <w:rPr>
          <w:i/>
        </w:rPr>
        <w:t>et al., </w:t>
      </w:r>
      <w:r>
        <w:rPr/>
        <w:t>2008, Medveďová </w:t>
      </w:r>
      <w:r>
        <w:rPr>
          <w:i/>
        </w:rPr>
        <w:t>et al., </w:t>
      </w:r>
      <w:r>
        <w:rPr/>
        <w:t>2009; Kousta</w:t>
      </w:r>
      <w:r>
        <w:rPr>
          <w:spacing w:val="21"/>
        </w:rPr>
        <w:t> </w:t>
      </w:r>
      <w:r>
        <w:rPr>
          <w:i/>
        </w:rPr>
        <w:t>et.</w:t>
      </w:r>
      <w:r>
        <w:rPr>
          <w:i/>
          <w:spacing w:val="18"/>
        </w:rPr>
        <w:t> </w:t>
      </w:r>
      <w:r>
        <w:rPr>
          <w:i/>
        </w:rPr>
        <w:t>al.,</w:t>
      </w:r>
      <w:r>
        <w:rPr>
          <w:i/>
          <w:spacing w:val="19"/>
        </w:rPr>
        <w:t> </w:t>
      </w:r>
      <w:r>
        <w:rPr/>
        <w:t>2010).</w:t>
      </w:r>
      <w:r>
        <w:rPr>
          <w:spacing w:val="17"/>
        </w:rPr>
        <w:t> </w:t>
      </w:r>
      <w:r>
        <w:rPr/>
        <w:t>Las</w:t>
      </w:r>
      <w:r>
        <w:rPr>
          <w:spacing w:val="17"/>
        </w:rPr>
        <w:t> </w:t>
      </w:r>
      <w:r>
        <w:rPr/>
        <w:t>medidas</w:t>
      </w:r>
      <w:r>
        <w:rPr>
          <w:spacing w:val="17"/>
        </w:rPr>
        <w:t> </w:t>
      </w:r>
      <w:r>
        <w:rPr/>
        <w:t>de</w:t>
      </w:r>
      <w:r>
        <w:rPr>
          <w:spacing w:val="18"/>
        </w:rPr>
        <w:t> </w:t>
      </w:r>
      <w:r>
        <w:rPr/>
        <w:t>control</w:t>
      </w:r>
      <w:r>
        <w:rPr>
          <w:spacing w:val="19"/>
        </w:rPr>
        <w:t> </w:t>
      </w:r>
      <w:r>
        <w:rPr/>
        <w:t>de</w:t>
      </w:r>
      <w:r>
        <w:rPr>
          <w:spacing w:val="16"/>
        </w:rPr>
        <w:t> </w:t>
      </w:r>
      <w:r>
        <w:rPr/>
        <w:t>mastitis</w:t>
      </w:r>
      <w:r>
        <w:rPr>
          <w:spacing w:val="19"/>
        </w:rPr>
        <w:t> </w:t>
      </w:r>
      <w:r>
        <w:rPr/>
        <w:t>van</w:t>
      </w:r>
      <w:r>
        <w:rPr>
          <w:spacing w:val="18"/>
        </w:rPr>
        <w:t> </w:t>
      </w:r>
      <w:r>
        <w:rPr/>
        <w:t>que</w:t>
      </w:r>
      <w:r>
        <w:rPr>
          <w:spacing w:val="18"/>
        </w:rPr>
        <w:t> </w:t>
      </w:r>
      <w:r>
        <w:rPr/>
        <w:t>incluyen</w:t>
      </w:r>
      <w:r>
        <w:rPr>
          <w:spacing w:val="20"/>
        </w:rPr>
        <w:t> </w:t>
      </w:r>
      <w:r>
        <w:rPr/>
        <w:t>desde</w:t>
      </w:r>
    </w:p>
    <w:p>
      <w:pPr>
        <w:spacing w:after="0" w:line="276" w:lineRule="auto"/>
        <w:jc w:val="both"/>
        <w:sectPr>
          <w:pgSz w:w="12240" w:h="15840"/>
          <w:pgMar w:header="728" w:footer="710" w:top="1200" w:bottom="900" w:left="1560" w:right="1560"/>
        </w:sectPr>
      </w:pPr>
    </w:p>
    <w:p>
      <w:pPr>
        <w:pStyle w:val="BodyText"/>
        <w:spacing w:before="9"/>
        <w:rPr>
          <w:sz w:val="12"/>
        </w:rPr>
      </w:pPr>
    </w:p>
    <w:p>
      <w:pPr>
        <w:pStyle w:val="BodyText"/>
        <w:spacing w:line="276" w:lineRule="auto" w:before="70"/>
        <w:ind w:left="142" w:right="137"/>
        <w:jc w:val="both"/>
      </w:pPr>
      <w:r>
        <w:rPr/>
        <w:t>higiene durante el ordeño a uso de agentes antimicrobianos, sin embargo la resistencia de </w:t>
      </w:r>
      <w:r>
        <w:rPr>
          <w:i/>
        </w:rPr>
        <w:t>S. aureus </w:t>
      </w:r>
      <w:r>
        <w:rPr/>
        <w:t>a antibióticos tiene dos efectos relevantes; primero la reducción en las tasas de cura después del tratamiento y la segunda es el impacto potencial de transmisión de bacterias resistentes a humanos por la cadena alimentaria (Visciano </w:t>
      </w:r>
      <w:r>
        <w:rPr>
          <w:i/>
        </w:rPr>
        <w:t>et al., </w:t>
      </w:r>
      <w:r>
        <w:rPr/>
        <w:t>2014).</w:t>
      </w:r>
    </w:p>
    <w:p>
      <w:pPr>
        <w:pStyle w:val="BodyText"/>
        <w:spacing w:line="276" w:lineRule="auto" w:before="123"/>
        <w:ind w:left="142" w:right="134"/>
        <w:jc w:val="both"/>
      </w:pPr>
      <w:r>
        <w:rPr/>
        <w:t>La prevalencia de patógenos es leche cruda es influenciada por numerosos factores, como el tamaño de la granja, número de animales en la granja, higiene, prácticas de manejo, localización geográfica, estación aunque también tipos de muestras evaluadas, diferencias en métodos de detección y variación en el muestreo; leche cruda contaminada con patógenos transmitidos por alimentos e introducidos en plantas procesadoras de lácteos constituye un riesgo a la salud humana si se usa sin pasteurizar para la producción de algunos tipos de quesos o en caso de contaminación cruzada con patógenos (Kousta </w:t>
      </w:r>
      <w:r>
        <w:rPr>
          <w:i/>
        </w:rPr>
        <w:t>et al., </w:t>
      </w:r>
      <w:r>
        <w:rPr/>
        <w:t>2010).</w:t>
      </w:r>
    </w:p>
    <w:p>
      <w:pPr>
        <w:pStyle w:val="BodyText"/>
        <w:spacing w:line="276" w:lineRule="auto" w:before="123"/>
        <w:ind w:left="142" w:right="137"/>
        <w:jc w:val="both"/>
      </w:pPr>
      <w:r>
        <w:rPr/>
        <w:t>Los quesos son productos alimenticios listos para comer que no se someten a ningún tratamiento adicional que asegure su inocuidad antes de su consumo (Kousta</w:t>
      </w:r>
      <w:r>
        <w:rPr>
          <w:spacing w:val="-11"/>
        </w:rPr>
        <w:t> </w:t>
      </w:r>
      <w:r>
        <w:rPr>
          <w:i/>
        </w:rPr>
        <w:t>et</w:t>
      </w:r>
      <w:r>
        <w:rPr>
          <w:i/>
          <w:spacing w:val="-12"/>
        </w:rPr>
        <w:t> </w:t>
      </w:r>
      <w:r>
        <w:rPr>
          <w:i/>
        </w:rPr>
        <w:t>al.,</w:t>
      </w:r>
      <w:r>
        <w:rPr>
          <w:i/>
          <w:spacing w:val="-9"/>
        </w:rPr>
        <w:t> </w:t>
      </w:r>
      <w:r>
        <w:rPr/>
        <w:t>2010),</w:t>
      </w:r>
      <w:r>
        <w:rPr>
          <w:spacing w:val="-10"/>
        </w:rPr>
        <w:t> </w:t>
      </w:r>
      <w:r>
        <w:rPr/>
        <w:t>poseen</w:t>
      </w:r>
      <w:r>
        <w:rPr>
          <w:spacing w:val="-9"/>
        </w:rPr>
        <w:t> </w:t>
      </w:r>
      <w:r>
        <w:rPr/>
        <w:t>una</w:t>
      </w:r>
      <w:r>
        <w:rPr>
          <w:spacing w:val="-12"/>
        </w:rPr>
        <w:t> </w:t>
      </w:r>
      <w:r>
        <w:rPr/>
        <w:t>extraordinaria</w:t>
      </w:r>
      <w:r>
        <w:rPr>
          <w:spacing w:val="-10"/>
        </w:rPr>
        <w:t> </w:t>
      </w:r>
      <w:r>
        <w:rPr/>
        <w:t>calidad</w:t>
      </w:r>
      <w:r>
        <w:rPr>
          <w:spacing w:val="-12"/>
        </w:rPr>
        <w:t> </w:t>
      </w:r>
      <w:r>
        <w:rPr/>
        <w:t>nutricional,</w:t>
      </w:r>
      <w:r>
        <w:rPr>
          <w:spacing w:val="-13"/>
        </w:rPr>
        <w:t> </w:t>
      </w:r>
      <w:r>
        <w:rPr/>
        <w:t>pero</w:t>
      </w:r>
      <w:r>
        <w:rPr>
          <w:spacing w:val="-10"/>
        </w:rPr>
        <w:t> </w:t>
      </w:r>
      <w:r>
        <w:rPr/>
        <w:t>también</w:t>
      </w:r>
      <w:r>
        <w:rPr>
          <w:spacing w:val="-11"/>
        </w:rPr>
        <w:t> </w:t>
      </w:r>
      <w:r>
        <w:rPr/>
        <w:t>es un medio de crecimiento y vehículo eficiente para transmitir enfermedades bacterianas</w:t>
      </w:r>
      <w:r>
        <w:rPr>
          <w:spacing w:val="-7"/>
        </w:rPr>
        <w:t> </w:t>
      </w:r>
      <w:r>
        <w:rPr/>
        <w:t>cuando</w:t>
      </w:r>
      <w:r>
        <w:rPr>
          <w:spacing w:val="-7"/>
        </w:rPr>
        <w:t> </w:t>
      </w:r>
      <w:r>
        <w:rPr/>
        <w:t>son</w:t>
      </w:r>
      <w:r>
        <w:rPr>
          <w:spacing w:val="-7"/>
        </w:rPr>
        <w:t> </w:t>
      </w:r>
      <w:r>
        <w:rPr/>
        <w:t>consumidos</w:t>
      </w:r>
      <w:r>
        <w:rPr>
          <w:spacing w:val="-7"/>
        </w:rPr>
        <w:t> </w:t>
      </w:r>
      <w:r>
        <w:rPr/>
        <w:t>sin</w:t>
      </w:r>
      <w:r>
        <w:rPr>
          <w:spacing w:val="-9"/>
        </w:rPr>
        <w:t> </w:t>
      </w:r>
      <w:r>
        <w:rPr/>
        <w:t>pasteurización</w:t>
      </w:r>
      <w:r>
        <w:rPr>
          <w:spacing w:val="-6"/>
        </w:rPr>
        <w:t> </w:t>
      </w:r>
      <w:r>
        <w:rPr/>
        <w:t>(Khakpoor</w:t>
      </w:r>
      <w:r>
        <w:rPr>
          <w:spacing w:val="-8"/>
        </w:rPr>
        <w:t> </w:t>
      </w:r>
      <w:r>
        <w:rPr/>
        <w:t>y</w:t>
      </w:r>
      <w:r>
        <w:rPr>
          <w:spacing w:val="-10"/>
        </w:rPr>
        <w:t> </w:t>
      </w:r>
      <w:r>
        <w:rPr/>
        <w:t>Safarmashael, 2011). La contaminación de leche y productos lácteos surge en diferentes etapas de la cadena alimentaria, las principales vehículos de contaminación a nivel de granja es la piel de los animales, superficies mucosas, glándulas infectadas, diseminación de vaca a vaca a través del equipo de ordeño, prácticas de ordeño, ordeñadores han sido reportados ser fómites en la diseminación, instalaciones, agua y el ambiente, el crecimiento bacteriano también puede ocurrir durante el almacenamiento</w:t>
      </w:r>
      <w:r>
        <w:rPr>
          <w:spacing w:val="-5"/>
        </w:rPr>
        <w:t> </w:t>
      </w:r>
      <w:r>
        <w:rPr/>
        <w:t>de</w:t>
      </w:r>
      <w:r>
        <w:rPr>
          <w:spacing w:val="-6"/>
        </w:rPr>
        <w:t> </w:t>
      </w:r>
      <w:r>
        <w:rPr/>
        <w:t>la</w:t>
      </w:r>
      <w:r>
        <w:rPr>
          <w:spacing w:val="-6"/>
        </w:rPr>
        <w:t> </w:t>
      </w:r>
      <w:r>
        <w:rPr/>
        <w:t>leche</w:t>
      </w:r>
      <w:r>
        <w:rPr>
          <w:spacing w:val="-6"/>
        </w:rPr>
        <w:t> </w:t>
      </w:r>
      <w:r>
        <w:rPr/>
        <w:t>bajo</w:t>
      </w:r>
      <w:r>
        <w:rPr>
          <w:spacing w:val="-6"/>
        </w:rPr>
        <w:t> </w:t>
      </w:r>
      <w:r>
        <w:rPr/>
        <w:t>abuso</w:t>
      </w:r>
      <w:r>
        <w:rPr>
          <w:spacing w:val="-6"/>
        </w:rPr>
        <w:t> </w:t>
      </w:r>
      <w:r>
        <w:rPr/>
        <w:t>de</w:t>
      </w:r>
      <w:r>
        <w:rPr>
          <w:spacing w:val="-6"/>
        </w:rPr>
        <w:t> </w:t>
      </w:r>
      <w:r>
        <w:rPr/>
        <w:t>temperatura</w:t>
      </w:r>
      <w:r>
        <w:rPr>
          <w:spacing w:val="-7"/>
        </w:rPr>
        <w:t> </w:t>
      </w:r>
      <w:r>
        <w:rPr/>
        <w:t>o</w:t>
      </w:r>
      <w:r>
        <w:rPr>
          <w:spacing w:val="-6"/>
        </w:rPr>
        <w:t> </w:t>
      </w:r>
      <w:r>
        <w:rPr/>
        <w:t>en</w:t>
      </w:r>
      <w:r>
        <w:rPr>
          <w:spacing w:val="-4"/>
        </w:rPr>
        <w:t> </w:t>
      </w:r>
      <w:r>
        <w:rPr/>
        <w:t>los</w:t>
      </w:r>
      <w:r>
        <w:rPr>
          <w:spacing w:val="-6"/>
        </w:rPr>
        <w:t> </w:t>
      </w:r>
      <w:r>
        <w:rPr/>
        <w:t>primeros</w:t>
      </w:r>
      <w:r>
        <w:rPr>
          <w:spacing w:val="-7"/>
        </w:rPr>
        <w:t> </w:t>
      </w:r>
      <w:r>
        <w:rPr/>
        <w:t>pasos</w:t>
      </w:r>
      <w:r>
        <w:rPr>
          <w:spacing w:val="-4"/>
        </w:rPr>
        <w:t> </w:t>
      </w:r>
      <w:r>
        <w:rPr/>
        <w:t>de la fabricación del queso si el microrganismo no es inhibido por las bacterias acido lácticas (Spanu </w:t>
      </w:r>
      <w:r>
        <w:rPr>
          <w:i/>
        </w:rPr>
        <w:t>et al., </w:t>
      </w:r>
      <w:r>
        <w:rPr/>
        <w:t>2012; Rosengren </w:t>
      </w:r>
      <w:r>
        <w:rPr>
          <w:i/>
        </w:rPr>
        <w:t>et al</w:t>
      </w:r>
      <w:r>
        <w:rPr/>
        <w:t>., 2010; Fagundes </w:t>
      </w:r>
      <w:r>
        <w:rPr>
          <w:i/>
        </w:rPr>
        <w:t>et al., </w:t>
      </w:r>
      <w:r>
        <w:rPr/>
        <w:t>2010; Kousta </w:t>
      </w:r>
      <w:r>
        <w:rPr>
          <w:i/>
        </w:rPr>
        <w:t>et al.,</w:t>
      </w:r>
      <w:r>
        <w:rPr>
          <w:i/>
          <w:spacing w:val="-4"/>
        </w:rPr>
        <w:t> </w:t>
      </w:r>
      <w:r>
        <w:rPr/>
        <w:t>2010).</w:t>
      </w:r>
    </w:p>
    <w:p>
      <w:pPr>
        <w:pStyle w:val="BodyText"/>
        <w:spacing w:line="276" w:lineRule="auto" w:before="125"/>
        <w:ind w:left="142" w:right="136"/>
        <w:jc w:val="both"/>
      </w:pPr>
      <w:r>
        <w:rPr/>
        <w:t>Durante la producción de queso la contaminación puede ser procedente del cultivo iniciador,</w:t>
      </w:r>
      <w:r>
        <w:rPr>
          <w:spacing w:val="-17"/>
        </w:rPr>
        <w:t> </w:t>
      </w:r>
      <w:r>
        <w:rPr/>
        <w:t>especialmente</w:t>
      </w:r>
      <w:r>
        <w:rPr>
          <w:spacing w:val="-14"/>
        </w:rPr>
        <w:t> </w:t>
      </w:r>
      <w:r>
        <w:rPr/>
        <w:t>en</w:t>
      </w:r>
      <w:r>
        <w:rPr>
          <w:spacing w:val="-16"/>
        </w:rPr>
        <w:t> </w:t>
      </w:r>
      <w:r>
        <w:rPr/>
        <w:t>el</w:t>
      </w:r>
      <w:r>
        <w:rPr>
          <w:spacing w:val="-15"/>
        </w:rPr>
        <w:t> </w:t>
      </w:r>
      <w:r>
        <w:rPr/>
        <w:t>caso</w:t>
      </w:r>
      <w:r>
        <w:rPr>
          <w:spacing w:val="-16"/>
        </w:rPr>
        <w:t> </w:t>
      </w:r>
      <w:r>
        <w:rPr/>
        <w:t>de</w:t>
      </w:r>
      <w:r>
        <w:rPr>
          <w:spacing w:val="-16"/>
        </w:rPr>
        <w:t> </w:t>
      </w:r>
      <w:r>
        <w:rPr/>
        <w:t>un</w:t>
      </w:r>
      <w:r>
        <w:rPr>
          <w:spacing w:val="-16"/>
        </w:rPr>
        <w:t> </w:t>
      </w:r>
      <w:r>
        <w:rPr/>
        <w:t>lento</w:t>
      </w:r>
      <w:r>
        <w:rPr>
          <w:spacing w:val="-14"/>
        </w:rPr>
        <w:t> </w:t>
      </w:r>
      <w:r>
        <w:rPr/>
        <w:t>o</w:t>
      </w:r>
      <w:r>
        <w:rPr>
          <w:spacing w:val="-16"/>
        </w:rPr>
        <w:t> </w:t>
      </w:r>
      <w:r>
        <w:rPr/>
        <w:t>insuficiente</w:t>
      </w:r>
      <w:r>
        <w:rPr>
          <w:spacing w:val="-16"/>
        </w:rPr>
        <w:t> </w:t>
      </w:r>
      <w:r>
        <w:rPr/>
        <w:t>acidificación,</w:t>
      </w:r>
      <w:r>
        <w:rPr>
          <w:spacing w:val="-11"/>
        </w:rPr>
        <w:t> </w:t>
      </w:r>
      <w:r>
        <w:rPr>
          <w:i/>
        </w:rPr>
        <w:t>S.</w:t>
      </w:r>
      <w:r>
        <w:rPr>
          <w:i/>
          <w:spacing w:val="-16"/>
        </w:rPr>
        <w:t> </w:t>
      </w:r>
      <w:r>
        <w:rPr>
          <w:i/>
        </w:rPr>
        <w:t>aureus </w:t>
      </w:r>
      <w:r>
        <w:rPr/>
        <w:t>puede</w:t>
      </w:r>
      <w:r>
        <w:rPr>
          <w:spacing w:val="-7"/>
        </w:rPr>
        <w:t> </w:t>
      </w:r>
      <w:r>
        <w:rPr/>
        <w:t>ser</w:t>
      </w:r>
      <w:r>
        <w:rPr>
          <w:spacing w:val="-8"/>
        </w:rPr>
        <w:t> </w:t>
      </w:r>
      <w:r>
        <w:rPr/>
        <w:t>también</w:t>
      </w:r>
      <w:r>
        <w:rPr>
          <w:spacing w:val="-9"/>
        </w:rPr>
        <w:t> </w:t>
      </w:r>
      <w:r>
        <w:rPr/>
        <w:t>encontrado</w:t>
      </w:r>
      <w:r>
        <w:rPr>
          <w:spacing w:val="-7"/>
        </w:rPr>
        <w:t> </w:t>
      </w:r>
      <w:r>
        <w:rPr/>
        <w:t>en</w:t>
      </w:r>
      <w:r>
        <w:rPr>
          <w:spacing w:val="-7"/>
        </w:rPr>
        <w:t> </w:t>
      </w:r>
      <w:r>
        <w:rPr/>
        <w:t>los</w:t>
      </w:r>
      <w:r>
        <w:rPr>
          <w:spacing w:val="-7"/>
        </w:rPr>
        <w:t> </w:t>
      </w:r>
      <w:r>
        <w:rPr/>
        <w:t>productos</w:t>
      </w:r>
      <w:r>
        <w:rPr>
          <w:spacing w:val="-10"/>
        </w:rPr>
        <w:t> </w:t>
      </w:r>
      <w:r>
        <w:rPr/>
        <w:t>finales,</w:t>
      </w:r>
      <w:r>
        <w:rPr>
          <w:spacing w:val="-7"/>
        </w:rPr>
        <w:t> </w:t>
      </w:r>
      <w:r>
        <w:rPr/>
        <w:t>sin</w:t>
      </w:r>
      <w:r>
        <w:rPr>
          <w:spacing w:val="-7"/>
        </w:rPr>
        <w:t> </w:t>
      </w:r>
      <w:r>
        <w:rPr/>
        <w:t>embargo,</w:t>
      </w:r>
      <w:r>
        <w:rPr>
          <w:spacing w:val="-7"/>
        </w:rPr>
        <w:t> </w:t>
      </w:r>
      <w:r>
        <w:rPr/>
        <w:t>el</w:t>
      </w:r>
      <w:r>
        <w:rPr>
          <w:spacing w:val="-8"/>
        </w:rPr>
        <w:t> </w:t>
      </w:r>
      <w:r>
        <w:rPr/>
        <w:t>insuficiente desarrollo de precauciones higiénicas podría conducir a la contaminación de la leche tratada térmicamente, por lo que es posible encontrar </w:t>
      </w:r>
      <w:r>
        <w:rPr>
          <w:i/>
        </w:rPr>
        <w:t>S. aureus </w:t>
      </w:r>
      <w:r>
        <w:rPr/>
        <w:t>en quesos hechos con leche pasteurizada o leche cruda (Medveďová </w:t>
      </w:r>
      <w:r>
        <w:rPr>
          <w:i/>
        </w:rPr>
        <w:t>et al., </w:t>
      </w:r>
      <w:r>
        <w:rPr/>
        <w:t>2009). La presencia de la bacteria en los quesos artesanales está relacionada con la concentración inicial de la bacteria en la leche cruda y prácticas empleadas en la elaboración de los quesos a nivel de las fincas pueden contribuir al aumento de la población del patógeno (Valero-Leal </w:t>
      </w:r>
      <w:r>
        <w:rPr>
          <w:i/>
        </w:rPr>
        <w:t>et al.,</w:t>
      </w:r>
      <w:r>
        <w:rPr>
          <w:i/>
          <w:spacing w:val="-14"/>
        </w:rPr>
        <w:t> </w:t>
      </w:r>
      <w:r>
        <w:rPr/>
        <w:t>2012).</w:t>
      </w:r>
    </w:p>
    <w:p>
      <w:pPr>
        <w:spacing w:after="0" w:line="276" w:lineRule="auto"/>
        <w:jc w:val="both"/>
        <w:sectPr>
          <w:pgSz w:w="12240" w:h="15840"/>
          <w:pgMar w:header="728" w:footer="710" w:top="1200" w:bottom="900" w:left="1560" w:right="1560"/>
        </w:sectPr>
      </w:pPr>
    </w:p>
    <w:p>
      <w:pPr>
        <w:pStyle w:val="BodyText"/>
        <w:spacing w:before="9"/>
        <w:rPr>
          <w:sz w:val="12"/>
        </w:rPr>
      </w:pPr>
    </w:p>
    <w:p>
      <w:pPr>
        <w:pStyle w:val="BodyText"/>
        <w:spacing w:line="276" w:lineRule="auto" w:before="70"/>
        <w:ind w:left="142" w:right="135"/>
        <w:jc w:val="both"/>
      </w:pPr>
      <w:r>
        <w:rPr/>
        <w:t>Equipo contaminado (bombas, tanques y tuberías), es generalmente causado por el mal lavado del equipo, La conservación y limpieza de los moldes, equipo y utensilios,</w:t>
      </w:r>
      <w:r>
        <w:rPr>
          <w:spacing w:val="-6"/>
        </w:rPr>
        <w:t> </w:t>
      </w:r>
      <w:r>
        <w:rPr/>
        <w:t>el</w:t>
      </w:r>
      <w:r>
        <w:rPr>
          <w:spacing w:val="-7"/>
        </w:rPr>
        <w:t> </w:t>
      </w:r>
      <w:r>
        <w:rPr/>
        <w:t>control</w:t>
      </w:r>
      <w:r>
        <w:rPr>
          <w:spacing w:val="-7"/>
        </w:rPr>
        <w:t> </w:t>
      </w:r>
      <w:r>
        <w:rPr/>
        <w:t>de</w:t>
      </w:r>
      <w:r>
        <w:rPr>
          <w:spacing w:val="-8"/>
        </w:rPr>
        <w:t> </w:t>
      </w:r>
      <w:r>
        <w:rPr/>
        <w:t>la</w:t>
      </w:r>
      <w:r>
        <w:rPr>
          <w:spacing w:val="-6"/>
        </w:rPr>
        <w:t> </w:t>
      </w:r>
      <w:r>
        <w:rPr/>
        <w:t>fauna</w:t>
      </w:r>
      <w:r>
        <w:rPr>
          <w:spacing w:val="-8"/>
        </w:rPr>
        <w:t> </w:t>
      </w:r>
      <w:r>
        <w:rPr/>
        <w:t>e</w:t>
      </w:r>
      <w:r>
        <w:rPr>
          <w:spacing w:val="-6"/>
        </w:rPr>
        <w:t> </w:t>
      </w:r>
      <w:r>
        <w:rPr/>
        <w:t>higiene</w:t>
      </w:r>
      <w:r>
        <w:rPr>
          <w:spacing w:val="-6"/>
        </w:rPr>
        <w:t> </w:t>
      </w:r>
      <w:r>
        <w:rPr/>
        <w:t>de</w:t>
      </w:r>
      <w:r>
        <w:rPr>
          <w:spacing w:val="-6"/>
        </w:rPr>
        <w:t> </w:t>
      </w:r>
      <w:r>
        <w:rPr/>
        <w:t>los</w:t>
      </w:r>
      <w:r>
        <w:rPr>
          <w:spacing w:val="-7"/>
        </w:rPr>
        <w:t> </w:t>
      </w:r>
      <w:r>
        <w:rPr/>
        <w:t>trabajadores</w:t>
      </w:r>
      <w:r>
        <w:rPr>
          <w:spacing w:val="-7"/>
        </w:rPr>
        <w:t> </w:t>
      </w:r>
      <w:r>
        <w:rPr/>
        <w:t>son</w:t>
      </w:r>
      <w:r>
        <w:rPr>
          <w:spacing w:val="-6"/>
        </w:rPr>
        <w:t> </w:t>
      </w:r>
      <w:r>
        <w:rPr/>
        <w:t>determinantes</w:t>
      </w:r>
      <w:r>
        <w:rPr>
          <w:spacing w:val="-7"/>
        </w:rPr>
        <w:t> </w:t>
      </w:r>
      <w:r>
        <w:rPr/>
        <w:t>en la</w:t>
      </w:r>
      <w:r>
        <w:rPr>
          <w:spacing w:val="-11"/>
        </w:rPr>
        <w:t> </w:t>
      </w:r>
      <w:r>
        <w:rPr/>
        <w:t>calidad</w:t>
      </w:r>
      <w:r>
        <w:rPr>
          <w:spacing w:val="-13"/>
        </w:rPr>
        <w:t> </w:t>
      </w:r>
      <w:r>
        <w:rPr/>
        <w:t>de</w:t>
      </w:r>
      <w:r>
        <w:rPr>
          <w:spacing w:val="-11"/>
        </w:rPr>
        <w:t> </w:t>
      </w:r>
      <w:r>
        <w:rPr/>
        <w:t>los</w:t>
      </w:r>
      <w:r>
        <w:rPr>
          <w:spacing w:val="-11"/>
        </w:rPr>
        <w:t> </w:t>
      </w:r>
      <w:r>
        <w:rPr/>
        <w:t>quesos</w:t>
      </w:r>
      <w:r>
        <w:rPr>
          <w:spacing w:val="-12"/>
        </w:rPr>
        <w:t> </w:t>
      </w:r>
      <w:r>
        <w:rPr/>
        <w:t>(Picos</w:t>
      </w:r>
      <w:r>
        <w:rPr>
          <w:spacing w:val="-11"/>
        </w:rPr>
        <w:t> </w:t>
      </w:r>
      <w:r>
        <w:rPr/>
        <w:t>y</w:t>
      </w:r>
      <w:r>
        <w:rPr>
          <w:spacing w:val="-14"/>
        </w:rPr>
        <w:t> </w:t>
      </w:r>
      <w:r>
        <w:rPr/>
        <w:t>Torres,</w:t>
      </w:r>
      <w:r>
        <w:rPr>
          <w:spacing w:val="-11"/>
        </w:rPr>
        <w:t> </w:t>
      </w:r>
      <w:r>
        <w:rPr/>
        <w:t>2006).</w:t>
      </w:r>
      <w:r>
        <w:rPr>
          <w:spacing w:val="-12"/>
        </w:rPr>
        <w:t> </w:t>
      </w:r>
      <w:r>
        <w:rPr/>
        <w:t>Las</w:t>
      </w:r>
      <w:r>
        <w:rPr>
          <w:spacing w:val="-12"/>
        </w:rPr>
        <w:t> </w:t>
      </w:r>
      <w:r>
        <w:rPr/>
        <w:t>bacterias</w:t>
      </w:r>
      <w:r>
        <w:rPr>
          <w:spacing w:val="-12"/>
        </w:rPr>
        <w:t> </w:t>
      </w:r>
      <w:r>
        <w:rPr/>
        <w:t>en</w:t>
      </w:r>
      <w:r>
        <w:rPr>
          <w:spacing w:val="-11"/>
        </w:rPr>
        <w:t> </w:t>
      </w:r>
      <w:r>
        <w:rPr/>
        <w:t>los</w:t>
      </w:r>
      <w:r>
        <w:rPr>
          <w:spacing w:val="-13"/>
        </w:rPr>
        <w:t> </w:t>
      </w:r>
      <w:r>
        <w:rPr/>
        <w:t>quesos</w:t>
      </w:r>
      <w:r>
        <w:rPr>
          <w:spacing w:val="-12"/>
        </w:rPr>
        <w:t> </w:t>
      </w:r>
      <w:r>
        <w:rPr/>
        <w:t>pueden sobrevivir fuera del producto, equipo e instalaciones de almacenamiento</w:t>
      </w:r>
      <w:r>
        <w:rPr>
          <w:spacing w:val="-46"/>
        </w:rPr>
        <w:t> </w:t>
      </w:r>
      <w:r>
        <w:rPr/>
        <w:t>(Kousta </w:t>
      </w:r>
      <w:r>
        <w:rPr>
          <w:i/>
        </w:rPr>
        <w:t>et </w:t>
      </w:r>
      <w:r>
        <w:rPr>
          <w:i/>
        </w:rPr>
        <w:t>al.,</w:t>
      </w:r>
      <w:r>
        <w:rPr>
          <w:i/>
          <w:spacing w:val="-2"/>
        </w:rPr>
        <w:t> </w:t>
      </w:r>
      <w:r>
        <w:rPr/>
        <w:t>2010).</w:t>
      </w:r>
    </w:p>
    <w:p>
      <w:pPr>
        <w:pStyle w:val="BodyText"/>
        <w:spacing w:line="276" w:lineRule="auto" w:before="123"/>
        <w:ind w:left="142" w:right="142"/>
        <w:jc w:val="both"/>
      </w:pPr>
      <w:r>
        <w:rPr/>
        <w:t>Para evitar contaminación de la leche cruda en la granja, buenas prácticas en la granja,</w:t>
      </w:r>
      <w:r>
        <w:rPr>
          <w:spacing w:val="-14"/>
        </w:rPr>
        <w:t> </w:t>
      </w:r>
      <w:r>
        <w:rPr/>
        <w:t>manejo</w:t>
      </w:r>
      <w:r>
        <w:rPr>
          <w:spacing w:val="-16"/>
        </w:rPr>
        <w:t> </w:t>
      </w:r>
      <w:r>
        <w:rPr/>
        <w:t>de</w:t>
      </w:r>
      <w:r>
        <w:rPr>
          <w:spacing w:val="-16"/>
        </w:rPr>
        <w:t> </w:t>
      </w:r>
      <w:r>
        <w:rPr/>
        <w:t>animales</w:t>
      </w:r>
      <w:r>
        <w:rPr>
          <w:spacing w:val="-14"/>
        </w:rPr>
        <w:t> </w:t>
      </w:r>
      <w:r>
        <w:rPr/>
        <w:t>y</w:t>
      </w:r>
      <w:r>
        <w:rPr>
          <w:spacing w:val="-16"/>
        </w:rPr>
        <w:t> </w:t>
      </w:r>
      <w:r>
        <w:rPr/>
        <w:t>de</w:t>
      </w:r>
      <w:r>
        <w:rPr>
          <w:spacing w:val="-14"/>
        </w:rPr>
        <w:t> </w:t>
      </w:r>
      <w:r>
        <w:rPr/>
        <w:t>residuos,</w:t>
      </w:r>
      <w:r>
        <w:rPr>
          <w:spacing w:val="-16"/>
        </w:rPr>
        <w:t> </w:t>
      </w:r>
      <w:r>
        <w:rPr/>
        <w:t>tratamiento</w:t>
      </w:r>
      <w:r>
        <w:rPr>
          <w:spacing w:val="-14"/>
        </w:rPr>
        <w:t> </w:t>
      </w:r>
      <w:r>
        <w:rPr/>
        <w:t>de</w:t>
      </w:r>
      <w:r>
        <w:rPr>
          <w:spacing w:val="-14"/>
        </w:rPr>
        <w:t> </w:t>
      </w:r>
      <w:r>
        <w:rPr/>
        <w:t>agua,</w:t>
      </w:r>
      <w:r>
        <w:rPr>
          <w:spacing w:val="-16"/>
        </w:rPr>
        <w:t> </w:t>
      </w:r>
      <w:r>
        <w:rPr/>
        <w:t>buenas</w:t>
      </w:r>
      <w:r>
        <w:rPr>
          <w:spacing w:val="-15"/>
        </w:rPr>
        <w:t> </w:t>
      </w:r>
      <w:r>
        <w:rPr/>
        <w:t>condiciones higiénicas durante el ordeño y control de la mastitis son pasos esenciales para prevenir la acumulación, sobrevivencia y transmisión de patógenos; mientras que durante el procesamiento de quesos el riesgo de bacterias patógenos es eliminada por la pasteurización de la leche cruda, el tiempo de maduración, y la temperatura de</w:t>
      </w:r>
      <w:r>
        <w:rPr>
          <w:spacing w:val="-15"/>
        </w:rPr>
        <w:t> </w:t>
      </w:r>
      <w:r>
        <w:rPr/>
        <w:t>conservación</w:t>
      </w:r>
      <w:r>
        <w:rPr>
          <w:spacing w:val="-15"/>
        </w:rPr>
        <w:t> </w:t>
      </w:r>
      <w:r>
        <w:rPr/>
        <w:t>controlada</w:t>
      </w:r>
      <w:r>
        <w:rPr>
          <w:spacing w:val="-15"/>
        </w:rPr>
        <w:t> </w:t>
      </w:r>
      <w:r>
        <w:rPr/>
        <w:t>junto</w:t>
      </w:r>
      <w:r>
        <w:rPr>
          <w:spacing w:val="-15"/>
        </w:rPr>
        <w:t> </w:t>
      </w:r>
      <w:r>
        <w:rPr/>
        <w:t>con</w:t>
      </w:r>
      <w:r>
        <w:rPr>
          <w:spacing w:val="-15"/>
        </w:rPr>
        <w:t> </w:t>
      </w:r>
      <w:r>
        <w:rPr/>
        <w:t>propiedades</w:t>
      </w:r>
      <w:r>
        <w:rPr>
          <w:spacing w:val="-16"/>
        </w:rPr>
        <w:t> </w:t>
      </w:r>
      <w:r>
        <w:rPr/>
        <w:t>intrínsecas</w:t>
      </w:r>
      <w:r>
        <w:rPr>
          <w:spacing w:val="-16"/>
        </w:rPr>
        <w:t> </w:t>
      </w:r>
      <w:r>
        <w:rPr/>
        <w:t>como</w:t>
      </w:r>
      <w:r>
        <w:rPr>
          <w:spacing w:val="-15"/>
        </w:rPr>
        <w:t> </w:t>
      </w:r>
      <w:r>
        <w:rPr/>
        <w:t>el</w:t>
      </w:r>
      <w:r>
        <w:rPr>
          <w:spacing w:val="-16"/>
        </w:rPr>
        <w:t> </w:t>
      </w:r>
      <w:r>
        <w:rPr/>
        <w:t>pH,</w:t>
      </w:r>
      <w:r>
        <w:rPr>
          <w:spacing w:val="-16"/>
        </w:rPr>
        <w:t> </w:t>
      </w:r>
      <w:r>
        <w:rPr/>
        <w:t>actividad </w:t>
      </w:r>
      <w:r>
        <w:rPr>
          <w:position w:val="1"/>
        </w:rPr>
        <w:t>del agua (a</w:t>
      </w:r>
      <w:r>
        <w:rPr>
          <w:sz w:val="16"/>
        </w:rPr>
        <w:t>w</w:t>
      </w:r>
      <w:r>
        <w:rPr>
          <w:position w:val="1"/>
        </w:rPr>
        <w:t>) y la presencia de componentes antimicrobianos producidos por el </w:t>
      </w:r>
      <w:r>
        <w:rPr/>
        <w:t>cultivo iniciador constituye un sistema de obstáculos (Kousta </w:t>
      </w:r>
      <w:r>
        <w:rPr>
          <w:i/>
        </w:rPr>
        <w:t>et al.,</w:t>
      </w:r>
      <w:r>
        <w:rPr>
          <w:i/>
          <w:spacing w:val="-19"/>
        </w:rPr>
        <w:t> </w:t>
      </w:r>
      <w:r>
        <w:rPr/>
        <w:t>2010).</w:t>
      </w:r>
    </w:p>
    <w:p>
      <w:pPr>
        <w:spacing w:after="0" w:line="276" w:lineRule="auto"/>
        <w:jc w:val="both"/>
        <w:sectPr>
          <w:pgSz w:w="12240" w:h="15840"/>
          <w:pgMar w:header="728" w:footer="710" w:top="1200" w:bottom="900" w:left="1560" w:right="1560"/>
        </w:sectPr>
      </w:pPr>
    </w:p>
    <w:p>
      <w:pPr>
        <w:pStyle w:val="BodyText"/>
        <w:rPr>
          <w:sz w:val="20"/>
        </w:rPr>
      </w:pPr>
    </w:p>
    <w:p>
      <w:pPr>
        <w:pStyle w:val="BodyText"/>
        <w:spacing w:before="6"/>
        <w:rPr>
          <w:sz w:val="29"/>
        </w:rPr>
      </w:pPr>
    </w:p>
    <w:p>
      <w:pPr>
        <w:pStyle w:val="Heading2"/>
        <w:numPr>
          <w:ilvl w:val="1"/>
          <w:numId w:val="3"/>
        </w:numPr>
        <w:tabs>
          <w:tab w:pos="3810" w:val="left" w:leader="none"/>
        </w:tabs>
        <w:spacing w:line="240" w:lineRule="auto" w:before="70" w:after="0"/>
        <w:ind w:left="3809" w:right="0" w:hanging="336"/>
        <w:jc w:val="left"/>
      </w:pPr>
      <w:bookmarkStart w:name="_bookmark30" w:id="38"/>
      <w:bookmarkEnd w:id="38"/>
      <w:r>
        <w:rPr>
          <w:b w:val="0"/>
        </w:rPr>
      </w:r>
      <w:bookmarkStart w:name="_bookmark30" w:id="39"/>
      <w:bookmarkEnd w:id="39"/>
      <w:r>
        <w:rPr/>
        <w:t>J</w:t>
      </w:r>
      <w:r>
        <w:rPr/>
        <w:t>USTIFICACIÓN</w:t>
      </w:r>
    </w:p>
    <w:p>
      <w:pPr>
        <w:pStyle w:val="BodyText"/>
        <w:spacing w:line="276" w:lineRule="auto" w:before="139"/>
        <w:ind w:left="142" w:right="138"/>
        <w:jc w:val="both"/>
      </w:pPr>
      <w:r>
        <w:rPr/>
        <w:t>La legislación en México tiene problemas de aplicación, debido a la venta de productos lácteos en los “mercados sobre ruedas” que no están en un domicilio registrado. Los quesos y productos lácteos se comercializan a temperatura ambiente y en muchas ocasiones no se tienen etiquetas con la información del fabricante</w:t>
      </w:r>
      <w:r>
        <w:rPr>
          <w:spacing w:val="-16"/>
        </w:rPr>
        <w:t> </w:t>
      </w:r>
      <w:r>
        <w:rPr/>
        <w:t>y</w:t>
      </w:r>
      <w:r>
        <w:rPr>
          <w:spacing w:val="-19"/>
        </w:rPr>
        <w:t> </w:t>
      </w:r>
      <w:r>
        <w:rPr/>
        <w:t>en</w:t>
      </w:r>
      <w:r>
        <w:rPr>
          <w:spacing w:val="-16"/>
        </w:rPr>
        <w:t> </w:t>
      </w:r>
      <w:r>
        <w:rPr/>
        <w:t>caso</w:t>
      </w:r>
      <w:r>
        <w:rPr>
          <w:spacing w:val="-18"/>
        </w:rPr>
        <w:t> </w:t>
      </w:r>
      <w:r>
        <w:rPr/>
        <w:t>de</w:t>
      </w:r>
      <w:r>
        <w:rPr>
          <w:spacing w:val="-18"/>
        </w:rPr>
        <w:t> </w:t>
      </w:r>
      <w:r>
        <w:rPr/>
        <w:t>la</w:t>
      </w:r>
      <w:r>
        <w:rPr>
          <w:spacing w:val="-16"/>
        </w:rPr>
        <w:t> </w:t>
      </w:r>
      <w:r>
        <w:rPr/>
        <w:t>existencia</w:t>
      </w:r>
      <w:r>
        <w:rPr>
          <w:spacing w:val="-16"/>
        </w:rPr>
        <w:t> </w:t>
      </w:r>
      <w:r>
        <w:rPr/>
        <w:t>de</w:t>
      </w:r>
      <w:r>
        <w:rPr>
          <w:spacing w:val="-16"/>
        </w:rPr>
        <w:t> </w:t>
      </w:r>
      <w:r>
        <w:rPr/>
        <w:t>intoxicaciones</w:t>
      </w:r>
      <w:r>
        <w:rPr>
          <w:spacing w:val="-19"/>
        </w:rPr>
        <w:t> </w:t>
      </w:r>
      <w:r>
        <w:rPr/>
        <w:t>o</w:t>
      </w:r>
      <w:r>
        <w:rPr>
          <w:spacing w:val="-16"/>
        </w:rPr>
        <w:t> </w:t>
      </w:r>
      <w:r>
        <w:rPr/>
        <w:t>infecciones</w:t>
      </w:r>
      <w:r>
        <w:rPr>
          <w:spacing w:val="-19"/>
        </w:rPr>
        <w:t> </w:t>
      </w:r>
      <w:r>
        <w:rPr/>
        <w:t>de</w:t>
      </w:r>
      <w:r>
        <w:rPr>
          <w:spacing w:val="-16"/>
        </w:rPr>
        <w:t> </w:t>
      </w:r>
      <w:r>
        <w:rPr/>
        <w:t>origen</w:t>
      </w:r>
      <w:r>
        <w:rPr>
          <w:spacing w:val="-16"/>
        </w:rPr>
        <w:t> </w:t>
      </w:r>
      <w:r>
        <w:rPr/>
        <w:t>lácteo no es posible identificar el origen. Aunado a ello son escasas las empresas artesanales que satisfacen los requerimientos del Código Sanitario en cuanto a la producción, presentación, manejo y conservación del producto. La mayoría de los quesos genuinos esta fuera de la ley sanitaria por elaborarse con leche cruda o bronca y por ser frescos la mayoría de ellos por lo que requiere información sobre la presencia de patógenos durante la fabricación y maduración del queso con énfasis en la supervivencia de patógenos reconocidos como peligrosos para el hombre como lo es </w:t>
      </w:r>
      <w:r>
        <w:rPr>
          <w:i/>
        </w:rPr>
        <w:t>Staphylococcus</w:t>
      </w:r>
      <w:r>
        <w:rPr>
          <w:i/>
          <w:spacing w:val="-12"/>
        </w:rPr>
        <w:t> </w:t>
      </w:r>
      <w:r>
        <w:rPr>
          <w:i/>
        </w:rPr>
        <w:t>aureus</w:t>
      </w:r>
      <w:r>
        <w:rPr/>
        <w:t>.</w:t>
      </w:r>
    </w:p>
    <w:p>
      <w:pPr>
        <w:pStyle w:val="BodyText"/>
        <w:spacing w:line="276" w:lineRule="auto" w:before="123"/>
        <w:ind w:left="142" w:right="137"/>
        <w:jc w:val="both"/>
      </w:pPr>
      <w:r>
        <w:rPr/>
        <w:t>El conocimiento de la calidad básica y deseablemente sanitaria del queso fresco elaborado de manera artesanal permitirá emprender acciones concretas para mejorar la calidad y hacerla congruente con las Normas Oficiales Mexicanas. El conocimiento</w:t>
      </w:r>
      <w:r>
        <w:rPr>
          <w:spacing w:val="-8"/>
        </w:rPr>
        <w:t> </w:t>
      </w:r>
      <w:r>
        <w:rPr/>
        <w:t>de</w:t>
      </w:r>
      <w:r>
        <w:rPr>
          <w:spacing w:val="-8"/>
        </w:rPr>
        <w:t> </w:t>
      </w:r>
      <w:r>
        <w:rPr/>
        <w:t>la</w:t>
      </w:r>
      <w:r>
        <w:rPr>
          <w:spacing w:val="-6"/>
        </w:rPr>
        <w:t> </w:t>
      </w:r>
      <w:r>
        <w:rPr/>
        <w:t>calidad</w:t>
      </w:r>
      <w:r>
        <w:rPr>
          <w:spacing w:val="-8"/>
        </w:rPr>
        <w:t> </w:t>
      </w:r>
      <w:r>
        <w:rPr/>
        <w:t>de</w:t>
      </w:r>
      <w:r>
        <w:rPr>
          <w:spacing w:val="-8"/>
        </w:rPr>
        <w:t> </w:t>
      </w:r>
      <w:r>
        <w:rPr/>
        <w:t>los</w:t>
      </w:r>
      <w:r>
        <w:rPr>
          <w:spacing w:val="-9"/>
        </w:rPr>
        <w:t> </w:t>
      </w:r>
      <w:r>
        <w:rPr/>
        <w:t>quesos</w:t>
      </w:r>
      <w:r>
        <w:rPr>
          <w:spacing w:val="-9"/>
        </w:rPr>
        <w:t> </w:t>
      </w:r>
      <w:r>
        <w:rPr/>
        <w:t>con</w:t>
      </w:r>
      <w:r>
        <w:rPr>
          <w:spacing w:val="-8"/>
        </w:rPr>
        <w:t> </w:t>
      </w:r>
      <w:r>
        <w:rPr/>
        <w:t>leche</w:t>
      </w:r>
      <w:r>
        <w:rPr>
          <w:spacing w:val="-8"/>
        </w:rPr>
        <w:t> </w:t>
      </w:r>
      <w:r>
        <w:rPr/>
        <w:t>cruda</w:t>
      </w:r>
      <w:r>
        <w:rPr>
          <w:spacing w:val="-8"/>
        </w:rPr>
        <w:t> </w:t>
      </w:r>
      <w:r>
        <w:rPr/>
        <w:t>y</w:t>
      </w:r>
      <w:r>
        <w:rPr>
          <w:spacing w:val="-9"/>
        </w:rPr>
        <w:t> </w:t>
      </w:r>
      <w:r>
        <w:rPr>
          <w:spacing w:val="2"/>
        </w:rPr>
        <w:t>su</w:t>
      </w:r>
      <w:r>
        <w:rPr>
          <w:spacing w:val="-8"/>
        </w:rPr>
        <w:t> </w:t>
      </w:r>
      <w:r>
        <w:rPr/>
        <w:t>mejoramiento</w:t>
      </w:r>
      <w:r>
        <w:rPr>
          <w:spacing w:val="-8"/>
        </w:rPr>
        <w:t> </w:t>
      </w:r>
      <w:r>
        <w:rPr/>
        <w:t>podría conducir a una mayor difusión e impulso del producto que pudiera prestigiarse y venderse por calidad, lo que repercutiría en una mayor actividad productiva </w:t>
      </w:r>
      <w:r>
        <w:rPr>
          <w:spacing w:val="6"/>
        </w:rPr>
        <w:t>al </w:t>
      </w:r>
      <w:r>
        <w:rPr/>
        <w:t>aumentar la demanda e ingresos económicos para la agroindustria artesanal tanto de leche como de quesos genuinos lo que contribuiría a la preservación del patrimonio alimentario del</w:t>
      </w:r>
      <w:r>
        <w:rPr>
          <w:spacing w:val="-14"/>
        </w:rPr>
        <w:t> </w:t>
      </w:r>
      <w:r>
        <w:rPr/>
        <w:t>país.</w:t>
      </w:r>
    </w:p>
    <w:p>
      <w:pPr>
        <w:spacing w:after="0" w:line="276" w:lineRule="auto"/>
        <w:jc w:val="both"/>
        <w:sectPr>
          <w:pgSz w:w="12240" w:h="15840"/>
          <w:pgMar w:header="728" w:footer="710" w:top="1200" w:bottom="900" w:left="1560" w:right="1560"/>
        </w:sectPr>
      </w:pPr>
    </w:p>
    <w:p>
      <w:pPr>
        <w:pStyle w:val="BodyText"/>
        <w:rPr>
          <w:sz w:val="20"/>
        </w:rPr>
      </w:pPr>
    </w:p>
    <w:p>
      <w:pPr>
        <w:pStyle w:val="BodyText"/>
        <w:spacing w:before="6"/>
        <w:rPr>
          <w:sz w:val="29"/>
        </w:rPr>
      </w:pPr>
    </w:p>
    <w:p>
      <w:pPr>
        <w:pStyle w:val="Heading2"/>
        <w:numPr>
          <w:ilvl w:val="1"/>
          <w:numId w:val="3"/>
        </w:numPr>
        <w:tabs>
          <w:tab w:pos="4103" w:val="left" w:leader="none"/>
        </w:tabs>
        <w:spacing w:line="240" w:lineRule="auto" w:before="70" w:after="0"/>
        <w:ind w:left="4102" w:right="0" w:hanging="362"/>
        <w:jc w:val="left"/>
      </w:pPr>
      <w:bookmarkStart w:name="_bookmark31" w:id="40"/>
      <w:bookmarkEnd w:id="40"/>
      <w:r>
        <w:rPr>
          <w:b w:val="0"/>
        </w:rPr>
      </w:r>
      <w:bookmarkStart w:name="_bookmark31" w:id="41"/>
      <w:bookmarkEnd w:id="41"/>
      <w:r>
        <w:rPr/>
        <w:t>HIP</w:t>
      </w:r>
      <w:r>
        <w:rPr/>
        <w:t>ÓTESIS</w:t>
      </w:r>
    </w:p>
    <w:p>
      <w:pPr>
        <w:pStyle w:val="BodyText"/>
        <w:spacing w:line="276" w:lineRule="auto" w:before="139"/>
        <w:ind w:left="142" w:right="138"/>
        <w:jc w:val="both"/>
      </w:pPr>
      <w:r>
        <w:rPr/>
        <w:t>Los quesos frescos que se comercializan en el municipio de Toluca son quesos genuinos</w:t>
      </w:r>
      <w:r>
        <w:rPr>
          <w:spacing w:val="-10"/>
        </w:rPr>
        <w:t> </w:t>
      </w:r>
      <w:r>
        <w:rPr/>
        <w:t>del</w:t>
      </w:r>
      <w:r>
        <w:rPr>
          <w:spacing w:val="-11"/>
        </w:rPr>
        <w:t> </w:t>
      </w:r>
      <w:r>
        <w:rPr/>
        <w:t>Valle</w:t>
      </w:r>
      <w:r>
        <w:rPr>
          <w:spacing w:val="-12"/>
        </w:rPr>
        <w:t> </w:t>
      </w:r>
      <w:r>
        <w:rPr/>
        <w:t>de</w:t>
      </w:r>
      <w:r>
        <w:rPr>
          <w:spacing w:val="-12"/>
        </w:rPr>
        <w:t> </w:t>
      </w:r>
      <w:r>
        <w:rPr/>
        <w:t>Toluca</w:t>
      </w:r>
      <w:r>
        <w:rPr>
          <w:spacing w:val="-9"/>
        </w:rPr>
        <w:t> </w:t>
      </w:r>
      <w:r>
        <w:rPr/>
        <w:t>que</w:t>
      </w:r>
      <w:r>
        <w:rPr>
          <w:spacing w:val="-9"/>
        </w:rPr>
        <w:t> </w:t>
      </w:r>
      <w:r>
        <w:rPr/>
        <w:t>pueden</w:t>
      </w:r>
      <w:r>
        <w:rPr>
          <w:spacing w:val="-9"/>
        </w:rPr>
        <w:t> </w:t>
      </w:r>
      <w:r>
        <w:rPr/>
        <w:t>ser</w:t>
      </w:r>
      <w:r>
        <w:rPr>
          <w:spacing w:val="-6"/>
        </w:rPr>
        <w:t> </w:t>
      </w:r>
      <w:r>
        <w:rPr/>
        <w:t>portadores</w:t>
      </w:r>
      <w:r>
        <w:rPr>
          <w:spacing w:val="-10"/>
        </w:rPr>
        <w:t> </w:t>
      </w:r>
      <w:r>
        <w:rPr/>
        <w:t>de</w:t>
      </w:r>
      <w:r>
        <w:rPr>
          <w:spacing w:val="-8"/>
        </w:rPr>
        <w:t> </w:t>
      </w:r>
      <w:r>
        <w:rPr>
          <w:i/>
        </w:rPr>
        <w:t>Staphylococcus</w:t>
      </w:r>
      <w:r>
        <w:rPr>
          <w:i/>
          <w:spacing w:val="-13"/>
        </w:rPr>
        <w:t> </w:t>
      </w:r>
      <w:r>
        <w:rPr>
          <w:i/>
        </w:rPr>
        <w:t>aureus </w:t>
      </w:r>
      <w:r>
        <w:rPr/>
        <w:t>resistente a la meticilina (MRSA) lo que constituye un riesgo a la salud</w:t>
      </w:r>
      <w:r>
        <w:rPr>
          <w:spacing w:val="-21"/>
        </w:rPr>
        <w:t> </w:t>
      </w:r>
      <w:r>
        <w:rPr/>
        <w:t>pública.</w:t>
      </w:r>
    </w:p>
    <w:p>
      <w:pPr>
        <w:spacing w:after="0" w:line="276" w:lineRule="auto"/>
        <w:jc w:val="both"/>
        <w:sectPr>
          <w:pgSz w:w="12240" w:h="15840"/>
          <w:pgMar w:header="728" w:footer="710" w:top="1200" w:bottom="900" w:left="1560" w:right="1560"/>
        </w:sectPr>
      </w:pPr>
    </w:p>
    <w:p>
      <w:pPr>
        <w:pStyle w:val="BodyText"/>
        <w:rPr>
          <w:sz w:val="20"/>
        </w:rPr>
      </w:pPr>
    </w:p>
    <w:p>
      <w:pPr>
        <w:pStyle w:val="BodyText"/>
        <w:spacing w:before="6"/>
        <w:rPr>
          <w:sz w:val="29"/>
        </w:rPr>
      </w:pPr>
    </w:p>
    <w:p>
      <w:pPr>
        <w:pStyle w:val="Heading2"/>
        <w:numPr>
          <w:ilvl w:val="1"/>
          <w:numId w:val="3"/>
        </w:numPr>
        <w:tabs>
          <w:tab w:pos="4021" w:val="left" w:leader="none"/>
        </w:tabs>
        <w:spacing w:line="240" w:lineRule="auto" w:before="70" w:after="0"/>
        <w:ind w:left="4021" w:right="0" w:hanging="296"/>
        <w:jc w:val="left"/>
      </w:pPr>
      <w:bookmarkStart w:name="_bookmark32" w:id="42"/>
      <w:bookmarkEnd w:id="42"/>
      <w:r>
        <w:rPr>
          <w:b w:val="0"/>
        </w:rPr>
      </w:r>
      <w:bookmarkStart w:name="_bookmark32" w:id="43"/>
      <w:bookmarkEnd w:id="43"/>
      <w:r>
        <w:rPr/>
        <w:t>OBJ</w:t>
      </w:r>
      <w:r>
        <w:rPr/>
        <w:t>ETIVOS</w:t>
      </w:r>
    </w:p>
    <w:p>
      <w:pPr>
        <w:pStyle w:val="BodyText"/>
        <w:rPr>
          <w:b/>
          <w:sz w:val="20"/>
        </w:rPr>
      </w:pPr>
    </w:p>
    <w:p>
      <w:pPr>
        <w:pStyle w:val="BodyText"/>
        <w:rPr>
          <w:b/>
        </w:rPr>
      </w:pPr>
    </w:p>
    <w:p>
      <w:pPr>
        <w:pStyle w:val="Heading2"/>
        <w:ind w:right="1550"/>
      </w:pPr>
      <w:bookmarkStart w:name="_bookmark33" w:id="44"/>
      <w:bookmarkEnd w:id="44"/>
      <w:r>
        <w:rPr>
          <w:b w:val="0"/>
        </w:rPr>
      </w:r>
      <w:r>
        <w:rPr/>
        <w:t>Objetivos generales</w:t>
      </w:r>
    </w:p>
    <w:p>
      <w:pPr>
        <w:pStyle w:val="BodyText"/>
        <w:rPr>
          <w:b/>
        </w:rPr>
      </w:pPr>
    </w:p>
    <w:p>
      <w:pPr>
        <w:pStyle w:val="ListParagraph"/>
        <w:numPr>
          <w:ilvl w:val="0"/>
          <w:numId w:val="7"/>
        </w:numPr>
        <w:tabs>
          <w:tab w:pos="862" w:val="left" w:leader="none"/>
        </w:tabs>
        <w:spacing w:line="278" w:lineRule="auto" w:before="139" w:after="0"/>
        <w:ind w:left="862" w:right="142" w:hanging="360"/>
        <w:jc w:val="both"/>
        <w:rPr>
          <w:sz w:val="24"/>
        </w:rPr>
      </w:pPr>
      <w:r>
        <w:rPr>
          <w:sz w:val="24"/>
        </w:rPr>
        <w:t>Caracterizar el queso fresco comercializado en mercados populares del municipio de</w:t>
      </w:r>
      <w:r>
        <w:rPr>
          <w:spacing w:val="-5"/>
          <w:sz w:val="24"/>
        </w:rPr>
        <w:t> </w:t>
      </w:r>
      <w:r>
        <w:rPr>
          <w:sz w:val="24"/>
        </w:rPr>
        <w:t>Toluca.</w:t>
      </w:r>
    </w:p>
    <w:p>
      <w:pPr>
        <w:pStyle w:val="ListParagraph"/>
        <w:numPr>
          <w:ilvl w:val="0"/>
          <w:numId w:val="7"/>
        </w:numPr>
        <w:tabs>
          <w:tab w:pos="862" w:val="left" w:leader="none"/>
        </w:tabs>
        <w:spacing w:line="276" w:lineRule="auto" w:before="0" w:after="0"/>
        <w:ind w:left="862" w:right="137" w:hanging="360"/>
        <w:jc w:val="both"/>
        <w:rPr>
          <w:sz w:val="24"/>
        </w:rPr>
      </w:pPr>
      <w:r>
        <w:rPr>
          <w:sz w:val="24"/>
        </w:rPr>
        <w:t>Determinar la presencia de </w:t>
      </w:r>
      <w:r>
        <w:rPr>
          <w:i/>
          <w:sz w:val="24"/>
        </w:rPr>
        <w:t>Staphylococcus aureus </w:t>
      </w:r>
      <w:r>
        <w:rPr>
          <w:sz w:val="24"/>
        </w:rPr>
        <w:t>MRSA/ORSA en quesos elaborados de manera artesanal y comercializados en mercados populares del Municipio de</w:t>
      </w:r>
      <w:r>
        <w:rPr>
          <w:spacing w:val="-8"/>
          <w:sz w:val="24"/>
        </w:rPr>
        <w:t> </w:t>
      </w:r>
      <w:r>
        <w:rPr>
          <w:sz w:val="24"/>
        </w:rPr>
        <w:t>Toluca.</w:t>
      </w:r>
    </w:p>
    <w:p>
      <w:pPr>
        <w:pStyle w:val="Heading2"/>
        <w:spacing w:before="202"/>
        <w:ind w:right="1550"/>
      </w:pPr>
      <w:bookmarkStart w:name="_bookmark34" w:id="45"/>
      <w:bookmarkEnd w:id="45"/>
      <w:r>
        <w:rPr>
          <w:b w:val="0"/>
        </w:rPr>
      </w:r>
      <w:r>
        <w:rPr/>
        <w:t>Objetivos específicos</w:t>
      </w:r>
    </w:p>
    <w:p>
      <w:pPr>
        <w:pStyle w:val="BodyText"/>
        <w:spacing w:before="7"/>
        <w:rPr>
          <w:b/>
          <w:sz w:val="35"/>
        </w:rPr>
      </w:pPr>
    </w:p>
    <w:p>
      <w:pPr>
        <w:pStyle w:val="BodyText"/>
        <w:spacing w:line="278" w:lineRule="auto"/>
        <w:ind w:left="850" w:right="145"/>
        <w:jc w:val="both"/>
      </w:pPr>
      <w:r>
        <w:rPr/>
        <w:t>1</w:t>
      </w:r>
      <w:r>
        <w:rPr>
          <w:position w:val="8"/>
          <w:sz w:val="16"/>
        </w:rPr>
        <w:t>a</w:t>
      </w:r>
      <w:r>
        <w:rPr/>
        <w:t>) Identificar las zonas de producción de quesos que convergen en los mercados populares.</w:t>
      </w:r>
    </w:p>
    <w:p>
      <w:pPr>
        <w:pStyle w:val="BodyText"/>
        <w:spacing w:line="276" w:lineRule="auto" w:before="192"/>
        <w:ind w:left="850" w:right="144"/>
        <w:jc w:val="both"/>
      </w:pPr>
      <w:r>
        <w:rPr/>
        <w:t>1</w:t>
      </w:r>
      <w:r>
        <w:rPr>
          <w:position w:val="8"/>
          <w:sz w:val="16"/>
        </w:rPr>
        <w:t>b</w:t>
      </w:r>
      <w:r>
        <w:rPr/>
        <w:t>) Caracterizar los quesos frescos que se comercializan en los mercados populares del municipio de Toluca (humedad, materia seca, cenizas, proteínas y grasa).</w:t>
      </w:r>
    </w:p>
    <w:p>
      <w:pPr>
        <w:pStyle w:val="BodyText"/>
        <w:spacing w:before="195"/>
        <w:ind w:left="850"/>
        <w:jc w:val="both"/>
      </w:pPr>
      <w:r>
        <w:rPr/>
        <w:t>1</w:t>
      </w:r>
      <w:r>
        <w:rPr>
          <w:position w:val="8"/>
          <w:sz w:val="16"/>
        </w:rPr>
        <w:t>c</w:t>
      </w:r>
      <w:r>
        <w:rPr/>
        <w:t>) Documentar las condiciones de venta de los quesos frescos artesanales.</w:t>
      </w:r>
    </w:p>
    <w:p>
      <w:pPr>
        <w:pStyle w:val="BodyText"/>
        <w:spacing w:before="10"/>
        <w:rPr>
          <w:sz w:val="20"/>
        </w:rPr>
      </w:pPr>
    </w:p>
    <w:p>
      <w:pPr>
        <w:pStyle w:val="BodyText"/>
        <w:spacing w:line="276" w:lineRule="auto"/>
        <w:ind w:left="850" w:right="138"/>
        <w:jc w:val="both"/>
        <w:rPr>
          <w:i/>
        </w:rPr>
      </w:pPr>
      <w:r>
        <w:rPr/>
        <w:t>2ª) Identificar los aislamientos de </w:t>
      </w:r>
      <w:r>
        <w:rPr>
          <w:i/>
        </w:rPr>
        <w:t>S. aureus </w:t>
      </w:r>
      <w:r>
        <w:rPr/>
        <w:t>por pruebas fenotípicas bacteriológicas y por PCR mediante la detección del gen </w:t>
      </w:r>
      <w:r>
        <w:rPr>
          <w:i/>
        </w:rPr>
        <w:t>femB.</w:t>
      </w:r>
    </w:p>
    <w:p>
      <w:pPr>
        <w:spacing w:line="444" w:lineRule="auto" w:before="197"/>
        <w:ind w:left="850" w:right="263" w:firstLine="0"/>
        <w:jc w:val="left"/>
        <w:rPr>
          <w:i/>
          <w:sz w:val="24"/>
        </w:rPr>
      </w:pPr>
      <w:r>
        <w:rPr>
          <w:sz w:val="24"/>
        </w:rPr>
        <w:t>2</w:t>
      </w:r>
      <w:r>
        <w:rPr>
          <w:position w:val="8"/>
          <w:sz w:val="16"/>
        </w:rPr>
        <w:t>b</w:t>
      </w:r>
      <w:r>
        <w:rPr>
          <w:sz w:val="24"/>
        </w:rPr>
        <w:t>) Determinar la sensibilidad </w:t>
      </w:r>
      <w:r>
        <w:rPr>
          <w:i/>
          <w:sz w:val="24"/>
        </w:rPr>
        <w:t>in vitro </w:t>
      </w:r>
      <w:r>
        <w:rPr>
          <w:sz w:val="24"/>
        </w:rPr>
        <w:t>de </w:t>
      </w:r>
      <w:r>
        <w:rPr>
          <w:i/>
          <w:sz w:val="24"/>
        </w:rPr>
        <w:t>S. aureus </w:t>
      </w:r>
      <w:r>
        <w:rPr>
          <w:sz w:val="24"/>
        </w:rPr>
        <w:t>a diferentes antibióticos. 2</w:t>
      </w:r>
      <w:r>
        <w:rPr>
          <w:position w:val="8"/>
          <w:sz w:val="16"/>
        </w:rPr>
        <w:t>c</w:t>
      </w:r>
      <w:r>
        <w:rPr>
          <w:sz w:val="24"/>
        </w:rPr>
        <w:t>) Identificar por PCR el gen </w:t>
      </w:r>
      <w:r>
        <w:rPr>
          <w:i/>
          <w:sz w:val="24"/>
        </w:rPr>
        <w:t>mecA </w:t>
      </w:r>
      <w:r>
        <w:rPr>
          <w:sz w:val="24"/>
        </w:rPr>
        <w:t>en los aislamientos de </w:t>
      </w:r>
      <w:r>
        <w:rPr>
          <w:i/>
          <w:sz w:val="24"/>
        </w:rPr>
        <w:t>S. aureus.</w:t>
      </w:r>
    </w:p>
    <w:p>
      <w:pPr>
        <w:pStyle w:val="BodyText"/>
        <w:spacing w:line="276" w:lineRule="auto" w:before="5"/>
        <w:ind w:left="850" w:right="143"/>
        <w:jc w:val="both"/>
      </w:pPr>
      <w:r>
        <w:rPr/>
        <w:t>2</w:t>
      </w:r>
      <w:r>
        <w:rPr>
          <w:position w:val="8"/>
          <w:sz w:val="16"/>
        </w:rPr>
        <w:t>d</w:t>
      </w:r>
      <w:r>
        <w:rPr/>
        <w:t>)</w:t>
      </w:r>
      <w:r>
        <w:rPr>
          <w:spacing w:val="-7"/>
        </w:rPr>
        <w:t> </w:t>
      </w:r>
      <w:r>
        <w:rPr/>
        <w:t>Identificar</w:t>
      </w:r>
      <w:r>
        <w:rPr>
          <w:spacing w:val="-9"/>
        </w:rPr>
        <w:t> </w:t>
      </w:r>
      <w:r>
        <w:rPr/>
        <w:t>el</w:t>
      </w:r>
      <w:r>
        <w:rPr>
          <w:spacing w:val="-7"/>
        </w:rPr>
        <w:t> </w:t>
      </w:r>
      <w:r>
        <w:rPr/>
        <w:t>origen</w:t>
      </w:r>
      <w:r>
        <w:rPr>
          <w:spacing w:val="-8"/>
        </w:rPr>
        <w:t> </w:t>
      </w:r>
      <w:r>
        <w:rPr/>
        <w:t>presuntivo</w:t>
      </w:r>
      <w:r>
        <w:rPr>
          <w:spacing w:val="-6"/>
        </w:rPr>
        <w:t> </w:t>
      </w:r>
      <w:r>
        <w:rPr/>
        <w:t>de</w:t>
      </w:r>
      <w:r>
        <w:rPr>
          <w:spacing w:val="-6"/>
        </w:rPr>
        <w:t> </w:t>
      </w:r>
      <w:r>
        <w:rPr/>
        <w:t>los</w:t>
      </w:r>
      <w:r>
        <w:rPr>
          <w:spacing w:val="-9"/>
        </w:rPr>
        <w:t> </w:t>
      </w:r>
      <w:r>
        <w:rPr/>
        <w:t>aislamientos</w:t>
      </w:r>
      <w:r>
        <w:rPr>
          <w:spacing w:val="-9"/>
        </w:rPr>
        <w:t> </w:t>
      </w:r>
      <w:r>
        <w:rPr/>
        <w:t>mediante</w:t>
      </w:r>
      <w:r>
        <w:rPr>
          <w:spacing w:val="-8"/>
        </w:rPr>
        <w:t> </w:t>
      </w:r>
      <w:r>
        <w:rPr/>
        <w:t>el</w:t>
      </w:r>
      <w:r>
        <w:rPr>
          <w:spacing w:val="-7"/>
        </w:rPr>
        <w:t> </w:t>
      </w:r>
      <w:r>
        <w:rPr/>
        <w:t>método</w:t>
      </w:r>
      <w:r>
        <w:rPr>
          <w:spacing w:val="-8"/>
        </w:rPr>
        <w:t> </w:t>
      </w:r>
      <w:r>
        <w:rPr/>
        <w:t>de Biotipo de</w:t>
      </w:r>
      <w:r>
        <w:rPr>
          <w:spacing w:val="-9"/>
        </w:rPr>
        <w:t> </w:t>
      </w:r>
      <w:r>
        <w:rPr/>
        <w:t>Devriese.</w:t>
      </w:r>
    </w:p>
    <w:p>
      <w:pPr>
        <w:pStyle w:val="BodyText"/>
        <w:spacing w:line="276" w:lineRule="auto" w:before="195"/>
        <w:ind w:left="850" w:right="137"/>
        <w:jc w:val="both"/>
        <w:rPr>
          <w:i/>
        </w:rPr>
      </w:pPr>
      <w:r>
        <w:rPr/>
        <w:t>2</w:t>
      </w:r>
      <w:r>
        <w:rPr>
          <w:position w:val="8"/>
          <w:sz w:val="16"/>
        </w:rPr>
        <w:t>e</w:t>
      </w:r>
      <w:r>
        <w:rPr/>
        <w:t>) Identificar aislamientos de </w:t>
      </w:r>
      <w:r>
        <w:rPr>
          <w:i/>
        </w:rPr>
        <w:t>S. aureus </w:t>
      </w:r>
      <w:r>
        <w:rPr/>
        <w:t>productores de </w:t>
      </w:r>
      <w:r>
        <w:rPr>
          <w:i/>
        </w:rPr>
        <w:t>biofilm </w:t>
      </w:r>
      <w:r>
        <w:rPr/>
        <w:t>por métodos fenotípicos utilizando la técnica de Rojo Congo</w:t>
      </w:r>
      <w:r>
        <w:rPr>
          <w:i/>
        </w:rPr>
        <w:t>.</w:t>
      </w:r>
    </w:p>
    <w:p>
      <w:pPr>
        <w:spacing w:after="0" w:line="276" w:lineRule="auto"/>
        <w:jc w:val="both"/>
        <w:sectPr>
          <w:pgSz w:w="12240" w:h="15840"/>
          <w:pgMar w:header="728" w:footer="710" w:top="1200" w:bottom="900" w:left="1560" w:right="1560"/>
        </w:sectPr>
      </w:pPr>
    </w:p>
    <w:p>
      <w:pPr>
        <w:pStyle w:val="BodyText"/>
        <w:spacing w:before="9"/>
        <w:rPr>
          <w:i/>
          <w:sz w:val="12"/>
        </w:rPr>
      </w:pPr>
    </w:p>
    <w:p>
      <w:pPr>
        <w:pStyle w:val="Heading2"/>
        <w:numPr>
          <w:ilvl w:val="1"/>
          <w:numId w:val="3"/>
        </w:numPr>
        <w:tabs>
          <w:tab w:pos="3369" w:val="left" w:leader="none"/>
        </w:tabs>
        <w:spacing w:line="393" w:lineRule="auto" w:before="70" w:after="0"/>
        <w:ind w:left="142" w:right="3006" w:firstLine="2863"/>
        <w:jc w:val="left"/>
      </w:pPr>
      <w:bookmarkStart w:name="_bookmark35" w:id="46"/>
      <w:bookmarkEnd w:id="46"/>
      <w:r>
        <w:rPr>
          <w:b w:val="0"/>
        </w:rPr>
      </w:r>
      <w:bookmarkStart w:name="_bookmark35" w:id="47"/>
      <w:bookmarkEnd w:id="47"/>
      <w:r>
        <w:rPr/>
        <w:t>M</w:t>
      </w:r>
      <w:r>
        <w:rPr/>
        <w:t>ATERIAL Y</w:t>
      </w:r>
      <w:r>
        <w:rPr>
          <w:spacing w:val="-6"/>
        </w:rPr>
        <w:t> </w:t>
      </w:r>
      <w:r>
        <w:rPr/>
        <w:t>MÉTODOS </w:t>
      </w:r>
      <w:bookmarkStart w:name="_bookmark36" w:id="48"/>
      <w:bookmarkEnd w:id="48"/>
      <w:r>
        <w:rPr/>
      </w:r>
      <w:r>
        <w:rPr/>
        <w:t>ANÁLISIS</w:t>
      </w:r>
      <w:r>
        <w:rPr>
          <w:spacing w:val="-7"/>
        </w:rPr>
        <w:t> </w:t>
      </w:r>
      <w:r>
        <w:rPr/>
        <w:t>FISICOQUIMICOS</w:t>
      </w:r>
    </w:p>
    <w:p>
      <w:pPr>
        <w:spacing w:before="171"/>
        <w:ind w:left="142" w:right="0" w:firstLine="0"/>
        <w:jc w:val="both"/>
        <w:rPr>
          <w:b/>
          <w:sz w:val="22"/>
        </w:rPr>
      </w:pPr>
      <w:bookmarkStart w:name="_bookmark37" w:id="49"/>
      <w:bookmarkEnd w:id="49"/>
      <w:r>
        <w:rPr/>
      </w:r>
      <w:r>
        <w:rPr>
          <w:b/>
          <w:sz w:val="22"/>
        </w:rPr>
        <w:t>Determinación de humedad en queso fresco</w:t>
      </w:r>
    </w:p>
    <w:p>
      <w:pPr>
        <w:pStyle w:val="BodyText"/>
        <w:spacing w:before="8"/>
        <w:rPr>
          <w:b/>
          <w:sz w:val="27"/>
        </w:rPr>
      </w:pPr>
    </w:p>
    <w:p>
      <w:pPr>
        <w:pStyle w:val="BodyText"/>
        <w:spacing w:line="276" w:lineRule="auto"/>
        <w:ind w:left="142" w:right="136"/>
        <w:jc w:val="both"/>
      </w:pPr>
      <w:r>
        <w:rPr/>
        <w:t>Para</w:t>
      </w:r>
      <w:r>
        <w:rPr>
          <w:spacing w:val="-4"/>
        </w:rPr>
        <w:t> </w:t>
      </w:r>
      <w:r>
        <w:rPr/>
        <w:t>la</w:t>
      </w:r>
      <w:r>
        <w:rPr>
          <w:spacing w:val="-6"/>
        </w:rPr>
        <w:t> </w:t>
      </w:r>
      <w:r>
        <w:rPr/>
        <w:t>determinación</w:t>
      </w:r>
      <w:r>
        <w:rPr>
          <w:spacing w:val="-8"/>
        </w:rPr>
        <w:t> </w:t>
      </w:r>
      <w:r>
        <w:rPr/>
        <w:t>de</w:t>
      </w:r>
      <w:r>
        <w:rPr>
          <w:spacing w:val="-4"/>
        </w:rPr>
        <w:t> </w:t>
      </w:r>
      <w:r>
        <w:rPr/>
        <w:t>la</w:t>
      </w:r>
      <w:r>
        <w:rPr>
          <w:spacing w:val="-6"/>
        </w:rPr>
        <w:t> </w:t>
      </w:r>
      <w:r>
        <w:rPr/>
        <w:t>humedad</w:t>
      </w:r>
      <w:r>
        <w:rPr>
          <w:spacing w:val="-6"/>
        </w:rPr>
        <w:t> </w:t>
      </w:r>
      <w:r>
        <w:rPr/>
        <w:t>en</w:t>
      </w:r>
      <w:r>
        <w:rPr>
          <w:spacing w:val="-4"/>
        </w:rPr>
        <w:t> </w:t>
      </w:r>
      <w:r>
        <w:rPr/>
        <w:t>el</w:t>
      </w:r>
      <w:r>
        <w:rPr>
          <w:spacing w:val="-5"/>
        </w:rPr>
        <w:t> </w:t>
      </w:r>
      <w:r>
        <w:rPr/>
        <w:t>queso</w:t>
      </w:r>
      <w:r>
        <w:rPr>
          <w:spacing w:val="-4"/>
        </w:rPr>
        <w:t> </w:t>
      </w:r>
      <w:r>
        <w:rPr/>
        <w:t>se</w:t>
      </w:r>
      <w:r>
        <w:rPr>
          <w:spacing w:val="-4"/>
        </w:rPr>
        <w:t> </w:t>
      </w:r>
      <w:r>
        <w:rPr/>
        <w:t>utilizó</w:t>
      </w:r>
      <w:r>
        <w:rPr>
          <w:spacing w:val="-4"/>
        </w:rPr>
        <w:t> </w:t>
      </w:r>
      <w:r>
        <w:rPr/>
        <w:t>la</w:t>
      </w:r>
      <w:r>
        <w:rPr>
          <w:spacing w:val="-4"/>
        </w:rPr>
        <w:t> </w:t>
      </w:r>
      <w:r>
        <w:rPr/>
        <w:t>NMX-F-083-1986,</w:t>
      </w:r>
      <w:r>
        <w:rPr>
          <w:spacing w:val="-6"/>
        </w:rPr>
        <w:t> </w:t>
      </w:r>
      <w:r>
        <w:rPr/>
        <w:t>en donde se utilizó una muestra de 5 gr. y se mantuvo en una estufa de secado a una temperatura de 100 °C </w:t>
      </w:r>
      <w:r>
        <w:rPr>
          <w:spacing w:val="-5"/>
        </w:rPr>
        <w:t>±5 </w:t>
      </w:r>
      <w:r>
        <w:rPr/>
        <w:t>°C por 4 horas y se repitió el proceso hasta obtener un peso constante (Anexo 2 y</w:t>
      </w:r>
      <w:r>
        <w:rPr>
          <w:spacing w:val="-11"/>
        </w:rPr>
        <w:t> </w:t>
      </w:r>
      <w:r>
        <w:rPr/>
        <w:t>9).</w:t>
      </w:r>
    </w:p>
    <w:p>
      <w:pPr>
        <w:pStyle w:val="BodyText"/>
        <w:spacing w:before="7"/>
        <w:rPr>
          <w:sz w:val="27"/>
        </w:rPr>
      </w:pPr>
    </w:p>
    <w:p>
      <w:pPr>
        <w:spacing w:before="0"/>
        <w:ind w:left="142" w:right="0" w:firstLine="0"/>
        <w:jc w:val="both"/>
        <w:rPr>
          <w:b/>
          <w:sz w:val="22"/>
        </w:rPr>
      </w:pPr>
      <w:bookmarkStart w:name="_bookmark38" w:id="50"/>
      <w:bookmarkEnd w:id="50"/>
      <w:r>
        <w:rPr/>
      </w:r>
      <w:r>
        <w:rPr>
          <w:b/>
          <w:sz w:val="22"/>
        </w:rPr>
        <w:t>Determinación de materia seca en queso fresco</w:t>
      </w:r>
    </w:p>
    <w:p>
      <w:pPr>
        <w:pStyle w:val="BodyText"/>
        <w:spacing w:before="8"/>
        <w:rPr>
          <w:b/>
          <w:sz w:val="27"/>
        </w:rPr>
      </w:pPr>
    </w:p>
    <w:p>
      <w:pPr>
        <w:pStyle w:val="BodyText"/>
        <w:spacing w:line="276" w:lineRule="auto"/>
        <w:ind w:left="142" w:right="138"/>
        <w:jc w:val="both"/>
      </w:pPr>
      <w:r>
        <w:rPr/>
        <w:t>La</w:t>
      </w:r>
      <w:r>
        <w:rPr>
          <w:spacing w:val="-11"/>
        </w:rPr>
        <w:t> </w:t>
      </w:r>
      <w:r>
        <w:rPr/>
        <w:t>materia</w:t>
      </w:r>
      <w:r>
        <w:rPr>
          <w:spacing w:val="-11"/>
        </w:rPr>
        <w:t> </w:t>
      </w:r>
      <w:r>
        <w:rPr/>
        <w:t>seca</w:t>
      </w:r>
      <w:r>
        <w:rPr>
          <w:spacing w:val="-11"/>
        </w:rPr>
        <w:t> </w:t>
      </w:r>
      <w:r>
        <w:rPr/>
        <w:t>se</w:t>
      </w:r>
      <w:r>
        <w:rPr>
          <w:spacing w:val="-13"/>
        </w:rPr>
        <w:t> </w:t>
      </w:r>
      <w:r>
        <w:rPr/>
        <w:t>determinó</w:t>
      </w:r>
      <w:r>
        <w:rPr>
          <w:spacing w:val="-13"/>
        </w:rPr>
        <w:t> </w:t>
      </w:r>
      <w:r>
        <w:rPr/>
        <w:t>por</w:t>
      </w:r>
      <w:r>
        <w:rPr>
          <w:spacing w:val="-12"/>
        </w:rPr>
        <w:t> </w:t>
      </w:r>
      <w:r>
        <w:rPr/>
        <w:t>diferencia</w:t>
      </w:r>
      <w:r>
        <w:rPr>
          <w:spacing w:val="-13"/>
        </w:rPr>
        <w:t> </w:t>
      </w:r>
      <w:r>
        <w:rPr/>
        <w:t>de</w:t>
      </w:r>
      <w:r>
        <w:rPr>
          <w:spacing w:val="-11"/>
        </w:rPr>
        <w:t> </w:t>
      </w:r>
      <w:r>
        <w:rPr/>
        <w:t>peso,</w:t>
      </w:r>
      <w:r>
        <w:rPr>
          <w:spacing w:val="-11"/>
        </w:rPr>
        <w:t> </w:t>
      </w:r>
      <w:r>
        <w:rPr/>
        <w:t>restando</w:t>
      </w:r>
      <w:r>
        <w:rPr>
          <w:spacing w:val="-11"/>
        </w:rPr>
        <w:t> </w:t>
      </w:r>
      <w:r>
        <w:rPr/>
        <w:t>el</w:t>
      </w:r>
      <w:r>
        <w:rPr>
          <w:spacing w:val="-6"/>
        </w:rPr>
        <w:t> </w:t>
      </w:r>
      <w:r>
        <w:rPr/>
        <w:t>peso</w:t>
      </w:r>
      <w:r>
        <w:rPr>
          <w:spacing w:val="-11"/>
        </w:rPr>
        <w:t> </w:t>
      </w:r>
      <w:r>
        <w:rPr/>
        <w:t>de</w:t>
      </w:r>
      <w:r>
        <w:rPr>
          <w:spacing w:val="-11"/>
        </w:rPr>
        <w:t> </w:t>
      </w:r>
      <w:r>
        <w:rPr/>
        <w:t>la</w:t>
      </w:r>
      <w:r>
        <w:rPr>
          <w:spacing w:val="-13"/>
        </w:rPr>
        <w:t> </w:t>
      </w:r>
      <w:r>
        <w:rPr/>
        <w:t>materia húmeda al peso de la muestra</w:t>
      </w:r>
      <w:r>
        <w:rPr>
          <w:spacing w:val="-13"/>
        </w:rPr>
        <w:t> </w:t>
      </w:r>
      <w:r>
        <w:rPr/>
        <w:t>seca.</w:t>
      </w:r>
    </w:p>
    <w:p>
      <w:pPr>
        <w:pStyle w:val="BodyText"/>
        <w:spacing w:before="6"/>
        <w:rPr>
          <w:sz w:val="27"/>
        </w:rPr>
      </w:pPr>
    </w:p>
    <w:p>
      <w:pPr>
        <w:spacing w:before="0"/>
        <w:ind w:left="142" w:right="0" w:firstLine="0"/>
        <w:jc w:val="both"/>
        <w:rPr>
          <w:b/>
          <w:sz w:val="22"/>
        </w:rPr>
      </w:pPr>
      <w:bookmarkStart w:name="_bookmark39" w:id="51"/>
      <w:bookmarkEnd w:id="51"/>
      <w:r>
        <w:rPr/>
      </w:r>
      <w:r>
        <w:rPr>
          <w:b/>
          <w:sz w:val="22"/>
        </w:rPr>
        <w:t>Determinación de cenizas en queso fresco</w:t>
      </w:r>
    </w:p>
    <w:p>
      <w:pPr>
        <w:pStyle w:val="BodyText"/>
        <w:spacing w:before="10"/>
        <w:rPr>
          <w:b/>
          <w:sz w:val="27"/>
        </w:rPr>
      </w:pPr>
    </w:p>
    <w:p>
      <w:pPr>
        <w:pStyle w:val="BodyText"/>
        <w:spacing w:line="276" w:lineRule="auto"/>
        <w:ind w:left="142" w:right="139"/>
        <w:jc w:val="both"/>
      </w:pPr>
      <w:r>
        <w:rPr/>
        <w:t>La determinación de cenizas en queso fresco se llevó a cabo utilizando el procedimiento descrito en la NMX-F-094-1984, partiendo de las muestras de humedad y se incineraron a una temperatura de 550°C por 4 horas (Anexo 3 y 10).</w:t>
      </w:r>
    </w:p>
    <w:p>
      <w:pPr>
        <w:pStyle w:val="BodyText"/>
        <w:spacing w:before="6"/>
        <w:rPr>
          <w:sz w:val="27"/>
        </w:rPr>
      </w:pPr>
    </w:p>
    <w:p>
      <w:pPr>
        <w:spacing w:before="1"/>
        <w:ind w:left="142" w:right="0" w:firstLine="0"/>
        <w:jc w:val="both"/>
        <w:rPr>
          <w:b/>
          <w:sz w:val="22"/>
        </w:rPr>
      </w:pPr>
      <w:bookmarkStart w:name="_bookmark40" w:id="52"/>
      <w:bookmarkEnd w:id="52"/>
      <w:r>
        <w:rPr/>
      </w:r>
      <w:r>
        <w:rPr>
          <w:b/>
          <w:sz w:val="22"/>
        </w:rPr>
        <w:t>Determinación de cloruro de sodio (NaCl) en queso fresco</w:t>
      </w:r>
    </w:p>
    <w:p>
      <w:pPr>
        <w:pStyle w:val="BodyText"/>
        <w:spacing w:before="8"/>
        <w:rPr>
          <w:b/>
          <w:sz w:val="27"/>
        </w:rPr>
      </w:pPr>
    </w:p>
    <w:p>
      <w:pPr>
        <w:pStyle w:val="BodyText"/>
        <w:spacing w:line="276" w:lineRule="auto"/>
        <w:ind w:left="142" w:right="136"/>
        <w:jc w:val="both"/>
      </w:pPr>
      <w:r>
        <w:rPr/>
        <w:t>Para la determinación de NaCl en queso fresco se utilizó la NMX-F-360-S-1981,</w:t>
      </w:r>
      <w:r>
        <w:rPr>
          <w:spacing w:val="-34"/>
        </w:rPr>
        <w:t> </w:t>
      </w:r>
      <w:r>
        <w:rPr/>
        <w:t>se disolvieron las cenizas en ácido nítrico 6 N, se filtraron en papel filtro Watman No. 5, se lavaron y se recibieron en un matraz Erlenmeyer de 250 </w:t>
      </w:r>
      <w:r>
        <w:rPr>
          <w:spacing w:val="2"/>
        </w:rPr>
        <w:t>cm</w:t>
      </w:r>
      <w:r>
        <w:rPr>
          <w:spacing w:val="2"/>
          <w:position w:val="8"/>
          <w:sz w:val="16"/>
        </w:rPr>
        <w:t>3 </w:t>
      </w:r>
      <w:r>
        <w:rPr/>
        <w:t>con agua; a la muestra preparada se le agregó una solución de nitrato de plata con </w:t>
      </w:r>
      <w:r>
        <w:rPr>
          <w:spacing w:val="3"/>
        </w:rPr>
        <w:t>un </w:t>
      </w:r>
      <w:r>
        <w:rPr/>
        <w:t>ligero exceso conocido. Posteriormente a la combinación de los filtrados y lavados se adicionó</w:t>
      </w:r>
      <w:r>
        <w:rPr>
          <w:spacing w:val="-11"/>
        </w:rPr>
        <w:t> </w:t>
      </w:r>
      <w:r>
        <w:rPr/>
        <w:t>5</w:t>
      </w:r>
      <w:r>
        <w:rPr>
          <w:spacing w:val="-8"/>
        </w:rPr>
        <w:t> </w:t>
      </w:r>
      <w:r>
        <w:rPr/>
        <w:t>cm</w:t>
      </w:r>
      <w:r>
        <w:rPr>
          <w:position w:val="8"/>
          <w:sz w:val="16"/>
        </w:rPr>
        <w:t>3</w:t>
      </w:r>
      <w:r>
        <w:rPr>
          <w:spacing w:val="10"/>
          <w:position w:val="8"/>
          <w:sz w:val="16"/>
        </w:rPr>
        <w:t> </w:t>
      </w:r>
      <w:r>
        <w:rPr/>
        <w:t>del</w:t>
      </w:r>
      <w:r>
        <w:rPr>
          <w:spacing w:val="-10"/>
        </w:rPr>
        <w:t> </w:t>
      </w:r>
      <w:r>
        <w:rPr/>
        <w:t>indicador</w:t>
      </w:r>
      <w:r>
        <w:rPr>
          <w:spacing w:val="-10"/>
        </w:rPr>
        <w:t> </w:t>
      </w:r>
      <w:r>
        <w:rPr/>
        <w:t>súlfato</w:t>
      </w:r>
      <w:r>
        <w:rPr>
          <w:spacing w:val="-8"/>
        </w:rPr>
        <w:t> </w:t>
      </w:r>
      <w:r>
        <w:rPr/>
        <w:t>de</w:t>
      </w:r>
      <w:r>
        <w:rPr>
          <w:spacing w:val="-11"/>
        </w:rPr>
        <w:t> </w:t>
      </w:r>
      <w:r>
        <w:rPr/>
        <w:t>férrico</w:t>
      </w:r>
      <w:r>
        <w:rPr>
          <w:spacing w:val="-9"/>
        </w:rPr>
        <w:t> </w:t>
      </w:r>
      <w:r>
        <w:rPr/>
        <w:t>amónico</w:t>
      </w:r>
      <w:r>
        <w:rPr>
          <w:spacing w:val="-11"/>
        </w:rPr>
        <w:t> </w:t>
      </w:r>
      <w:r>
        <w:rPr/>
        <w:t>y</w:t>
      </w:r>
      <w:r>
        <w:rPr>
          <w:spacing w:val="-12"/>
        </w:rPr>
        <w:t> </w:t>
      </w:r>
      <w:r>
        <w:rPr/>
        <w:t>pocos</w:t>
      </w:r>
      <w:r>
        <w:rPr>
          <w:spacing w:val="-9"/>
        </w:rPr>
        <w:t> </w:t>
      </w:r>
      <w:r>
        <w:rPr/>
        <w:t>cm</w:t>
      </w:r>
      <w:r>
        <w:rPr>
          <w:position w:val="8"/>
          <w:sz w:val="16"/>
        </w:rPr>
        <w:t>3</w:t>
      </w:r>
      <w:r>
        <w:rPr>
          <w:spacing w:val="10"/>
          <w:position w:val="8"/>
          <w:sz w:val="16"/>
        </w:rPr>
        <w:t> </w:t>
      </w:r>
      <w:r>
        <w:rPr/>
        <w:t>de</w:t>
      </w:r>
      <w:r>
        <w:rPr>
          <w:spacing w:val="-8"/>
        </w:rPr>
        <w:t> </w:t>
      </w:r>
      <w:r>
        <w:rPr/>
        <w:t>ácido</w:t>
      </w:r>
      <w:r>
        <w:rPr>
          <w:spacing w:val="-11"/>
        </w:rPr>
        <w:t> </w:t>
      </w:r>
      <w:r>
        <w:rPr/>
        <w:t>nítrico. Se</w:t>
      </w:r>
      <w:r>
        <w:rPr>
          <w:spacing w:val="-10"/>
        </w:rPr>
        <w:t> </w:t>
      </w:r>
      <w:r>
        <w:rPr/>
        <w:t>tituló</w:t>
      </w:r>
      <w:r>
        <w:rPr>
          <w:spacing w:val="-12"/>
        </w:rPr>
        <w:t> </w:t>
      </w:r>
      <w:r>
        <w:rPr/>
        <w:t>el</w:t>
      </w:r>
      <w:r>
        <w:rPr>
          <w:spacing w:val="-11"/>
        </w:rPr>
        <w:t> </w:t>
      </w:r>
      <w:r>
        <w:rPr/>
        <w:t>exceso</w:t>
      </w:r>
      <w:r>
        <w:rPr>
          <w:spacing w:val="-10"/>
        </w:rPr>
        <w:t> </w:t>
      </w:r>
      <w:r>
        <w:rPr/>
        <w:t>de</w:t>
      </w:r>
      <w:r>
        <w:rPr>
          <w:spacing w:val="-10"/>
        </w:rPr>
        <w:t> </w:t>
      </w:r>
      <w:r>
        <w:rPr/>
        <w:t>plata</w:t>
      </w:r>
      <w:r>
        <w:rPr>
          <w:spacing w:val="-10"/>
        </w:rPr>
        <w:t> </w:t>
      </w:r>
      <w:r>
        <w:rPr/>
        <w:t>con</w:t>
      </w:r>
      <w:r>
        <w:rPr>
          <w:spacing w:val="-12"/>
        </w:rPr>
        <w:t> </w:t>
      </w:r>
      <w:r>
        <w:rPr/>
        <w:t>una</w:t>
      </w:r>
      <w:r>
        <w:rPr>
          <w:spacing w:val="-10"/>
        </w:rPr>
        <w:t> </w:t>
      </w:r>
      <w:r>
        <w:rPr/>
        <w:t>solución</w:t>
      </w:r>
      <w:r>
        <w:rPr>
          <w:spacing w:val="-12"/>
        </w:rPr>
        <w:t> </w:t>
      </w:r>
      <w:r>
        <w:rPr/>
        <w:t>de</w:t>
      </w:r>
      <w:r>
        <w:rPr>
          <w:spacing w:val="-10"/>
        </w:rPr>
        <w:t> </w:t>
      </w:r>
      <w:r>
        <w:rPr/>
        <w:t>tiocianato</w:t>
      </w:r>
      <w:r>
        <w:rPr>
          <w:spacing w:val="-9"/>
        </w:rPr>
        <w:t> </w:t>
      </w:r>
      <w:r>
        <w:rPr/>
        <w:t>de</w:t>
      </w:r>
      <w:r>
        <w:rPr>
          <w:spacing w:val="-10"/>
        </w:rPr>
        <w:t> </w:t>
      </w:r>
      <w:r>
        <w:rPr/>
        <w:t>amonio</w:t>
      </w:r>
      <w:r>
        <w:rPr>
          <w:spacing w:val="-12"/>
        </w:rPr>
        <w:t> </w:t>
      </w:r>
      <w:r>
        <w:rPr/>
        <w:t>de</w:t>
      </w:r>
      <w:r>
        <w:rPr>
          <w:spacing w:val="-10"/>
        </w:rPr>
        <w:t> </w:t>
      </w:r>
      <w:r>
        <w:rPr/>
        <w:t>0.1</w:t>
      </w:r>
      <w:r>
        <w:rPr>
          <w:spacing w:val="-10"/>
        </w:rPr>
        <w:t> </w:t>
      </w:r>
      <w:r>
        <w:rPr/>
        <w:t>N</w:t>
      </w:r>
      <w:r>
        <w:rPr>
          <w:spacing w:val="-11"/>
        </w:rPr>
        <w:t> </w:t>
      </w:r>
      <w:r>
        <w:rPr/>
        <w:t>hasta la aparición de un color café claro permanente y detectable (anexo 4</w:t>
      </w:r>
      <w:r>
        <w:rPr>
          <w:spacing w:val="-28"/>
        </w:rPr>
        <w:t> </w:t>
      </w:r>
      <w:r>
        <w:rPr/>
        <w:t>y11).</w:t>
      </w:r>
    </w:p>
    <w:p>
      <w:pPr>
        <w:pStyle w:val="BodyText"/>
        <w:spacing w:before="4"/>
        <w:rPr>
          <w:sz w:val="27"/>
        </w:rPr>
      </w:pPr>
    </w:p>
    <w:p>
      <w:pPr>
        <w:spacing w:before="0"/>
        <w:ind w:left="142" w:right="0" w:firstLine="0"/>
        <w:jc w:val="both"/>
        <w:rPr>
          <w:b/>
          <w:sz w:val="22"/>
        </w:rPr>
      </w:pPr>
      <w:bookmarkStart w:name="_bookmark41" w:id="53"/>
      <w:bookmarkEnd w:id="53"/>
      <w:r>
        <w:rPr/>
      </w:r>
      <w:r>
        <w:rPr>
          <w:b/>
          <w:sz w:val="22"/>
        </w:rPr>
        <w:t>Determinación de grasa en queso</w:t>
      </w:r>
    </w:p>
    <w:p>
      <w:pPr>
        <w:pStyle w:val="BodyText"/>
        <w:spacing w:before="10"/>
        <w:rPr>
          <w:b/>
          <w:sz w:val="27"/>
        </w:rPr>
      </w:pPr>
    </w:p>
    <w:p>
      <w:pPr>
        <w:pStyle w:val="BodyText"/>
        <w:spacing w:line="276" w:lineRule="auto"/>
        <w:ind w:left="142" w:right="136"/>
        <w:jc w:val="both"/>
      </w:pPr>
      <w:r>
        <w:rPr/>
        <w:t>Para</w:t>
      </w:r>
      <w:r>
        <w:rPr>
          <w:spacing w:val="-9"/>
        </w:rPr>
        <w:t> </w:t>
      </w:r>
      <w:r>
        <w:rPr/>
        <w:t>la</w:t>
      </w:r>
      <w:r>
        <w:rPr>
          <w:spacing w:val="-8"/>
        </w:rPr>
        <w:t> </w:t>
      </w:r>
      <w:r>
        <w:rPr/>
        <w:t>determinación</w:t>
      </w:r>
      <w:r>
        <w:rPr>
          <w:spacing w:val="-13"/>
        </w:rPr>
        <w:t> </w:t>
      </w:r>
      <w:r>
        <w:rPr/>
        <w:t>de</w:t>
      </w:r>
      <w:r>
        <w:rPr>
          <w:spacing w:val="-8"/>
        </w:rPr>
        <w:t> </w:t>
      </w:r>
      <w:r>
        <w:rPr/>
        <w:t>la</w:t>
      </w:r>
      <w:r>
        <w:rPr>
          <w:spacing w:val="-8"/>
        </w:rPr>
        <w:t> </w:t>
      </w:r>
      <w:r>
        <w:rPr/>
        <w:t>grasa</w:t>
      </w:r>
      <w:r>
        <w:rPr>
          <w:spacing w:val="-10"/>
        </w:rPr>
        <w:t> </w:t>
      </w:r>
      <w:r>
        <w:rPr/>
        <w:t>en</w:t>
      </w:r>
      <w:r>
        <w:rPr>
          <w:spacing w:val="-11"/>
        </w:rPr>
        <w:t> </w:t>
      </w:r>
      <w:r>
        <w:rPr/>
        <w:t>el</w:t>
      </w:r>
      <w:r>
        <w:rPr>
          <w:spacing w:val="-12"/>
        </w:rPr>
        <w:t> </w:t>
      </w:r>
      <w:r>
        <w:rPr/>
        <w:t>queso</w:t>
      </w:r>
      <w:r>
        <w:rPr>
          <w:spacing w:val="-11"/>
        </w:rPr>
        <w:t> </w:t>
      </w:r>
      <w:r>
        <w:rPr/>
        <w:t>se</w:t>
      </w:r>
      <w:r>
        <w:rPr>
          <w:spacing w:val="-11"/>
        </w:rPr>
        <w:t> </w:t>
      </w:r>
      <w:r>
        <w:rPr/>
        <w:t>utilizó</w:t>
      </w:r>
      <w:r>
        <w:rPr>
          <w:spacing w:val="-8"/>
        </w:rPr>
        <w:t> </w:t>
      </w:r>
      <w:r>
        <w:rPr/>
        <w:t>el</w:t>
      </w:r>
      <w:r>
        <w:rPr>
          <w:spacing w:val="-12"/>
        </w:rPr>
        <w:t> </w:t>
      </w:r>
      <w:r>
        <w:rPr/>
        <w:t>método</w:t>
      </w:r>
      <w:r>
        <w:rPr>
          <w:spacing w:val="-8"/>
        </w:rPr>
        <w:t> </w:t>
      </w:r>
      <w:r>
        <w:rPr/>
        <w:t>Gerber-Van</w:t>
      </w:r>
      <w:r>
        <w:rPr>
          <w:spacing w:val="-11"/>
        </w:rPr>
        <w:t> </w:t>
      </w:r>
      <w:r>
        <w:rPr/>
        <w:t>Gulik como se describe en la NMX-F-100-1984. Este método se basa en la digestión parcial</w:t>
      </w:r>
      <w:r>
        <w:rPr>
          <w:spacing w:val="-6"/>
        </w:rPr>
        <w:t> </w:t>
      </w:r>
      <w:r>
        <w:rPr/>
        <w:t>de</w:t>
      </w:r>
      <w:r>
        <w:rPr>
          <w:spacing w:val="-5"/>
        </w:rPr>
        <w:t> </w:t>
      </w:r>
      <w:r>
        <w:rPr/>
        <w:t>los</w:t>
      </w:r>
      <w:r>
        <w:rPr>
          <w:spacing w:val="-5"/>
        </w:rPr>
        <w:t> </w:t>
      </w:r>
      <w:r>
        <w:rPr/>
        <w:t>componentes</w:t>
      </w:r>
      <w:r>
        <w:rPr>
          <w:spacing w:val="-8"/>
        </w:rPr>
        <w:t> </w:t>
      </w:r>
      <w:r>
        <w:rPr/>
        <w:t>del</w:t>
      </w:r>
      <w:r>
        <w:rPr>
          <w:spacing w:val="-6"/>
        </w:rPr>
        <w:t> </w:t>
      </w:r>
      <w:r>
        <w:rPr/>
        <w:t>queso;</w:t>
      </w:r>
      <w:r>
        <w:rPr>
          <w:spacing w:val="-7"/>
        </w:rPr>
        <w:t> </w:t>
      </w:r>
      <w:r>
        <w:rPr/>
        <w:t>excepto</w:t>
      </w:r>
      <w:r>
        <w:rPr>
          <w:spacing w:val="-4"/>
        </w:rPr>
        <w:t> </w:t>
      </w:r>
      <w:r>
        <w:rPr/>
        <w:t>la</w:t>
      </w:r>
      <w:r>
        <w:rPr>
          <w:spacing w:val="-5"/>
        </w:rPr>
        <w:t> </w:t>
      </w:r>
      <w:r>
        <w:rPr/>
        <w:t>grasa,</w:t>
      </w:r>
      <w:r>
        <w:rPr>
          <w:spacing w:val="-7"/>
        </w:rPr>
        <w:t> </w:t>
      </w:r>
      <w:r>
        <w:rPr/>
        <w:t>en</w:t>
      </w:r>
      <w:r>
        <w:rPr>
          <w:spacing w:val="-7"/>
        </w:rPr>
        <w:t> </w:t>
      </w:r>
      <w:r>
        <w:rPr/>
        <w:t>ácido</w:t>
      </w:r>
      <w:r>
        <w:rPr>
          <w:spacing w:val="-9"/>
        </w:rPr>
        <w:t> </w:t>
      </w:r>
      <w:r>
        <w:rPr/>
        <w:t>súlfurico.</w:t>
      </w:r>
      <w:r>
        <w:rPr>
          <w:spacing w:val="-7"/>
        </w:rPr>
        <w:t> </w:t>
      </w:r>
      <w:r>
        <w:rPr/>
        <w:t>Emplea alcohol</w:t>
      </w:r>
      <w:r>
        <w:rPr>
          <w:spacing w:val="-4"/>
        </w:rPr>
        <w:t> </w:t>
      </w:r>
      <w:r>
        <w:rPr/>
        <w:t>isoamílico</w:t>
      </w:r>
      <w:r>
        <w:rPr>
          <w:spacing w:val="-3"/>
        </w:rPr>
        <w:t> </w:t>
      </w:r>
      <w:r>
        <w:rPr/>
        <w:t>para</w:t>
      </w:r>
      <w:r>
        <w:rPr>
          <w:spacing w:val="-6"/>
        </w:rPr>
        <w:t> </w:t>
      </w:r>
      <w:r>
        <w:rPr/>
        <w:t>ayudar</w:t>
      </w:r>
      <w:r>
        <w:rPr>
          <w:spacing w:val="-4"/>
        </w:rPr>
        <w:t> </w:t>
      </w:r>
      <w:r>
        <w:rPr/>
        <w:t>a</w:t>
      </w:r>
      <w:r>
        <w:rPr>
          <w:spacing w:val="-3"/>
        </w:rPr>
        <w:t> </w:t>
      </w:r>
      <w:r>
        <w:rPr/>
        <w:t>disminuir</w:t>
      </w:r>
      <w:r>
        <w:rPr>
          <w:spacing w:val="-5"/>
        </w:rPr>
        <w:t> </w:t>
      </w:r>
      <w:r>
        <w:rPr/>
        <w:t>la</w:t>
      </w:r>
      <w:r>
        <w:rPr>
          <w:spacing w:val="-3"/>
        </w:rPr>
        <w:t> </w:t>
      </w:r>
      <w:r>
        <w:rPr/>
        <w:t>tensión</w:t>
      </w:r>
      <w:r>
        <w:rPr>
          <w:spacing w:val="-3"/>
        </w:rPr>
        <w:t> </w:t>
      </w:r>
      <w:r>
        <w:rPr/>
        <w:t>en</w:t>
      </w:r>
      <w:r>
        <w:rPr>
          <w:spacing w:val="-3"/>
        </w:rPr>
        <w:t> </w:t>
      </w:r>
      <w:r>
        <w:rPr/>
        <w:t>la</w:t>
      </w:r>
      <w:r>
        <w:rPr>
          <w:spacing w:val="-3"/>
        </w:rPr>
        <w:t> </w:t>
      </w:r>
      <w:r>
        <w:rPr/>
        <w:t>interface</w:t>
      </w:r>
      <w:r>
        <w:rPr>
          <w:spacing w:val="-5"/>
        </w:rPr>
        <w:t> </w:t>
      </w:r>
      <w:r>
        <w:rPr/>
        <w:t>entre</w:t>
      </w:r>
      <w:r>
        <w:rPr>
          <w:spacing w:val="-3"/>
        </w:rPr>
        <w:t> </w:t>
      </w:r>
      <w:r>
        <w:rPr/>
        <w:t>la</w:t>
      </w:r>
      <w:r>
        <w:rPr>
          <w:spacing w:val="-3"/>
        </w:rPr>
        <w:t> </w:t>
      </w:r>
      <w:r>
        <w:rPr/>
        <w:t>grasa</w:t>
      </w:r>
      <w:r>
        <w:rPr>
          <w:spacing w:val="-3"/>
        </w:rPr>
        <w:t> </w:t>
      </w:r>
      <w:r>
        <w:rPr/>
        <w:t>y la</w:t>
      </w:r>
      <w:r>
        <w:rPr>
          <w:spacing w:val="-4"/>
        </w:rPr>
        <w:t> </w:t>
      </w:r>
      <w:r>
        <w:rPr/>
        <w:t>mezcla</w:t>
      </w:r>
      <w:r>
        <w:rPr>
          <w:spacing w:val="-4"/>
        </w:rPr>
        <w:t> </w:t>
      </w:r>
      <w:r>
        <w:rPr/>
        <w:t>en</w:t>
      </w:r>
      <w:r>
        <w:rPr>
          <w:spacing w:val="-4"/>
        </w:rPr>
        <w:t> </w:t>
      </w:r>
      <w:r>
        <w:rPr/>
        <w:t>reacción,</w:t>
      </w:r>
      <w:r>
        <w:rPr>
          <w:spacing w:val="-6"/>
        </w:rPr>
        <w:t> </w:t>
      </w:r>
      <w:r>
        <w:rPr/>
        <w:t>lo</w:t>
      </w:r>
      <w:r>
        <w:rPr>
          <w:spacing w:val="-4"/>
        </w:rPr>
        <w:t> </w:t>
      </w:r>
      <w:r>
        <w:rPr/>
        <w:t>que</w:t>
      </w:r>
      <w:r>
        <w:rPr>
          <w:spacing w:val="-4"/>
        </w:rPr>
        <w:t> </w:t>
      </w:r>
      <w:r>
        <w:rPr/>
        <w:t>facilita</w:t>
      </w:r>
      <w:r>
        <w:rPr>
          <w:spacing w:val="-4"/>
        </w:rPr>
        <w:t> </w:t>
      </w:r>
      <w:r>
        <w:rPr/>
        <w:t>el</w:t>
      </w:r>
      <w:r>
        <w:rPr>
          <w:spacing w:val="-5"/>
        </w:rPr>
        <w:t> </w:t>
      </w:r>
      <w:r>
        <w:rPr/>
        <w:t>ascenso</w:t>
      </w:r>
      <w:r>
        <w:rPr>
          <w:spacing w:val="-4"/>
        </w:rPr>
        <w:t> </w:t>
      </w:r>
      <w:r>
        <w:rPr/>
        <w:t>de</w:t>
      </w:r>
      <w:r>
        <w:rPr>
          <w:spacing w:val="-4"/>
        </w:rPr>
        <w:t> </w:t>
      </w:r>
      <w:r>
        <w:rPr/>
        <w:t>los</w:t>
      </w:r>
      <w:r>
        <w:rPr>
          <w:spacing w:val="-4"/>
        </w:rPr>
        <w:t> </w:t>
      </w:r>
      <w:r>
        <w:rPr/>
        <w:t>glóbulos</w:t>
      </w:r>
      <w:r>
        <w:rPr>
          <w:spacing w:val="-4"/>
        </w:rPr>
        <w:t> </w:t>
      </w:r>
      <w:r>
        <w:rPr/>
        <w:t>pequeños</w:t>
      </w:r>
      <w:r>
        <w:rPr>
          <w:spacing w:val="-4"/>
        </w:rPr>
        <w:t> </w:t>
      </w:r>
      <w:r>
        <w:rPr/>
        <w:t>de</w:t>
      </w:r>
      <w:r>
        <w:rPr>
          <w:spacing w:val="-4"/>
        </w:rPr>
        <w:t> </w:t>
      </w:r>
      <w:r>
        <w:rPr/>
        <w:t>grasa por centrifugación. El alcohol isoamílico reacciona con el ácido sulfúrico formando un éster que es completamente soluble en dicho</w:t>
      </w:r>
      <w:r>
        <w:rPr>
          <w:spacing w:val="-18"/>
        </w:rPr>
        <w:t> </w:t>
      </w:r>
      <w:r>
        <w:rPr/>
        <w:t>ácido.</w:t>
      </w:r>
    </w:p>
    <w:p>
      <w:pPr>
        <w:spacing w:after="0" w:line="276" w:lineRule="auto"/>
        <w:jc w:val="both"/>
        <w:sectPr>
          <w:pgSz w:w="12240" w:h="15840"/>
          <w:pgMar w:header="728" w:footer="710" w:top="1200" w:bottom="900" w:left="1560" w:right="1560"/>
        </w:sectPr>
      </w:pPr>
    </w:p>
    <w:p>
      <w:pPr>
        <w:pStyle w:val="BodyText"/>
        <w:spacing w:before="9"/>
        <w:rPr>
          <w:sz w:val="12"/>
        </w:rPr>
      </w:pPr>
    </w:p>
    <w:p>
      <w:pPr>
        <w:pStyle w:val="BodyText"/>
        <w:spacing w:line="276" w:lineRule="auto" w:before="70"/>
        <w:ind w:left="142" w:right="136"/>
        <w:jc w:val="both"/>
      </w:pPr>
      <w:r>
        <w:rPr/>
        <w:t>Se pesó en la copa fijada al tapón 1 g ± 0.001 g de queso, se metió la copa con la muestra</w:t>
      </w:r>
      <w:r>
        <w:rPr>
          <w:spacing w:val="-16"/>
        </w:rPr>
        <w:t> </w:t>
      </w:r>
      <w:r>
        <w:rPr/>
        <w:t>dentro</w:t>
      </w:r>
      <w:r>
        <w:rPr>
          <w:spacing w:val="-18"/>
        </w:rPr>
        <w:t> </w:t>
      </w:r>
      <w:r>
        <w:rPr/>
        <w:t>del</w:t>
      </w:r>
      <w:r>
        <w:rPr>
          <w:spacing w:val="-17"/>
        </w:rPr>
        <w:t> </w:t>
      </w:r>
      <w:r>
        <w:rPr/>
        <w:t>butirómetro.</w:t>
      </w:r>
      <w:r>
        <w:rPr>
          <w:spacing w:val="-16"/>
        </w:rPr>
        <w:t> </w:t>
      </w:r>
      <w:r>
        <w:rPr/>
        <w:t>Por</w:t>
      </w:r>
      <w:r>
        <w:rPr>
          <w:spacing w:val="-17"/>
        </w:rPr>
        <w:t> </w:t>
      </w:r>
      <w:r>
        <w:rPr/>
        <w:t>la</w:t>
      </w:r>
      <w:r>
        <w:rPr>
          <w:spacing w:val="-18"/>
        </w:rPr>
        <w:t> </w:t>
      </w:r>
      <w:r>
        <w:rPr/>
        <w:t>abertura</w:t>
      </w:r>
      <w:r>
        <w:rPr>
          <w:spacing w:val="-16"/>
        </w:rPr>
        <w:t> </w:t>
      </w:r>
      <w:r>
        <w:rPr/>
        <w:t>superior,</w:t>
      </w:r>
      <w:r>
        <w:rPr>
          <w:spacing w:val="-17"/>
        </w:rPr>
        <w:t> </w:t>
      </w:r>
      <w:r>
        <w:rPr/>
        <w:t>se</w:t>
      </w:r>
      <w:r>
        <w:rPr>
          <w:spacing w:val="-16"/>
        </w:rPr>
        <w:t> </w:t>
      </w:r>
      <w:r>
        <w:rPr/>
        <w:t>agregó</w:t>
      </w:r>
      <w:r>
        <w:rPr>
          <w:spacing w:val="-16"/>
        </w:rPr>
        <w:t> </w:t>
      </w:r>
      <w:r>
        <w:rPr/>
        <w:t>en</w:t>
      </w:r>
      <w:r>
        <w:rPr>
          <w:spacing w:val="-16"/>
        </w:rPr>
        <w:t> </w:t>
      </w:r>
      <w:r>
        <w:rPr/>
        <w:t>el</w:t>
      </w:r>
      <w:r>
        <w:rPr>
          <w:spacing w:val="-17"/>
        </w:rPr>
        <w:t> </w:t>
      </w:r>
      <w:r>
        <w:rPr/>
        <w:t>butirómetro 12</w:t>
      </w:r>
      <w:r>
        <w:rPr>
          <w:spacing w:val="-6"/>
        </w:rPr>
        <w:t> </w:t>
      </w:r>
      <w:r>
        <w:rPr/>
        <w:t>cm</w:t>
      </w:r>
      <w:r>
        <w:rPr>
          <w:position w:val="8"/>
          <w:sz w:val="16"/>
        </w:rPr>
        <w:t>3</w:t>
      </w:r>
      <w:r>
        <w:rPr>
          <w:spacing w:val="15"/>
          <w:position w:val="8"/>
          <w:sz w:val="16"/>
        </w:rPr>
        <w:t> </w:t>
      </w:r>
      <w:r>
        <w:rPr/>
        <w:t>de</w:t>
      </w:r>
      <w:r>
        <w:rPr>
          <w:spacing w:val="-8"/>
        </w:rPr>
        <w:t> </w:t>
      </w:r>
      <w:r>
        <w:rPr/>
        <w:t>ácido</w:t>
      </w:r>
      <w:r>
        <w:rPr>
          <w:spacing w:val="-8"/>
        </w:rPr>
        <w:t> </w:t>
      </w:r>
      <w:r>
        <w:rPr/>
        <w:t>sulfúrico</w:t>
      </w:r>
      <w:r>
        <w:rPr>
          <w:spacing w:val="-6"/>
        </w:rPr>
        <w:t> </w:t>
      </w:r>
      <w:r>
        <w:rPr/>
        <w:t>hasta</w:t>
      </w:r>
      <w:r>
        <w:rPr>
          <w:spacing w:val="-6"/>
        </w:rPr>
        <w:t> </w:t>
      </w:r>
      <w:r>
        <w:rPr/>
        <w:t>recubrir</w:t>
      </w:r>
      <w:r>
        <w:rPr>
          <w:spacing w:val="-7"/>
        </w:rPr>
        <w:t> </w:t>
      </w:r>
      <w:r>
        <w:rPr/>
        <w:t>el</w:t>
      </w:r>
      <w:r>
        <w:rPr>
          <w:spacing w:val="-7"/>
        </w:rPr>
        <w:t> </w:t>
      </w:r>
      <w:r>
        <w:rPr/>
        <w:t>queso,</w:t>
      </w:r>
      <w:r>
        <w:rPr>
          <w:spacing w:val="-6"/>
        </w:rPr>
        <w:t> </w:t>
      </w:r>
      <w:r>
        <w:rPr/>
        <w:t>se</w:t>
      </w:r>
      <w:r>
        <w:rPr>
          <w:spacing w:val="-6"/>
        </w:rPr>
        <w:t> </w:t>
      </w:r>
      <w:r>
        <w:rPr/>
        <w:t>tapó</w:t>
      </w:r>
      <w:r>
        <w:rPr>
          <w:spacing w:val="-8"/>
        </w:rPr>
        <w:t> </w:t>
      </w:r>
      <w:r>
        <w:rPr/>
        <w:t>la</w:t>
      </w:r>
      <w:r>
        <w:rPr>
          <w:spacing w:val="-9"/>
        </w:rPr>
        <w:t> </w:t>
      </w:r>
      <w:r>
        <w:rPr/>
        <w:t>abertura</w:t>
      </w:r>
      <w:r>
        <w:rPr>
          <w:spacing w:val="-7"/>
        </w:rPr>
        <w:t> </w:t>
      </w:r>
      <w:r>
        <w:rPr/>
        <w:t>y</w:t>
      </w:r>
      <w:r>
        <w:rPr>
          <w:spacing w:val="-9"/>
        </w:rPr>
        <w:t> </w:t>
      </w:r>
      <w:r>
        <w:rPr/>
        <w:t>se</w:t>
      </w:r>
      <w:r>
        <w:rPr>
          <w:spacing w:val="-6"/>
        </w:rPr>
        <w:t> </w:t>
      </w:r>
      <w:r>
        <w:rPr/>
        <w:t>colocó</w:t>
      </w:r>
      <w:r>
        <w:rPr>
          <w:spacing w:val="-8"/>
        </w:rPr>
        <w:t> </w:t>
      </w:r>
      <w:r>
        <w:rPr/>
        <w:t>en baño</w:t>
      </w:r>
      <w:r>
        <w:rPr>
          <w:spacing w:val="-11"/>
        </w:rPr>
        <w:t> </w:t>
      </w:r>
      <w:r>
        <w:rPr/>
        <w:t>de</w:t>
      </w:r>
      <w:r>
        <w:rPr>
          <w:spacing w:val="-11"/>
        </w:rPr>
        <w:t> </w:t>
      </w:r>
      <w:r>
        <w:rPr/>
        <w:t>agua</w:t>
      </w:r>
      <w:r>
        <w:rPr>
          <w:spacing w:val="-13"/>
        </w:rPr>
        <w:t> </w:t>
      </w:r>
      <w:r>
        <w:rPr/>
        <w:t>a</w:t>
      </w:r>
      <w:r>
        <w:rPr>
          <w:spacing w:val="-13"/>
        </w:rPr>
        <w:t> </w:t>
      </w:r>
      <w:r>
        <w:rPr/>
        <w:t>338</w:t>
      </w:r>
      <w:r>
        <w:rPr>
          <w:spacing w:val="-13"/>
        </w:rPr>
        <w:t> </w:t>
      </w:r>
      <w:r>
        <w:rPr/>
        <w:t>K</w:t>
      </w:r>
      <w:r>
        <w:rPr>
          <w:spacing w:val="-11"/>
        </w:rPr>
        <w:t> </w:t>
      </w:r>
      <w:r>
        <w:rPr/>
        <w:t>(65ºC)</w:t>
      </w:r>
      <w:r>
        <w:rPr>
          <w:spacing w:val="-13"/>
        </w:rPr>
        <w:t> </w:t>
      </w:r>
      <w:r>
        <w:rPr/>
        <w:t>por</w:t>
      </w:r>
      <w:r>
        <w:rPr>
          <w:spacing w:val="-12"/>
        </w:rPr>
        <w:t> </w:t>
      </w:r>
      <w:r>
        <w:rPr/>
        <w:t>30</w:t>
      </w:r>
      <w:r>
        <w:rPr>
          <w:spacing w:val="-13"/>
        </w:rPr>
        <w:t> </w:t>
      </w:r>
      <w:r>
        <w:rPr/>
        <w:t>minutos,</w:t>
      </w:r>
      <w:r>
        <w:rPr>
          <w:spacing w:val="-13"/>
        </w:rPr>
        <w:t> </w:t>
      </w:r>
      <w:r>
        <w:rPr/>
        <w:t>se</w:t>
      </w:r>
      <w:r>
        <w:rPr>
          <w:spacing w:val="-11"/>
        </w:rPr>
        <w:t> </w:t>
      </w:r>
      <w:r>
        <w:rPr/>
        <w:t>agitó</w:t>
      </w:r>
      <w:r>
        <w:rPr>
          <w:spacing w:val="-11"/>
        </w:rPr>
        <w:t> </w:t>
      </w:r>
      <w:r>
        <w:rPr/>
        <w:t>2</w:t>
      </w:r>
      <w:r>
        <w:rPr>
          <w:spacing w:val="-13"/>
        </w:rPr>
        <w:t> </w:t>
      </w:r>
      <w:r>
        <w:rPr/>
        <w:t>o</w:t>
      </w:r>
      <w:r>
        <w:rPr>
          <w:spacing w:val="-13"/>
        </w:rPr>
        <w:t> </w:t>
      </w:r>
      <w:r>
        <w:rPr/>
        <w:t>3</w:t>
      </w:r>
      <w:r>
        <w:rPr>
          <w:spacing w:val="-11"/>
        </w:rPr>
        <w:t> </w:t>
      </w:r>
      <w:r>
        <w:rPr/>
        <w:t>veces</w:t>
      </w:r>
      <w:r>
        <w:rPr>
          <w:spacing w:val="-12"/>
        </w:rPr>
        <w:t> </w:t>
      </w:r>
      <w:r>
        <w:rPr/>
        <w:t>durante</w:t>
      </w:r>
      <w:r>
        <w:rPr>
          <w:spacing w:val="-13"/>
        </w:rPr>
        <w:t> </w:t>
      </w:r>
      <w:r>
        <w:rPr/>
        <w:t>ese</w:t>
      </w:r>
      <w:r>
        <w:rPr>
          <w:spacing w:val="-11"/>
        </w:rPr>
        <w:t> </w:t>
      </w:r>
      <w:r>
        <w:rPr/>
        <w:t>lapso para disolver todas las partículas. Posteriormente se agregó 1 cm</w:t>
      </w:r>
      <w:r>
        <w:rPr>
          <w:position w:val="8"/>
          <w:sz w:val="16"/>
        </w:rPr>
        <w:t>3 </w:t>
      </w:r>
      <w:r>
        <w:rPr/>
        <w:t>de alcohol isoamílico y se agitó. Se terminó de llenar el butirómetro con ácido sulfúrico hasta que</w:t>
      </w:r>
      <w:r>
        <w:rPr>
          <w:spacing w:val="-13"/>
        </w:rPr>
        <w:t> </w:t>
      </w:r>
      <w:r>
        <w:rPr/>
        <w:t>el</w:t>
      </w:r>
      <w:r>
        <w:rPr>
          <w:spacing w:val="-14"/>
        </w:rPr>
        <w:t> </w:t>
      </w:r>
      <w:r>
        <w:rPr/>
        <w:t>volumen</w:t>
      </w:r>
      <w:r>
        <w:rPr>
          <w:spacing w:val="-15"/>
        </w:rPr>
        <w:t> </w:t>
      </w:r>
      <w:r>
        <w:rPr/>
        <w:t>llegó</w:t>
      </w:r>
      <w:r>
        <w:rPr>
          <w:spacing w:val="-15"/>
        </w:rPr>
        <w:t> </w:t>
      </w:r>
      <w:r>
        <w:rPr/>
        <w:t>aproximadamente</w:t>
      </w:r>
      <w:r>
        <w:rPr>
          <w:spacing w:val="-15"/>
        </w:rPr>
        <w:t> </w:t>
      </w:r>
      <w:r>
        <w:rPr/>
        <w:t>tres</w:t>
      </w:r>
      <w:r>
        <w:rPr>
          <w:spacing w:val="-14"/>
        </w:rPr>
        <w:t> </w:t>
      </w:r>
      <w:r>
        <w:rPr/>
        <w:t>cuartas</w:t>
      </w:r>
      <w:r>
        <w:rPr>
          <w:spacing w:val="-16"/>
        </w:rPr>
        <w:t> </w:t>
      </w:r>
      <w:r>
        <w:rPr/>
        <w:t>partes</w:t>
      </w:r>
      <w:r>
        <w:rPr>
          <w:spacing w:val="-16"/>
        </w:rPr>
        <w:t> </w:t>
      </w:r>
      <w:r>
        <w:rPr/>
        <w:t>de</w:t>
      </w:r>
      <w:r>
        <w:rPr>
          <w:spacing w:val="-13"/>
        </w:rPr>
        <w:t> </w:t>
      </w:r>
      <w:r>
        <w:rPr/>
        <w:t>la</w:t>
      </w:r>
      <w:r>
        <w:rPr>
          <w:spacing w:val="-13"/>
        </w:rPr>
        <w:t> </w:t>
      </w:r>
      <w:r>
        <w:rPr/>
        <w:t>columna</w:t>
      </w:r>
      <w:r>
        <w:rPr>
          <w:spacing w:val="-15"/>
        </w:rPr>
        <w:t> </w:t>
      </w:r>
      <w:r>
        <w:rPr/>
        <w:t>graduada. Se tapó la abertura superior y volvió a meter al baño de agua por 5 minutos. Se mezcló antes de centrifugar a 1,200 r.p.m., durante 5 minutos Se metió el butirómetro</w:t>
      </w:r>
      <w:r>
        <w:rPr>
          <w:spacing w:val="-4"/>
        </w:rPr>
        <w:t> </w:t>
      </w:r>
      <w:r>
        <w:rPr/>
        <w:t>al</w:t>
      </w:r>
      <w:r>
        <w:rPr>
          <w:spacing w:val="-5"/>
        </w:rPr>
        <w:t> </w:t>
      </w:r>
      <w:r>
        <w:rPr/>
        <w:t>baño</w:t>
      </w:r>
      <w:r>
        <w:rPr>
          <w:spacing w:val="-6"/>
        </w:rPr>
        <w:t> </w:t>
      </w:r>
      <w:r>
        <w:rPr/>
        <w:t>de</w:t>
      </w:r>
      <w:r>
        <w:rPr>
          <w:spacing w:val="-6"/>
        </w:rPr>
        <w:t> </w:t>
      </w:r>
      <w:r>
        <w:rPr/>
        <w:t>agua</w:t>
      </w:r>
      <w:r>
        <w:rPr>
          <w:spacing w:val="-4"/>
        </w:rPr>
        <w:t> </w:t>
      </w:r>
      <w:r>
        <w:rPr/>
        <w:t>y</w:t>
      </w:r>
      <w:r>
        <w:rPr>
          <w:spacing w:val="-7"/>
        </w:rPr>
        <w:t> </w:t>
      </w:r>
      <w:r>
        <w:rPr/>
        <w:t>se</w:t>
      </w:r>
      <w:r>
        <w:rPr>
          <w:spacing w:val="-4"/>
        </w:rPr>
        <w:t> </w:t>
      </w:r>
      <w:r>
        <w:rPr/>
        <w:t>dejo</w:t>
      </w:r>
      <w:r>
        <w:rPr>
          <w:spacing w:val="-4"/>
        </w:rPr>
        <w:t> </w:t>
      </w:r>
      <w:r>
        <w:rPr/>
        <w:t>ahí</w:t>
      </w:r>
      <w:r>
        <w:rPr>
          <w:spacing w:val="-6"/>
        </w:rPr>
        <w:t> </w:t>
      </w:r>
      <w:r>
        <w:rPr/>
        <w:t>10</w:t>
      </w:r>
      <w:r>
        <w:rPr>
          <w:spacing w:val="-4"/>
        </w:rPr>
        <w:t> </w:t>
      </w:r>
      <w:r>
        <w:rPr/>
        <w:t>minutos.</w:t>
      </w:r>
      <w:r>
        <w:rPr>
          <w:spacing w:val="-4"/>
        </w:rPr>
        <w:t> </w:t>
      </w:r>
      <w:r>
        <w:rPr/>
        <w:t>Finalmente</w:t>
      </w:r>
      <w:r>
        <w:rPr>
          <w:spacing w:val="-3"/>
        </w:rPr>
        <w:t> </w:t>
      </w:r>
      <w:r>
        <w:rPr/>
        <w:t>se</w:t>
      </w:r>
      <w:r>
        <w:rPr>
          <w:spacing w:val="-4"/>
        </w:rPr>
        <w:t> </w:t>
      </w:r>
      <w:r>
        <w:rPr/>
        <w:t>hizo</w:t>
      </w:r>
      <w:r>
        <w:rPr>
          <w:spacing w:val="-4"/>
        </w:rPr>
        <w:t> </w:t>
      </w:r>
      <w:r>
        <w:rPr/>
        <w:t>la</w:t>
      </w:r>
      <w:r>
        <w:rPr>
          <w:spacing w:val="-4"/>
        </w:rPr>
        <w:t> </w:t>
      </w:r>
      <w:r>
        <w:rPr/>
        <w:t>lectura llevando la base de la columna de grasa exactamente al cero por medio de</w:t>
      </w:r>
      <w:r>
        <w:rPr>
          <w:spacing w:val="-30"/>
        </w:rPr>
        <w:t> </w:t>
      </w:r>
      <w:r>
        <w:rPr/>
        <w:t>presión en el tapón del butirómetro (Anexo 5 y</w:t>
      </w:r>
      <w:r>
        <w:rPr>
          <w:spacing w:val="-13"/>
        </w:rPr>
        <w:t> </w:t>
      </w:r>
      <w:r>
        <w:rPr/>
        <w:t>12).</w:t>
      </w:r>
    </w:p>
    <w:p>
      <w:pPr>
        <w:pStyle w:val="BodyText"/>
        <w:spacing w:before="6"/>
        <w:rPr>
          <w:sz w:val="27"/>
        </w:rPr>
      </w:pPr>
    </w:p>
    <w:p>
      <w:pPr>
        <w:spacing w:before="0"/>
        <w:ind w:left="142" w:right="0" w:firstLine="0"/>
        <w:jc w:val="both"/>
        <w:rPr>
          <w:b/>
          <w:sz w:val="22"/>
        </w:rPr>
      </w:pPr>
      <w:bookmarkStart w:name="_bookmark42" w:id="54"/>
      <w:bookmarkEnd w:id="54"/>
      <w:r>
        <w:rPr/>
      </w:r>
      <w:r>
        <w:rPr>
          <w:b/>
          <w:sz w:val="22"/>
        </w:rPr>
        <w:t>Determinación de proteínas en queso fresco</w:t>
      </w:r>
    </w:p>
    <w:p>
      <w:pPr>
        <w:pStyle w:val="BodyText"/>
        <w:spacing w:before="10"/>
        <w:rPr>
          <w:b/>
          <w:sz w:val="27"/>
        </w:rPr>
      </w:pPr>
    </w:p>
    <w:p>
      <w:pPr>
        <w:pStyle w:val="BodyText"/>
        <w:spacing w:line="276" w:lineRule="auto"/>
        <w:ind w:left="142" w:right="139"/>
        <w:jc w:val="both"/>
      </w:pPr>
      <w:r>
        <w:rPr/>
        <w:t>El contenido de proteína cruda se obtuvo considerando el promedio de nitrógeno presente en la muestra y se utilizó el método Kjeldahl descrito en la norma NMX-F- 098-1976. Se pesó en balanza analítica 0.25 g de muestra, se envolvió la muestra en</w:t>
      </w:r>
      <w:r>
        <w:rPr>
          <w:spacing w:val="-4"/>
        </w:rPr>
        <w:t> </w:t>
      </w:r>
      <w:r>
        <w:rPr/>
        <w:t>el</w:t>
      </w:r>
      <w:r>
        <w:rPr>
          <w:spacing w:val="-7"/>
        </w:rPr>
        <w:t> </w:t>
      </w:r>
      <w:r>
        <w:rPr/>
        <w:t>papel</w:t>
      </w:r>
      <w:r>
        <w:rPr>
          <w:spacing w:val="-5"/>
        </w:rPr>
        <w:t> </w:t>
      </w:r>
      <w:r>
        <w:rPr/>
        <w:t>para</w:t>
      </w:r>
      <w:r>
        <w:rPr>
          <w:spacing w:val="-7"/>
        </w:rPr>
        <w:t> </w:t>
      </w:r>
      <w:r>
        <w:rPr/>
        <w:t>evitar</w:t>
      </w:r>
      <w:r>
        <w:rPr>
          <w:spacing w:val="-5"/>
        </w:rPr>
        <w:t> </w:t>
      </w:r>
      <w:r>
        <w:rPr/>
        <w:t>la</w:t>
      </w:r>
      <w:r>
        <w:rPr>
          <w:spacing w:val="-4"/>
        </w:rPr>
        <w:t> </w:t>
      </w:r>
      <w:r>
        <w:rPr/>
        <w:t>pérdida</w:t>
      </w:r>
      <w:r>
        <w:rPr>
          <w:spacing w:val="-4"/>
        </w:rPr>
        <w:t> </w:t>
      </w:r>
      <w:r>
        <w:rPr/>
        <w:t>de</w:t>
      </w:r>
      <w:r>
        <w:rPr>
          <w:spacing w:val="-4"/>
        </w:rPr>
        <w:t> </w:t>
      </w:r>
      <w:r>
        <w:rPr/>
        <w:t>muestra</w:t>
      </w:r>
      <w:r>
        <w:rPr>
          <w:spacing w:val="-6"/>
        </w:rPr>
        <w:t> </w:t>
      </w:r>
      <w:r>
        <w:rPr/>
        <w:t>y</w:t>
      </w:r>
      <w:r>
        <w:rPr>
          <w:spacing w:val="-7"/>
        </w:rPr>
        <w:t> </w:t>
      </w:r>
      <w:r>
        <w:rPr/>
        <w:t>colocó</w:t>
      </w:r>
      <w:r>
        <w:rPr>
          <w:spacing w:val="-3"/>
        </w:rPr>
        <w:t> </w:t>
      </w:r>
      <w:r>
        <w:rPr/>
        <w:t>en</w:t>
      </w:r>
      <w:r>
        <w:rPr>
          <w:spacing w:val="-4"/>
        </w:rPr>
        <w:t> </w:t>
      </w:r>
      <w:r>
        <w:rPr/>
        <w:t>un</w:t>
      </w:r>
      <w:r>
        <w:rPr>
          <w:spacing w:val="-4"/>
        </w:rPr>
        <w:t> </w:t>
      </w:r>
      <w:r>
        <w:rPr/>
        <w:t>tubo</w:t>
      </w:r>
      <w:r>
        <w:rPr>
          <w:spacing w:val="-6"/>
        </w:rPr>
        <w:t> </w:t>
      </w:r>
      <w:r>
        <w:rPr/>
        <w:t>para</w:t>
      </w:r>
      <w:r>
        <w:rPr>
          <w:spacing w:val="-4"/>
        </w:rPr>
        <w:t> </w:t>
      </w:r>
      <w:r>
        <w:rPr/>
        <w:t>digestión,</w:t>
      </w:r>
      <w:r>
        <w:rPr>
          <w:spacing w:val="-6"/>
        </w:rPr>
        <w:t> </w:t>
      </w:r>
      <w:r>
        <w:rPr/>
        <w:t>se agregó</w:t>
      </w:r>
      <w:r>
        <w:rPr>
          <w:spacing w:val="-13"/>
        </w:rPr>
        <w:t> </w:t>
      </w:r>
      <w:r>
        <w:rPr/>
        <w:t>1</w:t>
      </w:r>
      <w:r>
        <w:rPr>
          <w:spacing w:val="-13"/>
        </w:rPr>
        <w:t> </w:t>
      </w:r>
      <w:r>
        <w:rPr/>
        <w:t>pastilla</w:t>
      </w:r>
      <w:r>
        <w:rPr>
          <w:spacing w:val="-13"/>
        </w:rPr>
        <w:t> </w:t>
      </w:r>
      <w:r>
        <w:rPr/>
        <w:t>catalizadora</w:t>
      </w:r>
      <w:r>
        <w:rPr>
          <w:spacing w:val="-14"/>
        </w:rPr>
        <w:t> </w:t>
      </w:r>
      <w:r>
        <w:rPr/>
        <w:t>y</w:t>
      </w:r>
      <w:r>
        <w:rPr>
          <w:spacing w:val="-16"/>
        </w:rPr>
        <w:t> </w:t>
      </w:r>
      <w:r>
        <w:rPr/>
        <w:t>12</w:t>
      </w:r>
      <w:r>
        <w:rPr>
          <w:spacing w:val="-13"/>
        </w:rPr>
        <w:t> </w:t>
      </w:r>
      <w:r>
        <w:rPr/>
        <w:t>ml</w:t>
      </w:r>
      <w:r>
        <w:rPr>
          <w:spacing w:val="-14"/>
        </w:rPr>
        <w:t> </w:t>
      </w:r>
      <w:r>
        <w:rPr/>
        <w:t>de</w:t>
      </w:r>
      <w:r>
        <w:rPr>
          <w:spacing w:val="-13"/>
        </w:rPr>
        <w:t> </w:t>
      </w:r>
      <w:r>
        <w:rPr/>
        <w:t>ácido</w:t>
      </w:r>
      <w:r>
        <w:rPr>
          <w:spacing w:val="-13"/>
        </w:rPr>
        <w:t> </w:t>
      </w:r>
      <w:r>
        <w:rPr/>
        <w:t>sulfúrico</w:t>
      </w:r>
      <w:r>
        <w:rPr>
          <w:spacing w:val="-13"/>
        </w:rPr>
        <w:t> </w:t>
      </w:r>
      <w:r>
        <w:rPr/>
        <w:t>concentrado;</w:t>
      </w:r>
      <w:r>
        <w:rPr>
          <w:spacing w:val="-13"/>
        </w:rPr>
        <w:t> </w:t>
      </w:r>
      <w:r>
        <w:rPr/>
        <w:t>luego</w:t>
      </w:r>
      <w:r>
        <w:rPr>
          <w:spacing w:val="-13"/>
        </w:rPr>
        <w:t> </w:t>
      </w:r>
      <w:r>
        <w:rPr/>
        <w:t>se</w:t>
      </w:r>
      <w:r>
        <w:rPr>
          <w:spacing w:val="-13"/>
        </w:rPr>
        <w:t> </w:t>
      </w:r>
      <w:r>
        <w:rPr/>
        <w:t>metió el tubo en el digestor previamente calentado (a 420ºC), durante 30 minutos. Posteriormente</w:t>
      </w:r>
      <w:r>
        <w:rPr>
          <w:spacing w:val="-6"/>
        </w:rPr>
        <w:t> </w:t>
      </w:r>
      <w:r>
        <w:rPr/>
        <w:t>se</w:t>
      </w:r>
      <w:r>
        <w:rPr>
          <w:spacing w:val="-6"/>
        </w:rPr>
        <w:t> </w:t>
      </w:r>
      <w:r>
        <w:rPr/>
        <w:t>sacó</w:t>
      </w:r>
      <w:r>
        <w:rPr>
          <w:spacing w:val="-3"/>
        </w:rPr>
        <w:t> </w:t>
      </w:r>
      <w:r>
        <w:rPr/>
        <w:t>el</w:t>
      </w:r>
      <w:r>
        <w:rPr>
          <w:spacing w:val="-10"/>
        </w:rPr>
        <w:t> </w:t>
      </w:r>
      <w:r>
        <w:rPr/>
        <w:t>tubo</w:t>
      </w:r>
      <w:r>
        <w:rPr>
          <w:spacing w:val="-8"/>
        </w:rPr>
        <w:t> </w:t>
      </w:r>
      <w:r>
        <w:rPr/>
        <w:t>del</w:t>
      </w:r>
      <w:r>
        <w:rPr>
          <w:spacing w:val="-10"/>
        </w:rPr>
        <w:t> </w:t>
      </w:r>
      <w:r>
        <w:rPr/>
        <w:t>digestor</w:t>
      </w:r>
      <w:r>
        <w:rPr>
          <w:spacing w:val="-7"/>
        </w:rPr>
        <w:t> </w:t>
      </w:r>
      <w:r>
        <w:rPr/>
        <w:t>y</w:t>
      </w:r>
      <w:r>
        <w:rPr>
          <w:spacing w:val="-12"/>
        </w:rPr>
        <w:t> </w:t>
      </w:r>
      <w:r>
        <w:rPr/>
        <w:t>se</w:t>
      </w:r>
      <w:r>
        <w:rPr>
          <w:spacing w:val="-6"/>
        </w:rPr>
        <w:t> </w:t>
      </w:r>
      <w:r>
        <w:rPr/>
        <w:t>dejó</w:t>
      </w:r>
      <w:r>
        <w:rPr>
          <w:spacing w:val="-9"/>
        </w:rPr>
        <w:t> </w:t>
      </w:r>
      <w:r>
        <w:rPr/>
        <w:t>enfriar</w:t>
      </w:r>
      <w:r>
        <w:rPr>
          <w:spacing w:val="-10"/>
        </w:rPr>
        <w:t> </w:t>
      </w:r>
      <w:r>
        <w:rPr/>
        <w:t>de</w:t>
      </w:r>
      <w:r>
        <w:rPr>
          <w:spacing w:val="-8"/>
        </w:rPr>
        <w:t> </w:t>
      </w:r>
      <w:r>
        <w:rPr/>
        <w:t>20</w:t>
      </w:r>
      <w:r>
        <w:rPr>
          <w:spacing w:val="-8"/>
        </w:rPr>
        <w:t> </w:t>
      </w:r>
      <w:r>
        <w:rPr/>
        <w:t>a</w:t>
      </w:r>
      <w:r>
        <w:rPr>
          <w:spacing w:val="-11"/>
        </w:rPr>
        <w:t> </w:t>
      </w:r>
      <w:r>
        <w:rPr/>
        <w:t>30</w:t>
      </w:r>
      <w:r>
        <w:rPr>
          <w:spacing w:val="-8"/>
        </w:rPr>
        <w:t> </w:t>
      </w:r>
      <w:r>
        <w:rPr/>
        <w:t>minutos.</w:t>
      </w:r>
      <w:r>
        <w:rPr>
          <w:spacing w:val="-9"/>
        </w:rPr>
        <w:t> </w:t>
      </w:r>
      <w:r>
        <w:rPr/>
        <w:t>Se agregó al tubo 60 ml de agua destilada y 50 ml de hidróxido de sodio al 40% y se colocó en el destilador. Aparte en un matraz Erlenmeyer agregó 30 ml de ácido bórico al 4% y 6 gotas de indicador verde de bromocresol rojo de metilo; donde se recibió el destilado durante 5 minutos. Finalmente se sacó el matraz del digestor y se tituló con ácido clorhídrico 0.1 N (de verde a rosa claro) (Anexo 6 y</w:t>
      </w:r>
      <w:r>
        <w:rPr>
          <w:spacing w:val="-24"/>
        </w:rPr>
        <w:t> </w:t>
      </w:r>
      <w:r>
        <w:rPr/>
        <w:t>13).</w:t>
      </w:r>
    </w:p>
    <w:p>
      <w:pPr>
        <w:spacing w:after="0" w:line="276" w:lineRule="auto"/>
        <w:jc w:val="both"/>
        <w:sectPr>
          <w:footerReference w:type="default" r:id="rId29"/>
          <w:pgSz w:w="12240" w:h="15840"/>
          <w:pgMar w:footer="710" w:header="728" w:top="1200" w:bottom="900" w:left="1560" w:right="1560"/>
        </w:sectPr>
      </w:pPr>
    </w:p>
    <w:p>
      <w:pPr>
        <w:pStyle w:val="BodyText"/>
        <w:spacing w:before="9"/>
        <w:rPr>
          <w:sz w:val="12"/>
        </w:rPr>
      </w:pPr>
    </w:p>
    <w:p>
      <w:pPr>
        <w:pStyle w:val="Heading2"/>
        <w:jc w:val="both"/>
      </w:pPr>
      <w:bookmarkStart w:name="_bookmark43" w:id="55"/>
      <w:bookmarkEnd w:id="55"/>
      <w:r>
        <w:rPr>
          <w:b w:val="0"/>
        </w:rPr>
      </w:r>
      <w:r>
        <w:rPr/>
        <w:t>ANALISIS MICROBIOLÓGICOS</w:t>
      </w:r>
    </w:p>
    <w:p>
      <w:pPr>
        <w:pStyle w:val="BodyText"/>
        <w:spacing w:line="276" w:lineRule="auto" w:before="26"/>
        <w:ind w:left="142" w:right="134"/>
        <w:jc w:val="both"/>
      </w:pPr>
      <w:r>
        <w:rPr/>
        <w:t>Se recolectaron muestras utilizando las Normas Oficiales Mexicanas, NOM-109- SSA1-1994 Procedimiento para la Toma, Manejo y Transporte de Muestras de Alimentos para su Análisis Microbiológico y la NOM-110-SSA1-1994 Preparación y Dilución de Muestras de Alimentos para su Análisis Microbiológico, según la cual las muestras se compraron y se colocaron en bolsas estériles; posteriormente se colocaron en una hielera y se mantuvieron a una temperatura de 4°C hasta su análisis microbiológico. Asimismo en el punto de venta se tomaron los parámetros de</w:t>
      </w:r>
      <w:r>
        <w:rPr>
          <w:spacing w:val="-18"/>
        </w:rPr>
        <w:t> </w:t>
      </w:r>
      <w:r>
        <w:rPr/>
        <w:t>pH</w:t>
      </w:r>
      <w:r>
        <w:rPr>
          <w:spacing w:val="-17"/>
        </w:rPr>
        <w:t> </w:t>
      </w:r>
      <w:r>
        <w:rPr/>
        <w:t>y</w:t>
      </w:r>
      <w:r>
        <w:rPr>
          <w:spacing w:val="-19"/>
        </w:rPr>
        <w:t> </w:t>
      </w:r>
      <w:r>
        <w:rPr/>
        <w:t>temperatura</w:t>
      </w:r>
      <w:r>
        <w:rPr>
          <w:spacing w:val="-19"/>
        </w:rPr>
        <w:t> </w:t>
      </w:r>
      <w:r>
        <w:rPr/>
        <w:t>(°C),</w:t>
      </w:r>
      <w:r>
        <w:rPr>
          <w:spacing w:val="-16"/>
        </w:rPr>
        <w:t> </w:t>
      </w:r>
      <w:r>
        <w:rPr/>
        <w:t>se</w:t>
      </w:r>
      <w:r>
        <w:rPr>
          <w:spacing w:val="-16"/>
        </w:rPr>
        <w:t> </w:t>
      </w:r>
      <w:r>
        <w:rPr/>
        <w:t>aplicaron</w:t>
      </w:r>
      <w:r>
        <w:rPr>
          <w:spacing w:val="-18"/>
        </w:rPr>
        <w:t> </w:t>
      </w:r>
      <w:r>
        <w:rPr/>
        <w:t>cuestionarios</w:t>
      </w:r>
      <w:r>
        <w:rPr>
          <w:spacing w:val="-19"/>
        </w:rPr>
        <w:t> </w:t>
      </w:r>
      <w:r>
        <w:rPr/>
        <w:t>a</w:t>
      </w:r>
      <w:r>
        <w:rPr>
          <w:spacing w:val="-16"/>
        </w:rPr>
        <w:t> </w:t>
      </w:r>
      <w:r>
        <w:rPr/>
        <w:t>los</w:t>
      </w:r>
      <w:r>
        <w:rPr>
          <w:spacing w:val="-18"/>
        </w:rPr>
        <w:t> </w:t>
      </w:r>
      <w:r>
        <w:rPr/>
        <w:t>comerciantes</w:t>
      </w:r>
      <w:r>
        <w:rPr>
          <w:spacing w:val="-16"/>
        </w:rPr>
        <w:t> </w:t>
      </w:r>
      <w:r>
        <w:rPr/>
        <w:t>y</w:t>
      </w:r>
      <w:r>
        <w:rPr>
          <w:spacing w:val="-19"/>
        </w:rPr>
        <w:t> </w:t>
      </w:r>
      <w:r>
        <w:rPr/>
        <w:t>se</w:t>
      </w:r>
      <w:r>
        <w:rPr>
          <w:spacing w:val="-18"/>
        </w:rPr>
        <w:t> </w:t>
      </w:r>
      <w:r>
        <w:rPr/>
        <w:t>registró las condiciones de venta (Anexo</w:t>
      </w:r>
      <w:r>
        <w:rPr>
          <w:spacing w:val="-10"/>
        </w:rPr>
        <w:t> </w:t>
      </w:r>
      <w:r>
        <w:rPr/>
        <w:t>1).</w:t>
      </w:r>
    </w:p>
    <w:p>
      <w:pPr>
        <w:pStyle w:val="BodyText"/>
        <w:spacing w:line="276" w:lineRule="auto" w:before="121"/>
        <w:ind w:left="142" w:right="134"/>
        <w:jc w:val="both"/>
      </w:pPr>
      <w:r>
        <w:rPr/>
        <w:t>Para</w:t>
      </w:r>
      <w:r>
        <w:rPr>
          <w:spacing w:val="-11"/>
        </w:rPr>
        <w:t> </w:t>
      </w:r>
      <w:r>
        <w:rPr/>
        <w:t>el</w:t>
      </w:r>
      <w:r>
        <w:rPr>
          <w:spacing w:val="-12"/>
        </w:rPr>
        <w:t> </w:t>
      </w:r>
      <w:r>
        <w:rPr/>
        <w:t>análisis</w:t>
      </w:r>
      <w:r>
        <w:rPr>
          <w:spacing w:val="-12"/>
        </w:rPr>
        <w:t> </w:t>
      </w:r>
      <w:r>
        <w:rPr/>
        <w:t>microbiológico</w:t>
      </w:r>
      <w:r>
        <w:rPr>
          <w:spacing w:val="-11"/>
        </w:rPr>
        <w:t> </w:t>
      </w:r>
      <w:r>
        <w:rPr/>
        <w:t>se</w:t>
      </w:r>
      <w:r>
        <w:rPr>
          <w:spacing w:val="-11"/>
        </w:rPr>
        <w:t> </w:t>
      </w:r>
      <w:r>
        <w:rPr/>
        <w:t>utilizó</w:t>
      </w:r>
      <w:r>
        <w:rPr>
          <w:spacing w:val="-11"/>
        </w:rPr>
        <w:t> </w:t>
      </w:r>
      <w:r>
        <w:rPr/>
        <w:t>la</w:t>
      </w:r>
      <w:r>
        <w:rPr>
          <w:spacing w:val="-8"/>
        </w:rPr>
        <w:t> </w:t>
      </w:r>
      <w:r>
        <w:rPr/>
        <w:t>Norma</w:t>
      </w:r>
      <w:r>
        <w:rPr>
          <w:spacing w:val="-11"/>
        </w:rPr>
        <w:t> </w:t>
      </w:r>
      <w:r>
        <w:rPr/>
        <w:t>oficial</w:t>
      </w:r>
      <w:r>
        <w:rPr>
          <w:spacing w:val="-14"/>
        </w:rPr>
        <w:t> </w:t>
      </w:r>
      <w:r>
        <w:rPr/>
        <w:t>mexicana</w:t>
      </w:r>
      <w:r>
        <w:rPr>
          <w:spacing w:val="-11"/>
        </w:rPr>
        <w:t> </w:t>
      </w:r>
      <w:r>
        <w:rPr/>
        <w:t>NOM-115-SSA1- 1994, Bienes y Servicios. Método para la determinación de </w:t>
      </w:r>
      <w:r>
        <w:rPr>
          <w:i/>
        </w:rPr>
        <w:t>staphylococcus aureus </w:t>
      </w:r>
      <w:r>
        <w:rPr/>
        <w:t>en alimentos, en donde 11 g. de cada muestra de queso fueron pesados, posteriormente suspendidos y homogenizados en 90 ml de Agua peptonada (Bioxon) por dos minutos. El medio Baird-Parker se realizó utilizando 60 gr. de medio, adicionando 50 ml de solución de yema de huevo (60 ml de yema de huevo y 30 ml de solución salina al 8%) y una solución de telurito de potasio al</w:t>
      </w:r>
      <w:r>
        <w:rPr>
          <w:spacing w:val="-24"/>
        </w:rPr>
        <w:t> </w:t>
      </w:r>
      <w:r>
        <w:rPr/>
        <w:t>1%.</w:t>
      </w:r>
    </w:p>
    <w:p>
      <w:pPr>
        <w:pStyle w:val="BodyText"/>
      </w:pPr>
    </w:p>
    <w:p>
      <w:pPr>
        <w:pStyle w:val="BodyText"/>
        <w:spacing w:before="2"/>
      </w:pPr>
    </w:p>
    <w:p>
      <w:pPr>
        <w:spacing w:before="0"/>
        <w:ind w:left="142" w:right="0" w:firstLine="0"/>
        <w:jc w:val="both"/>
        <w:rPr>
          <w:b/>
          <w:i/>
          <w:sz w:val="22"/>
        </w:rPr>
      </w:pPr>
      <w:bookmarkStart w:name="_bookmark44" w:id="56"/>
      <w:bookmarkEnd w:id="56"/>
      <w:r>
        <w:rPr/>
      </w:r>
      <w:r>
        <w:rPr>
          <w:b/>
          <w:sz w:val="22"/>
        </w:rPr>
        <w:t>Cuenta total en placa de </w:t>
      </w:r>
      <w:r>
        <w:rPr>
          <w:b/>
          <w:i/>
          <w:sz w:val="22"/>
        </w:rPr>
        <w:t>Staphylcococcus aureus</w:t>
      </w:r>
    </w:p>
    <w:p>
      <w:pPr>
        <w:pStyle w:val="BodyText"/>
        <w:spacing w:line="276" w:lineRule="auto" w:before="4"/>
        <w:ind w:left="142" w:right="136"/>
        <w:jc w:val="both"/>
      </w:pPr>
      <w:r>
        <w:rPr/>
        <w:t>Se</w:t>
      </w:r>
      <w:r>
        <w:rPr>
          <w:spacing w:val="-16"/>
        </w:rPr>
        <w:t> </w:t>
      </w:r>
      <w:r>
        <w:rPr/>
        <w:t>hicieron</w:t>
      </w:r>
      <w:r>
        <w:rPr>
          <w:spacing w:val="-18"/>
        </w:rPr>
        <w:t> </w:t>
      </w:r>
      <w:r>
        <w:rPr/>
        <w:t>5</w:t>
      </w:r>
      <w:r>
        <w:rPr>
          <w:spacing w:val="-16"/>
        </w:rPr>
        <w:t> </w:t>
      </w:r>
      <w:r>
        <w:rPr/>
        <w:t>diluciones</w:t>
      </w:r>
      <w:r>
        <w:rPr>
          <w:spacing w:val="-16"/>
        </w:rPr>
        <w:t> </w:t>
      </w:r>
      <w:r>
        <w:rPr/>
        <w:t>decimales</w:t>
      </w:r>
      <w:r>
        <w:rPr>
          <w:spacing w:val="-16"/>
        </w:rPr>
        <w:t> </w:t>
      </w:r>
      <w:r>
        <w:rPr/>
        <w:t>y</w:t>
      </w:r>
      <w:r>
        <w:rPr>
          <w:spacing w:val="-15"/>
        </w:rPr>
        <w:t> </w:t>
      </w:r>
      <w:r>
        <w:rPr/>
        <w:t>se</w:t>
      </w:r>
      <w:r>
        <w:rPr>
          <w:spacing w:val="-16"/>
        </w:rPr>
        <w:t> </w:t>
      </w:r>
      <w:r>
        <w:rPr/>
        <w:t>inocularon</w:t>
      </w:r>
      <w:r>
        <w:rPr>
          <w:spacing w:val="-15"/>
        </w:rPr>
        <w:t> </w:t>
      </w:r>
      <w:r>
        <w:rPr/>
        <w:t>en</w:t>
      </w:r>
      <w:r>
        <w:rPr>
          <w:spacing w:val="-16"/>
        </w:rPr>
        <w:t> </w:t>
      </w:r>
      <w:r>
        <w:rPr/>
        <w:t>agar</w:t>
      </w:r>
      <w:r>
        <w:rPr>
          <w:spacing w:val="-17"/>
        </w:rPr>
        <w:t> </w:t>
      </w:r>
      <w:r>
        <w:rPr/>
        <w:t>Baird-Parker</w:t>
      </w:r>
      <w:r>
        <w:rPr>
          <w:spacing w:val="-17"/>
        </w:rPr>
        <w:t> </w:t>
      </w:r>
      <w:r>
        <w:rPr/>
        <w:t>(BD</w:t>
      </w:r>
      <w:r>
        <w:rPr>
          <w:spacing w:val="-17"/>
        </w:rPr>
        <w:t> </w:t>
      </w:r>
      <w:r>
        <w:rPr/>
        <w:t>Bioxon, México), (Las muestras fueron obtenidas del centro o de la porción interior del queso,</w:t>
      </w:r>
      <w:r>
        <w:rPr>
          <w:spacing w:val="-7"/>
        </w:rPr>
        <w:t> </w:t>
      </w:r>
      <w:r>
        <w:rPr/>
        <w:t>aunque</w:t>
      </w:r>
      <w:r>
        <w:rPr>
          <w:spacing w:val="-5"/>
        </w:rPr>
        <w:t> </w:t>
      </w:r>
      <w:r>
        <w:rPr/>
        <w:t>pequeñas</w:t>
      </w:r>
      <w:r>
        <w:rPr>
          <w:spacing w:val="-5"/>
        </w:rPr>
        <w:t> </w:t>
      </w:r>
      <w:r>
        <w:rPr/>
        <w:t>cantidades</w:t>
      </w:r>
      <w:r>
        <w:rPr>
          <w:spacing w:val="-8"/>
        </w:rPr>
        <w:t> </w:t>
      </w:r>
      <w:r>
        <w:rPr/>
        <w:t>de</w:t>
      </w:r>
      <w:r>
        <w:rPr>
          <w:spacing w:val="-7"/>
        </w:rPr>
        <w:t> </w:t>
      </w:r>
      <w:r>
        <w:rPr/>
        <w:t>la</w:t>
      </w:r>
      <w:r>
        <w:rPr>
          <w:spacing w:val="-7"/>
        </w:rPr>
        <w:t> </w:t>
      </w:r>
      <w:r>
        <w:rPr/>
        <w:t>superficie</w:t>
      </w:r>
      <w:r>
        <w:rPr>
          <w:spacing w:val="-5"/>
        </w:rPr>
        <w:t> </w:t>
      </w:r>
      <w:r>
        <w:rPr/>
        <w:t>también</w:t>
      </w:r>
      <w:r>
        <w:rPr>
          <w:spacing w:val="-9"/>
        </w:rPr>
        <w:t> </w:t>
      </w:r>
      <w:r>
        <w:rPr/>
        <w:t>fueron</w:t>
      </w:r>
      <w:r>
        <w:rPr>
          <w:spacing w:val="-7"/>
        </w:rPr>
        <w:t> </w:t>
      </w:r>
      <w:r>
        <w:rPr/>
        <w:t>incluidas</w:t>
      </w:r>
      <w:r>
        <w:rPr>
          <w:spacing w:val="-8"/>
        </w:rPr>
        <w:t> </w:t>
      </w:r>
      <w:r>
        <w:rPr/>
        <w:t>en</w:t>
      </w:r>
      <w:r>
        <w:rPr>
          <w:spacing w:val="-7"/>
        </w:rPr>
        <w:t> </w:t>
      </w:r>
      <w:r>
        <w:rPr/>
        <w:t>la muestra).</w:t>
      </w:r>
      <w:r>
        <w:rPr>
          <w:spacing w:val="-6"/>
        </w:rPr>
        <w:t> </w:t>
      </w:r>
      <w:r>
        <w:rPr/>
        <w:t>Para</w:t>
      </w:r>
      <w:r>
        <w:rPr>
          <w:spacing w:val="-6"/>
        </w:rPr>
        <w:t> </w:t>
      </w:r>
      <w:r>
        <w:rPr/>
        <w:t>inocular</w:t>
      </w:r>
      <w:r>
        <w:rPr>
          <w:spacing w:val="-6"/>
        </w:rPr>
        <w:t> </w:t>
      </w:r>
      <w:r>
        <w:rPr/>
        <w:t>las</w:t>
      </w:r>
      <w:r>
        <w:rPr>
          <w:spacing w:val="-5"/>
        </w:rPr>
        <w:t> </w:t>
      </w:r>
      <w:r>
        <w:rPr/>
        <w:t>placas</w:t>
      </w:r>
      <w:r>
        <w:rPr>
          <w:spacing w:val="-6"/>
        </w:rPr>
        <w:t> </w:t>
      </w:r>
      <w:r>
        <w:rPr/>
        <w:t>se</w:t>
      </w:r>
      <w:r>
        <w:rPr>
          <w:spacing w:val="-5"/>
        </w:rPr>
        <w:t> </w:t>
      </w:r>
      <w:r>
        <w:rPr/>
        <w:t>colocó</w:t>
      </w:r>
      <w:r>
        <w:rPr>
          <w:spacing w:val="-5"/>
        </w:rPr>
        <w:t> </w:t>
      </w:r>
      <w:r>
        <w:rPr/>
        <w:t>la</w:t>
      </w:r>
      <w:r>
        <w:rPr>
          <w:spacing w:val="-1"/>
        </w:rPr>
        <w:t> </w:t>
      </w:r>
      <w:r>
        <w:rPr/>
        <w:t>dilución</w:t>
      </w:r>
      <w:r>
        <w:rPr>
          <w:spacing w:val="-5"/>
        </w:rPr>
        <w:t> </w:t>
      </w:r>
      <w:r>
        <w:rPr/>
        <w:t>en</w:t>
      </w:r>
      <w:r>
        <w:rPr>
          <w:spacing w:val="-5"/>
        </w:rPr>
        <w:t> </w:t>
      </w:r>
      <w:r>
        <w:rPr/>
        <w:t>el</w:t>
      </w:r>
      <w:r>
        <w:rPr>
          <w:spacing w:val="-6"/>
        </w:rPr>
        <w:t> </w:t>
      </w:r>
      <w:r>
        <w:rPr/>
        <w:t>centro</w:t>
      </w:r>
      <w:r>
        <w:rPr>
          <w:spacing w:val="-8"/>
        </w:rPr>
        <w:t> </w:t>
      </w:r>
      <w:r>
        <w:rPr/>
        <w:t>de</w:t>
      </w:r>
      <w:r>
        <w:rPr>
          <w:spacing w:val="-5"/>
        </w:rPr>
        <w:t> </w:t>
      </w:r>
      <w:r>
        <w:rPr/>
        <w:t>la</w:t>
      </w:r>
      <w:r>
        <w:rPr>
          <w:spacing w:val="-5"/>
        </w:rPr>
        <w:t> </w:t>
      </w:r>
      <w:r>
        <w:rPr/>
        <w:t>placa</w:t>
      </w:r>
      <w:r>
        <w:rPr>
          <w:spacing w:val="-5"/>
        </w:rPr>
        <w:t> </w:t>
      </w:r>
      <w:r>
        <w:rPr/>
        <w:t>y</w:t>
      </w:r>
      <w:r>
        <w:rPr>
          <w:spacing w:val="-8"/>
        </w:rPr>
        <w:t> </w:t>
      </w:r>
      <w:r>
        <w:rPr/>
        <w:t>se destruyó uniformemente con una asa de vidrio estéril. Las placas fueron incubadas a 37 °C por 24-48 h. Las colonias con morfología típica de </w:t>
      </w:r>
      <w:r>
        <w:rPr>
          <w:i/>
        </w:rPr>
        <w:t>S. aureus</w:t>
      </w:r>
      <w:r>
        <w:rPr/>
        <w:t>; negras, convexas y con o sin halo transparente fueron</w:t>
      </w:r>
      <w:r>
        <w:rPr>
          <w:spacing w:val="-22"/>
        </w:rPr>
        <w:t> </w:t>
      </w:r>
      <w:r>
        <w:rPr/>
        <w:t>contadas.</w:t>
      </w:r>
    </w:p>
    <w:p>
      <w:pPr>
        <w:spacing w:after="0" w:line="276" w:lineRule="auto"/>
        <w:jc w:val="both"/>
        <w:sectPr>
          <w:footerReference w:type="default" r:id="rId30"/>
          <w:pgSz w:w="12240" w:h="15840"/>
          <w:pgMar w:footer="710" w:header="728" w:top="1200" w:bottom="900" w:left="1560" w:right="1560"/>
          <w:pgNumType w:start="41"/>
        </w:sectPr>
      </w:pPr>
    </w:p>
    <w:p>
      <w:pPr>
        <w:pStyle w:val="BodyText"/>
        <w:spacing w:before="3"/>
        <w:rPr>
          <w:sz w:val="12"/>
        </w:rPr>
      </w:pPr>
    </w:p>
    <w:p>
      <w:pPr>
        <w:spacing w:before="73"/>
        <w:ind w:left="142" w:right="498" w:firstLine="0"/>
        <w:jc w:val="left"/>
        <w:rPr>
          <w:b/>
          <w:i/>
          <w:sz w:val="22"/>
        </w:rPr>
      </w:pPr>
      <w:bookmarkStart w:name="_bookmark45" w:id="57"/>
      <w:bookmarkEnd w:id="57"/>
      <w:r>
        <w:rPr/>
      </w:r>
      <w:r>
        <w:rPr>
          <w:b/>
          <w:sz w:val="22"/>
        </w:rPr>
        <w:t>Aislamiento e identificación bacteriologica de los aislamientos de </w:t>
      </w:r>
      <w:r>
        <w:rPr>
          <w:b/>
          <w:i/>
          <w:sz w:val="22"/>
        </w:rPr>
        <w:t>Staphylococcus </w:t>
      </w:r>
      <w:r>
        <w:rPr>
          <w:b/>
          <w:i/>
          <w:sz w:val="22"/>
        </w:rPr>
        <w:t>aureus</w:t>
      </w:r>
    </w:p>
    <w:p>
      <w:pPr>
        <w:pStyle w:val="BodyText"/>
        <w:spacing w:line="276" w:lineRule="auto" w:before="2"/>
        <w:ind w:left="142" w:right="292"/>
        <w:jc w:val="both"/>
      </w:pPr>
      <w:r>
        <w:rPr/>
        <w:t>Los</w:t>
      </w:r>
      <w:r>
        <w:rPr>
          <w:spacing w:val="-12"/>
        </w:rPr>
        <w:t> </w:t>
      </w:r>
      <w:r>
        <w:rPr/>
        <w:t>aislamientos</w:t>
      </w:r>
      <w:r>
        <w:rPr>
          <w:spacing w:val="-12"/>
        </w:rPr>
        <w:t> </w:t>
      </w:r>
      <w:r>
        <w:rPr/>
        <w:t>obtenidos</w:t>
      </w:r>
      <w:r>
        <w:rPr>
          <w:spacing w:val="-12"/>
        </w:rPr>
        <w:t> </w:t>
      </w:r>
      <w:r>
        <w:rPr/>
        <w:t>en</w:t>
      </w:r>
      <w:r>
        <w:rPr>
          <w:spacing w:val="-11"/>
        </w:rPr>
        <w:t> </w:t>
      </w:r>
      <w:r>
        <w:rPr/>
        <w:t>Baird</w:t>
      </w:r>
      <w:r>
        <w:rPr>
          <w:spacing w:val="-11"/>
        </w:rPr>
        <w:t> </w:t>
      </w:r>
      <w:r>
        <w:rPr/>
        <w:t>Parker</w:t>
      </w:r>
      <w:r>
        <w:rPr>
          <w:spacing w:val="-12"/>
        </w:rPr>
        <w:t> </w:t>
      </w:r>
      <w:r>
        <w:rPr/>
        <w:t>fueron</w:t>
      </w:r>
      <w:r>
        <w:rPr>
          <w:spacing w:val="-11"/>
        </w:rPr>
        <w:t> </w:t>
      </w:r>
      <w:r>
        <w:rPr/>
        <w:t>inoculados</w:t>
      </w:r>
      <w:r>
        <w:rPr>
          <w:spacing w:val="-14"/>
        </w:rPr>
        <w:t> </w:t>
      </w:r>
      <w:r>
        <w:rPr/>
        <w:t>en</w:t>
      </w:r>
      <w:r>
        <w:rPr>
          <w:spacing w:val="-11"/>
        </w:rPr>
        <w:t> </w:t>
      </w:r>
      <w:r>
        <w:rPr/>
        <w:t>placas</w:t>
      </w:r>
      <w:r>
        <w:rPr>
          <w:spacing w:val="-12"/>
        </w:rPr>
        <w:t> </w:t>
      </w:r>
      <w:r>
        <w:rPr/>
        <w:t>de</w:t>
      </w:r>
      <w:r>
        <w:rPr>
          <w:spacing w:val="-11"/>
        </w:rPr>
        <w:t> </w:t>
      </w:r>
      <w:r>
        <w:rPr/>
        <w:t>base</w:t>
      </w:r>
      <w:r>
        <w:rPr>
          <w:spacing w:val="-11"/>
        </w:rPr>
        <w:t> </w:t>
      </w:r>
      <w:r>
        <w:rPr/>
        <w:t>de gelosa sangre (BD Bioxon, México), y agar de sal y manitol (BD Bioxon, México), y se incubaron a 37°C durante 24 h. La identificación de </w:t>
      </w:r>
      <w:r>
        <w:rPr>
          <w:i/>
        </w:rPr>
        <w:t>S. aureus </w:t>
      </w:r>
      <w:r>
        <w:rPr/>
        <w:t>se basó en la morfología de la colonia; en el agar base de gelosa sangre las colonias presentan color</w:t>
      </w:r>
      <w:r>
        <w:rPr>
          <w:spacing w:val="-15"/>
        </w:rPr>
        <w:t> </w:t>
      </w:r>
      <w:r>
        <w:rPr/>
        <w:t>blanco</w:t>
      </w:r>
      <w:r>
        <w:rPr>
          <w:spacing w:val="-14"/>
        </w:rPr>
        <w:t> </w:t>
      </w:r>
      <w:r>
        <w:rPr/>
        <w:t>grisáceo</w:t>
      </w:r>
      <w:r>
        <w:rPr>
          <w:spacing w:val="-14"/>
        </w:rPr>
        <w:t> </w:t>
      </w:r>
      <w:r>
        <w:rPr/>
        <w:t>o</w:t>
      </w:r>
      <w:r>
        <w:rPr>
          <w:spacing w:val="-16"/>
        </w:rPr>
        <w:t> </w:t>
      </w:r>
      <w:r>
        <w:rPr/>
        <w:t>amarillas,</w:t>
      </w:r>
      <w:r>
        <w:rPr>
          <w:spacing w:val="-14"/>
        </w:rPr>
        <w:t> </w:t>
      </w:r>
      <w:r>
        <w:rPr/>
        <w:t>poseen</w:t>
      </w:r>
      <w:r>
        <w:rPr>
          <w:spacing w:val="-17"/>
        </w:rPr>
        <w:t> </w:t>
      </w:r>
      <w:r>
        <w:rPr/>
        <w:t>forma</w:t>
      </w:r>
      <w:r>
        <w:rPr>
          <w:spacing w:val="-14"/>
        </w:rPr>
        <w:t> </w:t>
      </w:r>
      <w:r>
        <w:rPr/>
        <w:t>convexa</w:t>
      </w:r>
      <w:r>
        <w:rPr>
          <w:spacing w:val="-14"/>
        </w:rPr>
        <w:t> </w:t>
      </w:r>
      <w:r>
        <w:rPr/>
        <w:t>y</w:t>
      </w:r>
      <w:r>
        <w:rPr>
          <w:spacing w:val="-17"/>
        </w:rPr>
        <w:t> </w:t>
      </w:r>
      <w:r>
        <w:rPr/>
        <w:t>presentan</w:t>
      </w:r>
      <w:r>
        <w:rPr>
          <w:spacing w:val="-14"/>
        </w:rPr>
        <w:t> </w:t>
      </w:r>
      <w:r>
        <w:rPr/>
        <w:t>hemolisis</w:t>
      </w:r>
      <w:r>
        <w:rPr>
          <w:spacing w:val="-15"/>
        </w:rPr>
        <w:t> </w:t>
      </w:r>
      <w:r>
        <w:rPr/>
        <w:t>alfa, beta o gamma (α, β, γ), en el medio sal y manitol las colonias son de color amarillo debido a la fermentación del</w:t>
      </w:r>
      <w:r>
        <w:rPr>
          <w:spacing w:val="-17"/>
        </w:rPr>
        <w:t> </w:t>
      </w:r>
      <w:r>
        <w:rPr/>
        <w:t>manitol.</w:t>
      </w:r>
    </w:p>
    <w:p>
      <w:pPr>
        <w:pStyle w:val="BodyText"/>
        <w:spacing w:line="276" w:lineRule="auto" w:before="120"/>
        <w:ind w:left="142" w:right="295"/>
        <w:jc w:val="both"/>
      </w:pPr>
      <w:r>
        <w:rPr/>
        <w:t>Se seleccionó solo una colonia del medio sal y manitol y se sometió a las pruebas de coagulasa, catalasa, fermentación anaerobia del manitol y Vogues Proskauer. Como control positivo se empleó la cepa </w:t>
      </w:r>
      <w:r>
        <w:rPr>
          <w:i/>
        </w:rPr>
        <w:t>Staphylococcus aureus </w:t>
      </w:r>
      <w:r>
        <w:rPr/>
        <w:t>ATCC 259123 y como control negativo la cepa </w:t>
      </w:r>
      <w:r>
        <w:rPr>
          <w:i/>
        </w:rPr>
        <w:t>S. epidermidis </w:t>
      </w:r>
      <w:r>
        <w:rPr/>
        <w:t>ATCC 12228 como se muestra en la figura 8.</w:t>
      </w:r>
    </w:p>
    <w:p>
      <w:pPr>
        <w:pStyle w:val="BodyText"/>
        <w:spacing w:line="278" w:lineRule="auto" w:before="120"/>
        <w:ind w:left="142" w:right="294"/>
        <w:jc w:val="both"/>
      </w:pPr>
      <w:r>
        <w:rPr/>
        <w:pict>
          <v:group style="position:absolute;margin-left:85.559998pt;margin-top:47.685871pt;width:225.6pt;height:112.2pt;mso-position-horizontal-relative:page;mso-position-vertical-relative:paragraph;z-index:-216184" coordorigin="1711,954" coordsize="4512,2244">
            <v:shape style="position:absolute;left:3163;top:954;width:1805;height:2186" type="#_x0000_t75" stroked="false">
              <v:imagedata r:id="rId31" o:title=""/>
            </v:shape>
            <v:shape style="position:absolute;left:1711;top:954;width:1546;height:2206" type="#_x0000_t75" stroked="false">
              <v:imagedata r:id="rId32" o:title=""/>
            </v:shape>
            <v:shape style="position:absolute;left:4877;top:992;width:1346;height:2206" type="#_x0000_t75" stroked="false">
              <v:imagedata r:id="rId33" o:title=""/>
            </v:shape>
            <w10:wrap type="none"/>
          </v:group>
        </w:pict>
      </w:r>
      <w:r>
        <w:rPr/>
        <w:drawing>
          <wp:anchor distT="0" distB="0" distL="0" distR="0" allowOverlap="1" layoutInCell="1" locked="0" behindDoc="1" simplePos="0" relativeHeight="268219295">
            <wp:simplePos x="0" y="0"/>
            <wp:positionH relativeFrom="page">
              <wp:posOffset>3957828</wp:posOffset>
            </wp:positionH>
            <wp:positionV relativeFrom="paragraph">
              <wp:posOffset>605610</wp:posOffset>
            </wp:positionV>
            <wp:extent cx="1962601" cy="1403603"/>
            <wp:effectExtent l="0" t="0" r="0" b="0"/>
            <wp:wrapNone/>
            <wp:docPr id="13" name="image13.png" descr=""/>
            <wp:cNvGraphicFramePr>
              <a:graphicFrameLocks noChangeAspect="1"/>
            </wp:cNvGraphicFramePr>
            <a:graphic>
              <a:graphicData uri="http://schemas.openxmlformats.org/drawingml/2006/picture">
                <pic:pic>
                  <pic:nvPicPr>
                    <pic:cNvPr id="14" name="image13.png"/>
                    <pic:cNvPicPr/>
                  </pic:nvPicPr>
                  <pic:blipFill>
                    <a:blip r:embed="rId34" cstate="print"/>
                    <a:stretch>
                      <a:fillRect/>
                    </a:stretch>
                  </pic:blipFill>
                  <pic:spPr>
                    <a:xfrm>
                      <a:off x="0" y="0"/>
                      <a:ext cx="1962601" cy="1403603"/>
                    </a:xfrm>
                    <a:prstGeom prst="rect">
                      <a:avLst/>
                    </a:prstGeom>
                  </pic:spPr>
                </pic:pic>
              </a:graphicData>
            </a:graphic>
          </wp:anchor>
        </w:drawing>
      </w:r>
      <w:r>
        <w:rPr/>
        <w:drawing>
          <wp:anchor distT="0" distB="0" distL="0" distR="0" allowOverlap="1" layoutInCell="1" locked="0" behindDoc="0" simplePos="0" relativeHeight="1312">
            <wp:simplePos x="0" y="0"/>
            <wp:positionH relativeFrom="page">
              <wp:posOffset>5922264</wp:posOffset>
            </wp:positionH>
            <wp:positionV relativeFrom="paragraph">
              <wp:posOffset>605610</wp:posOffset>
            </wp:positionV>
            <wp:extent cx="884316" cy="1403603"/>
            <wp:effectExtent l="0" t="0" r="0" b="0"/>
            <wp:wrapNone/>
            <wp:docPr id="15" name="image14.png" descr=""/>
            <wp:cNvGraphicFramePr>
              <a:graphicFrameLocks noChangeAspect="1"/>
            </wp:cNvGraphicFramePr>
            <a:graphic>
              <a:graphicData uri="http://schemas.openxmlformats.org/drawingml/2006/picture">
                <pic:pic>
                  <pic:nvPicPr>
                    <pic:cNvPr id="16" name="image14.png"/>
                    <pic:cNvPicPr/>
                  </pic:nvPicPr>
                  <pic:blipFill>
                    <a:blip r:embed="rId35" cstate="print"/>
                    <a:stretch>
                      <a:fillRect/>
                    </a:stretch>
                  </pic:blipFill>
                  <pic:spPr>
                    <a:xfrm>
                      <a:off x="0" y="0"/>
                      <a:ext cx="884316" cy="1403603"/>
                    </a:xfrm>
                    <a:prstGeom prst="rect">
                      <a:avLst/>
                    </a:prstGeom>
                  </pic:spPr>
                </pic:pic>
              </a:graphicData>
            </a:graphic>
          </wp:anchor>
        </w:drawing>
      </w:r>
      <w:r>
        <w:rPr/>
        <w:t>Figura 8: Identificación bacteriológica de </w:t>
      </w:r>
      <w:r>
        <w:rPr>
          <w:i/>
        </w:rPr>
        <w:t>S. aureus </w:t>
      </w:r>
      <w:r>
        <w:rPr/>
        <w:t>por métodos microbiológicos y bioquímicos.</w:t>
      </w:r>
    </w:p>
    <w:p>
      <w:pPr>
        <w:pStyle w:val="BodyText"/>
        <w:spacing w:before="4" w:after="1"/>
        <w:rPr>
          <w:sz w:val="10"/>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5"/>
        <w:gridCol w:w="1611"/>
        <w:gridCol w:w="1358"/>
        <w:gridCol w:w="1426"/>
        <w:gridCol w:w="1666"/>
        <w:gridCol w:w="1402"/>
      </w:tblGrid>
      <w:tr>
        <w:trPr>
          <w:trHeight w:val="2684" w:hRule="exact"/>
        </w:trPr>
        <w:tc>
          <w:tcPr>
            <w:tcW w:w="1555" w:type="dxa"/>
          </w:tcPr>
          <w:p>
            <w:pPr/>
          </w:p>
        </w:tc>
        <w:tc>
          <w:tcPr>
            <w:tcW w:w="1611" w:type="dxa"/>
          </w:tcPr>
          <w:p>
            <w:pPr/>
          </w:p>
        </w:tc>
        <w:tc>
          <w:tcPr>
            <w:tcW w:w="1358" w:type="dxa"/>
          </w:tcPr>
          <w:p>
            <w:pPr/>
          </w:p>
        </w:tc>
        <w:tc>
          <w:tcPr>
            <w:tcW w:w="1426" w:type="dxa"/>
          </w:tcPr>
          <w:p>
            <w:pPr/>
          </w:p>
        </w:tc>
        <w:tc>
          <w:tcPr>
            <w:tcW w:w="1666" w:type="dxa"/>
          </w:tcPr>
          <w:p>
            <w:pPr/>
          </w:p>
        </w:tc>
        <w:tc>
          <w:tcPr>
            <w:tcW w:w="1402" w:type="dxa"/>
          </w:tcPr>
          <w:p>
            <w:pPr>
              <w:pStyle w:val="TableParagraph"/>
              <w:ind w:left="0"/>
              <w:jc w:val="left"/>
              <w:rPr>
                <w:sz w:val="20"/>
              </w:rPr>
            </w:pPr>
          </w:p>
          <w:p>
            <w:pPr>
              <w:pStyle w:val="TableParagraph"/>
              <w:ind w:left="0"/>
              <w:jc w:val="left"/>
              <w:rPr>
                <w:sz w:val="20"/>
              </w:rPr>
            </w:pPr>
          </w:p>
          <w:p>
            <w:pPr>
              <w:pStyle w:val="TableParagraph"/>
              <w:ind w:left="0"/>
              <w:jc w:val="left"/>
              <w:rPr>
                <w:sz w:val="20"/>
              </w:rPr>
            </w:pPr>
          </w:p>
          <w:p>
            <w:pPr>
              <w:pStyle w:val="TableParagraph"/>
              <w:ind w:left="0"/>
              <w:jc w:val="left"/>
              <w:rPr>
                <w:sz w:val="20"/>
              </w:rPr>
            </w:pPr>
          </w:p>
          <w:p>
            <w:pPr>
              <w:pStyle w:val="TableParagraph"/>
              <w:ind w:left="0"/>
              <w:jc w:val="left"/>
              <w:rPr>
                <w:sz w:val="20"/>
              </w:rPr>
            </w:pPr>
          </w:p>
          <w:p>
            <w:pPr>
              <w:pStyle w:val="TableParagraph"/>
              <w:ind w:left="0"/>
              <w:jc w:val="left"/>
              <w:rPr>
                <w:sz w:val="20"/>
              </w:rPr>
            </w:pPr>
          </w:p>
          <w:p>
            <w:pPr>
              <w:pStyle w:val="TableParagraph"/>
              <w:ind w:left="0"/>
              <w:jc w:val="left"/>
              <w:rPr>
                <w:sz w:val="20"/>
              </w:rPr>
            </w:pPr>
          </w:p>
          <w:p>
            <w:pPr>
              <w:pStyle w:val="TableParagraph"/>
              <w:ind w:left="0"/>
              <w:jc w:val="left"/>
              <w:rPr>
                <w:sz w:val="20"/>
              </w:rPr>
            </w:pPr>
          </w:p>
          <w:p>
            <w:pPr>
              <w:pStyle w:val="TableParagraph"/>
              <w:ind w:left="0"/>
              <w:jc w:val="left"/>
              <w:rPr>
                <w:sz w:val="20"/>
              </w:rPr>
            </w:pPr>
          </w:p>
          <w:p>
            <w:pPr>
              <w:pStyle w:val="TableParagraph"/>
              <w:ind w:left="0"/>
              <w:jc w:val="left"/>
              <w:rPr>
                <w:sz w:val="20"/>
              </w:rPr>
            </w:pPr>
          </w:p>
          <w:p>
            <w:pPr>
              <w:pStyle w:val="TableParagraph"/>
              <w:ind w:left="0"/>
              <w:jc w:val="left"/>
              <w:rPr>
                <w:sz w:val="20"/>
              </w:rPr>
            </w:pPr>
          </w:p>
        </w:tc>
      </w:tr>
      <w:tr>
        <w:trPr>
          <w:trHeight w:val="888" w:hRule="exact"/>
        </w:trPr>
        <w:tc>
          <w:tcPr>
            <w:tcW w:w="1555" w:type="dxa"/>
          </w:tcPr>
          <w:p>
            <w:pPr>
              <w:pStyle w:val="TableParagraph"/>
              <w:spacing w:line="227" w:lineRule="exact"/>
              <w:ind w:left="338"/>
              <w:jc w:val="left"/>
              <w:rPr>
                <w:sz w:val="20"/>
              </w:rPr>
            </w:pPr>
            <w:r>
              <w:rPr>
                <w:sz w:val="20"/>
              </w:rPr>
              <w:t>Hemólisis</w:t>
            </w:r>
          </w:p>
        </w:tc>
        <w:tc>
          <w:tcPr>
            <w:tcW w:w="1611" w:type="dxa"/>
          </w:tcPr>
          <w:p>
            <w:pPr>
              <w:pStyle w:val="TableParagraph"/>
              <w:spacing w:line="264" w:lineRule="auto"/>
              <w:ind w:left="167" w:right="147" w:firstLine="21"/>
              <w:jc w:val="left"/>
              <w:rPr>
                <w:sz w:val="20"/>
              </w:rPr>
            </w:pPr>
            <w:r>
              <w:rPr>
                <w:sz w:val="20"/>
              </w:rPr>
              <w:t>Fermentación de manitol por</w:t>
            </w:r>
          </w:p>
          <w:p>
            <w:pPr>
              <w:pStyle w:val="TableParagraph"/>
              <w:spacing w:line="230" w:lineRule="exact"/>
              <w:ind w:left="371" w:right="147"/>
              <w:jc w:val="left"/>
              <w:rPr>
                <w:i/>
                <w:sz w:val="20"/>
              </w:rPr>
            </w:pPr>
            <w:r>
              <w:rPr>
                <w:i/>
                <w:sz w:val="20"/>
              </w:rPr>
              <w:t>S. aureus</w:t>
            </w:r>
          </w:p>
        </w:tc>
        <w:tc>
          <w:tcPr>
            <w:tcW w:w="1358" w:type="dxa"/>
          </w:tcPr>
          <w:p>
            <w:pPr>
              <w:pStyle w:val="TableParagraph"/>
              <w:spacing w:line="264" w:lineRule="auto"/>
              <w:ind w:left="129" w:right="129" w:firstLine="1"/>
              <w:rPr>
                <w:i/>
                <w:sz w:val="20"/>
              </w:rPr>
            </w:pPr>
            <w:r>
              <w:rPr>
                <w:sz w:val="20"/>
              </w:rPr>
              <w:t>Tinción de Gram por </w:t>
            </w:r>
            <w:r>
              <w:rPr>
                <w:i/>
                <w:sz w:val="20"/>
              </w:rPr>
              <w:t>S. </w:t>
            </w:r>
            <w:r>
              <w:rPr>
                <w:i/>
                <w:sz w:val="20"/>
              </w:rPr>
              <w:t>aureus</w:t>
            </w:r>
          </w:p>
        </w:tc>
        <w:tc>
          <w:tcPr>
            <w:tcW w:w="1426" w:type="dxa"/>
          </w:tcPr>
          <w:p>
            <w:pPr>
              <w:pStyle w:val="TableParagraph"/>
              <w:spacing w:line="227" w:lineRule="exact"/>
              <w:ind w:left="309"/>
              <w:jc w:val="left"/>
              <w:rPr>
                <w:sz w:val="20"/>
              </w:rPr>
            </w:pPr>
            <w:r>
              <w:rPr>
                <w:sz w:val="20"/>
              </w:rPr>
              <w:t>Catalasa</w:t>
            </w:r>
          </w:p>
        </w:tc>
        <w:tc>
          <w:tcPr>
            <w:tcW w:w="1666" w:type="dxa"/>
          </w:tcPr>
          <w:p>
            <w:pPr>
              <w:pStyle w:val="TableParagraph"/>
              <w:spacing w:line="264" w:lineRule="auto"/>
              <w:ind w:left="350" w:right="347" w:firstLine="16"/>
              <w:jc w:val="left"/>
              <w:rPr>
                <w:sz w:val="20"/>
              </w:rPr>
            </w:pPr>
            <w:r>
              <w:rPr>
                <w:sz w:val="20"/>
              </w:rPr>
              <w:t>Prueba de </w:t>
            </w:r>
            <w:r>
              <w:rPr>
                <w:w w:val="95"/>
                <w:sz w:val="20"/>
              </w:rPr>
              <w:t>Coagulasa</w:t>
            </w:r>
          </w:p>
        </w:tc>
        <w:tc>
          <w:tcPr>
            <w:tcW w:w="1402" w:type="dxa"/>
          </w:tcPr>
          <w:p>
            <w:pPr>
              <w:pStyle w:val="TableParagraph"/>
              <w:spacing w:line="264" w:lineRule="auto"/>
              <w:ind w:left="237" w:right="224" w:firstLine="84"/>
              <w:jc w:val="left"/>
              <w:rPr>
                <w:sz w:val="20"/>
              </w:rPr>
            </w:pPr>
            <w:r>
              <w:rPr>
                <w:sz w:val="20"/>
              </w:rPr>
              <w:t>Vogues- Proskauer</w:t>
            </w:r>
          </w:p>
        </w:tc>
      </w:tr>
    </w:tbl>
    <w:p>
      <w:pPr>
        <w:pStyle w:val="BodyText"/>
        <w:spacing w:before="2"/>
        <w:rPr>
          <w:sz w:val="33"/>
        </w:rPr>
      </w:pPr>
    </w:p>
    <w:p>
      <w:pPr>
        <w:spacing w:before="0"/>
        <w:ind w:left="142" w:right="0" w:firstLine="0"/>
        <w:jc w:val="both"/>
        <w:rPr>
          <w:b/>
          <w:sz w:val="22"/>
        </w:rPr>
      </w:pPr>
      <w:bookmarkStart w:name="_bookmark46" w:id="58"/>
      <w:bookmarkEnd w:id="58"/>
      <w:r>
        <w:rPr/>
      </w:r>
      <w:r>
        <w:rPr>
          <w:b/>
          <w:sz w:val="22"/>
        </w:rPr>
        <w:t>Conservación de aislamientos</w:t>
      </w:r>
    </w:p>
    <w:p>
      <w:pPr>
        <w:pStyle w:val="BodyText"/>
        <w:spacing w:line="276" w:lineRule="auto" w:before="2"/>
        <w:ind w:left="142" w:right="298"/>
        <w:jc w:val="both"/>
      </w:pPr>
      <w:r>
        <w:rPr/>
        <w:t>Los aislamientos fueron conservados a -80°c en caldo infusión cerebro corazón (BHI) con 50% de glicerol en espera de análisis posteriores.</w:t>
      </w:r>
    </w:p>
    <w:p>
      <w:pPr>
        <w:spacing w:after="0" w:line="276" w:lineRule="auto"/>
        <w:jc w:val="both"/>
        <w:sectPr>
          <w:pgSz w:w="12240" w:h="15840"/>
          <w:pgMar w:header="728" w:footer="710" w:top="1200" w:bottom="900" w:left="1560" w:right="1400"/>
        </w:sectPr>
      </w:pPr>
    </w:p>
    <w:p>
      <w:pPr>
        <w:pStyle w:val="BodyText"/>
        <w:spacing w:before="9"/>
        <w:rPr>
          <w:sz w:val="12"/>
        </w:rPr>
      </w:pPr>
    </w:p>
    <w:p>
      <w:pPr>
        <w:spacing w:before="70"/>
        <w:ind w:left="142" w:right="0" w:firstLine="0"/>
        <w:jc w:val="both"/>
        <w:rPr>
          <w:b/>
          <w:i/>
          <w:sz w:val="24"/>
        </w:rPr>
      </w:pPr>
      <w:bookmarkStart w:name="_bookmark47" w:id="59"/>
      <w:bookmarkEnd w:id="59"/>
      <w:r>
        <w:rPr/>
      </w:r>
      <w:r>
        <w:rPr>
          <w:b/>
          <w:sz w:val="24"/>
        </w:rPr>
        <w:t>CARACTERIZACION DEL ANTIBIOTIPO DE </w:t>
      </w:r>
      <w:r>
        <w:rPr>
          <w:b/>
          <w:i/>
          <w:sz w:val="24"/>
        </w:rPr>
        <w:t>Staphylococcus aureus</w:t>
      </w:r>
    </w:p>
    <w:p>
      <w:pPr>
        <w:pStyle w:val="Heading2"/>
        <w:spacing w:before="26"/>
        <w:jc w:val="both"/>
      </w:pPr>
      <w:r>
        <w:rPr/>
        <w:t>RESISTENTE A LA METICILINA</w:t>
      </w:r>
    </w:p>
    <w:p>
      <w:pPr>
        <w:pStyle w:val="BodyText"/>
        <w:rPr>
          <w:b/>
        </w:rPr>
      </w:pPr>
    </w:p>
    <w:p>
      <w:pPr>
        <w:spacing w:line="253" w:lineRule="exact" w:before="139"/>
        <w:ind w:left="142" w:right="0" w:firstLine="0"/>
        <w:jc w:val="both"/>
        <w:rPr>
          <w:b/>
          <w:i/>
          <w:sz w:val="22"/>
        </w:rPr>
      </w:pPr>
      <w:bookmarkStart w:name="_bookmark48" w:id="60"/>
      <w:bookmarkEnd w:id="60"/>
      <w:r>
        <w:rPr/>
      </w:r>
      <w:r>
        <w:rPr>
          <w:b/>
          <w:sz w:val="22"/>
        </w:rPr>
        <w:t>Sensibilidad </w:t>
      </w:r>
      <w:r>
        <w:rPr>
          <w:b/>
          <w:i/>
          <w:sz w:val="22"/>
        </w:rPr>
        <w:t>in vitro </w:t>
      </w:r>
      <w:r>
        <w:rPr>
          <w:b/>
          <w:sz w:val="22"/>
        </w:rPr>
        <w:t>de </w:t>
      </w:r>
      <w:r>
        <w:rPr>
          <w:b/>
          <w:i/>
          <w:sz w:val="22"/>
        </w:rPr>
        <w:t>Staphylococcus aureus</w:t>
      </w:r>
    </w:p>
    <w:p>
      <w:pPr>
        <w:pStyle w:val="BodyText"/>
        <w:spacing w:line="276" w:lineRule="auto"/>
        <w:ind w:left="142" w:right="142"/>
        <w:jc w:val="both"/>
      </w:pPr>
      <w:r>
        <w:rPr/>
        <w:t>La sensibilidad </w:t>
      </w:r>
      <w:r>
        <w:rPr>
          <w:i/>
        </w:rPr>
        <w:t>in vitro </w:t>
      </w:r>
      <w:r>
        <w:rPr/>
        <w:t>a antibióticos se llevó a cabo por el método de difusión en disco siguiendo el procedimiento establecido por el Clinical Laboratory Standarts Institute (CLSI, 2014), empleándose los siguientes antibióticos: Penicilina (10U), Ampicilina (10µg), Gentamicina, (10µg), Tetraciclina (30µg), Eritromicina (15µg), Trimetoprim-sulfametoxazol (1.25/23.75µg), Cefalotina (30µg), Cerufoxima (30µg), Cefotaxima (30µg), Ceftazidima (30µg)</w:t>
      </w:r>
    </w:p>
    <w:p>
      <w:pPr>
        <w:pStyle w:val="BodyText"/>
        <w:spacing w:line="276" w:lineRule="auto" w:before="121"/>
        <w:ind w:left="142" w:right="142"/>
        <w:jc w:val="both"/>
      </w:pPr>
      <w:r>
        <w:rPr/>
        <w:t>Para la caracterizar </w:t>
      </w:r>
      <w:r>
        <w:rPr>
          <w:i/>
        </w:rPr>
        <w:t>S. aureus </w:t>
      </w:r>
      <w:r>
        <w:rPr/>
        <w:t>resistente a la meticilina, se emplearon unidiscos de oxacilina</w:t>
      </w:r>
      <w:r>
        <w:rPr>
          <w:spacing w:val="-10"/>
        </w:rPr>
        <w:t> </w:t>
      </w:r>
      <w:r>
        <w:rPr/>
        <w:t>(1µg),</w:t>
      </w:r>
      <w:r>
        <w:rPr>
          <w:spacing w:val="-12"/>
        </w:rPr>
        <w:t> </w:t>
      </w:r>
      <w:r>
        <w:rPr/>
        <w:t>cefoxitina</w:t>
      </w:r>
      <w:r>
        <w:rPr>
          <w:spacing w:val="-10"/>
        </w:rPr>
        <w:t> </w:t>
      </w:r>
      <w:r>
        <w:rPr/>
        <w:t>(30</w:t>
      </w:r>
      <w:r>
        <w:rPr>
          <w:spacing w:val="-11"/>
        </w:rPr>
        <w:t> </w:t>
      </w:r>
      <w:r>
        <w:rPr/>
        <w:t>µg),</w:t>
      </w:r>
      <w:r>
        <w:rPr>
          <w:spacing w:val="-12"/>
        </w:rPr>
        <w:t> </w:t>
      </w:r>
      <w:r>
        <w:rPr/>
        <w:t>y</w:t>
      </w:r>
      <w:r>
        <w:rPr>
          <w:spacing w:val="-14"/>
        </w:rPr>
        <w:t> </w:t>
      </w:r>
      <w:r>
        <w:rPr/>
        <w:t>amoxicilina/ácido</w:t>
      </w:r>
      <w:r>
        <w:rPr>
          <w:spacing w:val="-11"/>
        </w:rPr>
        <w:t> </w:t>
      </w:r>
      <w:r>
        <w:rPr/>
        <w:t>clavulánico</w:t>
      </w:r>
      <w:r>
        <w:rPr>
          <w:spacing w:val="-11"/>
        </w:rPr>
        <w:t> </w:t>
      </w:r>
      <w:r>
        <w:rPr/>
        <w:t>(20/10</w:t>
      </w:r>
      <w:r>
        <w:rPr>
          <w:spacing w:val="-11"/>
        </w:rPr>
        <w:t> </w:t>
      </w:r>
      <w:r>
        <w:rPr/>
        <w:t>µg),</w:t>
      </w:r>
      <w:r>
        <w:rPr>
          <w:spacing w:val="-12"/>
        </w:rPr>
        <w:t> </w:t>
      </w:r>
      <w:r>
        <w:rPr/>
        <w:t>(CLSI, 2014).</w:t>
      </w:r>
    </w:p>
    <w:p>
      <w:pPr>
        <w:pStyle w:val="BodyText"/>
        <w:spacing w:line="276" w:lineRule="auto" w:before="120"/>
        <w:ind w:left="142" w:right="139"/>
        <w:jc w:val="both"/>
      </w:pPr>
      <w:r>
        <w:rPr/>
        <w:t>El inoculo se preparó empleando el método de suspensión directa de colonias en caldo</w:t>
      </w:r>
      <w:r>
        <w:rPr>
          <w:spacing w:val="-4"/>
        </w:rPr>
        <w:t> </w:t>
      </w:r>
      <w:r>
        <w:rPr/>
        <w:t>Mueller-Hinton,</w:t>
      </w:r>
      <w:r>
        <w:rPr>
          <w:spacing w:val="-5"/>
        </w:rPr>
        <w:t> </w:t>
      </w:r>
      <w:r>
        <w:rPr/>
        <w:t>se</w:t>
      </w:r>
      <w:r>
        <w:rPr>
          <w:spacing w:val="-5"/>
        </w:rPr>
        <w:t> </w:t>
      </w:r>
      <w:r>
        <w:rPr/>
        <w:t>comparó</w:t>
      </w:r>
      <w:r>
        <w:rPr>
          <w:spacing w:val="-8"/>
        </w:rPr>
        <w:t> </w:t>
      </w:r>
      <w:r>
        <w:rPr/>
        <w:t>la</w:t>
      </w:r>
      <w:r>
        <w:rPr>
          <w:spacing w:val="-5"/>
        </w:rPr>
        <w:t> </w:t>
      </w:r>
      <w:r>
        <w:rPr/>
        <w:t>turbidez</w:t>
      </w:r>
      <w:r>
        <w:rPr>
          <w:spacing w:val="-8"/>
        </w:rPr>
        <w:t> </w:t>
      </w:r>
      <w:r>
        <w:rPr/>
        <w:t>de</w:t>
      </w:r>
      <w:r>
        <w:rPr>
          <w:spacing w:val="-5"/>
        </w:rPr>
        <w:t> </w:t>
      </w:r>
      <w:r>
        <w:rPr/>
        <w:t>crecimiento</w:t>
      </w:r>
      <w:r>
        <w:rPr>
          <w:spacing w:val="-5"/>
        </w:rPr>
        <w:t> </w:t>
      </w:r>
      <w:r>
        <w:rPr/>
        <w:t>bacteriano</w:t>
      </w:r>
      <w:r>
        <w:rPr>
          <w:spacing w:val="-7"/>
        </w:rPr>
        <w:t> </w:t>
      </w:r>
      <w:r>
        <w:rPr/>
        <w:t>establecido por el método de McFarland 0.5 (1.5 x 10</w:t>
      </w:r>
      <w:r>
        <w:rPr>
          <w:position w:val="8"/>
          <w:sz w:val="16"/>
        </w:rPr>
        <w:t>8 </w:t>
      </w:r>
      <w:r>
        <w:rPr/>
        <w:t>UFC/g) (Anexo 7) Para inocular el agar Mueller-Hinton se utilizó un hisopo estéril de algodón, el cual se humedeció con la suspensión y se distribuyó uniformemente en toda la superficie de la placa, se dejó secar 10 minutos y se depositaron los discos</w:t>
      </w:r>
      <w:r>
        <w:rPr>
          <w:spacing w:val="-18"/>
        </w:rPr>
        <w:t> </w:t>
      </w:r>
      <w:r>
        <w:rPr/>
        <w:t>correspondientes.</w:t>
      </w:r>
    </w:p>
    <w:p>
      <w:pPr>
        <w:pStyle w:val="BodyText"/>
        <w:spacing w:line="276" w:lineRule="auto" w:before="123"/>
        <w:ind w:left="142" w:right="137"/>
        <w:jc w:val="both"/>
      </w:pPr>
      <w:r>
        <w:rPr/>
        <w:t>La zona de inhibición se determinó después de 24 horas de incubación y se compararon</w:t>
      </w:r>
      <w:r>
        <w:rPr>
          <w:spacing w:val="-13"/>
        </w:rPr>
        <w:t> </w:t>
      </w:r>
      <w:r>
        <w:rPr/>
        <w:t>con</w:t>
      </w:r>
      <w:r>
        <w:rPr>
          <w:spacing w:val="-11"/>
        </w:rPr>
        <w:t> </w:t>
      </w:r>
      <w:r>
        <w:rPr/>
        <w:t>los</w:t>
      </w:r>
      <w:r>
        <w:rPr>
          <w:spacing w:val="-13"/>
        </w:rPr>
        <w:t> </w:t>
      </w:r>
      <w:r>
        <w:rPr/>
        <w:t>valores</w:t>
      </w:r>
      <w:r>
        <w:rPr>
          <w:spacing w:val="-12"/>
        </w:rPr>
        <w:t> </w:t>
      </w:r>
      <w:r>
        <w:rPr/>
        <w:t>establecidos</w:t>
      </w:r>
      <w:r>
        <w:rPr>
          <w:spacing w:val="-14"/>
        </w:rPr>
        <w:t> </w:t>
      </w:r>
      <w:r>
        <w:rPr/>
        <w:t>con</w:t>
      </w:r>
      <w:r>
        <w:rPr>
          <w:spacing w:val="-15"/>
        </w:rPr>
        <w:t> </w:t>
      </w:r>
      <w:r>
        <w:rPr/>
        <w:t>el</w:t>
      </w:r>
      <w:r>
        <w:rPr>
          <w:spacing w:val="-12"/>
        </w:rPr>
        <w:t> </w:t>
      </w:r>
      <w:r>
        <w:rPr/>
        <w:t>CLSI,</w:t>
      </w:r>
      <w:r>
        <w:rPr>
          <w:spacing w:val="-11"/>
        </w:rPr>
        <w:t> </w:t>
      </w:r>
      <w:r>
        <w:rPr/>
        <w:t>(2014).</w:t>
      </w:r>
      <w:r>
        <w:rPr>
          <w:spacing w:val="-14"/>
        </w:rPr>
        <w:t> </w:t>
      </w:r>
      <w:r>
        <w:rPr/>
        <w:t>Para</w:t>
      </w:r>
      <w:r>
        <w:rPr>
          <w:spacing w:val="-14"/>
        </w:rPr>
        <w:t> </w:t>
      </w:r>
      <w:r>
        <w:rPr/>
        <w:t>la</w:t>
      </w:r>
      <w:r>
        <w:rPr>
          <w:spacing w:val="-11"/>
        </w:rPr>
        <w:t> </w:t>
      </w:r>
      <w:r>
        <w:rPr/>
        <w:t>determinación del</w:t>
      </w:r>
      <w:r>
        <w:rPr>
          <w:spacing w:val="-20"/>
        </w:rPr>
        <w:t> </w:t>
      </w:r>
      <w:r>
        <w:rPr/>
        <w:t>fenótipo</w:t>
      </w:r>
      <w:r>
        <w:rPr>
          <w:spacing w:val="-17"/>
        </w:rPr>
        <w:t> </w:t>
      </w:r>
      <w:r>
        <w:rPr/>
        <w:t>de</w:t>
      </w:r>
      <w:r>
        <w:rPr>
          <w:spacing w:val="-17"/>
        </w:rPr>
        <w:t> </w:t>
      </w:r>
      <w:r>
        <w:rPr/>
        <w:t>resistencia,</w:t>
      </w:r>
      <w:r>
        <w:rPr>
          <w:spacing w:val="-17"/>
        </w:rPr>
        <w:t> </w:t>
      </w:r>
      <w:r>
        <w:rPr/>
        <w:t>intermedio</w:t>
      </w:r>
      <w:r>
        <w:rPr>
          <w:spacing w:val="-17"/>
        </w:rPr>
        <w:t> </w:t>
      </w:r>
      <w:r>
        <w:rPr/>
        <w:t>y</w:t>
      </w:r>
      <w:r>
        <w:rPr>
          <w:spacing w:val="-15"/>
        </w:rPr>
        <w:t> </w:t>
      </w:r>
      <w:r>
        <w:rPr/>
        <w:t>sensibilidad</w:t>
      </w:r>
      <w:r>
        <w:rPr>
          <w:spacing w:val="-17"/>
        </w:rPr>
        <w:t> </w:t>
      </w:r>
      <w:r>
        <w:rPr/>
        <w:t>a</w:t>
      </w:r>
      <w:r>
        <w:rPr>
          <w:spacing w:val="-17"/>
        </w:rPr>
        <w:t> </w:t>
      </w:r>
      <w:r>
        <w:rPr/>
        <w:t>los</w:t>
      </w:r>
      <w:r>
        <w:rPr>
          <w:spacing w:val="-19"/>
        </w:rPr>
        <w:t> </w:t>
      </w:r>
      <w:r>
        <w:rPr/>
        <w:t>antibióticos</w:t>
      </w:r>
      <w:r>
        <w:rPr>
          <w:spacing w:val="-17"/>
        </w:rPr>
        <w:t> </w:t>
      </w:r>
      <w:r>
        <w:rPr/>
        <w:t>para</w:t>
      </w:r>
      <w:r>
        <w:rPr>
          <w:spacing w:val="-17"/>
        </w:rPr>
        <w:t> </w:t>
      </w:r>
      <w:r>
        <w:rPr/>
        <w:t>el</w:t>
      </w:r>
      <w:r>
        <w:rPr>
          <w:spacing w:val="-18"/>
        </w:rPr>
        <w:t> </w:t>
      </w:r>
      <w:r>
        <w:rPr/>
        <w:t>género </w:t>
      </w:r>
      <w:r>
        <w:rPr>
          <w:i/>
        </w:rPr>
        <w:t>Staphylococcus</w:t>
      </w:r>
      <w:r>
        <w:rPr>
          <w:i/>
          <w:spacing w:val="-15"/>
        </w:rPr>
        <w:t> </w:t>
      </w:r>
      <w:r>
        <w:rPr>
          <w:i/>
        </w:rPr>
        <w:t>spp.</w:t>
      </w:r>
      <w:r>
        <w:rPr>
          <w:i/>
          <w:spacing w:val="-13"/>
        </w:rPr>
        <w:t> </w:t>
      </w:r>
      <w:r>
        <w:rPr/>
        <w:t>se</w:t>
      </w:r>
      <w:r>
        <w:rPr>
          <w:spacing w:val="-14"/>
        </w:rPr>
        <w:t> </w:t>
      </w:r>
      <w:r>
        <w:rPr/>
        <w:t>usaron</w:t>
      </w:r>
      <w:r>
        <w:rPr>
          <w:spacing w:val="-14"/>
        </w:rPr>
        <w:t> </w:t>
      </w:r>
      <w:r>
        <w:rPr/>
        <w:t>como</w:t>
      </w:r>
      <w:r>
        <w:rPr>
          <w:spacing w:val="-14"/>
        </w:rPr>
        <w:t> </w:t>
      </w:r>
      <w:r>
        <w:rPr/>
        <w:t>controles</w:t>
      </w:r>
      <w:r>
        <w:rPr>
          <w:spacing w:val="-15"/>
        </w:rPr>
        <w:t> </w:t>
      </w:r>
      <w:r>
        <w:rPr/>
        <w:t>las</w:t>
      </w:r>
      <w:r>
        <w:rPr>
          <w:spacing w:val="-14"/>
        </w:rPr>
        <w:t> </w:t>
      </w:r>
      <w:r>
        <w:rPr/>
        <w:t>cepas</w:t>
      </w:r>
      <w:r>
        <w:rPr>
          <w:spacing w:val="-15"/>
        </w:rPr>
        <w:t> </w:t>
      </w:r>
      <w:r>
        <w:rPr/>
        <w:t>de</w:t>
      </w:r>
      <w:r>
        <w:rPr>
          <w:spacing w:val="-10"/>
        </w:rPr>
        <w:t> </w:t>
      </w:r>
      <w:r>
        <w:rPr>
          <w:i/>
        </w:rPr>
        <w:t>S.</w:t>
      </w:r>
      <w:r>
        <w:rPr>
          <w:i/>
          <w:spacing w:val="-17"/>
        </w:rPr>
        <w:t> </w:t>
      </w:r>
      <w:r>
        <w:rPr>
          <w:i/>
        </w:rPr>
        <w:t>aureus</w:t>
      </w:r>
      <w:r>
        <w:rPr>
          <w:i/>
          <w:spacing w:val="-14"/>
        </w:rPr>
        <w:t> </w:t>
      </w:r>
      <w:r>
        <w:rPr/>
        <w:t>ATCC</w:t>
      </w:r>
      <w:r>
        <w:rPr>
          <w:spacing w:val="-16"/>
        </w:rPr>
        <w:t> </w:t>
      </w:r>
      <w:r>
        <w:rPr/>
        <w:t>25923 y ATCC</w:t>
      </w:r>
      <w:r>
        <w:rPr>
          <w:spacing w:val="-5"/>
        </w:rPr>
        <w:t> </w:t>
      </w:r>
      <w:r>
        <w:rPr/>
        <w:t>43300.</w:t>
      </w:r>
    </w:p>
    <w:p>
      <w:pPr>
        <w:spacing w:after="0" w:line="276" w:lineRule="auto"/>
        <w:jc w:val="both"/>
        <w:sectPr>
          <w:pgSz w:w="12240" w:h="15840"/>
          <w:pgMar w:header="728" w:footer="710" w:top="1200" w:bottom="900" w:left="1560" w:right="1560"/>
        </w:sectPr>
      </w:pPr>
    </w:p>
    <w:p>
      <w:pPr>
        <w:pStyle w:val="BodyText"/>
        <w:spacing w:before="9"/>
        <w:rPr>
          <w:sz w:val="12"/>
        </w:rPr>
      </w:pPr>
    </w:p>
    <w:p>
      <w:pPr>
        <w:pStyle w:val="Heading2"/>
        <w:spacing w:line="264" w:lineRule="auto"/>
        <w:ind w:right="571"/>
      </w:pPr>
      <w:bookmarkStart w:name="_bookmark49" w:id="61"/>
      <w:bookmarkEnd w:id="61"/>
      <w:r>
        <w:rPr>
          <w:b w:val="0"/>
        </w:rPr>
      </w:r>
      <w:r>
        <w:rPr/>
        <w:t>DETECCIÓN DE AISLAMIENTOS DE MRSA, MEDIANTE LA REACCIÓN EN CADENA DE LA POLIMERASA</w:t>
      </w:r>
    </w:p>
    <w:p>
      <w:pPr>
        <w:pStyle w:val="BodyText"/>
        <w:spacing w:before="8"/>
        <w:rPr>
          <w:b/>
          <w:sz w:val="33"/>
        </w:rPr>
      </w:pPr>
    </w:p>
    <w:p>
      <w:pPr>
        <w:spacing w:before="0"/>
        <w:ind w:left="142" w:right="0" w:firstLine="0"/>
        <w:jc w:val="both"/>
        <w:rPr>
          <w:b/>
          <w:sz w:val="22"/>
        </w:rPr>
      </w:pPr>
      <w:bookmarkStart w:name="_bookmark50" w:id="62"/>
      <w:bookmarkEnd w:id="62"/>
      <w:r>
        <w:rPr/>
      </w:r>
      <w:r>
        <w:rPr>
          <w:b/>
          <w:sz w:val="22"/>
        </w:rPr>
        <w:t>Extracción de ADN bacteriano</w:t>
      </w:r>
    </w:p>
    <w:p>
      <w:pPr>
        <w:pStyle w:val="BodyText"/>
        <w:spacing w:line="276" w:lineRule="auto" w:before="2"/>
        <w:ind w:left="142" w:right="143"/>
        <w:jc w:val="both"/>
      </w:pPr>
      <w:r>
        <w:rPr/>
        <w:t>La extracción de ADN nuclear se llevó a cabo utilizando el kit comercial, GeneJET Genomic DNA purification Kit (Thermo Scientific, EUA) siguiendo las instrucciones del fabricante (Anexo X).</w:t>
      </w:r>
    </w:p>
    <w:p>
      <w:pPr>
        <w:spacing w:before="117"/>
        <w:ind w:left="142" w:right="0" w:firstLine="0"/>
        <w:jc w:val="both"/>
        <w:rPr>
          <w:b/>
          <w:sz w:val="22"/>
        </w:rPr>
      </w:pPr>
      <w:bookmarkStart w:name="_bookmark51" w:id="63"/>
      <w:bookmarkEnd w:id="63"/>
      <w:r>
        <w:rPr/>
      </w:r>
      <w:r>
        <w:rPr>
          <w:b/>
          <w:sz w:val="22"/>
        </w:rPr>
        <w:t>Cuantificación del ADN</w:t>
      </w:r>
    </w:p>
    <w:p>
      <w:pPr>
        <w:pStyle w:val="BodyText"/>
        <w:spacing w:line="276" w:lineRule="auto" w:before="2"/>
        <w:ind w:left="142" w:right="137"/>
        <w:jc w:val="both"/>
      </w:pPr>
      <w:r>
        <w:rPr/>
        <w:t>La concentración y pureza del ADN extraído se cuantificó mediante el espectrofotómetro y programa informativo de cuantificación NANO-DROP. La pureza</w:t>
      </w:r>
      <w:r>
        <w:rPr>
          <w:spacing w:val="-4"/>
        </w:rPr>
        <w:t> </w:t>
      </w:r>
      <w:r>
        <w:rPr/>
        <w:t>del</w:t>
      </w:r>
      <w:r>
        <w:rPr>
          <w:spacing w:val="-7"/>
        </w:rPr>
        <w:t> </w:t>
      </w:r>
      <w:r>
        <w:rPr/>
        <w:t>ADN</w:t>
      </w:r>
      <w:r>
        <w:rPr>
          <w:spacing w:val="-5"/>
        </w:rPr>
        <w:t> </w:t>
      </w:r>
      <w:r>
        <w:rPr/>
        <w:t>se</w:t>
      </w:r>
      <w:r>
        <w:rPr>
          <w:spacing w:val="-4"/>
        </w:rPr>
        <w:t> </w:t>
      </w:r>
      <w:r>
        <w:rPr/>
        <w:t>obtiene</w:t>
      </w:r>
      <w:r>
        <w:rPr>
          <w:spacing w:val="-6"/>
        </w:rPr>
        <w:t> </w:t>
      </w:r>
      <w:r>
        <w:rPr/>
        <w:t>por</w:t>
      </w:r>
      <w:r>
        <w:rPr>
          <w:spacing w:val="-5"/>
        </w:rPr>
        <w:t> </w:t>
      </w:r>
      <w:r>
        <w:rPr/>
        <w:t>la</w:t>
      </w:r>
      <w:r>
        <w:rPr>
          <w:spacing w:val="-4"/>
        </w:rPr>
        <w:t> </w:t>
      </w:r>
      <w:r>
        <w:rPr/>
        <w:t>relación</w:t>
      </w:r>
      <w:r>
        <w:rPr>
          <w:spacing w:val="-6"/>
        </w:rPr>
        <w:t> </w:t>
      </w:r>
      <w:r>
        <w:rPr/>
        <w:t>entre</w:t>
      </w:r>
      <w:r>
        <w:rPr>
          <w:spacing w:val="-4"/>
        </w:rPr>
        <w:t> </w:t>
      </w:r>
      <w:r>
        <w:rPr/>
        <w:t>la</w:t>
      </w:r>
      <w:r>
        <w:rPr>
          <w:spacing w:val="-4"/>
        </w:rPr>
        <w:t> </w:t>
      </w:r>
      <w:r>
        <w:rPr/>
        <w:t>absorbancia</w:t>
      </w:r>
      <w:r>
        <w:rPr>
          <w:spacing w:val="-4"/>
        </w:rPr>
        <w:t> </w:t>
      </w:r>
      <w:r>
        <w:rPr/>
        <w:t>de</w:t>
      </w:r>
      <w:r>
        <w:rPr>
          <w:spacing w:val="-4"/>
        </w:rPr>
        <w:t> </w:t>
      </w:r>
      <w:r>
        <w:rPr/>
        <w:t>260nm</w:t>
      </w:r>
      <w:r>
        <w:rPr>
          <w:spacing w:val="-4"/>
        </w:rPr>
        <w:t> </w:t>
      </w:r>
      <w:r>
        <w:rPr/>
        <w:t>y</w:t>
      </w:r>
      <w:r>
        <w:rPr>
          <w:spacing w:val="-7"/>
        </w:rPr>
        <w:t> </w:t>
      </w:r>
      <w:r>
        <w:rPr/>
        <w:t>280nm. La preparación pura del ADN presenta un cociente entre 1.8 y</w:t>
      </w:r>
      <w:r>
        <w:rPr>
          <w:spacing w:val="-18"/>
        </w:rPr>
        <w:t> </w:t>
      </w:r>
      <w:r>
        <w:rPr/>
        <w:t>2.0.</w:t>
      </w:r>
    </w:p>
    <w:p>
      <w:pPr>
        <w:spacing w:before="117"/>
        <w:ind w:left="142" w:right="0" w:firstLine="0"/>
        <w:jc w:val="both"/>
        <w:rPr>
          <w:b/>
          <w:sz w:val="22"/>
        </w:rPr>
      </w:pPr>
      <w:bookmarkStart w:name="_bookmark52" w:id="64"/>
      <w:bookmarkEnd w:id="64"/>
      <w:r>
        <w:rPr/>
      </w:r>
      <w:r>
        <w:rPr>
          <w:b/>
          <w:sz w:val="22"/>
        </w:rPr>
        <w:t>Detección de los genes </w:t>
      </w:r>
      <w:r>
        <w:rPr>
          <w:b/>
          <w:i/>
          <w:sz w:val="22"/>
        </w:rPr>
        <w:t>femB </w:t>
      </w:r>
      <w:r>
        <w:rPr>
          <w:b/>
          <w:sz w:val="22"/>
        </w:rPr>
        <w:t>y </w:t>
      </w:r>
      <w:r>
        <w:rPr>
          <w:b/>
          <w:i/>
          <w:sz w:val="22"/>
        </w:rPr>
        <w:t>mecA </w:t>
      </w:r>
      <w:r>
        <w:rPr>
          <w:b/>
          <w:sz w:val="22"/>
        </w:rPr>
        <w:t>por PCR multiplex</w:t>
      </w:r>
    </w:p>
    <w:p>
      <w:pPr>
        <w:pStyle w:val="BodyText"/>
        <w:spacing w:line="276" w:lineRule="auto" w:before="2"/>
        <w:ind w:left="142" w:right="135"/>
        <w:jc w:val="both"/>
      </w:pPr>
      <w:r>
        <w:rPr/>
        <w:t>Todos los aislamientos de </w:t>
      </w:r>
      <w:r>
        <w:rPr>
          <w:i/>
        </w:rPr>
        <w:t>S. aureus </w:t>
      </w:r>
      <w:r>
        <w:rPr/>
        <w:t>fueron probados para la identificación de MRSA,</w:t>
      </w:r>
      <w:r>
        <w:rPr>
          <w:spacing w:val="-6"/>
        </w:rPr>
        <w:t> </w:t>
      </w:r>
      <w:r>
        <w:rPr/>
        <w:t>el</w:t>
      </w:r>
      <w:r>
        <w:rPr>
          <w:spacing w:val="-7"/>
        </w:rPr>
        <w:t> </w:t>
      </w:r>
      <w:r>
        <w:rPr/>
        <w:t>cual</w:t>
      </w:r>
      <w:r>
        <w:rPr>
          <w:spacing w:val="-7"/>
        </w:rPr>
        <w:t> </w:t>
      </w:r>
      <w:r>
        <w:rPr/>
        <w:t>se</w:t>
      </w:r>
      <w:r>
        <w:rPr>
          <w:spacing w:val="-6"/>
        </w:rPr>
        <w:t> </w:t>
      </w:r>
      <w:r>
        <w:rPr/>
        <w:t>llevó</w:t>
      </w:r>
      <w:r>
        <w:rPr>
          <w:spacing w:val="-8"/>
        </w:rPr>
        <w:t> </w:t>
      </w:r>
      <w:r>
        <w:rPr/>
        <w:t>a</w:t>
      </w:r>
      <w:r>
        <w:rPr>
          <w:spacing w:val="-6"/>
        </w:rPr>
        <w:t> </w:t>
      </w:r>
      <w:r>
        <w:rPr/>
        <w:t>cabo</w:t>
      </w:r>
      <w:r>
        <w:rPr>
          <w:spacing w:val="-8"/>
        </w:rPr>
        <w:t> </w:t>
      </w:r>
      <w:r>
        <w:rPr/>
        <w:t>mediante</w:t>
      </w:r>
      <w:r>
        <w:rPr>
          <w:spacing w:val="-6"/>
        </w:rPr>
        <w:t> </w:t>
      </w:r>
      <w:r>
        <w:rPr/>
        <w:t>la</w:t>
      </w:r>
      <w:r>
        <w:rPr>
          <w:spacing w:val="-9"/>
        </w:rPr>
        <w:t> </w:t>
      </w:r>
      <w:r>
        <w:rPr/>
        <w:t>detección</w:t>
      </w:r>
      <w:r>
        <w:rPr>
          <w:spacing w:val="-8"/>
        </w:rPr>
        <w:t> </w:t>
      </w:r>
      <w:r>
        <w:rPr/>
        <w:t>del</w:t>
      </w:r>
      <w:r>
        <w:rPr>
          <w:spacing w:val="-7"/>
        </w:rPr>
        <w:t> </w:t>
      </w:r>
      <w:r>
        <w:rPr/>
        <w:t>gen</w:t>
      </w:r>
      <w:r>
        <w:rPr>
          <w:spacing w:val="-2"/>
        </w:rPr>
        <w:t> </w:t>
      </w:r>
      <w:r>
        <w:rPr>
          <w:i/>
        </w:rPr>
        <w:t>femB</w:t>
      </w:r>
      <w:r>
        <w:rPr>
          <w:i/>
          <w:spacing w:val="-6"/>
        </w:rPr>
        <w:t> </w:t>
      </w:r>
      <w:r>
        <w:rPr/>
        <w:t>(especifico</w:t>
      </w:r>
      <w:r>
        <w:rPr>
          <w:spacing w:val="-9"/>
        </w:rPr>
        <w:t> </w:t>
      </w:r>
      <w:r>
        <w:rPr/>
        <w:t>de</w:t>
      </w:r>
      <w:r>
        <w:rPr>
          <w:spacing w:val="-7"/>
        </w:rPr>
        <w:t> </w:t>
      </w:r>
      <w:r>
        <w:rPr>
          <w:i/>
        </w:rPr>
        <w:t>S. </w:t>
      </w:r>
      <w:r>
        <w:rPr>
          <w:i/>
        </w:rPr>
        <w:t>aureus</w:t>
      </w:r>
      <w:r>
        <w:rPr/>
        <w:t>) y del gen </w:t>
      </w:r>
      <w:r>
        <w:rPr>
          <w:i/>
        </w:rPr>
        <w:t>mecA </w:t>
      </w:r>
      <w:r>
        <w:rPr/>
        <w:t>(codificante de la resistencia a la meticilina) (Kobayashi </w:t>
      </w:r>
      <w:r>
        <w:rPr>
          <w:i/>
        </w:rPr>
        <w:t>et </w:t>
      </w:r>
      <w:r>
        <w:rPr>
          <w:i/>
        </w:rPr>
        <w:t>al., </w:t>
      </w:r>
      <w:r>
        <w:rPr/>
        <w:t>1994), los iniciadores utilizados se especifican en el cuadro 6. Las condiciones de</w:t>
      </w:r>
      <w:r>
        <w:rPr>
          <w:spacing w:val="-17"/>
        </w:rPr>
        <w:t> </w:t>
      </w:r>
      <w:r>
        <w:rPr/>
        <w:t>amplificación</w:t>
      </w:r>
      <w:r>
        <w:rPr>
          <w:spacing w:val="-17"/>
        </w:rPr>
        <w:t> </w:t>
      </w:r>
      <w:r>
        <w:rPr/>
        <w:t>empleadas</w:t>
      </w:r>
      <w:r>
        <w:rPr>
          <w:spacing w:val="-20"/>
        </w:rPr>
        <w:t> </w:t>
      </w:r>
      <w:r>
        <w:rPr/>
        <w:t>fueron</w:t>
      </w:r>
      <w:r>
        <w:rPr>
          <w:spacing w:val="-17"/>
        </w:rPr>
        <w:t> </w:t>
      </w:r>
      <w:r>
        <w:rPr/>
        <w:t>las</w:t>
      </w:r>
      <w:r>
        <w:rPr>
          <w:spacing w:val="-17"/>
        </w:rPr>
        <w:t> </w:t>
      </w:r>
      <w:r>
        <w:rPr/>
        <w:t>siguientes;</w:t>
      </w:r>
      <w:r>
        <w:rPr>
          <w:spacing w:val="-17"/>
        </w:rPr>
        <w:t> </w:t>
      </w:r>
      <w:r>
        <w:rPr/>
        <w:t>desnaturalización</w:t>
      </w:r>
      <w:r>
        <w:rPr>
          <w:spacing w:val="-16"/>
        </w:rPr>
        <w:t> </w:t>
      </w:r>
      <w:r>
        <w:rPr/>
        <w:t>inicial</w:t>
      </w:r>
      <w:r>
        <w:rPr>
          <w:spacing w:val="-18"/>
        </w:rPr>
        <w:t> </w:t>
      </w:r>
      <w:r>
        <w:rPr/>
        <w:t>94</w:t>
      </w:r>
      <w:r>
        <w:rPr>
          <w:spacing w:val="-17"/>
        </w:rPr>
        <w:t> </w:t>
      </w:r>
      <w:r>
        <w:rPr/>
        <w:t>°C</w:t>
      </w:r>
      <w:r>
        <w:rPr>
          <w:spacing w:val="-20"/>
        </w:rPr>
        <w:t> </w:t>
      </w:r>
      <w:r>
        <w:rPr/>
        <w:t>por 5 minutos, desnaturalización 94°C por 1 minuto, alineación 55 °C por un minuto, extensión 72 °C por 2 minutos y extensión final a 72°C por 7</w:t>
      </w:r>
      <w:r>
        <w:rPr>
          <w:spacing w:val="-22"/>
        </w:rPr>
        <w:t> </w:t>
      </w:r>
      <w:r>
        <w:rPr/>
        <w:t>minutos.</w:t>
      </w:r>
    </w:p>
    <w:p>
      <w:pPr>
        <w:pStyle w:val="BodyText"/>
        <w:spacing w:line="276" w:lineRule="auto" w:before="121"/>
        <w:ind w:left="142" w:right="135"/>
        <w:jc w:val="both"/>
      </w:pPr>
      <w:r>
        <w:rPr/>
        <w:t>Todas</w:t>
      </w:r>
      <w:r>
        <w:rPr>
          <w:spacing w:val="-16"/>
        </w:rPr>
        <w:t> </w:t>
      </w:r>
      <w:r>
        <w:rPr/>
        <w:t>las</w:t>
      </w:r>
      <w:r>
        <w:rPr>
          <w:spacing w:val="-16"/>
        </w:rPr>
        <w:t> </w:t>
      </w:r>
      <w:r>
        <w:rPr/>
        <w:t>reacciones</w:t>
      </w:r>
      <w:r>
        <w:rPr>
          <w:spacing w:val="-16"/>
        </w:rPr>
        <w:t> </w:t>
      </w:r>
      <w:r>
        <w:rPr/>
        <w:t>de</w:t>
      </w:r>
      <w:r>
        <w:rPr>
          <w:spacing w:val="-16"/>
        </w:rPr>
        <w:t> </w:t>
      </w:r>
      <w:r>
        <w:rPr/>
        <w:t>PCR</w:t>
      </w:r>
      <w:r>
        <w:rPr>
          <w:spacing w:val="-17"/>
        </w:rPr>
        <w:t> </w:t>
      </w:r>
      <w:r>
        <w:rPr/>
        <w:t>se</w:t>
      </w:r>
      <w:r>
        <w:rPr>
          <w:spacing w:val="-16"/>
        </w:rPr>
        <w:t> </w:t>
      </w:r>
      <w:r>
        <w:rPr/>
        <w:t>llevaron</w:t>
      </w:r>
      <w:r>
        <w:rPr>
          <w:spacing w:val="-15"/>
        </w:rPr>
        <w:t> </w:t>
      </w:r>
      <w:r>
        <w:rPr/>
        <w:t>a</w:t>
      </w:r>
      <w:r>
        <w:rPr>
          <w:spacing w:val="-16"/>
        </w:rPr>
        <w:t> </w:t>
      </w:r>
      <w:r>
        <w:rPr/>
        <w:t>cabo</w:t>
      </w:r>
      <w:r>
        <w:rPr>
          <w:spacing w:val="-16"/>
        </w:rPr>
        <w:t> </w:t>
      </w:r>
      <w:r>
        <w:rPr/>
        <w:t>en</w:t>
      </w:r>
      <w:r>
        <w:rPr>
          <w:spacing w:val="-16"/>
        </w:rPr>
        <w:t> </w:t>
      </w:r>
      <w:r>
        <w:rPr/>
        <w:t>un</w:t>
      </w:r>
      <w:r>
        <w:rPr>
          <w:spacing w:val="-18"/>
        </w:rPr>
        <w:t> </w:t>
      </w:r>
      <w:r>
        <w:rPr/>
        <w:t>volumen</w:t>
      </w:r>
      <w:r>
        <w:rPr>
          <w:spacing w:val="-16"/>
        </w:rPr>
        <w:t> </w:t>
      </w:r>
      <w:r>
        <w:rPr/>
        <w:t>de</w:t>
      </w:r>
      <w:r>
        <w:rPr>
          <w:spacing w:val="-18"/>
        </w:rPr>
        <w:t> </w:t>
      </w:r>
      <w:r>
        <w:rPr/>
        <w:t>25</w:t>
      </w:r>
      <w:r>
        <w:rPr>
          <w:spacing w:val="-16"/>
        </w:rPr>
        <w:t> </w:t>
      </w:r>
      <w:r>
        <w:rPr/>
        <w:t>µL.</w:t>
      </w:r>
      <w:r>
        <w:rPr>
          <w:spacing w:val="-18"/>
        </w:rPr>
        <w:t> </w:t>
      </w:r>
      <w:r>
        <w:rPr/>
        <w:t>La</w:t>
      </w:r>
      <w:r>
        <w:rPr>
          <w:spacing w:val="-18"/>
        </w:rPr>
        <w:t> </w:t>
      </w:r>
      <w:r>
        <w:rPr/>
        <w:t>mezcla de reacción consistió en 100 ng de ADN, 200 µM, de cada dNTPs (dATP, dTTP, dCTP,</w:t>
      </w:r>
      <w:r>
        <w:rPr>
          <w:spacing w:val="-7"/>
        </w:rPr>
        <w:t> </w:t>
      </w:r>
      <w:r>
        <w:rPr/>
        <w:t>dGTP),</w:t>
      </w:r>
      <w:r>
        <w:rPr>
          <w:spacing w:val="-8"/>
        </w:rPr>
        <w:t> </w:t>
      </w:r>
      <w:r>
        <w:rPr/>
        <w:t>10</w:t>
      </w:r>
      <w:r>
        <w:rPr>
          <w:spacing w:val="-9"/>
        </w:rPr>
        <w:t> </w:t>
      </w:r>
      <w:r>
        <w:rPr>
          <w:spacing w:val="2"/>
        </w:rPr>
        <w:t>µM</w:t>
      </w:r>
      <w:r>
        <w:rPr>
          <w:spacing w:val="-8"/>
        </w:rPr>
        <w:t> </w:t>
      </w:r>
      <w:r>
        <w:rPr/>
        <w:t>de</w:t>
      </w:r>
      <w:r>
        <w:rPr>
          <w:spacing w:val="-7"/>
        </w:rPr>
        <w:t> </w:t>
      </w:r>
      <w:r>
        <w:rPr/>
        <w:t>los</w:t>
      </w:r>
      <w:r>
        <w:rPr>
          <w:spacing w:val="-7"/>
        </w:rPr>
        <w:t> </w:t>
      </w:r>
      <w:r>
        <w:rPr/>
        <w:t>iniciadores,</w:t>
      </w:r>
      <w:r>
        <w:rPr>
          <w:spacing w:val="-7"/>
        </w:rPr>
        <w:t> </w:t>
      </w:r>
      <w:r>
        <w:rPr/>
        <w:t>excepto</w:t>
      </w:r>
      <w:r>
        <w:rPr>
          <w:spacing w:val="-7"/>
        </w:rPr>
        <w:t> </w:t>
      </w:r>
      <w:r>
        <w:rPr/>
        <w:t>para</w:t>
      </w:r>
      <w:r>
        <w:rPr>
          <w:spacing w:val="-3"/>
        </w:rPr>
        <w:t> </w:t>
      </w:r>
      <w:r>
        <w:rPr>
          <w:i/>
        </w:rPr>
        <w:t>femB</w:t>
      </w:r>
      <w:r>
        <w:rPr>
          <w:i/>
          <w:spacing w:val="-7"/>
        </w:rPr>
        <w:t> </w:t>
      </w:r>
      <w:r>
        <w:rPr/>
        <w:t>del</w:t>
      </w:r>
      <w:r>
        <w:rPr>
          <w:spacing w:val="-8"/>
        </w:rPr>
        <w:t> </w:t>
      </w:r>
      <w:r>
        <w:rPr/>
        <w:t>cual</w:t>
      </w:r>
      <w:r>
        <w:rPr>
          <w:spacing w:val="-10"/>
        </w:rPr>
        <w:t> </w:t>
      </w:r>
      <w:r>
        <w:rPr/>
        <w:t>se</w:t>
      </w:r>
      <w:r>
        <w:rPr>
          <w:spacing w:val="-7"/>
        </w:rPr>
        <w:t> </w:t>
      </w:r>
      <w:r>
        <w:rPr/>
        <w:t>utilizaron</w:t>
      </w:r>
      <w:r>
        <w:rPr>
          <w:spacing w:val="-7"/>
        </w:rPr>
        <w:t> </w:t>
      </w:r>
      <w:r>
        <w:rPr/>
        <w:t>13</w:t>
      </w:r>
    </w:p>
    <w:p>
      <w:pPr>
        <w:pStyle w:val="BodyText"/>
        <w:spacing w:line="276" w:lineRule="auto" w:before="2"/>
        <w:ind w:left="142" w:right="135"/>
        <w:jc w:val="both"/>
      </w:pPr>
      <w:r>
        <w:rPr>
          <w:position w:val="1"/>
        </w:rPr>
        <w:t>µM, 1U de GoTaq® Flexi DNA Polymerase (Promega, EUA), 1.5 mM de MgCl</w:t>
      </w:r>
      <w:r>
        <w:rPr>
          <w:sz w:val="16"/>
        </w:rPr>
        <w:t>2 </w:t>
      </w:r>
      <w:r>
        <w:rPr>
          <w:position w:val="1"/>
        </w:rPr>
        <w:t>y </w:t>
      </w:r>
      <w:r>
        <w:rPr/>
        <w:t>Buffer 10X.</w:t>
      </w:r>
    </w:p>
    <w:p>
      <w:pPr>
        <w:pStyle w:val="BodyText"/>
        <w:spacing w:line="278" w:lineRule="auto" w:before="120"/>
        <w:ind w:left="142" w:right="145"/>
        <w:jc w:val="both"/>
      </w:pPr>
      <w:r>
        <w:rPr/>
        <w:drawing>
          <wp:anchor distT="0" distB="0" distL="0" distR="0" allowOverlap="1" layoutInCell="1" locked="0" behindDoc="0" simplePos="0" relativeHeight="1336">
            <wp:simplePos x="0" y="0"/>
            <wp:positionH relativeFrom="page">
              <wp:posOffset>3435096</wp:posOffset>
            </wp:positionH>
            <wp:positionV relativeFrom="paragraph">
              <wp:posOffset>576400</wp:posOffset>
            </wp:positionV>
            <wp:extent cx="212725" cy="76200"/>
            <wp:effectExtent l="0" t="0" r="0" b="0"/>
            <wp:wrapNone/>
            <wp:docPr id="17" name="image15.png" descr=""/>
            <wp:cNvGraphicFramePr>
              <a:graphicFrameLocks noChangeAspect="1"/>
            </wp:cNvGraphicFramePr>
            <a:graphic>
              <a:graphicData uri="http://schemas.openxmlformats.org/drawingml/2006/picture">
                <pic:pic>
                  <pic:nvPicPr>
                    <pic:cNvPr id="18" name="image15.png"/>
                    <pic:cNvPicPr/>
                  </pic:nvPicPr>
                  <pic:blipFill>
                    <a:blip r:embed="rId36" cstate="print"/>
                    <a:stretch>
                      <a:fillRect/>
                    </a:stretch>
                  </pic:blipFill>
                  <pic:spPr>
                    <a:xfrm>
                      <a:off x="0" y="0"/>
                      <a:ext cx="212725" cy="76200"/>
                    </a:xfrm>
                    <a:prstGeom prst="rect">
                      <a:avLst/>
                    </a:prstGeom>
                  </pic:spPr>
                </pic:pic>
              </a:graphicData>
            </a:graphic>
          </wp:anchor>
        </w:drawing>
      </w:r>
      <w:r>
        <w:rPr/>
        <w:t>Cuadro 6: Secuencias de los iniciadores utilizados en la PCR y tamaños de los productos de los productos esperados.</w:t>
      </w:r>
    </w:p>
    <w:p>
      <w:pPr>
        <w:pStyle w:val="BodyText"/>
        <w:spacing w:before="4" w:after="1"/>
        <w:rPr>
          <w:sz w:val="10"/>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7"/>
        <w:gridCol w:w="3987"/>
        <w:gridCol w:w="1918"/>
        <w:gridCol w:w="2197"/>
      </w:tblGrid>
      <w:tr>
        <w:trPr>
          <w:trHeight w:val="1045" w:hRule="exact"/>
        </w:trPr>
        <w:tc>
          <w:tcPr>
            <w:tcW w:w="727" w:type="dxa"/>
            <w:shd w:val="clear" w:color="auto" w:fill="808080"/>
          </w:tcPr>
          <w:p>
            <w:pPr>
              <w:pStyle w:val="TableParagraph"/>
              <w:spacing w:line="227" w:lineRule="exact"/>
              <w:ind w:left="167"/>
              <w:jc w:val="left"/>
              <w:rPr>
                <w:sz w:val="20"/>
              </w:rPr>
            </w:pPr>
            <w:r>
              <w:rPr>
                <w:color w:val="FFFFFF"/>
                <w:sz w:val="20"/>
              </w:rPr>
              <w:t>Gen</w:t>
            </w:r>
          </w:p>
        </w:tc>
        <w:tc>
          <w:tcPr>
            <w:tcW w:w="3987" w:type="dxa"/>
            <w:shd w:val="clear" w:color="auto" w:fill="808080"/>
          </w:tcPr>
          <w:p>
            <w:pPr>
              <w:pStyle w:val="TableParagraph"/>
              <w:tabs>
                <w:tab w:pos="3317" w:val="left" w:leader="none"/>
              </w:tabs>
              <w:spacing w:line="227" w:lineRule="exact"/>
              <w:ind w:left="408" w:right="253"/>
              <w:jc w:val="left"/>
              <w:rPr>
                <w:sz w:val="20"/>
              </w:rPr>
            </w:pPr>
            <w:r>
              <w:rPr>
                <w:color w:val="FFFFFF"/>
                <w:sz w:val="20"/>
              </w:rPr>
              <w:t>Secuencia de</w:t>
            </w:r>
            <w:r>
              <w:rPr>
                <w:color w:val="FFFFFF"/>
                <w:spacing w:val="-2"/>
                <w:sz w:val="20"/>
              </w:rPr>
              <w:t> </w:t>
            </w:r>
            <w:r>
              <w:rPr>
                <w:color w:val="FFFFFF"/>
                <w:sz w:val="20"/>
              </w:rPr>
              <w:t>nucleótidos</w:t>
            </w:r>
            <w:r>
              <w:rPr>
                <w:color w:val="FFFFFF"/>
                <w:spacing w:val="-2"/>
                <w:sz w:val="20"/>
              </w:rPr>
              <w:t> </w:t>
            </w:r>
            <w:r>
              <w:rPr>
                <w:color w:val="FFFFFF"/>
                <w:sz w:val="20"/>
              </w:rPr>
              <w:t>(5´</w:t>
              <w:tab/>
              <w:t>3´)</w:t>
            </w:r>
          </w:p>
        </w:tc>
        <w:tc>
          <w:tcPr>
            <w:tcW w:w="1918" w:type="dxa"/>
            <w:shd w:val="clear" w:color="auto" w:fill="808080"/>
          </w:tcPr>
          <w:p>
            <w:pPr>
              <w:pStyle w:val="TableParagraph"/>
              <w:spacing w:line="360" w:lineRule="auto"/>
              <w:ind w:left="449" w:right="446"/>
              <w:rPr>
                <w:sz w:val="20"/>
              </w:rPr>
            </w:pPr>
            <w:r>
              <w:rPr>
                <w:color w:val="FFFFFF"/>
                <w:sz w:val="20"/>
              </w:rPr>
              <w:t>Tamaño de amplicón (pb)</w:t>
            </w:r>
          </w:p>
        </w:tc>
        <w:tc>
          <w:tcPr>
            <w:tcW w:w="2197" w:type="dxa"/>
            <w:shd w:val="clear" w:color="auto" w:fill="808080"/>
          </w:tcPr>
          <w:p>
            <w:pPr>
              <w:pStyle w:val="TableParagraph"/>
              <w:spacing w:line="227" w:lineRule="exact"/>
              <w:ind w:left="609"/>
              <w:jc w:val="left"/>
              <w:rPr>
                <w:sz w:val="20"/>
              </w:rPr>
            </w:pPr>
            <w:r>
              <w:rPr>
                <w:color w:val="FFFFFF"/>
                <w:sz w:val="20"/>
              </w:rPr>
              <w:t>Referencia</w:t>
            </w:r>
          </w:p>
        </w:tc>
      </w:tr>
      <w:tr>
        <w:trPr>
          <w:trHeight w:val="1390" w:hRule="exact"/>
        </w:trPr>
        <w:tc>
          <w:tcPr>
            <w:tcW w:w="727" w:type="dxa"/>
          </w:tcPr>
          <w:p>
            <w:pPr>
              <w:pStyle w:val="TableParagraph"/>
              <w:spacing w:line="225" w:lineRule="exact"/>
              <w:jc w:val="left"/>
              <w:rPr>
                <w:i/>
                <w:sz w:val="20"/>
              </w:rPr>
            </w:pPr>
            <w:r>
              <w:rPr>
                <w:i/>
                <w:sz w:val="20"/>
              </w:rPr>
              <w:t>mecA</w:t>
            </w:r>
          </w:p>
        </w:tc>
        <w:tc>
          <w:tcPr>
            <w:tcW w:w="3987" w:type="dxa"/>
          </w:tcPr>
          <w:p>
            <w:pPr>
              <w:pStyle w:val="TableParagraph"/>
              <w:spacing w:line="360" w:lineRule="auto"/>
              <w:ind w:right="253"/>
              <w:jc w:val="left"/>
              <w:rPr>
                <w:sz w:val="20"/>
              </w:rPr>
            </w:pPr>
            <w:r>
              <w:rPr>
                <w:sz w:val="20"/>
              </w:rPr>
              <w:t>Forward: </w:t>
            </w:r>
            <w:r>
              <w:rPr>
                <w:w w:val="95"/>
                <w:sz w:val="20"/>
              </w:rPr>
              <w:t>AAAATCGATGGTAAAGGTTGGC</w:t>
            </w:r>
          </w:p>
          <w:p>
            <w:pPr>
              <w:pStyle w:val="TableParagraph"/>
              <w:spacing w:line="360" w:lineRule="auto" w:before="4"/>
              <w:ind w:right="810"/>
              <w:jc w:val="left"/>
              <w:rPr>
                <w:sz w:val="20"/>
              </w:rPr>
            </w:pPr>
            <w:r>
              <w:rPr>
                <w:sz w:val="20"/>
              </w:rPr>
              <w:t>Reverse: AGTTCTGCAGTACCGGATTTGC</w:t>
            </w:r>
          </w:p>
        </w:tc>
        <w:tc>
          <w:tcPr>
            <w:tcW w:w="1918" w:type="dxa"/>
          </w:tcPr>
          <w:p>
            <w:pPr>
              <w:pStyle w:val="TableParagraph"/>
              <w:spacing w:line="227" w:lineRule="exact"/>
              <w:ind w:left="446" w:right="446"/>
              <w:rPr>
                <w:sz w:val="20"/>
              </w:rPr>
            </w:pPr>
            <w:r>
              <w:rPr>
                <w:sz w:val="20"/>
              </w:rPr>
              <w:t>533</w:t>
            </w:r>
          </w:p>
        </w:tc>
        <w:tc>
          <w:tcPr>
            <w:tcW w:w="2197" w:type="dxa"/>
            <w:vMerge w:val="restart"/>
          </w:tcPr>
          <w:p>
            <w:pPr>
              <w:pStyle w:val="TableParagraph"/>
              <w:spacing w:before="6"/>
              <w:ind w:left="0"/>
              <w:jc w:val="left"/>
              <w:rPr>
                <w:sz w:val="29"/>
              </w:rPr>
            </w:pPr>
          </w:p>
          <w:p>
            <w:pPr>
              <w:pStyle w:val="TableParagraph"/>
              <w:spacing w:before="1"/>
              <w:ind w:left="334" w:right="334"/>
              <w:rPr>
                <w:i/>
                <w:sz w:val="20"/>
              </w:rPr>
            </w:pPr>
            <w:r>
              <w:rPr>
                <w:sz w:val="20"/>
              </w:rPr>
              <w:t>Kobayashi </w:t>
            </w:r>
            <w:r>
              <w:rPr>
                <w:i/>
                <w:sz w:val="20"/>
              </w:rPr>
              <w:t>et al.,</w:t>
            </w:r>
          </w:p>
          <w:p>
            <w:pPr>
              <w:pStyle w:val="TableParagraph"/>
              <w:spacing w:before="118"/>
              <w:ind w:left="332" w:right="334"/>
              <w:rPr>
                <w:sz w:val="20"/>
              </w:rPr>
            </w:pPr>
            <w:r>
              <w:rPr>
                <w:sz w:val="20"/>
              </w:rPr>
              <w:t>(1994).</w:t>
            </w:r>
          </w:p>
        </w:tc>
      </w:tr>
      <w:tr>
        <w:trPr>
          <w:trHeight w:val="701" w:hRule="exact"/>
        </w:trPr>
        <w:tc>
          <w:tcPr>
            <w:tcW w:w="727" w:type="dxa"/>
          </w:tcPr>
          <w:p>
            <w:pPr>
              <w:pStyle w:val="TableParagraph"/>
              <w:spacing w:line="227" w:lineRule="exact"/>
              <w:jc w:val="left"/>
              <w:rPr>
                <w:i/>
                <w:sz w:val="20"/>
              </w:rPr>
            </w:pPr>
            <w:r>
              <w:rPr>
                <w:i/>
                <w:sz w:val="20"/>
              </w:rPr>
              <w:t>femB</w:t>
            </w:r>
          </w:p>
        </w:tc>
        <w:tc>
          <w:tcPr>
            <w:tcW w:w="3987" w:type="dxa"/>
          </w:tcPr>
          <w:p>
            <w:pPr>
              <w:pStyle w:val="TableParagraph"/>
              <w:spacing w:line="357" w:lineRule="auto"/>
              <w:ind w:right="253"/>
              <w:jc w:val="left"/>
              <w:rPr>
                <w:sz w:val="20"/>
              </w:rPr>
            </w:pPr>
            <w:r>
              <w:rPr>
                <w:sz w:val="20"/>
              </w:rPr>
              <w:t>Forward: TTACAGAGTTAACTGTTACC Reverse: ATACAAATCCAGCACGCTCT</w:t>
            </w:r>
          </w:p>
        </w:tc>
        <w:tc>
          <w:tcPr>
            <w:tcW w:w="1918" w:type="dxa"/>
          </w:tcPr>
          <w:p>
            <w:pPr>
              <w:pStyle w:val="TableParagraph"/>
              <w:spacing w:line="230" w:lineRule="exact"/>
              <w:ind w:left="446" w:right="446"/>
              <w:rPr>
                <w:sz w:val="20"/>
              </w:rPr>
            </w:pPr>
            <w:r>
              <w:rPr>
                <w:sz w:val="20"/>
              </w:rPr>
              <w:t>651</w:t>
            </w:r>
          </w:p>
        </w:tc>
        <w:tc>
          <w:tcPr>
            <w:tcW w:w="2197" w:type="dxa"/>
            <w:vMerge/>
          </w:tcPr>
          <w:p>
            <w:pPr/>
          </w:p>
        </w:tc>
      </w:tr>
    </w:tbl>
    <w:p>
      <w:pPr>
        <w:spacing w:after="0"/>
        <w:sectPr>
          <w:pgSz w:w="12240" w:h="15840"/>
          <w:pgMar w:header="728" w:footer="710" w:top="1200" w:bottom="900" w:left="1560" w:right="1560"/>
        </w:sectPr>
      </w:pPr>
    </w:p>
    <w:p>
      <w:pPr>
        <w:pStyle w:val="BodyText"/>
        <w:spacing w:before="3"/>
        <w:rPr>
          <w:sz w:val="12"/>
        </w:rPr>
      </w:pPr>
    </w:p>
    <w:p>
      <w:pPr>
        <w:spacing w:before="73"/>
        <w:ind w:left="142" w:right="0" w:firstLine="0"/>
        <w:jc w:val="both"/>
        <w:rPr>
          <w:b/>
          <w:sz w:val="22"/>
        </w:rPr>
      </w:pPr>
      <w:bookmarkStart w:name="_bookmark54" w:id="65"/>
      <w:bookmarkEnd w:id="65"/>
      <w:r>
        <w:rPr/>
      </w:r>
      <w:bookmarkStart w:name="_bookmark53" w:id="66"/>
      <w:bookmarkEnd w:id="66"/>
      <w:r>
        <w:rPr/>
      </w:r>
      <w:r>
        <w:rPr>
          <w:b/>
          <w:sz w:val="22"/>
        </w:rPr>
        <w:t>Visualización de los amplicones</w:t>
      </w:r>
    </w:p>
    <w:p>
      <w:pPr>
        <w:pStyle w:val="BodyText"/>
        <w:rPr>
          <w:b/>
          <w:sz w:val="22"/>
        </w:rPr>
      </w:pPr>
    </w:p>
    <w:p>
      <w:pPr>
        <w:pStyle w:val="BodyText"/>
        <w:spacing w:line="276" w:lineRule="auto" w:before="137"/>
        <w:ind w:left="142" w:right="135"/>
        <w:jc w:val="both"/>
      </w:pPr>
      <w:r>
        <w:rPr/>
        <w:t>Todos</w:t>
      </w:r>
      <w:r>
        <w:rPr>
          <w:spacing w:val="-17"/>
        </w:rPr>
        <w:t> </w:t>
      </w:r>
      <w:r>
        <w:rPr/>
        <w:t>los</w:t>
      </w:r>
      <w:r>
        <w:rPr>
          <w:spacing w:val="-17"/>
        </w:rPr>
        <w:t> </w:t>
      </w:r>
      <w:r>
        <w:rPr/>
        <w:t>productos</w:t>
      </w:r>
      <w:r>
        <w:rPr>
          <w:spacing w:val="-17"/>
        </w:rPr>
        <w:t> </w:t>
      </w:r>
      <w:r>
        <w:rPr/>
        <w:t>de</w:t>
      </w:r>
      <w:r>
        <w:rPr>
          <w:spacing w:val="-14"/>
        </w:rPr>
        <w:t> </w:t>
      </w:r>
      <w:r>
        <w:rPr/>
        <w:t>amplificación</w:t>
      </w:r>
      <w:r>
        <w:rPr>
          <w:spacing w:val="-17"/>
        </w:rPr>
        <w:t> </w:t>
      </w:r>
      <w:r>
        <w:rPr/>
        <w:t>de</w:t>
      </w:r>
      <w:r>
        <w:rPr>
          <w:spacing w:val="-16"/>
        </w:rPr>
        <w:t> </w:t>
      </w:r>
      <w:r>
        <w:rPr/>
        <w:t>la</w:t>
      </w:r>
      <w:r>
        <w:rPr>
          <w:spacing w:val="-17"/>
        </w:rPr>
        <w:t> </w:t>
      </w:r>
      <w:r>
        <w:rPr/>
        <w:t>PCR</w:t>
      </w:r>
      <w:r>
        <w:rPr>
          <w:spacing w:val="-16"/>
        </w:rPr>
        <w:t> </w:t>
      </w:r>
      <w:r>
        <w:rPr/>
        <w:t>fueron</w:t>
      </w:r>
      <w:r>
        <w:rPr>
          <w:spacing w:val="-14"/>
        </w:rPr>
        <w:t> </w:t>
      </w:r>
      <w:r>
        <w:rPr/>
        <w:t>analizados</w:t>
      </w:r>
      <w:r>
        <w:rPr>
          <w:spacing w:val="-17"/>
        </w:rPr>
        <w:t> </w:t>
      </w:r>
      <w:r>
        <w:rPr/>
        <w:t>por</w:t>
      </w:r>
      <w:r>
        <w:rPr>
          <w:spacing w:val="-16"/>
        </w:rPr>
        <w:t> </w:t>
      </w:r>
      <w:r>
        <w:rPr/>
        <w:t>electroforesis en</w:t>
      </w:r>
      <w:r>
        <w:rPr>
          <w:spacing w:val="-13"/>
        </w:rPr>
        <w:t> </w:t>
      </w:r>
      <w:r>
        <w:rPr/>
        <w:t>gel</w:t>
      </w:r>
      <w:r>
        <w:rPr>
          <w:spacing w:val="-14"/>
        </w:rPr>
        <w:t> </w:t>
      </w:r>
      <w:r>
        <w:rPr/>
        <w:t>de</w:t>
      </w:r>
      <w:r>
        <w:rPr>
          <w:spacing w:val="-13"/>
        </w:rPr>
        <w:t> </w:t>
      </w:r>
      <w:r>
        <w:rPr/>
        <w:t>agarosa</w:t>
      </w:r>
      <w:r>
        <w:rPr>
          <w:spacing w:val="-13"/>
        </w:rPr>
        <w:t> </w:t>
      </w:r>
      <w:r>
        <w:rPr/>
        <w:t>al</w:t>
      </w:r>
      <w:r>
        <w:rPr>
          <w:spacing w:val="-14"/>
        </w:rPr>
        <w:t> </w:t>
      </w:r>
      <w:r>
        <w:rPr/>
        <w:t>2%</w:t>
      </w:r>
      <w:r>
        <w:rPr>
          <w:spacing w:val="-14"/>
        </w:rPr>
        <w:t> </w:t>
      </w:r>
      <w:r>
        <w:rPr/>
        <w:t>teñidos</w:t>
      </w:r>
      <w:r>
        <w:rPr>
          <w:spacing w:val="-14"/>
        </w:rPr>
        <w:t> </w:t>
      </w:r>
      <w:r>
        <w:rPr/>
        <w:t>con</w:t>
      </w:r>
      <w:r>
        <w:rPr>
          <w:spacing w:val="-13"/>
        </w:rPr>
        <w:t> </w:t>
      </w:r>
      <w:r>
        <w:rPr/>
        <w:t>bromuro</w:t>
      </w:r>
      <w:r>
        <w:rPr>
          <w:spacing w:val="-15"/>
        </w:rPr>
        <w:t> </w:t>
      </w:r>
      <w:r>
        <w:rPr/>
        <w:t>de</w:t>
      </w:r>
      <w:r>
        <w:rPr>
          <w:spacing w:val="-13"/>
        </w:rPr>
        <w:t> </w:t>
      </w:r>
      <w:r>
        <w:rPr/>
        <w:t>etidio</w:t>
      </w:r>
      <w:r>
        <w:rPr>
          <w:spacing w:val="-13"/>
        </w:rPr>
        <w:t> </w:t>
      </w:r>
      <w:r>
        <w:rPr/>
        <w:t>(0,5</w:t>
      </w:r>
      <w:r>
        <w:rPr>
          <w:spacing w:val="-13"/>
        </w:rPr>
        <w:t> </w:t>
      </w:r>
      <w:r>
        <w:rPr/>
        <w:t>µg/mL),</w:t>
      </w:r>
      <w:r>
        <w:rPr>
          <w:spacing w:val="-13"/>
        </w:rPr>
        <w:t> </w:t>
      </w:r>
      <w:r>
        <w:rPr/>
        <w:t>(SIGMA-Aldrich, EUA). Además de ser comparados utilizando los marcadores de peso molecular, GeneRuler</w:t>
      </w:r>
      <w:r>
        <w:rPr>
          <w:position w:val="8"/>
          <w:sz w:val="16"/>
        </w:rPr>
        <w:t>TM </w:t>
      </w:r>
      <w:r>
        <w:rPr/>
        <w:t>Low Range DNA Ladder 25 a 700 pb (Fermentas, EUA), para los genes </w:t>
      </w:r>
      <w:r>
        <w:rPr>
          <w:i/>
        </w:rPr>
        <w:t>femB</w:t>
      </w:r>
      <w:r>
        <w:rPr/>
        <w:t>, </w:t>
      </w:r>
      <w:r>
        <w:rPr>
          <w:i/>
        </w:rPr>
        <w:t>mecA</w:t>
      </w:r>
      <w:r>
        <w:rPr/>
        <w:t>. Después de realizar la electroforesis a 96V por 70 minutos se visualizó cada uno de los geles en UV y se capturaron en un sistema de foto documentación (minBIS Pro, Bio Imaginig</w:t>
      </w:r>
      <w:r>
        <w:rPr>
          <w:spacing w:val="-13"/>
        </w:rPr>
        <w:t> </w:t>
      </w:r>
      <w:r>
        <w:rPr/>
        <w:t>Systems).</w:t>
      </w:r>
    </w:p>
    <w:p>
      <w:pPr>
        <w:spacing w:after="0" w:line="276" w:lineRule="auto"/>
        <w:jc w:val="both"/>
        <w:sectPr>
          <w:pgSz w:w="12240" w:h="15840"/>
          <w:pgMar w:header="728" w:footer="710" w:top="1200" w:bottom="900" w:left="1560" w:right="1560"/>
        </w:sectPr>
      </w:pPr>
    </w:p>
    <w:p>
      <w:pPr>
        <w:pStyle w:val="BodyText"/>
        <w:spacing w:before="9"/>
        <w:rPr>
          <w:sz w:val="12"/>
        </w:rPr>
      </w:pPr>
    </w:p>
    <w:p>
      <w:pPr>
        <w:spacing w:before="70"/>
        <w:ind w:left="142" w:right="0" w:firstLine="0"/>
        <w:jc w:val="both"/>
        <w:rPr>
          <w:b/>
          <w:i/>
          <w:sz w:val="24"/>
        </w:rPr>
      </w:pPr>
      <w:r>
        <w:rPr>
          <w:b/>
          <w:sz w:val="24"/>
        </w:rPr>
        <w:t>Biotipificación de los aislamientos de </w:t>
      </w:r>
      <w:r>
        <w:rPr>
          <w:b/>
          <w:i/>
          <w:sz w:val="24"/>
        </w:rPr>
        <w:t>Staphylococcus aureus</w:t>
      </w:r>
    </w:p>
    <w:p>
      <w:pPr>
        <w:pStyle w:val="BodyText"/>
        <w:spacing w:line="276" w:lineRule="auto" w:before="26"/>
        <w:ind w:left="142" w:right="139"/>
        <w:jc w:val="both"/>
      </w:pPr>
      <w:r>
        <w:rPr/>
        <w:t>Los</w:t>
      </w:r>
      <w:r>
        <w:rPr>
          <w:spacing w:val="-15"/>
        </w:rPr>
        <w:t> </w:t>
      </w:r>
      <w:r>
        <w:rPr/>
        <w:t>aislamientos</w:t>
      </w:r>
      <w:r>
        <w:rPr>
          <w:spacing w:val="-15"/>
        </w:rPr>
        <w:t> </w:t>
      </w:r>
      <w:r>
        <w:rPr/>
        <w:t>obtenidos</w:t>
      </w:r>
      <w:r>
        <w:rPr>
          <w:spacing w:val="-15"/>
        </w:rPr>
        <w:t> </w:t>
      </w:r>
      <w:r>
        <w:rPr/>
        <w:t>fueron</w:t>
      </w:r>
      <w:r>
        <w:rPr>
          <w:spacing w:val="-12"/>
        </w:rPr>
        <w:t> </w:t>
      </w:r>
      <w:r>
        <w:rPr/>
        <w:t>atribuidos</w:t>
      </w:r>
      <w:r>
        <w:rPr>
          <w:spacing w:val="-17"/>
        </w:rPr>
        <w:t> </w:t>
      </w:r>
      <w:r>
        <w:rPr/>
        <w:t>a</w:t>
      </w:r>
      <w:r>
        <w:rPr>
          <w:spacing w:val="-12"/>
        </w:rPr>
        <w:t> </w:t>
      </w:r>
      <w:r>
        <w:rPr/>
        <w:t>biotipos</w:t>
      </w:r>
      <w:r>
        <w:rPr>
          <w:spacing w:val="-15"/>
        </w:rPr>
        <w:t> </w:t>
      </w:r>
      <w:r>
        <w:rPr/>
        <w:t>de</w:t>
      </w:r>
      <w:r>
        <w:rPr>
          <w:spacing w:val="-12"/>
        </w:rPr>
        <w:t> </w:t>
      </w:r>
      <w:r>
        <w:rPr/>
        <w:t>acuerdo</w:t>
      </w:r>
      <w:r>
        <w:rPr>
          <w:spacing w:val="-14"/>
        </w:rPr>
        <w:t> </w:t>
      </w:r>
      <w:r>
        <w:rPr/>
        <w:t>a</w:t>
      </w:r>
      <w:r>
        <w:rPr>
          <w:spacing w:val="-14"/>
        </w:rPr>
        <w:t> </w:t>
      </w:r>
      <w:r>
        <w:rPr/>
        <w:t>la</w:t>
      </w:r>
      <w:r>
        <w:rPr>
          <w:spacing w:val="-8"/>
        </w:rPr>
        <w:t> </w:t>
      </w:r>
      <w:r>
        <w:rPr/>
        <w:t>metodología descrita</w:t>
      </w:r>
      <w:r>
        <w:rPr>
          <w:spacing w:val="-14"/>
        </w:rPr>
        <w:t> </w:t>
      </w:r>
      <w:r>
        <w:rPr/>
        <w:t>por</w:t>
      </w:r>
      <w:r>
        <w:rPr>
          <w:spacing w:val="-16"/>
        </w:rPr>
        <w:t> </w:t>
      </w:r>
      <w:r>
        <w:rPr/>
        <w:t>Devriese</w:t>
      </w:r>
      <w:r>
        <w:rPr>
          <w:spacing w:val="-14"/>
        </w:rPr>
        <w:t> </w:t>
      </w:r>
      <w:r>
        <w:rPr/>
        <w:t>(1984),</w:t>
      </w:r>
      <w:r>
        <w:rPr>
          <w:spacing w:val="-15"/>
        </w:rPr>
        <w:t> </w:t>
      </w:r>
      <w:r>
        <w:rPr/>
        <w:t>utilizando</w:t>
      </w:r>
      <w:r>
        <w:rPr>
          <w:spacing w:val="-17"/>
        </w:rPr>
        <w:t> </w:t>
      </w:r>
      <w:r>
        <w:rPr/>
        <w:t>8</w:t>
      </w:r>
      <w:r>
        <w:rPr>
          <w:spacing w:val="-14"/>
        </w:rPr>
        <w:t> </w:t>
      </w:r>
      <w:r>
        <w:rPr/>
        <w:t>µg/ml</w:t>
      </w:r>
      <w:r>
        <w:rPr>
          <w:spacing w:val="-15"/>
        </w:rPr>
        <w:t> </w:t>
      </w:r>
      <w:r>
        <w:rPr/>
        <w:t>como</w:t>
      </w:r>
      <w:r>
        <w:rPr>
          <w:spacing w:val="-17"/>
        </w:rPr>
        <w:t> </w:t>
      </w:r>
      <w:r>
        <w:rPr/>
        <w:t>única</w:t>
      </w:r>
      <w:r>
        <w:rPr>
          <w:spacing w:val="-14"/>
        </w:rPr>
        <w:t> </w:t>
      </w:r>
      <w:r>
        <w:rPr/>
        <w:t>concentración</w:t>
      </w:r>
      <w:r>
        <w:rPr>
          <w:spacing w:val="-14"/>
        </w:rPr>
        <w:t> </w:t>
      </w:r>
      <w:r>
        <w:rPr/>
        <w:t>de</w:t>
      </w:r>
      <w:r>
        <w:rPr>
          <w:spacing w:val="-14"/>
        </w:rPr>
        <w:t> </w:t>
      </w:r>
      <w:r>
        <w:rPr/>
        <w:t>Cristal Violeta. Las reacciones de Cristal violeta fueron leídas después de 1 y 2 días de acuerdo a los siguientes</w:t>
      </w:r>
      <w:r>
        <w:rPr>
          <w:spacing w:val="-11"/>
        </w:rPr>
        <w:t> </w:t>
      </w:r>
      <w:r>
        <w:rPr/>
        <w:t>criterios:</w:t>
      </w:r>
    </w:p>
    <w:p>
      <w:pPr>
        <w:pStyle w:val="BodyText"/>
      </w:pPr>
    </w:p>
    <w:p>
      <w:pPr>
        <w:pStyle w:val="BodyText"/>
        <w:spacing w:before="7"/>
      </w:pPr>
    </w:p>
    <w:p>
      <w:pPr>
        <w:pStyle w:val="BodyText"/>
        <w:spacing w:before="1"/>
        <w:ind w:left="142"/>
        <w:jc w:val="both"/>
      </w:pPr>
      <w:r>
        <w:rPr/>
        <w:t>Cuadro 7: Morfología de crecimiento en agar Soya Tripticaseína y cristal Violeta.</w:t>
      </w:r>
    </w:p>
    <w:p>
      <w:pPr>
        <w:pStyle w:val="BodyText"/>
        <w:spacing w:before="1"/>
        <w:rPr>
          <w:sz w:val="14"/>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968"/>
        <w:gridCol w:w="1861"/>
      </w:tblGrid>
      <w:tr>
        <w:trPr>
          <w:trHeight w:val="538" w:hRule="exact"/>
        </w:trPr>
        <w:tc>
          <w:tcPr>
            <w:tcW w:w="6968" w:type="dxa"/>
            <w:shd w:val="clear" w:color="auto" w:fill="808080"/>
          </w:tcPr>
          <w:p>
            <w:pPr>
              <w:pStyle w:val="TableParagraph"/>
              <w:spacing w:line="230" w:lineRule="exact"/>
              <w:ind w:left="2985" w:right="2987"/>
              <w:rPr>
                <w:sz w:val="20"/>
              </w:rPr>
            </w:pPr>
            <w:r>
              <w:rPr>
                <w:color w:val="FFFFFF"/>
                <w:sz w:val="20"/>
              </w:rPr>
              <w:t>Morfología</w:t>
            </w:r>
          </w:p>
        </w:tc>
        <w:tc>
          <w:tcPr>
            <w:tcW w:w="1861" w:type="dxa"/>
            <w:shd w:val="clear" w:color="auto" w:fill="808080"/>
          </w:tcPr>
          <w:p>
            <w:pPr>
              <w:pStyle w:val="TableParagraph"/>
              <w:spacing w:line="276" w:lineRule="auto"/>
              <w:ind w:left="635" w:right="285" w:hanging="334"/>
              <w:jc w:val="left"/>
              <w:rPr>
                <w:sz w:val="20"/>
              </w:rPr>
            </w:pPr>
            <w:r>
              <w:rPr>
                <w:color w:val="FFFFFF"/>
                <w:sz w:val="20"/>
              </w:rPr>
              <w:t>Tipo de cristal violeta</w:t>
            </w:r>
          </w:p>
        </w:tc>
      </w:tr>
      <w:tr>
        <w:trPr>
          <w:trHeight w:val="277" w:hRule="exact"/>
        </w:trPr>
        <w:tc>
          <w:tcPr>
            <w:tcW w:w="6968" w:type="dxa"/>
          </w:tcPr>
          <w:p>
            <w:pPr>
              <w:pStyle w:val="TableParagraph"/>
              <w:spacing w:line="230" w:lineRule="exact"/>
              <w:jc w:val="left"/>
              <w:rPr>
                <w:sz w:val="20"/>
              </w:rPr>
            </w:pPr>
            <w:r>
              <w:rPr>
                <w:sz w:val="20"/>
              </w:rPr>
              <w:t>Crecimiento de colonias azules o violetas con o sin halo naranja</w:t>
            </w:r>
          </w:p>
        </w:tc>
        <w:tc>
          <w:tcPr>
            <w:tcW w:w="1861" w:type="dxa"/>
          </w:tcPr>
          <w:p>
            <w:pPr>
              <w:pStyle w:val="TableParagraph"/>
              <w:spacing w:line="230" w:lineRule="exact"/>
              <w:ind w:left="0" w:right="1"/>
              <w:rPr>
                <w:sz w:val="20"/>
              </w:rPr>
            </w:pPr>
            <w:r>
              <w:rPr>
                <w:w w:val="99"/>
                <w:sz w:val="20"/>
              </w:rPr>
              <w:t>C</w:t>
            </w:r>
          </w:p>
        </w:tc>
      </w:tr>
      <w:tr>
        <w:trPr>
          <w:trHeight w:val="538" w:hRule="exact"/>
        </w:trPr>
        <w:tc>
          <w:tcPr>
            <w:tcW w:w="6968" w:type="dxa"/>
          </w:tcPr>
          <w:p>
            <w:pPr>
              <w:pStyle w:val="TableParagraph"/>
              <w:spacing w:line="276" w:lineRule="auto"/>
              <w:jc w:val="left"/>
              <w:rPr>
                <w:sz w:val="20"/>
              </w:rPr>
            </w:pPr>
            <w:r>
              <w:rPr>
                <w:sz w:val="20"/>
              </w:rPr>
              <w:t>Crecimiento de colonias con halos brillantes, amarillo pálido o amarillo con bordes violetas</w:t>
            </w:r>
          </w:p>
        </w:tc>
        <w:tc>
          <w:tcPr>
            <w:tcW w:w="1861" w:type="dxa"/>
          </w:tcPr>
          <w:p>
            <w:pPr>
              <w:pStyle w:val="TableParagraph"/>
              <w:spacing w:line="230" w:lineRule="exact"/>
              <w:ind w:left="0" w:right="2"/>
              <w:rPr>
                <w:sz w:val="20"/>
              </w:rPr>
            </w:pPr>
            <w:r>
              <w:rPr>
                <w:w w:val="99"/>
                <w:sz w:val="20"/>
              </w:rPr>
              <w:t>A</w:t>
            </w:r>
          </w:p>
        </w:tc>
      </w:tr>
      <w:tr>
        <w:trPr>
          <w:trHeight w:val="276" w:hRule="exact"/>
        </w:trPr>
        <w:tc>
          <w:tcPr>
            <w:tcW w:w="6968" w:type="dxa"/>
          </w:tcPr>
          <w:p>
            <w:pPr>
              <w:pStyle w:val="TableParagraph"/>
              <w:spacing w:line="230" w:lineRule="exact"/>
              <w:jc w:val="left"/>
              <w:rPr>
                <w:sz w:val="20"/>
              </w:rPr>
            </w:pPr>
            <w:r>
              <w:rPr>
                <w:sz w:val="20"/>
              </w:rPr>
              <w:t>Crecimiento de colonias blancas con halos azules</w:t>
            </w:r>
          </w:p>
        </w:tc>
        <w:tc>
          <w:tcPr>
            <w:tcW w:w="1861" w:type="dxa"/>
          </w:tcPr>
          <w:p>
            <w:pPr>
              <w:pStyle w:val="TableParagraph"/>
              <w:spacing w:line="230" w:lineRule="exact"/>
              <w:ind w:left="0" w:right="2"/>
              <w:rPr>
                <w:sz w:val="20"/>
              </w:rPr>
            </w:pPr>
            <w:r>
              <w:rPr>
                <w:w w:val="99"/>
                <w:sz w:val="20"/>
              </w:rPr>
              <w:t>E</w:t>
            </w:r>
          </w:p>
        </w:tc>
      </w:tr>
    </w:tbl>
    <w:p>
      <w:pPr>
        <w:pStyle w:val="BodyText"/>
        <w:spacing w:line="274" w:lineRule="exact"/>
        <w:ind w:left="6" w:right="5"/>
        <w:jc w:val="center"/>
      </w:pPr>
      <w:r>
        <w:rPr/>
        <w:t>Fuente: Devriese, (1984).</w:t>
      </w:r>
    </w:p>
    <w:p>
      <w:pPr>
        <w:pStyle w:val="BodyText"/>
      </w:pPr>
    </w:p>
    <w:p>
      <w:pPr>
        <w:pStyle w:val="BodyText"/>
        <w:spacing w:before="11"/>
        <w:rPr>
          <w:sz w:val="27"/>
        </w:rPr>
      </w:pPr>
    </w:p>
    <w:p>
      <w:pPr>
        <w:pStyle w:val="BodyText"/>
        <w:spacing w:line="276" w:lineRule="auto"/>
        <w:ind w:left="142" w:right="138"/>
        <w:jc w:val="both"/>
      </w:pPr>
      <w:r>
        <w:rPr/>
        <w:t>Adicionalmente se realizaron pruebas de Estafilocinasa, β-hemólisis y coagulación en plasma de bovino; los resultados obtenidos permiten establecer el origen presuntivo del aislamiento como se muestra en el cuadro 8.</w:t>
      </w:r>
    </w:p>
    <w:p>
      <w:pPr>
        <w:pStyle w:val="BodyText"/>
      </w:pPr>
    </w:p>
    <w:p>
      <w:pPr>
        <w:pStyle w:val="BodyText"/>
        <w:spacing w:before="3"/>
      </w:pPr>
    </w:p>
    <w:p>
      <w:pPr>
        <w:spacing w:before="0"/>
        <w:ind w:left="142" w:right="0" w:firstLine="0"/>
        <w:jc w:val="both"/>
        <w:rPr>
          <w:i/>
          <w:sz w:val="24"/>
        </w:rPr>
      </w:pPr>
      <w:r>
        <w:rPr>
          <w:sz w:val="24"/>
        </w:rPr>
        <w:t>Cuadro 8: Biotipos de </w:t>
      </w:r>
      <w:r>
        <w:rPr>
          <w:i/>
          <w:sz w:val="24"/>
        </w:rPr>
        <w:t>Staphylococcus aureus.</w:t>
      </w:r>
    </w:p>
    <w:p>
      <w:pPr>
        <w:pStyle w:val="BodyText"/>
        <w:spacing w:before="5"/>
        <w:rPr>
          <w:i/>
          <w:sz w:val="14"/>
        </w:rPr>
      </w:pPr>
    </w:p>
    <w:tbl>
      <w:tblPr>
        <w:tblW w:w="0" w:type="auto"/>
        <w:jc w:val="left"/>
        <w:tblInd w:w="4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15"/>
        <w:gridCol w:w="1313"/>
        <w:gridCol w:w="1147"/>
        <w:gridCol w:w="2081"/>
        <w:gridCol w:w="1827"/>
      </w:tblGrid>
      <w:tr>
        <w:trPr>
          <w:trHeight w:val="275" w:hRule="exact"/>
        </w:trPr>
        <w:tc>
          <w:tcPr>
            <w:tcW w:w="8284" w:type="dxa"/>
            <w:gridSpan w:val="5"/>
            <w:shd w:val="clear" w:color="auto" w:fill="808080"/>
          </w:tcPr>
          <w:p>
            <w:pPr>
              <w:pStyle w:val="TableParagraph"/>
              <w:spacing w:line="228" w:lineRule="exact"/>
              <w:ind w:left="2582"/>
              <w:jc w:val="left"/>
              <w:rPr>
                <w:i/>
                <w:sz w:val="20"/>
              </w:rPr>
            </w:pPr>
            <w:r>
              <w:rPr>
                <w:color w:val="FFFFFF"/>
                <w:sz w:val="20"/>
              </w:rPr>
              <w:t>Biotipos de </w:t>
            </w:r>
            <w:r>
              <w:rPr>
                <w:i/>
                <w:color w:val="FFFFFF"/>
                <w:sz w:val="20"/>
              </w:rPr>
              <w:t>Staphylococcus aureus</w:t>
            </w:r>
          </w:p>
        </w:tc>
      </w:tr>
      <w:tr>
        <w:trPr>
          <w:trHeight w:val="1068" w:hRule="exact"/>
        </w:trPr>
        <w:tc>
          <w:tcPr>
            <w:tcW w:w="1915" w:type="dxa"/>
          </w:tcPr>
          <w:p>
            <w:pPr>
              <w:pStyle w:val="TableParagraph"/>
              <w:spacing w:line="230" w:lineRule="exact"/>
              <w:ind w:left="627" w:right="627"/>
              <w:rPr>
                <w:sz w:val="20"/>
              </w:rPr>
            </w:pPr>
            <w:r>
              <w:rPr>
                <w:sz w:val="20"/>
              </w:rPr>
              <w:t>Biotipo</w:t>
            </w:r>
          </w:p>
        </w:tc>
        <w:tc>
          <w:tcPr>
            <w:tcW w:w="1313" w:type="dxa"/>
          </w:tcPr>
          <w:p>
            <w:pPr>
              <w:pStyle w:val="TableParagraph"/>
              <w:spacing w:line="276" w:lineRule="auto"/>
              <w:ind w:left="547" w:hanging="407"/>
              <w:jc w:val="left"/>
              <w:rPr>
                <w:sz w:val="20"/>
              </w:rPr>
            </w:pPr>
            <w:r>
              <w:rPr>
                <w:w w:val="95"/>
                <w:sz w:val="20"/>
              </w:rPr>
              <w:t>Estafilocina </w:t>
            </w:r>
            <w:r>
              <w:rPr>
                <w:sz w:val="20"/>
              </w:rPr>
              <w:t>sa</w:t>
            </w:r>
          </w:p>
        </w:tc>
        <w:tc>
          <w:tcPr>
            <w:tcW w:w="1147" w:type="dxa"/>
          </w:tcPr>
          <w:p>
            <w:pPr>
              <w:pStyle w:val="TableParagraph"/>
              <w:spacing w:line="276" w:lineRule="auto"/>
              <w:ind w:left="153" w:firstLine="326"/>
              <w:jc w:val="left"/>
              <w:rPr>
                <w:sz w:val="20"/>
              </w:rPr>
            </w:pPr>
            <w:r>
              <w:rPr>
                <w:sz w:val="20"/>
              </w:rPr>
              <w:t>β- </w:t>
            </w:r>
            <w:r>
              <w:rPr>
                <w:w w:val="95"/>
                <w:sz w:val="20"/>
              </w:rPr>
              <w:t>hemólisis</w:t>
            </w:r>
          </w:p>
        </w:tc>
        <w:tc>
          <w:tcPr>
            <w:tcW w:w="2081" w:type="dxa"/>
          </w:tcPr>
          <w:p>
            <w:pPr>
              <w:pStyle w:val="TableParagraph"/>
              <w:spacing w:line="276" w:lineRule="auto"/>
              <w:ind w:left="703" w:right="319" w:hanging="361"/>
              <w:jc w:val="left"/>
              <w:rPr>
                <w:sz w:val="20"/>
              </w:rPr>
            </w:pPr>
            <w:r>
              <w:rPr>
                <w:sz w:val="20"/>
              </w:rPr>
              <w:t>Coagulación de Plasma</w:t>
            </w:r>
          </w:p>
          <w:p>
            <w:pPr>
              <w:pStyle w:val="TableParagraph"/>
              <w:spacing w:line="278" w:lineRule="auto"/>
              <w:ind w:left="225" w:right="203" w:firstLine="379"/>
              <w:jc w:val="left"/>
              <w:rPr>
                <w:sz w:val="20"/>
              </w:rPr>
            </w:pPr>
            <w:r>
              <w:rPr>
                <w:sz w:val="20"/>
              </w:rPr>
              <w:t>de bovino (dentro de las 6 h)</w:t>
            </w:r>
          </w:p>
        </w:tc>
        <w:tc>
          <w:tcPr>
            <w:tcW w:w="1827" w:type="dxa"/>
          </w:tcPr>
          <w:p>
            <w:pPr>
              <w:pStyle w:val="TableParagraph"/>
              <w:spacing w:line="276" w:lineRule="auto"/>
              <w:ind w:left="398" w:right="397" w:firstLine="6"/>
              <w:rPr>
                <w:sz w:val="20"/>
              </w:rPr>
            </w:pPr>
            <w:r>
              <w:rPr>
                <w:sz w:val="20"/>
              </w:rPr>
              <w:t>Tipo de </w:t>
            </w:r>
            <w:r>
              <w:rPr>
                <w:w w:val="95"/>
                <w:sz w:val="20"/>
              </w:rPr>
              <w:t>crecimiento</w:t>
            </w:r>
          </w:p>
          <w:p>
            <w:pPr>
              <w:pStyle w:val="TableParagraph"/>
              <w:ind w:left="149" w:right="150"/>
              <w:rPr>
                <w:sz w:val="20"/>
              </w:rPr>
            </w:pPr>
            <w:r>
              <w:rPr>
                <w:sz w:val="20"/>
              </w:rPr>
              <w:t>en Cristal violeta</w:t>
            </w:r>
          </w:p>
        </w:tc>
      </w:tr>
      <w:tr>
        <w:trPr>
          <w:trHeight w:val="538" w:hRule="exact"/>
        </w:trPr>
        <w:tc>
          <w:tcPr>
            <w:tcW w:w="8284" w:type="dxa"/>
            <w:gridSpan w:val="5"/>
          </w:tcPr>
          <w:p>
            <w:pPr>
              <w:pStyle w:val="TableParagraph"/>
              <w:spacing w:line="230" w:lineRule="exact"/>
              <w:ind w:left="105"/>
              <w:jc w:val="left"/>
              <w:rPr>
                <w:sz w:val="20"/>
              </w:rPr>
            </w:pPr>
            <w:r>
              <w:rPr>
                <w:sz w:val="20"/>
              </w:rPr>
              <w:t>Ecovar</w:t>
            </w:r>
          </w:p>
          <w:p>
            <w:pPr>
              <w:pStyle w:val="TableParagraph"/>
              <w:spacing w:before="34"/>
              <w:ind w:left="105"/>
              <w:jc w:val="left"/>
              <w:rPr>
                <w:sz w:val="20"/>
              </w:rPr>
            </w:pPr>
            <w:r>
              <w:rPr>
                <w:sz w:val="20"/>
              </w:rPr>
              <w:t>Hospedero-específico</w:t>
            </w:r>
          </w:p>
        </w:tc>
      </w:tr>
      <w:tr>
        <w:trPr>
          <w:trHeight w:val="276" w:hRule="exact"/>
        </w:trPr>
        <w:tc>
          <w:tcPr>
            <w:tcW w:w="1915" w:type="dxa"/>
          </w:tcPr>
          <w:p>
            <w:pPr>
              <w:pStyle w:val="TableParagraph"/>
              <w:spacing w:before="2"/>
              <w:ind w:left="105"/>
              <w:jc w:val="left"/>
              <w:rPr>
                <w:sz w:val="20"/>
              </w:rPr>
            </w:pPr>
            <w:r>
              <w:rPr>
                <w:sz w:val="20"/>
              </w:rPr>
              <w:t>Ecovar humano</w:t>
            </w:r>
          </w:p>
        </w:tc>
        <w:tc>
          <w:tcPr>
            <w:tcW w:w="1313" w:type="dxa"/>
          </w:tcPr>
          <w:p>
            <w:pPr>
              <w:pStyle w:val="TableParagraph"/>
              <w:spacing w:before="2"/>
              <w:ind w:left="595"/>
              <w:jc w:val="left"/>
              <w:rPr>
                <w:sz w:val="20"/>
              </w:rPr>
            </w:pPr>
            <w:r>
              <w:rPr>
                <w:w w:val="99"/>
                <w:sz w:val="20"/>
              </w:rPr>
              <w:t>+</w:t>
            </w:r>
          </w:p>
        </w:tc>
        <w:tc>
          <w:tcPr>
            <w:tcW w:w="1147" w:type="dxa"/>
          </w:tcPr>
          <w:p>
            <w:pPr>
              <w:pStyle w:val="TableParagraph"/>
              <w:spacing w:before="2"/>
              <w:ind w:left="0" w:right="531"/>
              <w:jc w:val="right"/>
              <w:rPr>
                <w:sz w:val="20"/>
              </w:rPr>
            </w:pPr>
            <w:r>
              <w:rPr>
                <w:w w:val="99"/>
                <w:sz w:val="20"/>
              </w:rPr>
              <w:t>-</w:t>
            </w:r>
          </w:p>
        </w:tc>
        <w:tc>
          <w:tcPr>
            <w:tcW w:w="2081" w:type="dxa"/>
          </w:tcPr>
          <w:p>
            <w:pPr>
              <w:pStyle w:val="TableParagraph"/>
              <w:spacing w:before="2"/>
              <w:ind w:left="0" w:right="999"/>
              <w:jc w:val="right"/>
              <w:rPr>
                <w:sz w:val="20"/>
              </w:rPr>
            </w:pPr>
            <w:r>
              <w:rPr>
                <w:w w:val="99"/>
                <w:sz w:val="20"/>
              </w:rPr>
              <w:t>-</w:t>
            </w:r>
          </w:p>
        </w:tc>
        <w:tc>
          <w:tcPr>
            <w:tcW w:w="1827" w:type="dxa"/>
          </w:tcPr>
          <w:p>
            <w:pPr>
              <w:pStyle w:val="TableParagraph"/>
              <w:spacing w:before="2"/>
              <w:ind w:left="0" w:right="833"/>
              <w:jc w:val="right"/>
              <w:rPr>
                <w:sz w:val="20"/>
              </w:rPr>
            </w:pPr>
            <w:r>
              <w:rPr>
                <w:w w:val="99"/>
                <w:sz w:val="20"/>
              </w:rPr>
              <w:t>C</w:t>
            </w:r>
          </w:p>
        </w:tc>
      </w:tr>
      <w:tr>
        <w:trPr>
          <w:trHeight w:val="274" w:hRule="exact"/>
        </w:trPr>
        <w:tc>
          <w:tcPr>
            <w:tcW w:w="1915" w:type="dxa"/>
          </w:tcPr>
          <w:p>
            <w:pPr>
              <w:pStyle w:val="TableParagraph"/>
              <w:spacing w:line="230" w:lineRule="exact"/>
              <w:ind w:left="105"/>
              <w:jc w:val="left"/>
              <w:rPr>
                <w:sz w:val="20"/>
              </w:rPr>
            </w:pPr>
            <w:r>
              <w:rPr>
                <w:sz w:val="20"/>
              </w:rPr>
              <w:t>Ecovar humano β+</w:t>
            </w:r>
          </w:p>
        </w:tc>
        <w:tc>
          <w:tcPr>
            <w:tcW w:w="1313" w:type="dxa"/>
          </w:tcPr>
          <w:p>
            <w:pPr>
              <w:pStyle w:val="TableParagraph"/>
              <w:spacing w:line="230" w:lineRule="exact"/>
              <w:ind w:left="595"/>
              <w:jc w:val="left"/>
              <w:rPr>
                <w:sz w:val="20"/>
              </w:rPr>
            </w:pPr>
            <w:r>
              <w:rPr>
                <w:w w:val="99"/>
                <w:sz w:val="20"/>
              </w:rPr>
              <w:t>+</w:t>
            </w:r>
          </w:p>
        </w:tc>
        <w:tc>
          <w:tcPr>
            <w:tcW w:w="1147" w:type="dxa"/>
          </w:tcPr>
          <w:p>
            <w:pPr>
              <w:pStyle w:val="TableParagraph"/>
              <w:spacing w:line="230" w:lineRule="exact"/>
              <w:ind w:left="0" w:right="508"/>
              <w:jc w:val="right"/>
              <w:rPr>
                <w:sz w:val="20"/>
              </w:rPr>
            </w:pPr>
            <w:r>
              <w:rPr>
                <w:w w:val="99"/>
                <w:sz w:val="20"/>
              </w:rPr>
              <w:t>+</w:t>
            </w:r>
          </w:p>
        </w:tc>
        <w:tc>
          <w:tcPr>
            <w:tcW w:w="2081" w:type="dxa"/>
          </w:tcPr>
          <w:p>
            <w:pPr>
              <w:pStyle w:val="TableParagraph"/>
              <w:spacing w:line="230" w:lineRule="exact"/>
              <w:ind w:left="0" w:right="999"/>
              <w:jc w:val="right"/>
              <w:rPr>
                <w:sz w:val="20"/>
              </w:rPr>
            </w:pPr>
            <w:r>
              <w:rPr>
                <w:w w:val="99"/>
                <w:sz w:val="20"/>
              </w:rPr>
              <w:t>-</w:t>
            </w:r>
          </w:p>
        </w:tc>
        <w:tc>
          <w:tcPr>
            <w:tcW w:w="1827" w:type="dxa"/>
          </w:tcPr>
          <w:p>
            <w:pPr>
              <w:pStyle w:val="TableParagraph"/>
              <w:spacing w:line="230" w:lineRule="exact"/>
              <w:ind w:left="0" w:right="833"/>
              <w:jc w:val="right"/>
              <w:rPr>
                <w:sz w:val="20"/>
              </w:rPr>
            </w:pPr>
            <w:r>
              <w:rPr>
                <w:w w:val="99"/>
                <w:sz w:val="20"/>
              </w:rPr>
              <w:t>C</w:t>
            </w:r>
          </w:p>
        </w:tc>
      </w:tr>
      <w:tr>
        <w:trPr>
          <w:trHeight w:val="541" w:hRule="exact"/>
        </w:trPr>
        <w:tc>
          <w:tcPr>
            <w:tcW w:w="1915" w:type="dxa"/>
          </w:tcPr>
          <w:p>
            <w:pPr>
              <w:pStyle w:val="TableParagraph"/>
              <w:spacing w:line="276" w:lineRule="auto"/>
              <w:ind w:left="105" w:right="402"/>
              <w:jc w:val="left"/>
              <w:rPr>
                <w:sz w:val="20"/>
              </w:rPr>
            </w:pPr>
            <w:r>
              <w:rPr>
                <w:sz w:val="20"/>
              </w:rPr>
              <w:t>Ecovar aves de corral</w:t>
            </w:r>
          </w:p>
        </w:tc>
        <w:tc>
          <w:tcPr>
            <w:tcW w:w="1313" w:type="dxa"/>
          </w:tcPr>
          <w:p>
            <w:pPr>
              <w:pStyle w:val="TableParagraph"/>
              <w:spacing w:line="230" w:lineRule="exact"/>
              <w:ind w:left="619"/>
              <w:jc w:val="left"/>
              <w:rPr>
                <w:sz w:val="20"/>
              </w:rPr>
            </w:pPr>
            <w:r>
              <w:rPr>
                <w:w w:val="99"/>
                <w:sz w:val="20"/>
              </w:rPr>
              <w:t>-</w:t>
            </w:r>
          </w:p>
        </w:tc>
        <w:tc>
          <w:tcPr>
            <w:tcW w:w="1147" w:type="dxa"/>
          </w:tcPr>
          <w:p>
            <w:pPr>
              <w:pStyle w:val="TableParagraph"/>
              <w:spacing w:line="230" w:lineRule="exact"/>
              <w:ind w:left="0" w:right="531"/>
              <w:jc w:val="right"/>
              <w:rPr>
                <w:sz w:val="20"/>
              </w:rPr>
            </w:pPr>
            <w:r>
              <w:rPr>
                <w:w w:val="99"/>
                <w:sz w:val="20"/>
              </w:rPr>
              <w:t>-</w:t>
            </w:r>
          </w:p>
        </w:tc>
        <w:tc>
          <w:tcPr>
            <w:tcW w:w="2081" w:type="dxa"/>
          </w:tcPr>
          <w:p>
            <w:pPr>
              <w:pStyle w:val="TableParagraph"/>
              <w:spacing w:line="230" w:lineRule="exact"/>
              <w:ind w:left="0" w:right="999"/>
              <w:jc w:val="right"/>
              <w:rPr>
                <w:sz w:val="20"/>
              </w:rPr>
            </w:pPr>
            <w:r>
              <w:rPr>
                <w:w w:val="99"/>
                <w:sz w:val="20"/>
              </w:rPr>
              <w:t>-</w:t>
            </w:r>
          </w:p>
        </w:tc>
        <w:tc>
          <w:tcPr>
            <w:tcW w:w="1827" w:type="dxa"/>
          </w:tcPr>
          <w:p>
            <w:pPr>
              <w:pStyle w:val="TableParagraph"/>
              <w:spacing w:line="230" w:lineRule="exact"/>
              <w:ind w:left="0" w:right="840"/>
              <w:jc w:val="right"/>
              <w:rPr>
                <w:sz w:val="20"/>
              </w:rPr>
            </w:pPr>
            <w:r>
              <w:rPr>
                <w:w w:val="99"/>
                <w:sz w:val="20"/>
              </w:rPr>
              <w:t>A</w:t>
            </w:r>
          </w:p>
        </w:tc>
      </w:tr>
      <w:tr>
        <w:trPr>
          <w:trHeight w:val="274" w:hRule="exact"/>
        </w:trPr>
        <w:tc>
          <w:tcPr>
            <w:tcW w:w="1915" w:type="dxa"/>
          </w:tcPr>
          <w:p>
            <w:pPr>
              <w:pStyle w:val="TableParagraph"/>
              <w:spacing w:line="230" w:lineRule="exact"/>
              <w:ind w:left="105"/>
              <w:jc w:val="left"/>
              <w:rPr>
                <w:sz w:val="20"/>
              </w:rPr>
            </w:pPr>
            <w:r>
              <w:rPr>
                <w:sz w:val="20"/>
              </w:rPr>
              <w:t>Ecovar bovino</w:t>
            </w:r>
          </w:p>
        </w:tc>
        <w:tc>
          <w:tcPr>
            <w:tcW w:w="1313" w:type="dxa"/>
          </w:tcPr>
          <w:p>
            <w:pPr>
              <w:pStyle w:val="TableParagraph"/>
              <w:spacing w:line="230" w:lineRule="exact"/>
              <w:ind w:left="619"/>
              <w:jc w:val="left"/>
              <w:rPr>
                <w:sz w:val="20"/>
              </w:rPr>
            </w:pPr>
            <w:r>
              <w:rPr>
                <w:w w:val="99"/>
                <w:sz w:val="20"/>
              </w:rPr>
              <w:t>-</w:t>
            </w:r>
          </w:p>
        </w:tc>
        <w:tc>
          <w:tcPr>
            <w:tcW w:w="1147" w:type="dxa"/>
          </w:tcPr>
          <w:p>
            <w:pPr>
              <w:pStyle w:val="TableParagraph"/>
              <w:spacing w:line="230" w:lineRule="exact"/>
              <w:ind w:left="0" w:right="508"/>
              <w:jc w:val="right"/>
              <w:rPr>
                <w:sz w:val="20"/>
              </w:rPr>
            </w:pPr>
            <w:r>
              <w:rPr>
                <w:w w:val="99"/>
                <w:sz w:val="20"/>
              </w:rPr>
              <w:t>+</w:t>
            </w:r>
          </w:p>
        </w:tc>
        <w:tc>
          <w:tcPr>
            <w:tcW w:w="2081" w:type="dxa"/>
          </w:tcPr>
          <w:p>
            <w:pPr>
              <w:pStyle w:val="TableParagraph"/>
              <w:spacing w:line="230" w:lineRule="exact"/>
              <w:ind w:left="0" w:right="973"/>
              <w:jc w:val="right"/>
              <w:rPr>
                <w:sz w:val="20"/>
              </w:rPr>
            </w:pPr>
            <w:r>
              <w:rPr>
                <w:w w:val="99"/>
                <w:sz w:val="20"/>
              </w:rPr>
              <w:t>+</w:t>
            </w:r>
          </w:p>
        </w:tc>
        <w:tc>
          <w:tcPr>
            <w:tcW w:w="1827" w:type="dxa"/>
          </w:tcPr>
          <w:p>
            <w:pPr>
              <w:pStyle w:val="TableParagraph"/>
              <w:spacing w:line="230" w:lineRule="exact"/>
              <w:ind w:left="0" w:right="840"/>
              <w:jc w:val="right"/>
              <w:rPr>
                <w:sz w:val="20"/>
              </w:rPr>
            </w:pPr>
            <w:r>
              <w:rPr>
                <w:w w:val="99"/>
                <w:sz w:val="20"/>
              </w:rPr>
              <w:t>A</w:t>
            </w:r>
          </w:p>
        </w:tc>
      </w:tr>
      <w:tr>
        <w:trPr>
          <w:trHeight w:val="274" w:hRule="exact"/>
        </w:trPr>
        <w:tc>
          <w:tcPr>
            <w:tcW w:w="1915" w:type="dxa"/>
          </w:tcPr>
          <w:p>
            <w:pPr>
              <w:pStyle w:val="TableParagraph"/>
              <w:spacing w:line="230" w:lineRule="exact"/>
              <w:ind w:left="105"/>
              <w:jc w:val="left"/>
              <w:rPr>
                <w:sz w:val="20"/>
              </w:rPr>
            </w:pPr>
            <w:r>
              <w:rPr>
                <w:sz w:val="20"/>
              </w:rPr>
              <w:t>Ecovar ovino</w:t>
            </w:r>
          </w:p>
        </w:tc>
        <w:tc>
          <w:tcPr>
            <w:tcW w:w="1313" w:type="dxa"/>
          </w:tcPr>
          <w:p>
            <w:pPr>
              <w:pStyle w:val="TableParagraph"/>
              <w:spacing w:line="230" w:lineRule="exact"/>
              <w:ind w:left="619"/>
              <w:jc w:val="left"/>
              <w:rPr>
                <w:sz w:val="20"/>
              </w:rPr>
            </w:pPr>
            <w:r>
              <w:rPr>
                <w:w w:val="99"/>
                <w:sz w:val="20"/>
              </w:rPr>
              <w:t>-</w:t>
            </w:r>
          </w:p>
        </w:tc>
        <w:tc>
          <w:tcPr>
            <w:tcW w:w="1147" w:type="dxa"/>
          </w:tcPr>
          <w:p>
            <w:pPr>
              <w:pStyle w:val="TableParagraph"/>
              <w:spacing w:line="230" w:lineRule="exact"/>
              <w:ind w:left="0" w:right="508"/>
              <w:jc w:val="right"/>
              <w:rPr>
                <w:sz w:val="20"/>
              </w:rPr>
            </w:pPr>
            <w:r>
              <w:rPr>
                <w:w w:val="99"/>
                <w:sz w:val="20"/>
              </w:rPr>
              <w:t>+</w:t>
            </w:r>
          </w:p>
        </w:tc>
        <w:tc>
          <w:tcPr>
            <w:tcW w:w="2081" w:type="dxa"/>
          </w:tcPr>
          <w:p>
            <w:pPr>
              <w:pStyle w:val="TableParagraph"/>
              <w:spacing w:line="230" w:lineRule="exact"/>
              <w:ind w:left="0" w:right="973"/>
              <w:jc w:val="right"/>
              <w:rPr>
                <w:sz w:val="20"/>
              </w:rPr>
            </w:pPr>
            <w:r>
              <w:rPr>
                <w:w w:val="99"/>
                <w:sz w:val="20"/>
              </w:rPr>
              <w:t>+</w:t>
            </w:r>
          </w:p>
        </w:tc>
        <w:tc>
          <w:tcPr>
            <w:tcW w:w="1827" w:type="dxa"/>
          </w:tcPr>
          <w:p>
            <w:pPr>
              <w:pStyle w:val="TableParagraph"/>
              <w:spacing w:line="230" w:lineRule="exact"/>
              <w:ind w:left="0" w:right="833"/>
              <w:jc w:val="right"/>
              <w:rPr>
                <w:sz w:val="20"/>
              </w:rPr>
            </w:pPr>
            <w:r>
              <w:rPr>
                <w:w w:val="99"/>
                <w:sz w:val="20"/>
              </w:rPr>
              <w:t>C</w:t>
            </w:r>
          </w:p>
        </w:tc>
      </w:tr>
      <w:tr>
        <w:trPr>
          <w:trHeight w:val="540" w:hRule="exact"/>
        </w:trPr>
        <w:tc>
          <w:tcPr>
            <w:tcW w:w="8284" w:type="dxa"/>
            <w:gridSpan w:val="5"/>
          </w:tcPr>
          <w:p>
            <w:pPr>
              <w:pStyle w:val="TableParagraph"/>
              <w:spacing w:before="2"/>
              <w:ind w:left="105"/>
              <w:jc w:val="left"/>
              <w:rPr>
                <w:sz w:val="20"/>
              </w:rPr>
            </w:pPr>
            <w:r>
              <w:rPr>
                <w:sz w:val="20"/>
              </w:rPr>
              <w:t>Biotipo</w:t>
            </w:r>
          </w:p>
          <w:p>
            <w:pPr>
              <w:pStyle w:val="TableParagraph"/>
              <w:spacing w:before="34"/>
              <w:ind w:left="105"/>
              <w:jc w:val="left"/>
              <w:rPr>
                <w:sz w:val="20"/>
              </w:rPr>
            </w:pPr>
            <w:r>
              <w:rPr>
                <w:sz w:val="20"/>
              </w:rPr>
              <w:t>Sin hospedero específico</w:t>
            </w:r>
          </w:p>
        </w:tc>
      </w:tr>
      <w:tr>
        <w:trPr>
          <w:trHeight w:val="274" w:hRule="exact"/>
        </w:trPr>
        <w:tc>
          <w:tcPr>
            <w:tcW w:w="1915" w:type="dxa"/>
          </w:tcPr>
          <w:p>
            <w:pPr>
              <w:pStyle w:val="TableParagraph"/>
              <w:spacing w:line="230" w:lineRule="exact"/>
              <w:ind w:left="105"/>
              <w:jc w:val="left"/>
              <w:rPr>
                <w:sz w:val="20"/>
              </w:rPr>
            </w:pPr>
            <w:r>
              <w:rPr>
                <w:sz w:val="20"/>
              </w:rPr>
              <w:t>K-β+CV:C</w:t>
            </w:r>
          </w:p>
        </w:tc>
        <w:tc>
          <w:tcPr>
            <w:tcW w:w="1313" w:type="dxa"/>
          </w:tcPr>
          <w:p>
            <w:pPr>
              <w:pStyle w:val="TableParagraph"/>
              <w:spacing w:line="230" w:lineRule="exact"/>
              <w:ind w:left="619"/>
              <w:jc w:val="left"/>
              <w:rPr>
                <w:sz w:val="20"/>
              </w:rPr>
            </w:pPr>
            <w:r>
              <w:rPr>
                <w:w w:val="99"/>
                <w:sz w:val="20"/>
              </w:rPr>
              <w:t>-</w:t>
            </w:r>
          </w:p>
        </w:tc>
        <w:tc>
          <w:tcPr>
            <w:tcW w:w="1147" w:type="dxa"/>
          </w:tcPr>
          <w:p>
            <w:pPr>
              <w:pStyle w:val="TableParagraph"/>
              <w:spacing w:line="230" w:lineRule="exact"/>
              <w:ind w:left="0" w:right="508"/>
              <w:jc w:val="right"/>
              <w:rPr>
                <w:sz w:val="20"/>
              </w:rPr>
            </w:pPr>
            <w:r>
              <w:rPr>
                <w:w w:val="99"/>
                <w:sz w:val="20"/>
              </w:rPr>
              <w:t>+</w:t>
            </w:r>
          </w:p>
        </w:tc>
        <w:tc>
          <w:tcPr>
            <w:tcW w:w="2081" w:type="dxa"/>
          </w:tcPr>
          <w:p>
            <w:pPr>
              <w:pStyle w:val="TableParagraph"/>
              <w:spacing w:line="230" w:lineRule="exact"/>
              <w:ind w:left="0" w:right="999"/>
              <w:jc w:val="right"/>
              <w:rPr>
                <w:sz w:val="20"/>
              </w:rPr>
            </w:pPr>
            <w:r>
              <w:rPr>
                <w:w w:val="99"/>
                <w:sz w:val="20"/>
              </w:rPr>
              <w:t>-</w:t>
            </w:r>
          </w:p>
        </w:tc>
        <w:tc>
          <w:tcPr>
            <w:tcW w:w="1827" w:type="dxa"/>
          </w:tcPr>
          <w:p>
            <w:pPr>
              <w:pStyle w:val="TableParagraph"/>
              <w:spacing w:line="230" w:lineRule="exact"/>
              <w:ind w:left="0" w:right="833"/>
              <w:jc w:val="right"/>
              <w:rPr>
                <w:sz w:val="20"/>
              </w:rPr>
            </w:pPr>
            <w:r>
              <w:rPr>
                <w:w w:val="99"/>
                <w:sz w:val="20"/>
              </w:rPr>
              <w:t>C</w:t>
            </w:r>
          </w:p>
        </w:tc>
      </w:tr>
      <w:tr>
        <w:trPr>
          <w:trHeight w:val="276" w:hRule="exact"/>
        </w:trPr>
        <w:tc>
          <w:tcPr>
            <w:tcW w:w="1915" w:type="dxa"/>
          </w:tcPr>
          <w:p>
            <w:pPr>
              <w:pStyle w:val="TableParagraph"/>
              <w:spacing w:line="230" w:lineRule="exact"/>
              <w:ind w:left="105"/>
              <w:jc w:val="left"/>
              <w:rPr>
                <w:sz w:val="20"/>
              </w:rPr>
            </w:pPr>
            <w:r>
              <w:rPr>
                <w:sz w:val="20"/>
              </w:rPr>
              <w:t>K-β+CV:A</w:t>
            </w:r>
          </w:p>
        </w:tc>
        <w:tc>
          <w:tcPr>
            <w:tcW w:w="1313" w:type="dxa"/>
          </w:tcPr>
          <w:p>
            <w:pPr>
              <w:pStyle w:val="TableParagraph"/>
              <w:spacing w:line="230" w:lineRule="exact"/>
              <w:ind w:left="619"/>
              <w:jc w:val="left"/>
              <w:rPr>
                <w:sz w:val="20"/>
              </w:rPr>
            </w:pPr>
            <w:r>
              <w:rPr>
                <w:w w:val="99"/>
                <w:sz w:val="20"/>
              </w:rPr>
              <w:t>-</w:t>
            </w:r>
          </w:p>
        </w:tc>
        <w:tc>
          <w:tcPr>
            <w:tcW w:w="1147" w:type="dxa"/>
          </w:tcPr>
          <w:p>
            <w:pPr>
              <w:pStyle w:val="TableParagraph"/>
              <w:spacing w:line="230" w:lineRule="exact"/>
              <w:ind w:left="0" w:right="508"/>
              <w:jc w:val="right"/>
              <w:rPr>
                <w:sz w:val="20"/>
              </w:rPr>
            </w:pPr>
            <w:r>
              <w:rPr>
                <w:w w:val="99"/>
                <w:sz w:val="20"/>
              </w:rPr>
              <w:t>+</w:t>
            </w:r>
          </w:p>
        </w:tc>
        <w:tc>
          <w:tcPr>
            <w:tcW w:w="2081" w:type="dxa"/>
          </w:tcPr>
          <w:p>
            <w:pPr>
              <w:pStyle w:val="TableParagraph"/>
              <w:spacing w:line="230" w:lineRule="exact"/>
              <w:ind w:left="0" w:right="999"/>
              <w:jc w:val="right"/>
              <w:rPr>
                <w:sz w:val="20"/>
              </w:rPr>
            </w:pPr>
            <w:r>
              <w:rPr>
                <w:w w:val="99"/>
                <w:sz w:val="20"/>
              </w:rPr>
              <w:t>-</w:t>
            </w:r>
          </w:p>
        </w:tc>
        <w:tc>
          <w:tcPr>
            <w:tcW w:w="1827" w:type="dxa"/>
          </w:tcPr>
          <w:p>
            <w:pPr>
              <w:pStyle w:val="TableParagraph"/>
              <w:spacing w:line="230" w:lineRule="exact"/>
              <w:ind w:left="0" w:right="840"/>
              <w:jc w:val="right"/>
              <w:rPr>
                <w:sz w:val="20"/>
              </w:rPr>
            </w:pPr>
            <w:r>
              <w:rPr>
                <w:w w:val="99"/>
                <w:sz w:val="20"/>
              </w:rPr>
              <w:t>A</w:t>
            </w:r>
          </w:p>
        </w:tc>
      </w:tr>
      <w:tr>
        <w:trPr>
          <w:trHeight w:val="274" w:hRule="exact"/>
        </w:trPr>
        <w:tc>
          <w:tcPr>
            <w:tcW w:w="1915" w:type="dxa"/>
          </w:tcPr>
          <w:p>
            <w:pPr>
              <w:pStyle w:val="TableParagraph"/>
              <w:spacing w:line="230" w:lineRule="exact"/>
              <w:ind w:left="105"/>
              <w:jc w:val="left"/>
              <w:rPr>
                <w:sz w:val="20"/>
              </w:rPr>
            </w:pPr>
            <w:r>
              <w:rPr>
                <w:sz w:val="20"/>
              </w:rPr>
              <w:t>K+β-CV:A</w:t>
            </w:r>
          </w:p>
        </w:tc>
        <w:tc>
          <w:tcPr>
            <w:tcW w:w="1313" w:type="dxa"/>
          </w:tcPr>
          <w:p>
            <w:pPr>
              <w:pStyle w:val="TableParagraph"/>
              <w:spacing w:line="230" w:lineRule="exact"/>
              <w:ind w:left="595"/>
              <w:jc w:val="left"/>
              <w:rPr>
                <w:sz w:val="20"/>
              </w:rPr>
            </w:pPr>
            <w:r>
              <w:rPr>
                <w:w w:val="99"/>
                <w:sz w:val="20"/>
              </w:rPr>
              <w:t>+</w:t>
            </w:r>
          </w:p>
        </w:tc>
        <w:tc>
          <w:tcPr>
            <w:tcW w:w="1147" w:type="dxa"/>
          </w:tcPr>
          <w:p>
            <w:pPr>
              <w:pStyle w:val="TableParagraph"/>
              <w:spacing w:line="230" w:lineRule="exact"/>
              <w:ind w:left="0" w:right="531"/>
              <w:jc w:val="right"/>
              <w:rPr>
                <w:sz w:val="20"/>
              </w:rPr>
            </w:pPr>
            <w:r>
              <w:rPr>
                <w:w w:val="99"/>
                <w:sz w:val="20"/>
              </w:rPr>
              <w:t>-</w:t>
            </w:r>
          </w:p>
        </w:tc>
        <w:tc>
          <w:tcPr>
            <w:tcW w:w="2081" w:type="dxa"/>
          </w:tcPr>
          <w:p>
            <w:pPr>
              <w:pStyle w:val="TableParagraph"/>
              <w:spacing w:line="230" w:lineRule="exact"/>
              <w:ind w:left="0" w:right="999"/>
              <w:jc w:val="right"/>
              <w:rPr>
                <w:sz w:val="20"/>
              </w:rPr>
            </w:pPr>
            <w:r>
              <w:rPr>
                <w:w w:val="99"/>
                <w:sz w:val="20"/>
              </w:rPr>
              <w:t>-</w:t>
            </w:r>
          </w:p>
        </w:tc>
        <w:tc>
          <w:tcPr>
            <w:tcW w:w="1827" w:type="dxa"/>
          </w:tcPr>
          <w:p>
            <w:pPr>
              <w:pStyle w:val="TableParagraph"/>
              <w:spacing w:line="230" w:lineRule="exact"/>
              <w:ind w:left="0" w:right="840"/>
              <w:jc w:val="right"/>
              <w:rPr>
                <w:sz w:val="20"/>
              </w:rPr>
            </w:pPr>
            <w:r>
              <w:rPr>
                <w:w w:val="99"/>
                <w:sz w:val="20"/>
              </w:rPr>
              <w:t>A</w:t>
            </w:r>
          </w:p>
        </w:tc>
      </w:tr>
      <w:tr>
        <w:trPr>
          <w:trHeight w:val="274" w:hRule="exact"/>
        </w:trPr>
        <w:tc>
          <w:tcPr>
            <w:tcW w:w="1915" w:type="dxa"/>
          </w:tcPr>
          <w:p>
            <w:pPr>
              <w:pStyle w:val="TableParagraph"/>
              <w:spacing w:line="230" w:lineRule="exact"/>
              <w:ind w:left="105"/>
              <w:jc w:val="left"/>
              <w:rPr>
                <w:sz w:val="20"/>
              </w:rPr>
            </w:pPr>
            <w:r>
              <w:rPr>
                <w:sz w:val="20"/>
              </w:rPr>
              <w:t>K+β+CV:A</w:t>
            </w:r>
          </w:p>
        </w:tc>
        <w:tc>
          <w:tcPr>
            <w:tcW w:w="1313" w:type="dxa"/>
          </w:tcPr>
          <w:p>
            <w:pPr>
              <w:pStyle w:val="TableParagraph"/>
              <w:spacing w:line="230" w:lineRule="exact"/>
              <w:ind w:left="595"/>
              <w:jc w:val="left"/>
              <w:rPr>
                <w:sz w:val="20"/>
              </w:rPr>
            </w:pPr>
            <w:r>
              <w:rPr>
                <w:w w:val="99"/>
                <w:sz w:val="20"/>
              </w:rPr>
              <w:t>+</w:t>
            </w:r>
          </w:p>
        </w:tc>
        <w:tc>
          <w:tcPr>
            <w:tcW w:w="1147" w:type="dxa"/>
          </w:tcPr>
          <w:p>
            <w:pPr>
              <w:pStyle w:val="TableParagraph"/>
              <w:spacing w:line="230" w:lineRule="exact"/>
              <w:ind w:left="0" w:right="508"/>
              <w:jc w:val="right"/>
              <w:rPr>
                <w:sz w:val="20"/>
              </w:rPr>
            </w:pPr>
            <w:r>
              <w:rPr>
                <w:w w:val="99"/>
                <w:sz w:val="20"/>
              </w:rPr>
              <w:t>+</w:t>
            </w:r>
          </w:p>
        </w:tc>
        <w:tc>
          <w:tcPr>
            <w:tcW w:w="2081" w:type="dxa"/>
          </w:tcPr>
          <w:p>
            <w:pPr>
              <w:pStyle w:val="TableParagraph"/>
              <w:spacing w:line="230" w:lineRule="exact"/>
              <w:ind w:left="0" w:right="999"/>
              <w:jc w:val="right"/>
              <w:rPr>
                <w:sz w:val="20"/>
              </w:rPr>
            </w:pPr>
            <w:r>
              <w:rPr>
                <w:w w:val="99"/>
                <w:sz w:val="20"/>
              </w:rPr>
              <w:t>-</w:t>
            </w:r>
          </w:p>
        </w:tc>
        <w:tc>
          <w:tcPr>
            <w:tcW w:w="1827" w:type="dxa"/>
          </w:tcPr>
          <w:p>
            <w:pPr>
              <w:pStyle w:val="TableParagraph"/>
              <w:spacing w:line="230" w:lineRule="exact"/>
              <w:ind w:left="0" w:right="840"/>
              <w:jc w:val="right"/>
              <w:rPr>
                <w:sz w:val="20"/>
              </w:rPr>
            </w:pPr>
            <w:r>
              <w:rPr>
                <w:w w:val="99"/>
                <w:sz w:val="20"/>
              </w:rPr>
              <w:t>A</w:t>
            </w:r>
          </w:p>
        </w:tc>
      </w:tr>
      <w:tr>
        <w:trPr>
          <w:trHeight w:val="276" w:hRule="exact"/>
        </w:trPr>
        <w:tc>
          <w:tcPr>
            <w:tcW w:w="1915" w:type="dxa"/>
          </w:tcPr>
          <w:p>
            <w:pPr>
              <w:pStyle w:val="TableParagraph"/>
              <w:spacing w:before="2"/>
              <w:ind w:left="105"/>
              <w:jc w:val="left"/>
              <w:rPr>
                <w:sz w:val="20"/>
              </w:rPr>
            </w:pPr>
            <w:r>
              <w:rPr>
                <w:sz w:val="20"/>
              </w:rPr>
              <w:t>K-β-CV:C</w:t>
            </w:r>
          </w:p>
        </w:tc>
        <w:tc>
          <w:tcPr>
            <w:tcW w:w="1313" w:type="dxa"/>
          </w:tcPr>
          <w:p>
            <w:pPr>
              <w:pStyle w:val="TableParagraph"/>
              <w:spacing w:before="2"/>
              <w:ind w:left="619"/>
              <w:jc w:val="left"/>
              <w:rPr>
                <w:sz w:val="20"/>
              </w:rPr>
            </w:pPr>
            <w:r>
              <w:rPr>
                <w:w w:val="99"/>
                <w:sz w:val="20"/>
              </w:rPr>
              <w:t>-</w:t>
            </w:r>
          </w:p>
        </w:tc>
        <w:tc>
          <w:tcPr>
            <w:tcW w:w="1147" w:type="dxa"/>
          </w:tcPr>
          <w:p>
            <w:pPr>
              <w:pStyle w:val="TableParagraph"/>
              <w:spacing w:before="2"/>
              <w:ind w:left="0" w:right="531"/>
              <w:jc w:val="right"/>
              <w:rPr>
                <w:sz w:val="20"/>
              </w:rPr>
            </w:pPr>
            <w:r>
              <w:rPr>
                <w:w w:val="99"/>
                <w:sz w:val="20"/>
              </w:rPr>
              <w:t>-</w:t>
            </w:r>
          </w:p>
        </w:tc>
        <w:tc>
          <w:tcPr>
            <w:tcW w:w="2081" w:type="dxa"/>
          </w:tcPr>
          <w:p>
            <w:pPr>
              <w:pStyle w:val="TableParagraph"/>
              <w:spacing w:before="2"/>
              <w:ind w:left="0" w:right="999"/>
              <w:jc w:val="right"/>
              <w:rPr>
                <w:sz w:val="20"/>
              </w:rPr>
            </w:pPr>
            <w:r>
              <w:rPr>
                <w:w w:val="99"/>
                <w:sz w:val="20"/>
              </w:rPr>
              <w:t>-</w:t>
            </w:r>
          </w:p>
        </w:tc>
        <w:tc>
          <w:tcPr>
            <w:tcW w:w="1827" w:type="dxa"/>
          </w:tcPr>
          <w:p>
            <w:pPr>
              <w:pStyle w:val="TableParagraph"/>
              <w:spacing w:before="2"/>
              <w:ind w:left="0" w:right="833"/>
              <w:jc w:val="right"/>
              <w:rPr>
                <w:sz w:val="20"/>
              </w:rPr>
            </w:pPr>
            <w:r>
              <w:rPr>
                <w:w w:val="99"/>
                <w:sz w:val="20"/>
              </w:rPr>
              <w:t>C</w:t>
            </w:r>
          </w:p>
        </w:tc>
      </w:tr>
    </w:tbl>
    <w:p>
      <w:pPr>
        <w:spacing w:line="227" w:lineRule="exact" w:before="0"/>
        <w:ind w:left="0" w:right="0" w:firstLine="0"/>
        <w:jc w:val="center"/>
        <w:rPr>
          <w:sz w:val="20"/>
        </w:rPr>
      </w:pPr>
      <w:r>
        <w:rPr>
          <w:sz w:val="20"/>
        </w:rPr>
        <w:t>Fuente: Devriese, (1984).</w:t>
      </w:r>
    </w:p>
    <w:p>
      <w:pPr>
        <w:spacing w:after="0" w:line="227" w:lineRule="exact"/>
        <w:jc w:val="center"/>
        <w:rPr>
          <w:sz w:val="20"/>
        </w:rPr>
        <w:sectPr>
          <w:pgSz w:w="12240" w:h="15840"/>
          <w:pgMar w:header="728" w:footer="710" w:top="1200" w:bottom="900" w:left="1560" w:right="1560"/>
        </w:sectPr>
      </w:pPr>
    </w:p>
    <w:p>
      <w:pPr>
        <w:pStyle w:val="BodyText"/>
        <w:rPr>
          <w:sz w:val="20"/>
        </w:rPr>
      </w:pPr>
    </w:p>
    <w:p>
      <w:pPr>
        <w:pStyle w:val="BodyText"/>
        <w:rPr>
          <w:sz w:val="20"/>
        </w:rPr>
      </w:pPr>
    </w:p>
    <w:p>
      <w:pPr>
        <w:pStyle w:val="BodyText"/>
        <w:rPr>
          <w:sz w:val="20"/>
        </w:rPr>
      </w:pPr>
    </w:p>
    <w:p>
      <w:pPr>
        <w:pStyle w:val="BodyText"/>
        <w:spacing w:before="11"/>
        <w:rPr>
          <w:sz w:val="18"/>
        </w:rPr>
      </w:pPr>
    </w:p>
    <w:p>
      <w:pPr>
        <w:pStyle w:val="Heading2"/>
        <w:spacing w:before="0"/>
        <w:jc w:val="both"/>
      </w:pPr>
      <w:bookmarkStart w:name="_bookmark55" w:id="67"/>
      <w:bookmarkEnd w:id="67"/>
      <w:r>
        <w:rPr>
          <w:b w:val="0"/>
        </w:rPr>
      </w:r>
      <w:r>
        <w:rPr/>
        <w:t>Identificación fenotípica de </w:t>
      </w:r>
      <w:r>
        <w:rPr>
          <w:i/>
        </w:rPr>
        <w:t>biofilm </w:t>
      </w:r>
      <w:r>
        <w:rPr/>
        <w:t>en rojo Congo</w:t>
      </w:r>
    </w:p>
    <w:p>
      <w:pPr>
        <w:pStyle w:val="BodyText"/>
        <w:spacing w:line="276" w:lineRule="auto" w:before="26"/>
        <w:ind w:left="142" w:right="136"/>
        <w:jc w:val="both"/>
      </w:pPr>
      <w:r>
        <w:rPr/>
        <w:t>Para determinar la presencia de </w:t>
      </w:r>
      <w:r>
        <w:rPr>
          <w:i/>
        </w:rPr>
        <w:t>biofilm </w:t>
      </w:r>
      <w:r>
        <w:rPr/>
        <w:t>en los aislamientos de </w:t>
      </w:r>
      <w:r>
        <w:rPr>
          <w:i/>
        </w:rPr>
        <w:t>Staphylococcus </w:t>
      </w:r>
      <w:r>
        <w:rPr>
          <w:i/>
        </w:rPr>
        <w:t>aureus </w:t>
      </w:r>
      <w:r>
        <w:rPr/>
        <w:t>se utilizó la técnica de agar rojo Congo descrita por Freeman </w:t>
      </w:r>
      <w:r>
        <w:rPr>
          <w:i/>
        </w:rPr>
        <w:t>et al., </w:t>
      </w:r>
      <w:r>
        <w:rPr/>
        <w:t>(1989), las</w:t>
      </w:r>
      <w:r>
        <w:rPr>
          <w:spacing w:val="-11"/>
        </w:rPr>
        <w:t> </w:t>
      </w:r>
      <w:r>
        <w:rPr/>
        <w:t>placas</w:t>
      </w:r>
      <w:r>
        <w:rPr>
          <w:spacing w:val="-12"/>
        </w:rPr>
        <w:t> </w:t>
      </w:r>
      <w:r>
        <w:rPr/>
        <w:t>contenían</w:t>
      </w:r>
      <w:r>
        <w:rPr>
          <w:spacing w:val="-13"/>
        </w:rPr>
        <w:t> </w:t>
      </w:r>
      <w:r>
        <w:rPr/>
        <w:t>0.8</w:t>
      </w:r>
      <w:r>
        <w:rPr>
          <w:spacing w:val="-11"/>
        </w:rPr>
        <w:t> </w:t>
      </w:r>
      <w:r>
        <w:rPr/>
        <w:t>g</w:t>
      </w:r>
      <w:r>
        <w:rPr>
          <w:spacing w:val="-13"/>
        </w:rPr>
        <w:t> </w:t>
      </w:r>
      <w:r>
        <w:rPr/>
        <w:t>de</w:t>
      </w:r>
      <w:r>
        <w:rPr>
          <w:spacing w:val="-13"/>
        </w:rPr>
        <w:t> </w:t>
      </w:r>
      <w:r>
        <w:rPr/>
        <w:t>colorante</w:t>
      </w:r>
      <w:r>
        <w:rPr>
          <w:spacing w:val="-13"/>
        </w:rPr>
        <w:t> </w:t>
      </w:r>
      <w:r>
        <w:rPr/>
        <w:t>Rojo</w:t>
      </w:r>
      <w:r>
        <w:rPr>
          <w:spacing w:val="-15"/>
        </w:rPr>
        <w:t> </w:t>
      </w:r>
      <w:r>
        <w:rPr/>
        <w:t>Congo,</w:t>
      </w:r>
      <w:r>
        <w:rPr>
          <w:spacing w:val="-13"/>
        </w:rPr>
        <w:t> </w:t>
      </w:r>
      <w:r>
        <w:rPr/>
        <w:t>36</w:t>
      </w:r>
      <w:r>
        <w:rPr>
          <w:spacing w:val="-13"/>
        </w:rPr>
        <w:t> </w:t>
      </w:r>
      <w:r>
        <w:rPr/>
        <w:t>g</w:t>
      </w:r>
      <w:r>
        <w:rPr>
          <w:spacing w:val="-13"/>
        </w:rPr>
        <w:t> </w:t>
      </w:r>
      <w:r>
        <w:rPr/>
        <w:t>de</w:t>
      </w:r>
      <w:r>
        <w:rPr>
          <w:spacing w:val="-13"/>
        </w:rPr>
        <w:t> </w:t>
      </w:r>
      <w:r>
        <w:rPr/>
        <w:t>sacarosa</w:t>
      </w:r>
      <w:r>
        <w:rPr>
          <w:spacing w:val="-11"/>
        </w:rPr>
        <w:t> </w:t>
      </w:r>
      <w:r>
        <w:rPr/>
        <w:t>y</w:t>
      </w:r>
      <w:r>
        <w:rPr>
          <w:spacing w:val="-14"/>
        </w:rPr>
        <w:t> </w:t>
      </w:r>
      <w:r>
        <w:rPr/>
        <w:t>1</w:t>
      </w:r>
      <w:r>
        <w:rPr>
          <w:spacing w:val="-13"/>
        </w:rPr>
        <w:t> </w:t>
      </w:r>
      <w:r>
        <w:rPr/>
        <w:t>Lt</w:t>
      </w:r>
      <w:r>
        <w:rPr>
          <w:spacing w:val="-13"/>
        </w:rPr>
        <w:t> </w:t>
      </w:r>
      <w:r>
        <w:rPr/>
        <w:t>de</w:t>
      </w:r>
      <w:r>
        <w:rPr>
          <w:spacing w:val="-13"/>
        </w:rPr>
        <w:t> </w:t>
      </w:r>
      <w:r>
        <w:rPr/>
        <w:t>agar Infusión Cerebro Corazón (Bioxon), fueron inoculadas por 24-72 h. a 37°C. Las colonias características son negras de consistencia cristalina</w:t>
      </w:r>
      <w:r>
        <w:rPr>
          <w:spacing w:val="-20"/>
        </w:rPr>
        <w:t> </w:t>
      </w:r>
      <w:r>
        <w:rPr/>
        <w:t>seca.</w:t>
      </w:r>
    </w:p>
    <w:p>
      <w:pPr>
        <w:spacing w:after="0" w:line="276" w:lineRule="auto"/>
        <w:jc w:val="both"/>
        <w:sectPr>
          <w:pgSz w:w="12240" w:h="15840"/>
          <w:pgMar w:header="728" w:footer="710" w:top="1200" w:bottom="900" w:left="1560" w:right="1560"/>
        </w:sectPr>
      </w:pPr>
    </w:p>
    <w:p>
      <w:pPr>
        <w:pStyle w:val="BodyText"/>
        <w:spacing w:before="9"/>
        <w:rPr>
          <w:sz w:val="12"/>
        </w:rPr>
      </w:pPr>
    </w:p>
    <w:p>
      <w:pPr>
        <w:pStyle w:val="Heading2"/>
        <w:numPr>
          <w:ilvl w:val="1"/>
          <w:numId w:val="3"/>
        </w:numPr>
        <w:tabs>
          <w:tab w:pos="3004" w:val="left" w:leader="none"/>
        </w:tabs>
        <w:spacing w:line="240" w:lineRule="auto" w:before="70" w:after="0"/>
        <w:ind w:left="3003" w:right="0" w:hanging="430"/>
        <w:jc w:val="left"/>
      </w:pPr>
      <w:bookmarkStart w:name="_bookmark56" w:id="68"/>
      <w:bookmarkEnd w:id="68"/>
      <w:r>
        <w:rPr>
          <w:b w:val="0"/>
        </w:rPr>
      </w:r>
      <w:bookmarkStart w:name="_bookmark56" w:id="69"/>
      <w:bookmarkEnd w:id="69"/>
      <w:r>
        <w:rPr/>
        <w:t>LIMITE</w:t>
      </w:r>
      <w:r>
        <w:rPr/>
        <w:t> DE TIEMPO Y</w:t>
      </w:r>
      <w:r>
        <w:rPr>
          <w:spacing w:val="-11"/>
        </w:rPr>
        <w:t> </w:t>
      </w:r>
      <w:r>
        <w:rPr/>
        <w:t>ESPACIO</w:t>
      </w:r>
    </w:p>
    <w:p>
      <w:pPr>
        <w:pStyle w:val="BodyText"/>
        <w:spacing w:before="8"/>
        <w:rPr>
          <w:b/>
          <w:sz w:val="32"/>
        </w:rPr>
      </w:pPr>
    </w:p>
    <w:p>
      <w:pPr>
        <w:pStyle w:val="BodyText"/>
        <w:spacing w:line="276" w:lineRule="auto" w:before="1"/>
        <w:ind w:left="142" w:right="136"/>
        <w:jc w:val="both"/>
      </w:pPr>
      <w:r>
        <w:rPr/>
        <w:t>El Municipio de Toluca, es la capital del Estado de México. Se organiza territorialmente en 47 delegaciones y 38 subdelegaciones, cuenta con una superficie</w:t>
      </w:r>
      <w:r>
        <w:rPr>
          <w:spacing w:val="-8"/>
        </w:rPr>
        <w:t> </w:t>
      </w:r>
      <w:r>
        <w:rPr/>
        <w:t>total</w:t>
      </w:r>
      <w:r>
        <w:rPr>
          <w:spacing w:val="-12"/>
        </w:rPr>
        <w:t> </w:t>
      </w:r>
      <w:r>
        <w:rPr/>
        <w:t>de</w:t>
      </w:r>
      <w:r>
        <w:rPr>
          <w:spacing w:val="-11"/>
        </w:rPr>
        <w:t> </w:t>
      </w:r>
      <w:r>
        <w:rPr/>
        <w:t>420.14</w:t>
      </w:r>
      <w:r>
        <w:rPr>
          <w:spacing w:val="-8"/>
        </w:rPr>
        <w:t> </w:t>
      </w:r>
      <w:r>
        <w:rPr/>
        <w:t>kilómetros</w:t>
      </w:r>
      <w:r>
        <w:rPr>
          <w:spacing w:val="-12"/>
        </w:rPr>
        <w:t> </w:t>
      </w:r>
      <w:r>
        <w:rPr/>
        <w:t>cuadrados</w:t>
      </w:r>
      <w:r>
        <w:rPr>
          <w:spacing w:val="-9"/>
        </w:rPr>
        <w:t> </w:t>
      </w:r>
      <w:r>
        <w:rPr/>
        <w:t>(Bando</w:t>
      </w:r>
      <w:r>
        <w:rPr>
          <w:spacing w:val="-8"/>
        </w:rPr>
        <w:t> </w:t>
      </w:r>
      <w:r>
        <w:rPr/>
        <w:t>Municipal</w:t>
      </w:r>
      <w:r>
        <w:rPr>
          <w:spacing w:val="-12"/>
        </w:rPr>
        <w:t> </w:t>
      </w:r>
      <w:r>
        <w:rPr/>
        <w:t>Toluca,</w:t>
      </w:r>
      <w:r>
        <w:rPr>
          <w:spacing w:val="-11"/>
        </w:rPr>
        <w:t> </w:t>
      </w:r>
      <w:r>
        <w:rPr/>
        <w:t>2015).</w:t>
      </w:r>
      <w:r>
        <w:rPr>
          <w:spacing w:val="-11"/>
        </w:rPr>
        <w:t> </w:t>
      </w:r>
      <w:r>
        <w:rPr/>
        <w:t>Se ubica entre los paralelos 18°59´ y 19°29´ de latitud norte; los meridianos 99°32´y 99°47´de longitud oeste; altitud entre 2 400 y 4 700 m, colinda al norte con los municipios de Almoloya de Juárez, Temoaya y Otzolotepec; al este con los municipios de Otzolotepec, Xonacatlán, Lerma, San Mateo Atenco, Metepec y Calimaya; al sur con los municipios de Calimaya, Tenango del Valle, Villa Guerrero y</w:t>
      </w:r>
      <w:r>
        <w:rPr>
          <w:spacing w:val="-19"/>
        </w:rPr>
        <w:t> </w:t>
      </w:r>
      <w:r>
        <w:rPr/>
        <w:t>Coatepec</w:t>
      </w:r>
      <w:r>
        <w:rPr>
          <w:spacing w:val="-19"/>
        </w:rPr>
        <w:t> </w:t>
      </w:r>
      <w:r>
        <w:rPr/>
        <w:t>Harinas;</w:t>
      </w:r>
      <w:r>
        <w:rPr>
          <w:spacing w:val="-17"/>
        </w:rPr>
        <w:t> </w:t>
      </w:r>
      <w:r>
        <w:rPr/>
        <w:t>al</w:t>
      </w:r>
      <w:r>
        <w:rPr>
          <w:spacing w:val="-22"/>
        </w:rPr>
        <w:t> </w:t>
      </w:r>
      <w:r>
        <w:rPr/>
        <w:t>oeste</w:t>
      </w:r>
      <w:r>
        <w:rPr>
          <w:spacing w:val="-18"/>
        </w:rPr>
        <w:t> </w:t>
      </w:r>
      <w:r>
        <w:rPr/>
        <w:t>con</w:t>
      </w:r>
      <w:r>
        <w:rPr>
          <w:spacing w:val="-17"/>
        </w:rPr>
        <w:t> </w:t>
      </w:r>
      <w:r>
        <w:rPr/>
        <w:t>los</w:t>
      </w:r>
      <w:r>
        <w:rPr>
          <w:spacing w:val="-21"/>
        </w:rPr>
        <w:t> </w:t>
      </w:r>
      <w:r>
        <w:rPr/>
        <w:t>municipios</w:t>
      </w:r>
      <w:r>
        <w:rPr>
          <w:spacing w:val="-17"/>
        </w:rPr>
        <w:t> </w:t>
      </w:r>
      <w:r>
        <w:rPr/>
        <w:t>de</w:t>
      </w:r>
      <w:r>
        <w:rPr>
          <w:spacing w:val="-18"/>
        </w:rPr>
        <w:t> </w:t>
      </w:r>
      <w:r>
        <w:rPr/>
        <w:t>Coatepec</w:t>
      </w:r>
      <w:r>
        <w:rPr>
          <w:spacing w:val="-17"/>
        </w:rPr>
        <w:t> </w:t>
      </w:r>
      <w:r>
        <w:rPr/>
        <w:t>Harinas,</w:t>
      </w:r>
      <w:r>
        <w:rPr>
          <w:spacing w:val="-17"/>
        </w:rPr>
        <w:t> </w:t>
      </w:r>
      <w:r>
        <w:rPr/>
        <w:t>Zinacantepec y</w:t>
      </w:r>
      <w:r>
        <w:rPr>
          <w:spacing w:val="-19"/>
        </w:rPr>
        <w:t> </w:t>
      </w:r>
      <w:r>
        <w:rPr/>
        <w:t>Almoloya</w:t>
      </w:r>
      <w:r>
        <w:rPr>
          <w:spacing w:val="-16"/>
        </w:rPr>
        <w:t> </w:t>
      </w:r>
      <w:r>
        <w:rPr/>
        <w:t>de</w:t>
      </w:r>
      <w:r>
        <w:rPr>
          <w:spacing w:val="-16"/>
        </w:rPr>
        <w:t> </w:t>
      </w:r>
      <w:r>
        <w:rPr/>
        <w:t>Juárez.</w:t>
      </w:r>
      <w:r>
        <w:rPr>
          <w:spacing w:val="-16"/>
        </w:rPr>
        <w:t> </w:t>
      </w:r>
      <w:r>
        <w:rPr/>
        <w:t>Ocupa</w:t>
      </w:r>
      <w:r>
        <w:rPr>
          <w:spacing w:val="-18"/>
        </w:rPr>
        <w:t> </w:t>
      </w:r>
      <w:r>
        <w:rPr/>
        <w:t>el</w:t>
      </w:r>
      <w:r>
        <w:rPr>
          <w:spacing w:val="-17"/>
        </w:rPr>
        <w:t> </w:t>
      </w:r>
      <w:r>
        <w:rPr/>
        <w:t>2.03%</w:t>
      </w:r>
      <w:r>
        <w:rPr>
          <w:spacing w:val="-16"/>
        </w:rPr>
        <w:t> </w:t>
      </w:r>
      <w:r>
        <w:rPr/>
        <w:t>de</w:t>
      </w:r>
      <w:r>
        <w:rPr>
          <w:spacing w:val="-16"/>
        </w:rPr>
        <w:t> </w:t>
      </w:r>
      <w:r>
        <w:rPr/>
        <w:t>la</w:t>
      </w:r>
      <w:r>
        <w:rPr>
          <w:spacing w:val="-16"/>
        </w:rPr>
        <w:t> </w:t>
      </w:r>
      <w:r>
        <w:rPr/>
        <w:t>superficie</w:t>
      </w:r>
      <w:r>
        <w:rPr>
          <w:spacing w:val="-16"/>
        </w:rPr>
        <w:t> </w:t>
      </w:r>
      <w:r>
        <w:rPr/>
        <w:t>del</w:t>
      </w:r>
      <w:r>
        <w:rPr>
          <w:spacing w:val="-17"/>
        </w:rPr>
        <w:t> </w:t>
      </w:r>
      <w:r>
        <w:rPr/>
        <w:t>Estado</w:t>
      </w:r>
      <w:r>
        <w:rPr>
          <w:spacing w:val="-18"/>
        </w:rPr>
        <w:t> </w:t>
      </w:r>
      <w:r>
        <w:rPr/>
        <w:t>de</w:t>
      </w:r>
      <w:r>
        <w:rPr>
          <w:spacing w:val="-18"/>
        </w:rPr>
        <w:t> </w:t>
      </w:r>
      <w:r>
        <w:rPr/>
        <w:t>México,</w:t>
      </w:r>
      <w:r>
        <w:rPr>
          <w:spacing w:val="-16"/>
        </w:rPr>
        <w:t> </w:t>
      </w:r>
      <w:r>
        <w:rPr/>
        <w:t>cuenta con 97 localidades y una población total de 747 512 habitantes (INEGI, 2010). En este estudio se realizó un muestreo por conveniencia en el cual todos los productores y comercializadores de queso fresco en el municipio de Toluca fueron muestreados de acuerdo a una lista expedida por la Secretaria de Desarrollo Económico del municipio de Toluca según la cual se tienen registrados 52 tianguis y 4 mercados</w:t>
      </w:r>
      <w:r>
        <w:rPr>
          <w:spacing w:val="-5"/>
        </w:rPr>
        <w:t> </w:t>
      </w:r>
      <w:r>
        <w:rPr/>
        <w:t>fijos.</w:t>
      </w:r>
    </w:p>
    <w:p>
      <w:pPr>
        <w:pStyle w:val="BodyText"/>
        <w:spacing w:line="276" w:lineRule="auto" w:before="120"/>
        <w:ind w:left="142" w:right="136"/>
        <w:jc w:val="both"/>
      </w:pPr>
      <w:r>
        <w:rPr/>
        <w:t>La presente investigación se realizó durante el periodo de septiembre a agosto de 2014.</w:t>
      </w:r>
      <w:r>
        <w:rPr>
          <w:spacing w:val="-5"/>
        </w:rPr>
        <w:t> </w:t>
      </w:r>
      <w:r>
        <w:rPr/>
        <w:t>Los</w:t>
      </w:r>
      <w:r>
        <w:rPr>
          <w:spacing w:val="-8"/>
        </w:rPr>
        <w:t> </w:t>
      </w:r>
      <w:r>
        <w:rPr/>
        <w:t>procedimientos</w:t>
      </w:r>
      <w:r>
        <w:rPr>
          <w:spacing w:val="-5"/>
        </w:rPr>
        <w:t> </w:t>
      </w:r>
      <w:r>
        <w:rPr/>
        <w:t>de</w:t>
      </w:r>
      <w:r>
        <w:rPr>
          <w:spacing w:val="-5"/>
        </w:rPr>
        <w:t> </w:t>
      </w:r>
      <w:r>
        <w:rPr/>
        <w:t>laboratorio</w:t>
      </w:r>
      <w:r>
        <w:rPr>
          <w:spacing w:val="-5"/>
        </w:rPr>
        <w:t> </w:t>
      </w:r>
      <w:r>
        <w:rPr/>
        <w:t>se</w:t>
      </w:r>
      <w:r>
        <w:rPr>
          <w:spacing w:val="-5"/>
        </w:rPr>
        <w:t> </w:t>
      </w:r>
      <w:r>
        <w:rPr/>
        <w:t>llevaron</w:t>
      </w:r>
      <w:r>
        <w:rPr>
          <w:spacing w:val="-4"/>
        </w:rPr>
        <w:t> </w:t>
      </w:r>
      <w:r>
        <w:rPr/>
        <w:t>a</w:t>
      </w:r>
      <w:r>
        <w:rPr>
          <w:spacing w:val="-5"/>
        </w:rPr>
        <w:t> </w:t>
      </w:r>
      <w:r>
        <w:rPr/>
        <w:t>cabo</w:t>
      </w:r>
      <w:r>
        <w:rPr>
          <w:spacing w:val="-7"/>
        </w:rPr>
        <w:t> </w:t>
      </w:r>
      <w:r>
        <w:rPr/>
        <w:t>en</w:t>
      </w:r>
      <w:r>
        <w:rPr>
          <w:spacing w:val="-7"/>
        </w:rPr>
        <w:t> </w:t>
      </w:r>
      <w:r>
        <w:rPr/>
        <w:t>el</w:t>
      </w:r>
      <w:r>
        <w:rPr>
          <w:spacing w:val="-8"/>
        </w:rPr>
        <w:t> </w:t>
      </w:r>
      <w:r>
        <w:rPr/>
        <w:t>área</w:t>
      </w:r>
      <w:r>
        <w:rPr>
          <w:spacing w:val="-4"/>
        </w:rPr>
        <w:t> </w:t>
      </w:r>
      <w:r>
        <w:rPr/>
        <w:t>de</w:t>
      </w:r>
      <w:r>
        <w:rPr>
          <w:spacing w:val="-5"/>
        </w:rPr>
        <w:t> </w:t>
      </w:r>
      <w:r>
        <w:rPr/>
        <w:t>Inocuidad Alimentaria del Centro de Investigación y Estudios Avanzados en Salud Animal (CIESA), de la Facultad de Medicina Veterinaria y Zootecnia de la Universidad Autónoma del Estado de México ubicado en el Km. 15.5 de la carretera Panamericana Toluca –</w:t>
      </w:r>
      <w:r>
        <w:rPr>
          <w:spacing w:val="-9"/>
        </w:rPr>
        <w:t> </w:t>
      </w:r>
      <w:r>
        <w:rPr/>
        <w:t>Atlacomulco.</w:t>
      </w:r>
    </w:p>
    <w:p>
      <w:pPr>
        <w:pStyle w:val="BodyText"/>
        <w:spacing w:line="276" w:lineRule="auto" w:before="123"/>
        <w:ind w:left="142" w:right="138"/>
        <w:jc w:val="both"/>
      </w:pPr>
      <w:r>
        <w:rPr/>
        <w:t>Los</w:t>
      </w:r>
      <w:r>
        <w:rPr>
          <w:spacing w:val="-13"/>
        </w:rPr>
        <w:t> </w:t>
      </w:r>
      <w:r>
        <w:rPr/>
        <w:t>análisis</w:t>
      </w:r>
      <w:r>
        <w:rPr>
          <w:spacing w:val="-13"/>
        </w:rPr>
        <w:t> </w:t>
      </w:r>
      <w:r>
        <w:rPr/>
        <w:t>fisicoquímicos</w:t>
      </w:r>
      <w:r>
        <w:rPr>
          <w:spacing w:val="-13"/>
        </w:rPr>
        <w:t> </w:t>
      </w:r>
      <w:r>
        <w:rPr/>
        <w:t>de</w:t>
      </w:r>
      <w:r>
        <w:rPr>
          <w:spacing w:val="-14"/>
        </w:rPr>
        <w:t> </w:t>
      </w:r>
      <w:r>
        <w:rPr/>
        <w:t>humedad,</w:t>
      </w:r>
      <w:r>
        <w:rPr>
          <w:spacing w:val="-12"/>
        </w:rPr>
        <w:t> </w:t>
      </w:r>
      <w:r>
        <w:rPr/>
        <w:t>cenizas,</w:t>
      </w:r>
      <w:r>
        <w:rPr>
          <w:spacing w:val="-12"/>
        </w:rPr>
        <w:t> </w:t>
      </w:r>
      <w:r>
        <w:rPr/>
        <w:t>grasa</w:t>
      </w:r>
      <w:r>
        <w:rPr>
          <w:spacing w:val="-12"/>
        </w:rPr>
        <w:t> </w:t>
      </w:r>
      <w:r>
        <w:rPr/>
        <w:t>y</w:t>
      </w:r>
      <w:r>
        <w:rPr>
          <w:spacing w:val="-15"/>
        </w:rPr>
        <w:t> </w:t>
      </w:r>
      <w:r>
        <w:rPr/>
        <w:t>proteínas</w:t>
      </w:r>
      <w:r>
        <w:rPr>
          <w:spacing w:val="-13"/>
        </w:rPr>
        <w:t> </w:t>
      </w:r>
      <w:r>
        <w:rPr/>
        <w:t>se</w:t>
      </w:r>
      <w:r>
        <w:rPr>
          <w:spacing w:val="-12"/>
        </w:rPr>
        <w:t> </w:t>
      </w:r>
      <w:r>
        <w:rPr/>
        <w:t>realizaron</w:t>
      </w:r>
      <w:r>
        <w:rPr>
          <w:spacing w:val="-12"/>
        </w:rPr>
        <w:t> </w:t>
      </w:r>
      <w:r>
        <w:rPr/>
        <w:t>en el Instituto de Ciencias Agropecuarias y Rurales (ICAR), de la Universidad Autónoma del Estado de</w:t>
      </w:r>
      <w:r>
        <w:rPr>
          <w:spacing w:val="-14"/>
        </w:rPr>
        <w:t> </w:t>
      </w:r>
      <w:r>
        <w:rPr/>
        <w:t>México.</w:t>
      </w:r>
    </w:p>
    <w:p>
      <w:pPr>
        <w:spacing w:after="0" w:line="276" w:lineRule="auto"/>
        <w:jc w:val="both"/>
        <w:sectPr>
          <w:pgSz w:w="12240" w:h="15840"/>
          <w:pgMar w:header="728" w:footer="710" w:top="1200" w:bottom="900" w:left="1560" w:right="1560"/>
        </w:sectPr>
      </w:pPr>
    </w:p>
    <w:p>
      <w:pPr>
        <w:pStyle w:val="BodyText"/>
        <w:spacing w:before="9"/>
        <w:rPr>
          <w:sz w:val="12"/>
        </w:rPr>
      </w:pPr>
    </w:p>
    <w:p>
      <w:pPr>
        <w:pStyle w:val="Heading2"/>
        <w:numPr>
          <w:ilvl w:val="1"/>
          <w:numId w:val="3"/>
        </w:numPr>
        <w:tabs>
          <w:tab w:pos="3983" w:val="left" w:leader="none"/>
        </w:tabs>
        <w:spacing w:line="240" w:lineRule="auto" w:before="70" w:after="0"/>
        <w:ind w:left="3982" w:right="0" w:hanging="497"/>
        <w:jc w:val="left"/>
      </w:pPr>
      <w:bookmarkStart w:name="_bookmark57" w:id="70"/>
      <w:bookmarkEnd w:id="70"/>
      <w:r>
        <w:rPr>
          <w:b w:val="0"/>
        </w:rPr>
      </w:r>
      <w:bookmarkStart w:name="_bookmark57" w:id="71"/>
      <w:bookmarkEnd w:id="71"/>
      <w:r>
        <w:rPr/>
        <w:t>R</w:t>
      </w:r>
      <w:r>
        <w:rPr/>
        <w:t>ESULTADOS</w:t>
      </w:r>
    </w:p>
    <w:p>
      <w:pPr>
        <w:pStyle w:val="BodyText"/>
        <w:spacing w:before="8"/>
        <w:rPr>
          <w:b/>
          <w:sz w:val="32"/>
        </w:rPr>
      </w:pPr>
    </w:p>
    <w:p>
      <w:pPr>
        <w:pStyle w:val="BodyText"/>
        <w:spacing w:line="276" w:lineRule="auto" w:before="1"/>
        <w:ind w:left="142" w:right="139"/>
        <w:jc w:val="both"/>
      </w:pPr>
      <w:r>
        <w:rPr/>
        <w:t>Según el INEGI (2010), el municipio de Toluca cuenta con 22 tianguis, 7 mercados públicos y una central de abasto. La ubicación y los días de establecimiento de los mismos se tienen registrados en la Secretaria de Desarrollo Económico de la entidad (SEDECO). La procedencia del queso fresco que se comercializa en los mercados de abasto municipal es en mayor medida de los municipios de Villa Victoria e Ixtlahuaca 46.9-10.9% respectivamente. Seguida del abasto de Aculco y Toluca</w:t>
      </w:r>
      <w:r>
        <w:rPr>
          <w:spacing w:val="-4"/>
        </w:rPr>
        <w:t> </w:t>
      </w:r>
      <w:r>
        <w:rPr/>
        <w:t>con</w:t>
      </w:r>
      <w:r>
        <w:rPr>
          <w:spacing w:val="-6"/>
        </w:rPr>
        <w:t> </w:t>
      </w:r>
      <w:r>
        <w:rPr/>
        <w:t>7.8%,</w:t>
      </w:r>
      <w:r>
        <w:rPr>
          <w:spacing w:val="-6"/>
        </w:rPr>
        <w:t> </w:t>
      </w:r>
      <w:r>
        <w:rPr/>
        <w:t>y</w:t>
      </w:r>
      <w:r>
        <w:rPr>
          <w:spacing w:val="-7"/>
        </w:rPr>
        <w:t> </w:t>
      </w:r>
      <w:r>
        <w:rPr/>
        <w:t>Almoloya</w:t>
      </w:r>
      <w:r>
        <w:rPr>
          <w:spacing w:val="-4"/>
        </w:rPr>
        <w:t> </w:t>
      </w:r>
      <w:r>
        <w:rPr/>
        <w:t>de</w:t>
      </w:r>
      <w:r>
        <w:rPr>
          <w:spacing w:val="-4"/>
        </w:rPr>
        <w:t> </w:t>
      </w:r>
      <w:r>
        <w:rPr/>
        <w:t>Juárez</w:t>
      </w:r>
      <w:r>
        <w:rPr>
          <w:spacing w:val="-7"/>
        </w:rPr>
        <w:t> </w:t>
      </w:r>
      <w:r>
        <w:rPr/>
        <w:t>con</w:t>
      </w:r>
      <w:r>
        <w:rPr>
          <w:spacing w:val="-6"/>
        </w:rPr>
        <w:t> </w:t>
      </w:r>
      <w:r>
        <w:rPr/>
        <w:t>4.7%.</w:t>
      </w:r>
      <w:r>
        <w:rPr>
          <w:spacing w:val="-6"/>
        </w:rPr>
        <w:t> </w:t>
      </w:r>
      <w:r>
        <w:rPr/>
        <w:t>En</w:t>
      </w:r>
      <w:r>
        <w:rPr>
          <w:spacing w:val="-6"/>
        </w:rPr>
        <w:t> </w:t>
      </w:r>
      <w:r>
        <w:rPr/>
        <w:t>menor</w:t>
      </w:r>
      <w:r>
        <w:rPr>
          <w:spacing w:val="-7"/>
        </w:rPr>
        <w:t> </w:t>
      </w:r>
      <w:r>
        <w:rPr/>
        <w:t>proporción</w:t>
      </w:r>
      <w:r>
        <w:rPr>
          <w:spacing w:val="-4"/>
        </w:rPr>
        <w:t> </w:t>
      </w:r>
      <w:r>
        <w:rPr/>
        <w:t>los</w:t>
      </w:r>
      <w:r>
        <w:rPr>
          <w:spacing w:val="-4"/>
        </w:rPr>
        <w:t> </w:t>
      </w:r>
      <w:r>
        <w:rPr/>
        <w:t>quesos provinieron de los municipios de Texcatitlán, Metepec, Ecatepec y San Mateo Atenco y solo algunos casos el abasto fue del estado de Jalisco (cuadro</w:t>
      </w:r>
      <w:r>
        <w:rPr>
          <w:spacing w:val="-19"/>
        </w:rPr>
        <w:t> </w:t>
      </w:r>
      <w:r>
        <w:rPr/>
        <w:t>9).</w:t>
      </w:r>
    </w:p>
    <w:p>
      <w:pPr>
        <w:pStyle w:val="BodyText"/>
        <w:spacing w:before="10"/>
        <w:rPr>
          <w:sz w:val="20"/>
        </w:rPr>
      </w:pPr>
    </w:p>
    <w:p>
      <w:pPr>
        <w:pStyle w:val="BodyText"/>
        <w:ind w:left="142"/>
        <w:jc w:val="both"/>
      </w:pPr>
      <w:r>
        <w:rPr/>
        <w:t>Cuadro 9: Procedencia del queso fresco en mercados populares.</w:t>
      </w:r>
    </w:p>
    <w:p>
      <w:pPr>
        <w:pStyle w:val="BodyText"/>
        <w:spacing w:before="4"/>
        <w:rPr>
          <w:sz w:val="14"/>
        </w:rPr>
      </w:pPr>
    </w:p>
    <w:tbl>
      <w:tblPr>
        <w:tblW w:w="0" w:type="auto"/>
        <w:jc w:val="left"/>
        <w:tblInd w:w="19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71"/>
        <w:gridCol w:w="2376"/>
      </w:tblGrid>
      <w:tr>
        <w:trPr>
          <w:trHeight w:val="355" w:hRule="exact"/>
        </w:trPr>
        <w:tc>
          <w:tcPr>
            <w:tcW w:w="2871" w:type="dxa"/>
            <w:tcBorders>
              <w:right w:val="nil"/>
            </w:tcBorders>
            <w:shd w:val="clear" w:color="auto" w:fill="808080"/>
          </w:tcPr>
          <w:p>
            <w:pPr>
              <w:pStyle w:val="TableParagraph"/>
              <w:spacing w:line="227" w:lineRule="exact"/>
              <w:ind w:left="1169"/>
              <w:jc w:val="left"/>
              <w:rPr>
                <w:sz w:val="20"/>
              </w:rPr>
            </w:pPr>
            <w:r>
              <w:rPr>
                <w:color w:val="FFFFFF"/>
                <w:sz w:val="20"/>
              </w:rPr>
              <w:t>Municipio</w:t>
            </w:r>
          </w:p>
        </w:tc>
        <w:tc>
          <w:tcPr>
            <w:tcW w:w="2376" w:type="dxa"/>
            <w:tcBorders>
              <w:left w:val="nil"/>
            </w:tcBorders>
            <w:shd w:val="clear" w:color="auto" w:fill="808080"/>
          </w:tcPr>
          <w:p>
            <w:pPr>
              <w:pStyle w:val="TableParagraph"/>
              <w:spacing w:line="227" w:lineRule="exact"/>
              <w:ind w:left="832" w:right="509"/>
              <w:rPr>
                <w:sz w:val="20"/>
              </w:rPr>
            </w:pPr>
            <w:r>
              <w:rPr>
                <w:color w:val="FFFFFF"/>
                <w:sz w:val="20"/>
              </w:rPr>
              <w:t>Frecuencia</w:t>
            </w:r>
          </w:p>
        </w:tc>
      </w:tr>
      <w:tr>
        <w:trPr>
          <w:trHeight w:val="355" w:hRule="exact"/>
        </w:trPr>
        <w:tc>
          <w:tcPr>
            <w:tcW w:w="2871" w:type="dxa"/>
            <w:tcBorders>
              <w:right w:val="nil"/>
            </w:tcBorders>
          </w:tcPr>
          <w:p>
            <w:pPr>
              <w:pStyle w:val="TableParagraph"/>
              <w:spacing w:line="227" w:lineRule="exact"/>
              <w:jc w:val="left"/>
              <w:rPr>
                <w:sz w:val="20"/>
              </w:rPr>
            </w:pPr>
            <w:r>
              <w:rPr>
                <w:sz w:val="20"/>
              </w:rPr>
              <w:t>Ecatepec</w:t>
            </w:r>
          </w:p>
        </w:tc>
        <w:tc>
          <w:tcPr>
            <w:tcW w:w="2376" w:type="dxa"/>
            <w:tcBorders>
              <w:left w:val="nil"/>
            </w:tcBorders>
          </w:tcPr>
          <w:p>
            <w:pPr>
              <w:pStyle w:val="TableParagraph"/>
              <w:spacing w:line="227" w:lineRule="exact"/>
              <w:ind w:left="832" w:right="509"/>
              <w:rPr>
                <w:sz w:val="20"/>
              </w:rPr>
            </w:pPr>
            <w:r>
              <w:rPr>
                <w:sz w:val="20"/>
              </w:rPr>
              <w:t>1.6%</w:t>
            </w:r>
          </w:p>
        </w:tc>
      </w:tr>
      <w:tr>
        <w:trPr>
          <w:trHeight w:val="353" w:hRule="exact"/>
        </w:trPr>
        <w:tc>
          <w:tcPr>
            <w:tcW w:w="2871" w:type="dxa"/>
            <w:tcBorders>
              <w:right w:val="nil"/>
            </w:tcBorders>
          </w:tcPr>
          <w:p>
            <w:pPr>
              <w:pStyle w:val="TableParagraph"/>
              <w:spacing w:line="227" w:lineRule="exact"/>
              <w:jc w:val="left"/>
              <w:rPr>
                <w:sz w:val="20"/>
              </w:rPr>
            </w:pPr>
            <w:r>
              <w:rPr>
                <w:sz w:val="20"/>
              </w:rPr>
              <w:t>Guadalajara</w:t>
            </w:r>
          </w:p>
        </w:tc>
        <w:tc>
          <w:tcPr>
            <w:tcW w:w="2376" w:type="dxa"/>
            <w:tcBorders>
              <w:left w:val="nil"/>
            </w:tcBorders>
          </w:tcPr>
          <w:p>
            <w:pPr>
              <w:pStyle w:val="TableParagraph"/>
              <w:spacing w:line="227" w:lineRule="exact"/>
              <w:ind w:left="832" w:right="509"/>
              <w:rPr>
                <w:sz w:val="20"/>
              </w:rPr>
            </w:pPr>
            <w:r>
              <w:rPr>
                <w:sz w:val="20"/>
              </w:rPr>
              <w:t>1.6%</w:t>
            </w:r>
          </w:p>
        </w:tc>
      </w:tr>
      <w:tr>
        <w:trPr>
          <w:trHeight w:val="355" w:hRule="exact"/>
        </w:trPr>
        <w:tc>
          <w:tcPr>
            <w:tcW w:w="2871" w:type="dxa"/>
            <w:tcBorders>
              <w:right w:val="nil"/>
            </w:tcBorders>
          </w:tcPr>
          <w:p>
            <w:pPr>
              <w:pStyle w:val="TableParagraph"/>
              <w:spacing w:line="230" w:lineRule="exact"/>
              <w:jc w:val="left"/>
              <w:rPr>
                <w:sz w:val="20"/>
              </w:rPr>
            </w:pPr>
            <w:r>
              <w:rPr>
                <w:sz w:val="20"/>
              </w:rPr>
              <w:t>Metepec</w:t>
            </w:r>
          </w:p>
        </w:tc>
        <w:tc>
          <w:tcPr>
            <w:tcW w:w="2376" w:type="dxa"/>
            <w:tcBorders>
              <w:left w:val="nil"/>
            </w:tcBorders>
          </w:tcPr>
          <w:p>
            <w:pPr>
              <w:pStyle w:val="TableParagraph"/>
              <w:spacing w:line="230" w:lineRule="exact"/>
              <w:ind w:left="832" w:right="509"/>
              <w:rPr>
                <w:sz w:val="20"/>
              </w:rPr>
            </w:pPr>
            <w:r>
              <w:rPr>
                <w:sz w:val="20"/>
              </w:rPr>
              <w:t>1.6%</w:t>
            </w:r>
          </w:p>
        </w:tc>
      </w:tr>
      <w:tr>
        <w:trPr>
          <w:trHeight w:val="355" w:hRule="exact"/>
        </w:trPr>
        <w:tc>
          <w:tcPr>
            <w:tcW w:w="2871" w:type="dxa"/>
            <w:tcBorders>
              <w:right w:val="nil"/>
            </w:tcBorders>
          </w:tcPr>
          <w:p>
            <w:pPr>
              <w:pStyle w:val="TableParagraph"/>
              <w:spacing w:line="227" w:lineRule="exact"/>
              <w:jc w:val="left"/>
              <w:rPr>
                <w:sz w:val="20"/>
              </w:rPr>
            </w:pPr>
            <w:r>
              <w:rPr>
                <w:sz w:val="20"/>
              </w:rPr>
              <w:t>San Mateo Atenco</w:t>
            </w:r>
          </w:p>
        </w:tc>
        <w:tc>
          <w:tcPr>
            <w:tcW w:w="2376" w:type="dxa"/>
            <w:tcBorders>
              <w:left w:val="nil"/>
            </w:tcBorders>
          </w:tcPr>
          <w:p>
            <w:pPr>
              <w:pStyle w:val="TableParagraph"/>
              <w:spacing w:line="227" w:lineRule="exact"/>
              <w:ind w:left="832" w:right="509"/>
              <w:rPr>
                <w:sz w:val="20"/>
              </w:rPr>
            </w:pPr>
            <w:r>
              <w:rPr>
                <w:sz w:val="20"/>
              </w:rPr>
              <w:t>1.6%</w:t>
            </w:r>
          </w:p>
        </w:tc>
      </w:tr>
      <w:tr>
        <w:trPr>
          <w:trHeight w:val="355" w:hRule="exact"/>
        </w:trPr>
        <w:tc>
          <w:tcPr>
            <w:tcW w:w="2871" w:type="dxa"/>
            <w:tcBorders>
              <w:right w:val="nil"/>
            </w:tcBorders>
          </w:tcPr>
          <w:p>
            <w:pPr>
              <w:pStyle w:val="TableParagraph"/>
              <w:spacing w:line="227" w:lineRule="exact"/>
              <w:jc w:val="left"/>
              <w:rPr>
                <w:sz w:val="20"/>
              </w:rPr>
            </w:pPr>
            <w:r>
              <w:rPr>
                <w:sz w:val="20"/>
              </w:rPr>
              <w:t>Zinacantepec</w:t>
            </w:r>
          </w:p>
        </w:tc>
        <w:tc>
          <w:tcPr>
            <w:tcW w:w="2376" w:type="dxa"/>
            <w:tcBorders>
              <w:left w:val="nil"/>
            </w:tcBorders>
          </w:tcPr>
          <w:p>
            <w:pPr>
              <w:pStyle w:val="TableParagraph"/>
              <w:spacing w:line="227" w:lineRule="exact"/>
              <w:ind w:left="832" w:right="509"/>
              <w:rPr>
                <w:sz w:val="20"/>
              </w:rPr>
            </w:pPr>
            <w:r>
              <w:rPr>
                <w:sz w:val="20"/>
              </w:rPr>
              <w:t>1.6%</w:t>
            </w:r>
          </w:p>
        </w:tc>
      </w:tr>
      <w:tr>
        <w:trPr>
          <w:trHeight w:val="356" w:hRule="exact"/>
        </w:trPr>
        <w:tc>
          <w:tcPr>
            <w:tcW w:w="2871" w:type="dxa"/>
            <w:tcBorders>
              <w:right w:val="nil"/>
            </w:tcBorders>
          </w:tcPr>
          <w:p>
            <w:pPr>
              <w:pStyle w:val="TableParagraph"/>
              <w:spacing w:line="227" w:lineRule="exact"/>
              <w:jc w:val="left"/>
              <w:rPr>
                <w:sz w:val="20"/>
              </w:rPr>
            </w:pPr>
            <w:r>
              <w:rPr>
                <w:sz w:val="20"/>
              </w:rPr>
              <w:t>Texcatitlán</w:t>
            </w:r>
          </w:p>
        </w:tc>
        <w:tc>
          <w:tcPr>
            <w:tcW w:w="2376" w:type="dxa"/>
            <w:tcBorders>
              <w:left w:val="nil"/>
            </w:tcBorders>
          </w:tcPr>
          <w:p>
            <w:pPr>
              <w:pStyle w:val="TableParagraph"/>
              <w:spacing w:line="227" w:lineRule="exact"/>
              <w:ind w:left="832" w:right="509"/>
              <w:rPr>
                <w:sz w:val="20"/>
              </w:rPr>
            </w:pPr>
            <w:r>
              <w:rPr>
                <w:sz w:val="20"/>
              </w:rPr>
              <w:t>3.1%</w:t>
            </w:r>
          </w:p>
        </w:tc>
      </w:tr>
      <w:tr>
        <w:trPr>
          <w:trHeight w:val="355" w:hRule="exact"/>
        </w:trPr>
        <w:tc>
          <w:tcPr>
            <w:tcW w:w="2871" w:type="dxa"/>
            <w:tcBorders>
              <w:right w:val="nil"/>
            </w:tcBorders>
          </w:tcPr>
          <w:p>
            <w:pPr>
              <w:pStyle w:val="TableParagraph"/>
              <w:spacing w:line="227" w:lineRule="exact"/>
              <w:jc w:val="left"/>
              <w:rPr>
                <w:sz w:val="20"/>
              </w:rPr>
            </w:pPr>
            <w:r>
              <w:rPr>
                <w:sz w:val="20"/>
              </w:rPr>
              <w:t>Almoloya de Juárez</w:t>
            </w:r>
          </w:p>
        </w:tc>
        <w:tc>
          <w:tcPr>
            <w:tcW w:w="2376" w:type="dxa"/>
            <w:tcBorders>
              <w:left w:val="nil"/>
            </w:tcBorders>
          </w:tcPr>
          <w:p>
            <w:pPr>
              <w:pStyle w:val="TableParagraph"/>
              <w:spacing w:line="227" w:lineRule="exact"/>
              <w:ind w:left="832" w:right="509"/>
              <w:rPr>
                <w:sz w:val="20"/>
              </w:rPr>
            </w:pPr>
            <w:r>
              <w:rPr>
                <w:sz w:val="20"/>
              </w:rPr>
              <w:t>4.7%</w:t>
            </w:r>
          </w:p>
        </w:tc>
      </w:tr>
      <w:tr>
        <w:trPr>
          <w:trHeight w:val="355" w:hRule="exact"/>
        </w:trPr>
        <w:tc>
          <w:tcPr>
            <w:tcW w:w="2871" w:type="dxa"/>
            <w:tcBorders>
              <w:right w:val="nil"/>
            </w:tcBorders>
          </w:tcPr>
          <w:p>
            <w:pPr>
              <w:pStyle w:val="TableParagraph"/>
              <w:spacing w:line="227" w:lineRule="exact"/>
              <w:jc w:val="left"/>
              <w:rPr>
                <w:sz w:val="20"/>
              </w:rPr>
            </w:pPr>
            <w:r>
              <w:rPr>
                <w:sz w:val="20"/>
              </w:rPr>
              <w:t>Aculco</w:t>
            </w:r>
          </w:p>
        </w:tc>
        <w:tc>
          <w:tcPr>
            <w:tcW w:w="2376" w:type="dxa"/>
            <w:tcBorders>
              <w:left w:val="nil"/>
            </w:tcBorders>
          </w:tcPr>
          <w:p>
            <w:pPr>
              <w:pStyle w:val="TableParagraph"/>
              <w:spacing w:line="227" w:lineRule="exact"/>
              <w:ind w:left="832" w:right="509"/>
              <w:rPr>
                <w:sz w:val="20"/>
              </w:rPr>
            </w:pPr>
            <w:r>
              <w:rPr>
                <w:sz w:val="20"/>
              </w:rPr>
              <w:t>7.8%</w:t>
            </w:r>
          </w:p>
        </w:tc>
      </w:tr>
      <w:tr>
        <w:trPr>
          <w:trHeight w:val="355" w:hRule="exact"/>
        </w:trPr>
        <w:tc>
          <w:tcPr>
            <w:tcW w:w="2871" w:type="dxa"/>
            <w:tcBorders>
              <w:right w:val="nil"/>
            </w:tcBorders>
          </w:tcPr>
          <w:p>
            <w:pPr>
              <w:pStyle w:val="TableParagraph"/>
              <w:spacing w:line="227" w:lineRule="exact"/>
              <w:jc w:val="left"/>
              <w:rPr>
                <w:sz w:val="20"/>
              </w:rPr>
            </w:pPr>
            <w:r>
              <w:rPr>
                <w:sz w:val="20"/>
              </w:rPr>
              <w:t>Toluca</w:t>
            </w:r>
          </w:p>
        </w:tc>
        <w:tc>
          <w:tcPr>
            <w:tcW w:w="2376" w:type="dxa"/>
            <w:tcBorders>
              <w:left w:val="nil"/>
            </w:tcBorders>
          </w:tcPr>
          <w:p>
            <w:pPr>
              <w:pStyle w:val="TableParagraph"/>
              <w:spacing w:line="227" w:lineRule="exact"/>
              <w:ind w:left="832" w:right="509"/>
              <w:rPr>
                <w:sz w:val="20"/>
              </w:rPr>
            </w:pPr>
            <w:r>
              <w:rPr>
                <w:sz w:val="20"/>
              </w:rPr>
              <w:t>7.8%</w:t>
            </w:r>
          </w:p>
        </w:tc>
      </w:tr>
      <w:tr>
        <w:trPr>
          <w:trHeight w:val="355" w:hRule="exact"/>
        </w:trPr>
        <w:tc>
          <w:tcPr>
            <w:tcW w:w="2871" w:type="dxa"/>
            <w:tcBorders>
              <w:right w:val="nil"/>
            </w:tcBorders>
          </w:tcPr>
          <w:p>
            <w:pPr>
              <w:pStyle w:val="TableParagraph"/>
              <w:spacing w:line="227" w:lineRule="exact"/>
              <w:jc w:val="left"/>
              <w:rPr>
                <w:sz w:val="20"/>
              </w:rPr>
            </w:pPr>
            <w:r>
              <w:rPr>
                <w:sz w:val="20"/>
              </w:rPr>
              <w:t>Desconoce</w:t>
            </w:r>
          </w:p>
        </w:tc>
        <w:tc>
          <w:tcPr>
            <w:tcW w:w="2376" w:type="dxa"/>
            <w:tcBorders>
              <w:left w:val="nil"/>
            </w:tcBorders>
          </w:tcPr>
          <w:p>
            <w:pPr>
              <w:pStyle w:val="TableParagraph"/>
              <w:spacing w:line="227" w:lineRule="exact"/>
              <w:ind w:left="832" w:right="509"/>
              <w:rPr>
                <w:sz w:val="20"/>
              </w:rPr>
            </w:pPr>
            <w:r>
              <w:rPr>
                <w:sz w:val="20"/>
              </w:rPr>
              <w:t>9.4%</w:t>
            </w:r>
          </w:p>
        </w:tc>
      </w:tr>
      <w:tr>
        <w:trPr>
          <w:trHeight w:val="355" w:hRule="exact"/>
        </w:trPr>
        <w:tc>
          <w:tcPr>
            <w:tcW w:w="2871" w:type="dxa"/>
            <w:tcBorders>
              <w:right w:val="nil"/>
            </w:tcBorders>
          </w:tcPr>
          <w:p>
            <w:pPr>
              <w:pStyle w:val="TableParagraph"/>
              <w:spacing w:line="227" w:lineRule="exact"/>
              <w:jc w:val="left"/>
              <w:rPr>
                <w:sz w:val="20"/>
              </w:rPr>
            </w:pPr>
            <w:r>
              <w:rPr>
                <w:sz w:val="20"/>
              </w:rPr>
              <w:t>Ixtlahuaca</w:t>
            </w:r>
          </w:p>
        </w:tc>
        <w:tc>
          <w:tcPr>
            <w:tcW w:w="2376" w:type="dxa"/>
            <w:tcBorders>
              <w:left w:val="nil"/>
            </w:tcBorders>
          </w:tcPr>
          <w:p>
            <w:pPr>
              <w:pStyle w:val="TableParagraph"/>
              <w:spacing w:line="227" w:lineRule="exact"/>
              <w:ind w:left="832" w:right="509"/>
              <w:rPr>
                <w:sz w:val="20"/>
              </w:rPr>
            </w:pPr>
            <w:r>
              <w:rPr>
                <w:sz w:val="20"/>
              </w:rPr>
              <w:t>10.9%</w:t>
            </w:r>
          </w:p>
        </w:tc>
      </w:tr>
      <w:tr>
        <w:trPr>
          <w:trHeight w:val="355" w:hRule="exact"/>
        </w:trPr>
        <w:tc>
          <w:tcPr>
            <w:tcW w:w="2871" w:type="dxa"/>
            <w:tcBorders>
              <w:right w:val="nil"/>
            </w:tcBorders>
          </w:tcPr>
          <w:p>
            <w:pPr>
              <w:pStyle w:val="TableParagraph"/>
              <w:spacing w:line="227" w:lineRule="exact"/>
              <w:jc w:val="left"/>
              <w:rPr>
                <w:sz w:val="20"/>
              </w:rPr>
            </w:pPr>
            <w:r>
              <w:rPr>
                <w:sz w:val="20"/>
              </w:rPr>
              <w:t>Villa Victoria</w:t>
            </w:r>
          </w:p>
        </w:tc>
        <w:tc>
          <w:tcPr>
            <w:tcW w:w="2376" w:type="dxa"/>
            <w:tcBorders>
              <w:left w:val="nil"/>
            </w:tcBorders>
          </w:tcPr>
          <w:p>
            <w:pPr>
              <w:pStyle w:val="TableParagraph"/>
              <w:spacing w:line="227" w:lineRule="exact"/>
              <w:ind w:left="832" w:right="509"/>
              <w:rPr>
                <w:sz w:val="20"/>
              </w:rPr>
            </w:pPr>
            <w:r>
              <w:rPr>
                <w:sz w:val="20"/>
              </w:rPr>
              <w:t>46.9%</w:t>
            </w:r>
          </w:p>
        </w:tc>
      </w:tr>
    </w:tbl>
    <w:p>
      <w:pPr>
        <w:pStyle w:val="BodyText"/>
        <w:spacing w:before="4"/>
        <w:rPr>
          <w:sz w:val="21"/>
        </w:rPr>
      </w:pPr>
    </w:p>
    <w:p>
      <w:pPr>
        <w:pStyle w:val="BodyText"/>
        <w:spacing w:line="276" w:lineRule="auto" w:before="69"/>
        <w:ind w:left="142" w:right="135"/>
        <w:jc w:val="both"/>
      </w:pPr>
      <w:r>
        <w:rPr/>
        <w:t>Sin embargo para un mejor manejo de la información la procedencia de los quesos se</w:t>
      </w:r>
      <w:r>
        <w:rPr>
          <w:spacing w:val="-10"/>
        </w:rPr>
        <w:t> </w:t>
      </w:r>
      <w:r>
        <w:rPr/>
        <w:t>estableció</w:t>
      </w:r>
      <w:r>
        <w:rPr>
          <w:spacing w:val="-10"/>
        </w:rPr>
        <w:t> </w:t>
      </w:r>
      <w:r>
        <w:rPr/>
        <w:t>a</w:t>
      </w:r>
      <w:r>
        <w:rPr>
          <w:spacing w:val="-12"/>
        </w:rPr>
        <w:t> </w:t>
      </w:r>
      <w:r>
        <w:rPr/>
        <w:t>partir</w:t>
      </w:r>
      <w:r>
        <w:rPr>
          <w:spacing w:val="-11"/>
        </w:rPr>
        <w:t> </w:t>
      </w:r>
      <w:r>
        <w:rPr/>
        <w:t>de</w:t>
      </w:r>
      <w:r>
        <w:rPr>
          <w:spacing w:val="-10"/>
        </w:rPr>
        <w:t> </w:t>
      </w:r>
      <w:r>
        <w:rPr/>
        <w:t>la</w:t>
      </w:r>
      <w:r>
        <w:rPr>
          <w:spacing w:val="-12"/>
        </w:rPr>
        <w:t> </w:t>
      </w:r>
      <w:r>
        <w:rPr/>
        <w:t>fuente</w:t>
      </w:r>
      <w:r>
        <w:rPr>
          <w:spacing w:val="-12"/>
        </w:rPr>
        <w:t> </w:t>
      </w:r>
      <w:r>
        <w:rPr/>
        <w:t>de</w:t>
      </w:r>
      <w:r>
        <w:rPr>
          <w:spacing w:val="-10"/>
        </w:rPr>
        <w:t> </w:t>
      </w:r>
      <w:r>
        <w:rPr/>
        <w:t>suministro</w:t>
      </w:r>
      <w:r>
        <w:rPr>
          <w:spacing w:val="-10"/>
        </w:rPr>
        <w:t> </w:t>
      </w:r>
      <w:r>
        <w:rPr/>
        <w:t>(cuadro</w:t>
      </w:r>
      <w:r>
        <w:rPr>
          <w:spacing w:val="-13"/>
        </w:rPr>
        <w:t> </w:t>
      </w:r>
      <w:r>
        <w:rPr/>
        <w:t>10),</w:t>
      </w:r>
      <w:r>
        <w:rPr>
          <w:spacing w:val="-11"/>
        </w:rPr>
        <w:t> </w:t>
      </w:r>
      <w:r>
        <w:rPr/>
        <w:t>en</w:t>
      </w:r>
      <w:r>
        <w:rPr>
          <w:spacing w:val="-10"/>
        </w:rPr>
        <w:t> </w:t>
      </w:r>
      <w:r>
        <w:rPr/>
        <w:t>cuatro</w:t>
      </w:r>
      <w:r>
        <w:rPr>
          <w:spacing w:val="-10"/>
        </w:rPr>
        <w:t> </w:t>
      </w:r>
      <w:r>
        <w:rPr/>
        <w:t>regiones:</w:t>
      </w:r>
      <w:r>
        <w:rPr>
          <w:spacing w:val="-10"/>
        </w:rPr>
        <w:t> </w:t>
      </w:r>
      <w:r>
        <w:rPr/>
        <w:t>(A), Valle de Toluca que incluyo los municipios de Almoloya de Juárez, Metepec, San Mateo Atenco, Toluca, Villa Victoria y Zinacantepec; (B), los quesos originarios de otros municipios del Estado de México tales como Aculco, Ecatepec, Texcatitlán e Ixtlahuaca; (C), quesos de origen desconocido y (D), que comprendió muestras procedentes de otros estados del país (Guadalajara,</w:t>
      </w:r>
      <w:r>
        <w:rPr>
          <w:spacing w:val="-22"/>
        </w:rPr>
        <w:t> </w:t>
      </w:r>
      <w:r>
        <w:rPr/>
        <w:t>Jalisco).</w:t>
      </w:r>
    </w:p>
    <w:p>
      <w:pPr>
        <w:spacing w:after="0" w:line="276" w:lineRule="auto"/>
        <w:jc w:val="both"/>
        <w:sectPr>
          <w:pgSz w:w="12240" w:h="15840"/>
          <w:pgMar w:header="728" w:footer="710" w:top="1200" w:bottom="900" w:left="1560" w:right="1560"/>
        </w:sectPr>
      </w:pPr>
    </w:p>
    <w:p>
      <w:pPr>
        <w:pStyle w:val="BodyText"/>
        <w:spacing w:before="7"/>
        <w:rPr>
          <w:sz w:val="12"/>
        </w:rPr>
      </w:pPr>
    </w:p>
    <w:p>
      <w:pPr>
        <w:pStyle w:val="BodyText"/>
        <w:spacing w:before="69"/>
        <w:ind w:left="142" w:right="63"/>
      </w:pPr>
      <w:r>
        <w:rPr/>
        <w:t>Cuadro 10: Procedencia del queso fresco en mercados populares por región.</w:t>
      </w:r>
    </w:p>
    <w:p>
      <w:pPr>
        <w:pStyle w:val="BodyText"/>
        <w:spacing w:before="4"/>
      </w:pPr>
    </w:p>
    <w:tbl>
      <w:tblPr>
        <w:tblW w:w="0" w:type="auto"/>
        <w:jc w:val="left"/>
        <w:tblInd w:w="24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1"/>
        <w:gridCol w:w="2219"/>
      </w:tblGrid>
      <w:tr>
        <w:trPr>
          <w:trHeight w:val="420" w:hRule="exact"/>
        </w:trPr>
        <w:tc>
          <w:tcPr>
            <w:tcW w:w="1951" w:type="dxa"/>
            <w:tcBorders>
              <w:right w:val="nil"/>
            </w:tcBorders>
            <w:shd w:val="clear" w:color="auto" w:fill="808080"/>
          </w:tcPr>
          <w:p>
            <w:pPr>
              <w:pStyle w:val="TableParagraph"/>
              <w:spacing w:line="272" w:lineRule="exact"/>
              <w:ind w:left="370"/>
              <w:jc w:val="left"/>
              <w:rPr>
                <w:sz w:val="24"/>
              </w:rPr>
            </w:pPr>
            <w:r>
              <w:rPr>
                <w:color w:val="FFFFFF"/>
                <w:sz w:val="24"/>
              </w:rPr>
              <w:t>Procedencia</w:t>
            </w:r>
          </w:p>
        </w:tc>
        <w:tc>
          <w:tcPr>
            <w:tcW w:w="2219" w:type="dxa"/>
            <w:tcBorders>
              <w:left w:val="nil"/>
            </w:tcBorders>
            <w:shd w:val="clear" w:color="auto" w:fill="808080"/>
          </w:tcPr>
          <w:p>
            <w:pPr>
              <w:pStyle w:val="TableParagraph"/>
              <w:spacing w:line="272" w:lineRule="exact"/>
              <w:ind w:left="579"/>
              <w:jc w:val="left"/>
              <w:rPr>
                <w:sz w:val="24"/>
              </w:rPr>
            </w:pPr>
            <w:r>
              <w:rPr>
                <w:color w:val="FFFFFF"/>
                <w:sz w:val="24"/>
              </w:rPr>
              <w:t>Frecuencia</w:t>
            </w:r>
          </w:p>
        </w:tc>
      </w:tr>
      <w:tr>
        <w:trPr>
          <w:trHeight w:val="562" w:hRule="exact"/>
        </w:trPr>
        <w:tc>
          <w:tcPr>
            <w:tcW w:w="1951" w:type="dxa"/>
            <w:tcBorders>
              <w:right w:val="nil"/>
            </w:tcBorders>
          </w:tcPr>
          <w:p>
            <w:pPr>
              <w:pStyle w:val="TableParagraph"/>
              <w:spacing w:line="272" w:lineRule="exact"/>
              <w:jc w:val="left"/>
              <w:rPr>
                <w:b/>
                <w:sz w:val="24"/>
              </w:rPr>
            </w:pPr>
            <w:r>
              <w:rPr>
                <w:b/>
                <w:sz w:val="24"/>
              </w:rPr>
              <w:t>Región A</w:t>
            </w:r>
          </w:p>
        </w:tc>
        <w:tc>
          <w:tcPr>
            <w:tcW w:w="2219" w:type="dxa"/>
            <w:tcBorders>
              <w:left w:val="nil"/>
            </w:tcBorders>
          </w:tcPr>
          <w:p>
            <w:pPr>
              <w:pStyle w:val="TableParagraph"/>
              <w:spacing w:line="272" w:lineRule="exact"/>
              <w:ind w:left="240"/>
              <w:jc w:val="left"/>
              <w:rPr>
                <w:sz w:val="24"/>
              </w:rPr>
            </w:pPr>
            <w:r>
              <w:rPr>
                <w:sz w:val="24"/>
              </w:rPr>
              <w:t>64.2%</w:t>
            </w:r>
          </w:p>
        </w:tc>
      </w:tr>
      <w:tr>
        <w:trPr>
          <w:trHeight w:val="564" w:hRule="exact"/>
        </w:trPr>
        <w:tc>
          <w:tcPr>
            <w:tcW w:w="1951" w:type="dxa"/>
            <w:tcBorders>
              <w:right w:val="nil"/>
            </w:tcBorders>
          </w:tcPr>
          <w:p>
            <w:pPr>
              <w:pStyle w:val="TableParagraph"/>
              <w:spacing w:line="274" w:lineRule="exact"/>
              <w:jc w:val="left"/>
              <w:rPr>
                <w:b/>
                <w:sz w:val="24"/>
              </w:rPr>
            </w:pPr>
            <w:r>
              <w:rPr>
                <w:b/>
                <w:sz w:val="24"/>
              </w:rPr>
              <w:t>Región B</w:t>
            </w:r>
          </w:p>
        </w:tc>
        <w:tc>
          <w:tcPr>
            <w:tcW w:w="2219" w:type="dxa"/>
            <w:tcBorders>
              <w:left w:val="nil"/>
            </w:tcBorders>
          </w:tcPr>
          <w:p>
            <w:pPr>
              <w:pStyle w:val="TableParagraph"/>
              <w:spacing w:line="274" w:lineRule="exact"/>
              <w:ind w:left="240"/>
              <w:jc w:val="left"/>
              <w:rPr>
                <w:sz w:val="24"/>
              </w:rPr>
            </w:pPr>
            <w:r>
              <w:rPr>
                <w:sz w:val="24"/>
              </w:rPr>
              <w:t>23.4 %</w:t>
            </w:r>
          </w:p>
        </w:tc>
      </w:tr>
      <w:tr>
        <w:trPr>
          <w:trHeight w:val="420" w:hRule="exact"/>
        </w:trPr>
        <w:tc>
          <w:tcPr>
            <w:tcW w:w="1951" w:type="dxa"/>
            <w:tcBorders>
              <w:right w:val="nil"/>
            </w:tcBorders>
          </w:tcPr>
          <w:p>
            <w:pPr>
              <w:pStyle w:val="TableParagraph"/>
              <w:spacing w:line="272" w:lineRule="exact"/>
              <w:jc w:val="left"/>
              <w:rPr>
                <w:b/>
                <w:sz w:val="24"/>
              </w:rPr>
            </w:pPr>
            <w:r>
              <w:rPr>
                <w:b/>
                <w:sz w:val="24"/>
              </w:rPr>
              <w:t>Región C</w:t>
            </w:r>
          </w:p>
        </w:tc>
        <w:tc>
          <w:tcPr>
            <w:tcW w:w="2219" w:type="dxa"/>
            <w:tcBorders>
              <w:left w:val="nil"/>
            </w:tcBorders>
          </w:tcPr>
          <w:p>
            <w:pPr>
              <w:pStyle w:val="TableParagraph"/>
              <w:spacing w:line="272" w:lineRule="exact"/>
              <w:ind w:left="240"/>
              <w:jc w:val="left"/>
              <w:rPr>
                <w:sz w:val="24"/>
              </w:rPr>
            </w:pPr>
            <w:r>
              <w:rPr>
                <w:sz w:val="24"/>
              </w:rPr>
              <w:t>11.8 %</w:t>
            </w:r>
          </w:p>
        </w:tc>
      </w:tr>
      <w:tr>
        <w:trPr>
          <w:trHeight w:val="422" w:hRule="exact"/>
        </w:trPr>
        <w:tc>
          <w:tcPr>
            <w:tcW w:w="1951" w:type="dxa"/>
            <w:tcBorders>
              <w:right w:val="nil"/>
            </w:tcBorders>
          </w:tcPr>
          <w:p>
            <w:pPr>
              <w:pStyle w:val="TableParagraph"/>
              <w:spacing w:line="272" w:lineRule="exact"/>
              <w:jc w:val="left"/>
              <w:rPr>
                <w:b/>
                <w:sz w:val="24"/>
              </w:rPr>
            </w:pPr>
            <w:r>
              <w:rPr>
                <w:b/>
                <w:sz w:val="24"/>
              </w:rPr>
              <w:t>Región D</w:t>
            </w:r>
          </w:p>
        </w:tc>
        <w:tc>
          <w:tcPr>
            <w:tcW w:w="2219" w:type="dxa"/>
            <w:tcBorders>
              <w:left w:val="nil"/>
            </w:tcBorders>
          </w:tcPr>
          <w:p>
            <w:pPr>
              <w:pStyle w:val="TableParagraph"/>
              <w:spacing w:line="272" w:lineRule="exact"/>
              <w:ind w:left="240"/>
              <w:jc w:val="left"/>
              <w:rPr>
                <w:sz w:val="24"/>
              </w:rPr>
            </w:pPr>
            <w:r>
              <w:rPr>
                <w:sz w:val="24"/>
              </w:rPr>
              <w:t>1.6%</w:t>
            </w:r>
          </w:p>
        </w:tc>
      </w:tr>
    </w:tbl>
    <w:p>
      <w:pPr>
        <w:pStyle w:val="BodyText"/>
        <w:spacing w:before="9"/>
        <w:rPr>
          <w:sz w:val="17"/>
        </w:rPr>
      </w:pPr>
    </w:p>
    <w:p>
      <w:pPr>
        <w:pStyle w:val="BodyText"/>
        <w:spacing w:line="276" w:lineRule="auto" w:before="70"/>
        <w:ind w:left="142" w:right="140"/>
        <w:jc w:val="both"/>
      </w:pPr>
      <w:r>
        <w:rPr/>
        <w:t>En la figura 9, se observa la frecuencia y procedencia del queso fresco que se comercializa en el municipio de Toluca. El abasto es local en su mayoría proviene de los municipios del Valle de Toluca, seguida de otros municipios del Estado de México y en menor proporción de origen desconocido y de fuera de la entidad.</w:t>
      </w:r>
    </w:p>
    <w:p>
      <w:pPr>
        <w:pStyle w:val="BodyText"/>
        <w:spacing w:before="9"/>
        <w:rPr>
          <w:sz w:val="27"/>
        </w:rPr>
      </w:pPr>
    </w:p>
    <w:p>
      <w:pPr>
        <w:pStyle w:val="BodyText"/>
        <w:spacing w:line="276" w:lineRule="auto"/>
        <w:ind w:left="142" w:right="144"/>
        <w:jc w:val="both"/>
      </w:pPr>
      <w:r>
        <w:rPr/>
        <w:drawing>
          <wp:anchor distT="0" distB="0" distL="0" distR="0" allowOverlap="1" layoutInCell="1" locked="0" behindDoc="0" simplePos="0" relativeHeight="1384">
            <wp:simplePos x="0" y="0"/>
            <wp:positionH relativeFrom="page">
              <wp:posOffset>4395215</wp:posOffset>
            </wp:positionH>
            <wp:positionV relativeFrom="paragraph">
              <wp:posOffset>1587066</wp:posOffset>
            </wp:positionV>
            <wp:extent cx="129747" cy="119062"/>
            <wp:effectExtent l="0" t="0" r="0" b="0"/>
            <wp:wrapNone/>
            <wp:docPr id="19" name="image16.png" descr=""/>
            <wp:cNvGraphicFramePr>
              <a:graphicFrameLocks noChangeAspect="1"/>
            </wp:cNvGraphicFramePr>
            <a:graphic>
              <a:graphicData uri="http://schemas.openxmlformats.org/drawingml/2006/picture">
                <pic:pic>
                  <pic:nvPicPr>
                    <pic:cNvPr id="20" name="image16.png"/>
                    <pic:cNvPicPr/>
                  </pic:nvPicPr>
                  <pic:blipFill>
                    <a:blip r:embed="rId38" cstate="print"/>
                    <a:stretch>
                      <a:fillRect/>
                    </a:stretch>
                  </pic:blipFill>
                  <pic:spPr>
                    <a:xfrm>
                      <a:off x="0" y="0"/>
                      <a:ext cx="129747" cy="119062"/>
                    </a:xfrm>
                    <a:prstGeom prst="rect">
                      <a:avLst/>
                    </a:prstGeom>
                  </pic:spPr>
                </pic:pic>
              </a:graphicData>
            </a:graphic>
          </wp:anchor>
        </w:drawing>
      </w:r>
      <w:r>
        <w:rPr/>
        <w:t>Figura</w:t>
      </w:r>
      <w:r>
        <w:rPr>
          <w:spacing w:val="-16"/>
        </w:rPr>
        <w:t> </w:t>
      </w:r>
      <w:r>
        <w:rPr/>
        <w:t>9:</w:t>
      </w:r>
      <w:r>
        <w:rPr>
          <w:spacing w:val="-16"/>
        </w:rPr>
        <w:t> </w:t>
      </w:r>
      <w:r>
        <w:rPr/>
        <w:t>Procedencia</w:t>
      </w:r>
      <w:r>
        <w:rPr>
          <w:spacing w:val="-18"/>
        </w:rPr>
        <w:t> </w:t>
      </w:r>
      <w:r>
        <w:rPr/>
        <w:t>de</w:t>
      </w:r>
      <w:r>
        <w:rPr>
          <w:spacing w:val="-16"/>
        </w:rPr>
        <w:t> </w:t>
      </w:r>
      <w:r>
        <w:rPr/>
        <w:t>los</w:t>
      </w:r>
      <w:r>
        <w:rPr>
          <w:spacing w:val="-16"/>
        </w:rPr>
        <w:t> </w:t>
      </w:r>
      <w:r>
        <w:rPr/>
        <w:t>quesos</w:t>
      </w:r>
      <w:r>
        <w:rPr>
          <w:spacing w:val="-19"/>
        </w:rPr>
        <w:t> </w:t>
      </w:r>
      <w:r>
        <w:rPr/>
        <w:t>en</w:t>
      </w:r>
      <w:r>
        <w:rPr>
          <w:spacing w:val="-18"/>
        </w:rPr>
        <w:t> </w:t>
      </w:r>
      <w:r>
        <w:rPr/>
        <w:t>mercados</w:t>
      </w:r>
      <w:r>
        <w:rPr>
          <w:spacing w:val="-16"/>
        </w:rPr>
        <w:t> </w:t>
      </w:r>
      <w:r>
        <w:rPr/>
        <w:t>y</w:t>
      </w:r>
      <w:r>
        <w:rPr>
          <w:spacing w:val="-19"/>
        </w:rPr>
        <w:t> </w:t>
      </w:r>
      <w:r>
        <w:rPr/>
        <w:t>tianguis</w:t>
      </w:r>
      <w:r>
        <w:rPr>
          <w:spacing w:val="-17"/>
        </w:rPr>
        <w:t> </w:t>
      </w:r>
      <w:r>
        <w:rPr/>
        <w:t>en</w:t>
      </w:r>
      <w:r>
        <w:rPr>
          <w:spacing w:val="-18"/>
        </w:rPr>
        <w:t> </w:t>
      </w:r>
      <w:r>
        <w:rPr/>
        <w:t>Toluca</w:t>
      </w:r>
      <w:r>
        <w:rPr>
          <w:spacing w:val="-16"/>
        </w:rPr>
        <w:t> </w:t>
      </w:r>
      <w:r>
        <w:rPr/>
        <w:t>(mapa</w:t>
      </w:r>
      <w:r>
        <w:rPr>
          <w:spacing w:val="-16"/>
        </w:rPr>
        <w:t> </w:t>
      </w:r>
      <w:r>
        <w:rPr/>
        <w:t>INEGI 2015).</w:t>
      </w:r>
    </w:p>
    <w:p>
      <w:pPr>
        <w:pStyle w:val="BodyText"/>
        <w:spacing w:before="8"/>
        <w:rPr>
          <w:sz w:val="20"/>
        </w:rPr>
      </w:pPr>
      <w:r>
        <w:rPr/>
        <w:drawing>
          <wp:anchor distT="0" distB="0" distL="0" distR="0" allowOverlap="1" layoutInCell="1" locked="0" behindDoc="0" simplePos="0" relativeHeight="1360">
            <wp:simplePos x="0" y="0"/>
            <wp:positionH relativeFrom="page">
              <wp:posOffset>1080516</wp:posOffset>
            </wp:positionH>
            <wp:positionV relativeFrom="paragraph">
              <wp:posOffset>176226</wp:posOffset>
            </wp:positionV>
            <wp:extent cx="2593455" cy="2046351"/>
            <wp:effectExtent l="0" t="0" r="0" b="0"/>
            <wp:wrapTopAndBottom/>
            <wp:docPr id="21" name="image17.jpeg" descr=""/>
            <wp:cNvGraphicFramePr>
              <a:graphicFrameLocks noChangeAspect="1"/>
            </wp:cNvGraphicFramePr>
            <a:graphic>
              <a:graphicData uri="http://schemas.openxmlformats.org/drawingml/2006/picture">
                <pic:pic>
                  <pic:nvPicPr>
                    <pic:cNvPr id="22" name="image17.jpeg"/>
                    <pic:cNvPicPr/>
                  </pic:nvPicPr>
                  <pic:blipFill>
                    <a:blip r:embed="rId39" cstate="print"/>
                    <a:stretch>
                      <a:fillRect/>
                    </a:stretch>
                  </pic:blipFill>
                  <pic:spPr>
                    <a:xfrm>
                      <a:off x="0" y="0"/>
                      <a:ext cx="2593455" cy="2046351"/>
                    </a:xfrm>
                    <a:prstGeom prst="rect">
                      <a:avLst/>
                    </a:prstGeom>
                  </pic:spPr>
                </pic:pic>
              </a:graphicData>
            </a:graphic>
          </wp:anchor>
        </w:drawing>
      </w:r>
      <w:r>
        <w:rPr/>
        <w:pict>
          <v:shape style="position:absolute;margin-left:344.709991pt;margin-top:72.266075pt;width:86.3pt;height:67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11"/>
                  </w:tblGrid>
                  <w:tr>
                    <w:trPr>
                      <w:trHeight w:val="338" w:hRule="exact"/>
                    </w:trPr>
                    <w:tc>
                      <w:tcPr>
                        <w:tcW w:w="1711" w:type="dxa"/>
                        <w:shd w:val="clear" w:color="auto" w:fill="000000"/>
                      </w:tcPr>
                      <w:p>
                        <w:pPr/>
                      </w:p>
                    </w:tc>
                  </w:tr>
                  <w:tr>
                    <w:trPr>
                      <w:trHeight w:val="343" w:hRule="exact"/>
                    </w:trPr>
                    <w:tc>
                      <w:tcPr>
                        <w:tcW w:w="1711" w:type="dxa"/>
                        <w:tcBorders>
                          <w:left w:val="single" w:sz="4" w:space="0" w:color="000000"/>
                          <w:bottom w:val="single" w:sz="4" w:space="0" w:color="000000"/>
                          <w:right w:val="single" w:sz="4" w:space="0" w:color="000000"/>
                        </w:tcBorders>
                      </w:tcPr>
                      <w:p>
                        <w:pPr>
                          <w:pStyle w:val="TableParagraph"/>
                          <w:spacing w:before="6"/>
                          <w:ind w:left="338"/>
                          <w:jc w:val="left"/>
                          <w:rPr>
                            <w:sz w:val="16"/>
                          </w:rPr>
                        </w:pPr>
                        <w:r>
                          <w:rPr>
                            <w:sz w:val="16"/>
                          </w:rPr>
                          <w:t>Valle de Toluca</w:t>
                        </w:r>
                      </w:p>
                    </w:tc>
                  </w:tr>
                  <w:tr>
                    <w:trPr>
                      <w:trHeight w:val="312" w:hRule="exact"/>
                    </w:trPr>
                    <w:tc>
                      <w:tcPr>
                        <w:tcW w:w="1711" w:type="dxa"/>
                        <w:tcBorders>
                          <w:top w:val="single" w:sz="4" w:space="0" w:color="000000"/>
                          <w:left w:val="single" w:sz="4" w:space="0" w:color="000000"/>
                          <w:bottom w:val="single" w:sz="4" w:space="0" w:color="000000"/>
                          <w:right w:val="single" w:sz="4" w:space="0" w:color="000000"/>
                        </w:tcBorders>
                      </w:tcPr>
                      <w:p>
                        <w:pPr>
                          <w:pStyle w:val="TableParagraph"/>
                          <w:spacing w:line="246" w:lineRule="exact"/>
                          <w:ind w:left="10"/>
                          <w:jc w:val="left"/>
                          <w:rPr>
                            <w:sz w:val="16"/>
                          </w:rPr>
                        </w:pPr>
                        <w:r>
                          <w:rPr>
                            <w:position w:val="-9"/>
                          </w:rPr>
                          <w:drawing>
                            <wp:inline distT="0" distB="0" distL="0" distR="0">
                              <wp:extent cx="131274" cy="119062"/>
                              <wp:effectExtent l="0" t="0" r="0" b="0"/>
                              <wp:docPr id="23" name="image18.png" descr=""/>
                              <wp:cNvGraphicFramePr>
                                <a:graphicFrameLocks noChangeAspect="1"/>
                              </wp:cNvGraphicFramePr>
                              <a:graphic>
                                <a:graphicData uri="http://schemas.openxmlformats.org/drawingml/2006/picture">
                                  <pic:pic>
                                    <pic:nvPicPr>
                                      <pic:cNvPr id="24" name="image18.png"/>
                                      <pic:cNvPicPr/>
                                    </pic:nvPicPr>
                                    <pic:blipFill>
                                      <a:blip r:embed="rId40" cstate="print"/>
                                      <a:stretch>
                                        <a:fillRect/>
                                      </a:stretch>
                                    </pic:blipFill>
                                    <pic:spPr>
                                      <a:xfrm>
                                        <a:off x="0" y="0"/>
                                        <a:ext cx="131274" cy="119062"/>
                                      </a:xfrm>
                                      <a:prstGeom prst="rect">
                                        <a:avLst/>
                                      </a:prstGeom>
                                    </pic:spPr>
                                  </pic:pic>
                                </a:graphicData>
                              </a:graphic>
                            </wp:inline>
                          </w:drawing>
                        </w:r>
                        <w:r>
                          <w:rPr>
                            <w:position w:val="-9"/>
                          </w:rPr>
                        </w:r>
                        <w:r>
                          <w:rPr>
                            <w:rFonts w:ascii="Times New Roman" w:hAnsi="Times New Roman"/>
                            <w:sz w:val="20"/>
                          </w:rPr>
                          <w:t> </w:t>
                        </w:r>
                        <w:r>
                          <w:rPr>
                            <w:sz w:val="16"/>
                          </w:rPr>
                          <w:t>Estado de</w:t>
                        </w:r>
                        <w:r>
                          <w:rPr>
                            <w:spacing w:val="-20"/>
                            <w:sz w:val="16"/>
                          </w:rPr>
                          <w:t> </w:t>
                        </w:r>
                        <w:r>
                          <w:rPr>
                            <w:sz w:val="16"/>
                          </w:rPr>
                          <w:t>México</w:t>
                        </w:r>
                      </w:p>
                    </w:tc>
                  </w:tr>
                  <w:tr>
                    <w:trPr>
                      <w:trHeight w:val="341" w:hRule="exact"/>
                    </w:trPr>
                    <w:tc>
                      <w:tcPr>
                        <w:tcW w:w="1711" w:type="dxa"/>
                        <w:tcBorders>
                          <w:top w:val="single" w:sz="4" w:space="0" w:color="000000"/>
                          <w:left w:val="single" w:sz="4" w:space="0" w:color="000000"/>
                          <w:bottom w:val="single" w:sz="4" w:space="0" w:color="000000"/>
                          <w:right w:val="single" w:sz="4" w:space="0" w:color="000000"/>
                        </w:tcBorders>
                      </w:tcPr>
                      <w:p>
                        <w:pPr>
                          <w:pStyle w:val="TableParagraph"/>
                          <w:spacing w:line="252" w:lineRule="exact"/>
                          <w:ind w:left="34"/>
                          <w:jc w:val="left"/>
                          <w:rPr>
                            <w:sz w:val="16"/>
                          </w:rPr>
                        </w:pPr>
                        <w:r>
                          <w:rPr>
                            <w:position w:val="-10"/>
                          </w:rPr>
                          <w:drawing>
                            <wp:inline distT="0" distB="0" distL="0" distR="0">
                              <wp:extent cx="118526" cy="130683"/>
                              <wp:effectExtent l="0" t="0" r="0" b="0"/>
                              <wp:docPr id="25" name="image19.png" descr=""/>
                              <wp:cNvGraphicFramePr>
                                <a:graphicFrameLocks noChangeAspect="1"/>
                              </wp:cNvGraphicFramePr>
                              <a:graphic>
                                <a:graphicData uri="http://schemas.openxmlformats.org/drawingml/2006/picture">
                                  <pic:pic>
                                    <pic:nvPicPr>
                                      <pic:cNvPr id="26" name="image19.png"/>
                                      <pic:cNvPicPr/>
                                    </pic:nvPicPr>
                                    <pic:blipFill>
                                      <a:blip r:embed="rId41" cstate="print"/>
                                      <a:stretch>
                                        <a:fillRect/>
                                      </a:stretch>
                                    </pic:blipFill>
                                    <pic:spPr>
                                      <a:xfrm>
                                        <a:off x="0" y="0"/>
                                        <a:ext cx="118526" cy="130683"/>
                                      </a:xfrm>
                                      <a:prstGeom prst="rect">
                                        <a:avLst/>
                                      </a:prstGeom>
                                    </pic:spPr>
                                  </pic:pic>
                                </a:graphicData>
                              </a:graphic>
                            </wp:inline>
                          </w:drawing>
                        </w:r>
                        <w:r>
                          <w:rPr>
                            <w:position w:val="-10"/>
                          </w:rPr>
                        </w:r>
                        <w:r>
                          <w:rPr>
                            <w:rFonts w:ascii="Times New Roman"/>
                            <w:sz w:val="20"/>
                          </w:rPr>
                          <w:t> </w:t>
                        </w:r>
                        <w:r>
                          <w:rPr>
                            <w:spacing w:val="-3"/>
                            <w:sz w:val="16"/>
                          </w:rPr>
                          <w:t>Toluca</w:t>
                        </w:r>
                      </w:p>
                    </w:tc>
                  </w:tr>
                </w:tbl>
                <w:p>
                  <w:pPr>
                    <w:pStyle w:val="BodyText"/>
                  </w:pPr>
                </w:p>
              </w:txbxContent>
            </v:textbox>
            <w10:wrap type="topAndBottom"/>
          </v:shape>
        </w:pict>
      </w:r>
    </w:p>
    <w:p>
      <w:pPr>
        <w:pStyle w:val="BodyText"/>
      </w:pPr>
    </w:p>
    <w:p>
      <w:pPr>
        <w:pStyle w:val="BodyText"/>
        <w:spacing w:before="8"/>
        <w:rPr>
          <w:sz w:val="35"/>
        </w:rPr>
      </w:pPr>
    </w:p>
    <w:p>
      <w:pPr>
        <w:pStyle w:val="BodyText"/>
        <w:spacing w:line="276" w:lineRule="auto"/>
        <w:ind w:left="142" w:right="139"/>
        <w:jc w:val="both"/>
      </w:pPr>
      <w:r>
        <w:rPr/>
        <w:t>En el estudio se detectaron un total de 10 vendedores fijos y 54 ambulantes. La mayor frecuencia se localizó en el mercado Aviación-Autopan con 12 vendedores como</w:t>
      </w:r>
      <w:r>
        <w:rPr>
          <w:spacing w:val="-6"/>
        </w:rPr>
        <w:t> </w:t>
      </w:r>
      <w:r>
        <w:rPr/>
        <w:t>se</w:t>
      </w:r>
      <w:r>
        <w:rPr>
          <w:spacing w:val="-6"/>
        </w:rPr>
        <w:t> </w:t>
      </w:r>
      <w:r>
        <w:rPr/>
        <w:t>muestra</w:t>
      </w:r>
      <w:r>
        <w:rPr>
          <w:spacing w:val="-6"/>
        </w:rPr>
        <w:t> </w:t>
      </w:r>
      <w:r>
        <w:rPr/>
        <w:t>en</w:t>
      </w:r>
      <w:r>
        <w:rPr>
          <w:spacing w:val="-4"/>
        </w:rPr>
        <w:t> </w:t>
      </w:r>
      <w:r>
        <w:rPr/>
        <w:t>la</w:t>
      </w:r>
      <w:r>
        <w:rPr>
          <w:spacing w:val="-6"/>
        </w:rPr>
        <w:t> </w:t>
      </w:r>
      <w:r>
        <w:rPr/>
        <w:t>Gráfica</w:t>
      </w:r>
      <w:r>
        <w:rPr>
          <w:spacing w:val="-4"/>
        </w:rPr>
        <w:t> </w:t>
      </w:r>
      <w:r>
        <w:rPr/>
        <w:t>1.</w:t>
      </w:r>
      <w:r>
        <w:rPr>
          <w:spacing w:val="-4"/>
        </w:rPr>
        <w:t> </w:t>
      </w:r>
      <w:r>
        <w:rPr/>
        <w:t>La</w:t>
      </w:r>
      <w:r>
        <w:rPr>
          <w:spacing w:val="-4"/>
        </w:rPr>
        <w:t> </w:t>
      </w:r>
      <w:r>
        <w:rPr/>
        <w:t>proporción</w:t>
      </w:r>
      <w:r>
        <w:rPr>
          <w:spacing w:val="-4"/>
        </w:rPr>
        <w:t> </w:t>
      </w:r>
      <w:r>
        <w:rPr/>
        <w:t>de</w:t>
      </w:r>
      <w:r>
        <w:rPr>
          <w:spacing w:val="-4"/>
        </w:rPr>
        <w:t> </w:t>
      </w:r>
      <w:r>
        <w:rPr/>
        <w:t>vendedores</w:t>
      </w:r>
      <w:r>
        <w:rPr>
          <w:spacing w:val="-7"/>
        </w:rPr>
        <w:t> </w:t>
      </w:r>
      <w:r>
        <w:rPr/>
        <w:t>del</w:t>
      </w:r>
      <w:r>
        <w:rPr>
          <w:spacing w:val="-7"/>
        </w:rPr>
        <w:t> </w:t>
      </w:r>
      <w:r>
        <w:rPr/>
        <w:t>queso</w:t>
      </w:r>
      <w:r>
        <w:rPr>
          <w:spacing w:val="-6"/>
        </w:rPr>
        <w:t> </w:t>
      </w:r>
      <w:r>
        <w:rPr/>
        <w:t>fresco</w:t>
      </w:r>
      <w:r>
        <w:rPr>
          <w:spacing w:val="-6"/>
        </w:rPr>
        <w:t> </w:t>
      </w:r>
      <w:r>
        <w:rPr/>
        <w:t>es de 80% comparada con el 20% de productores en pequeñas empresas familiares como se muestra en la gráfica</w:t>
      </w:r>
      <w:r>
        <w:rPr>
          <w:spacing w:val="-9"/>
        </w:rPr>
        <w:t> </w:t>
      </w:r>
      <w:r>
        <w:rPr/>
        <w:t>1.</w:t>
      </w:r>
    </w:p>
    <w:p>
      <w:pPr>
        <w:spacing w:after="0" w:line="276" w:lineRule="auto"/>
        <w:jc w:val="both"/>
        <w:sectPr>
          <w:footerReference w:type="default" r:id="rId37"/>
          <w:pgSz w:w="12240" w:h="15840"/>
          <w:pgMar w:footer="710" w:header="728" w:top="1200" w:bottom="900" w:left="1560" w:right="1560"/>
        </w:sectPr>
      </w:pPr>
    </w:p>
    <w:p>
      <w:pPr>
        <w:pStyle w:val="BodyText"/>
        <w:spacing w:before="7"/>
        <w:rPr>
          <w:sz w:val="12"/>
        </w:rPr>
      </w:pPr>
    </w:p>
    <w:p>
      <w:pPr>
        <w:pStyle w:val="BodyText"/>
        <w:spacing w:before="69"/>
        <w:ind w:left="142"/>
        <w:jc w:val="both"/>
      </w:pPr>
      <w:r>
        <w:rPr/>
        <w:pict>
          <v:group style="position:absolute;margin-left:84.705002pt;margin-top:35.910877pt;width:458.45pt;height:229.25pt;mso-position-horizontal-relative:page;mso-position-vertical-relative:paragraph;z-index:-215992" coordorigin="1694,718" coordsize="9169,4585">
            <v:shape style="position:absolute;left:2179;top:1518;width:8455;height:1800" type="#_x0000_t75" stroked="false">
              <v:imagedata r:id="rId43" o:title=""/>
            </v:shape>
            <v:rect style="position:absolute;left:1702;top:726;width:9154;height:4570" filled="false" stroked="true" strokeweight=".72pt" strokecolor="#d9d9d9"/>
            <v:shape style="position:absolute;left:4777;top:942;width:3006;height:320" type="#_x0000_t202" filled="false" stroked="false">
              <v:textbox inset="0,0,0,0">
                <w:txbxContent>
                  <w:p>
                    <w:pPr>
                      <w:spacing w:line="319" w:lineRule="exact" w:before="0"/>
                      <w:ind w:left="0" w:right="-11" w:firstLine="0"/>
                      <w:jc w:val="left"/>
                      <w:rPr>
                        <w:rFonts w:ascii="Calibri Light" w:hAnsi="Calibri Light"/>
                        <w:b w:val="0"/>
                        <w:sz w:val="32"/>
                      </w:rPr>
                    </w:pPr>
                    <w:r>
                      <w:rPr>
                        <w:rFonts w:ascii="Calibri Light" w:hAnsi="Calibri Light"/>
                        <w:b w:val="0"/>
                        <w:color w:val="7E7E7E"/>
                        <w:spacing w:val="-3"/>
                        <w:sz w:val="32"/>
                      </w:rPr>
                      <w:t>Número </w:t>
                    </w:r>
                    <w:r>
                      <w:rPr>
                        <w:rFonts w:ascii="Calibri Light" w:hAnsi="Calibri Light"/>
                        <w:b w:val="0"/>
                        <w:color w:val="7E7E7E"/>
                        <w:sz w:val="32"/>
                      </w:rPr>
                      <w:t>de</w:t>
                    </w:r>
                    <w:r>
                      <w:rPr>
                        <w:rFonts w:ascii="Calibri Light" w:hAnsi="Calibri Light"/>
                        <w:b w:val="0"/>
                        <w:color w:val="7E7E7E"/>
                        <w:spacing w:val="-22"/>
                        <w:sz w:val="32"/>
                      </w:rPr>
                      <w:t> </w:t>
                    </w:r>
                    <w:r>
                      <w:rPr>
                        <w:rFonts w:ascii="Calibri Light" w:hAnsi="Calibri Light"/>
                        <w:b w:val="0"/>
                        <w:color w:val="7E7E7E"/>
                        <w:spacing w:val="-4"/>
                        <w:sz w:val="32"/>
                      </w:rPr>
                      <w:t>Vendedores</w:t>
                    </w:r>
                  </w:p>
                </w:txbxContent>
              </v:textbox>
              <w10:wrap type="none"/>
            </v:shape>
            <v:shape style="position:absolute;left:1831;top:1433;width:183;height:1982"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14</w:t>
                    </w:r>
                  </w:p>
                  <w:p>
                    <w:pPr>
                      <w:spacing w:before="37"/>
                      <w:ind w:left="0" w:right="-20" w:firstLine="0"/>
                      <w:jc w:val="left"/>
                      <w:rPr>
                        <w:rFonts w:ascii="Calibri"/>
                        <w:sz w:val="18"/>
                      </w:rPr>
                    </w:pPr>
                    <w:r>
                      <w:rPr>
                        <w:rFonts w:ascii="Calibri"/>
                        <w:color w:val="585858"/>
                        <w:sz w:val="18"/>
                      </w:rPr>
                      <w:t>12</w:t>
                    </w:r>
                  </w:p>
                  <w:p>
                    <w:pPr>
                      <w:spacing w:before="37"/>
                      <w:ind w:left="0" w:right="-20" w:firstLine="0"/>
                      <w:jc w:val="left"/>
                      <w:rPr>
                        <w:rFonts w:ascii="Calibri"/>
                        <w:sz w:val="18"/>
                      </w:rPr>
                    </w:pPr>
                    <w:r>
                      <w:rPr>
                        <w:rFonts w:ascii="Calibri"/>
                        <w:color w:val="585858"/>
                        <w:sz w:val="18"/>
                      </w:rPr>
                      <w:t>10</w:t>
                    </w:r>
                  </w:p>
                  <w:p>
                    <w:pPr>
                      <w:spacing w:before="37"/>
                      <w:ind w:left="91" w:right="0" w:firstLine="0"/>
                      <w:jc w:val="left"/>
                      <w:rPr>
                        <w:rFonts w:ascii="Calibri"/>
                        <w:sz w:val="18"/>
                      </w:rPr>
                    </w:pPr>
                    <w:r>
                      <w:rPr>
                        <w:rFonts w:ascii="Calibri"/>
                        <w:color w:val="585858"/>
                        <w:sz w:val="18"/>
                      </w:rPr>
                      <w:t>8</w:t>
                    </w:r>
                  </w:p>
                  <w:p>
                    <w:pPr>
                      <w:spacing w:before="37"/>
                      <w:ind w:left="91" w:right="0" w:firstLine="0"/>
                      <w:jc w:val="left"/>
                      <w:rPr>
                        <w:rFonts w:ascii="Calibri"/>
                        <w:sz w:val="18"/>
                      </w:rPr>
                    </w:pPr>
                    <w:r>
                      <w:rPr>
                        <w:rFonts w:ascii="Calibri"/>
                        <w:color w:val="585858"/>
                        <w:w w:val="100"/>
                        <w:sz w:val="18"/>
                      </w:rPr>
                      <w:t>6</w:t>
                    </w:r>
                  </w:p>
                  <w:p>
                    <w:pPr>
                      <w:spacing w:before="38"/>
                      <w:ind w:left="91" w:right="0" w:firstLine="0"/>
                      <w:jc w:val="left"/>
                      <w:rPr>
                        <w:rFonts w:ascii="Calibri"/>
                        <w:sz w:val="18"/>
                      </w:rPr>
                    </w:pPr>
                    <w:r>
                      <w:rPr>
                        <w:rFonts w:ascii="Calibri"/>
                        <w:color w:val="585858"/>
                        <w:sz w:val="18"/>
                      </w:rPr>
                      <w:t>4</w:t>
                    </w:r>
                  </w:p>
                  <w:p>
                    <w:pPr>
                      <w:spacing w:before="37"/>
                      <w:ind w:left="91" w:right="0" w:firstLine="0"/>
                      <w:jc w:val="left"/>
                      <w:rPr>
                        <w:rFonts w:ascii="Calibri"/>
                        <w:sz w:val="18"/>
                      </w:rPr>
                    </w:pPr>
                    <w:r>
                      <w:rPr>
                        <w:rFonts w:ascii="Calibri"/>
                        <w:color w:val="585858"/>
                        <w:sz w:val="18"/>
                      </w:rPr>
                      <w:t>2</w:t>
                    </w:r>
                  </w:p>
                  <w:p>
                    <w:pPr>
                      <w:spacing w:line="216" w:lineRule="exact" w:before="37"/>
                      <w:ind w:left="91" w:right="0" w:firstLine="0"/>
                      <w:jc w:val="left"/>
                      <w:rPr>
                        <w:rFonts w:ascii="Calibri"/>
                        <w:sz w:val="18"/>
                      </w:rPr>
                    </w:pPr>
                    <w:r>
                      <w:rPr>
                        <w:rFonts w:ascii="Calibri"/>
                        <w:color w:val="585858"/>
                        <w:sz w:val="18"/>
                      </w:rPr>
                      <w:t>0</w:t>
                    </w:r>
                  </w:p>
                </w:txbxContent>
              </v:textbox>
              <w10:wrap type="none"/>
            </v:shape>
            <w10:wrap type="none"/>
          </v:group>
        </w:pict>
      </w:r>
      <w:r>
        <w:rPr/>
        <w:t>Gráfica 1: Frecuencia en el número de vendedores de queso fresco.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1"/>
        </w:r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6"/>
        </w:rPr>
      </w:pPr>
    </w:p>
    <w:p>
      <w:pPr>
        <w:pStyle w:val="Heading2"/>
        <w:spacing w:line="276" w:lineRule="auto" w:before="0"/>
        <w:ind w:right="783"/>
        <w:jc w:val="both"/>
      </w:pPr>
      <w:r>
        <w:rPr/>
        <w:pict>
          <v:shape style="position:absolute;margin-left:110.039993pt;margin-top:-140.987137pt;width:422.4pt;height:94.9pt;mso-position-horizontal-relative:page;mso-position-vertical-relative:paragraph;z-index:-215968" type="#_x0000_t202" filled="false" stroked="false">
            <v:textbox inset="0,0,0,0" style="layout-flow:vertical;mso-layout-flow-alt:bottom-to-top">
              <w:txbxContent>
                <w:p>
                  <w:pPr>
                    <w:spacing w:line="203" w:lineRule="exact" w:before="0"/>
                    <w:ind w:left="646" w:right="0" w:hanging="156"/>
                    <w:jc w:val="left"/>
                    <w:rPr>
                      <w:rFonts w:ascii="Calibri" w:hAnsi="Calibri"/>
                      <w:sz w:val="18"/>
                    </w:rPr>
                  </w:pPr>
                  <w:r>
                    <w:rPr>
                      <w:rFonts w:ascii="Calibri" w:hAnsi="Calibri"/>
                      <w:color w:val="585858"/>
                      <w:w w:val="99"/>
                      <w:sz w:val="18"/>
                    </w:rPr>
                    <w:t>T</w:t>
                  </w:r>
                  <w:r>
                    <w:rPr>
                      <w:rFonts w:ascii="Calibri" w:hAnsi="Calibri"/>
                      <w:color w:val="585858"/>
                      <w:spacing w:val="-1"/>
                      <w:w w:val="100"/>
                      <w:sz w:val="18"/>
                    </w:rPr>
                    <w:t>i</w:t>
                  </w:r>
                  <w:r>
                    <w:rPr>
                      <w:rFonts w:ascii="Calibri" w:hAnsi="Calibri"/>
                      <w:color w:val="585858"/>
                      <w:w w:val="99"/>
                      <w:sz w:val="18"/>
                    </w:rPr>
                    <w:t>a</w:t>
                  </w:r>
                  <w:r>
                    <w:rPr>
                      <w:rFonts w:ascii="Calibri" w:hAnsi="Calibri"/>
                      <w:color w:val="585858"/>
                      <w:spacing w:val="-1"/>
                      <w:w w:val="99"/>
                      <w:sz w:val="18"/>
                    </w:rPr>
                    <w:t>n</w:t>
                  </w:r>
                  <w:r>
                    <w:rPr>
                      <w:rFonts w:ascii="Calibri" w:hAnsi="Calibri"/>
                      <w:color w:val="585858"/>
                      <w:spacing w:val="-1"/>
                      <w:w w:val="100"/>
                      <w:sz w:val="18"/>
                    </w:rPr>
                    <w:t>g</w:t>
                  </w:r>
                  <w:r>
                    <w:rPr>
                      <w:rFonts w:ascii="Calibri" w:hAnsi="Calibri"/>
                      <w:color w:val="585858"/>
                      <w:spacing w:val="1"/>
                      <w:w w:val="99"/>
                      <w:sz w:val="18"/>
                    </w:rPr>
                    <w:t>u</w:t>
                  </w:r>
                  <w:r>
                    <w:rPr>
                      <w:rFonts w:ascii="Calibri" w:hAnsi="Calibri"/>
                      <w:color w:val="585858"/>
                      <w:spacing w:val="-1"/>
                      <w:w w:val="100"/>
                      <w:sz w:val="18"/>
                    </w:rPr>
                    <w:t>i</w:t>
                  </w:r>
                  <w:r>
                    <w:rPr>
                      <w:rFonts w:ascii="Calibri" w:hAnsi="Calibri"/>
                      <w:color w:val="585858"/>
                      <w:w w:val="99"/>
                      <w:sz w:val="18"/>
                    </w:rPr>
                    <w:t>s</w:t>
                  </w:r>
                  <w:r>
                    <w:rPr>
                      <w:rFonts w:ascii="Calibri" w:hAnsi="Calibri"/>
                      <w:color w:val="585858"/>
                      <w:spacing w:val="-1"/>
                      <w:sz w:val="18"/>
                    </w:rPr>
                    <w:t> </w:t>
                  </w:r>
                  <w:r>
                    <w:rPr>
                      <w:rFonts w:ascii="Calibri" w:hAnsi="Calibri"/>
                      <w:color w:val="585858"/>
                      <w:spacing w:val="1"/>
                      <w:w w:val="100"/>
                      <w:sz w:val="18"/>
                    </w:rPr>
                    <w:t>A</w:t>
                  </w:r>
                  <w:r>
                    <w:rPr>
                      <w:rFonts w:ascii="Calibri" w:hAnsi="Calibri"/>
                      <w:color w:val="585858"/>
                      <w:w w:val="100"/>
                      <w:sz w:val="18"/>
                    </w:rPr>
                    <w:t>via</w:t>
                  </w:r>
                  <w:r>
                    <w:rPr>
                      <w:rFonts w:ascii="Calibri" w:hAnsi="Calibri"/>
                      <w:color w:val="585858"/>
                      <w:spacing w:val="-2"/>
                      <w:w w:val="100"/>
                      <w:sz w:val="18"/>
                    </w:rPr>
                    <w:t>c</w:t>
                  </w:r>
                  <w:r>
                    <w:rPr>
                      <w:rFonts w:ascii="Calibri" w:hAnsi="Calibri"/>
                      <w:color w:val="585858"/>
                      <w:spacing w:val="1"/>
                      <w:w w:val="100"/>
                      <w:sz w:val="18"/>
                    </w:rPr>
                    <w:t>i</w:t>
                  </w:r>
                  <w:r>
                    <w:rPr>
                      <w:rFonts w:ascii="Calibri" w:hAnsi="Calibri"/>
                      <w:color w:val="585858"/>
                      <w:spacing w:val="-2"/>
                      <w:w w:val="99"/>
                      <w:sz w:val="18"/>
                    </w:rPr>
                    <w:t>ó</w:t>
                  </w:r>
                  <w:r>
                    <w:rPr>
                      <w:rFonts w:ascii="Calibri" w:hAnsi="Calibri"/>
                      <w:color w:val="585858"/>
                      <w:spacing w:val="1"/>
                      <w:w w:val="99"/>
                      <w:sz w:val="18"/>
                    </w:rPr>
                    <w:t>n</w:t>
                  </w:r>
                  <w:r>
                    <w:rPr>
                      <w:rFonts w:ascii="Calibri" w:hAnsi="Calibri"/>
                      <w:color w:val="585858"/>
                      <w:w w:val="99"/>
                      <w:sz w:val="18"/>
                    </w:rPr>
                    <w:t>…</w:t>
                  </w:r>
                </w:p>
                <w:p>
                  <w:pPr>
                    <w:spacing w:line="249" w:lineRule="auto" w:before="9"/>
                    <w:ind w:left="254" w:right="0" w:firstLine="391"/>
                    <w:jc w:val="left"/>
                    <w:rPr>
                      <w:rFonts w:ascii="Calibri" w:hAnsi="Calibri"/>
                      <w:sz w:val="18"/>
                    </w:rPr>
                  </w:pPr>
                  <w:r>
                    <w:rPr>
                      <w:rFonts w:ascii="Calibri" w:hAnsi="Calibri"/>
                      <w:color w:val="585858"/>
                      <w:w w:val="100"/>
                      <w:sz w:val="18"/>
                    </w:rPr>
                    <w:t>M</w:t>
                  </w:r>
                  <w:r>
                    <w:rPr>
                      <w:rFonts w:ascii="Calibri" w:hAnsi="Calibri"/>
                      <w:color w:val="585858"/>
                      <w:spacing w:val="-2"/>
                      <w:w w:val="100"/>
                      <w:sz w:val="18"/>
                    </w:rPr>
                    <w:t>e</w:t>
                  </w:r>
                  <w:r>
                    <w:rPr>
                      <w:rFonts w:ascii="Calibri" w:hAnsi="Calibri"/>
                      <w:color w:val="585858"/>
                      <w:spacing w:val="1"/>
                      <w:w w:val="100"/>
                      <w:sz w:val="18"/>
                    </w:rPr>
                    <w:t>r</w:t>
                  </w:r>
                  <w:r>
                    <w:rPr>
                      <w:rFonts w:ascii="Calibri" w:hAnsi="Calibri"/>
                      <w:color w:val="585858"/>
                      <w:spacing w:val="-2"/>
                      <w:w w:val="100"/>
                      <w:sz w:val="18"/>
                    </w:rPr>
                    <w:t>c</w:t>
                  </w:r>
                  <w:r>
                    <w:rPr>
                      <w:rFonts w:ascii="Calibri" w:hAnsi="Calibri"/>
                      <w:color w:val="585858"/>
                      <w:w w:val="99"/>
                      <w:sz w:val="18"/>
                    </w:rPr>
                    <w:t>a</w:t>
                  </w:r>
                  <w:r>
                    <w:rPr>
                      <w:rFonts w:ascii="Calibri" w:hAnsi="Calibri"/>
                      <w:color w:val="585858"/>
                      <w:spacing w:val="1"/>
                      <w:w w:val="99"/>
                      <w:sz w:val="18"/>
                    </w:rPr>
                    <w:t>d</w:t>
                  </w:r>
                  <w:r>
                    <w:rPr>
                      <w:rFonts w:ascii="Calibri" w:hAnsi="Calibri"/>
                      <w:color w:val="585858"/>
                      <w:w w:val="99"/>
                      <w:sz w:val="18"/>
                    </w:rPr>
                    <w:t>o</w:t>
                  </w:r>
                  <w:r>
                    <w:rPr>
                      <w:rFonts w:ascii="Calibri" w:hAnsi="Calibri"/>
                      <w:color w:val="585858"/>
                      <w:spacing w:val="-2"/>
                      <w:sz w:val="18"/>
                    </w:rPr>
                    <w:t> </w:t>
                  </w:r>
                  <w:r>
                    <w:rPr>
                      <w:rFonts w:ascii="Calibri" w:hAnsi="Calibri"/>
                      <w:color w:val="585858"/>
                      <w:w w:val="100"/>
                      <w:sz w:val="18"/>
                    </w:rPr>
                    <w:t>16</w:t>
                  </w:r>
                  <w:r>
                    <w:rPr>
                      <w:rFonts w:ascii="Calibri" w:hAnsi="Calibri"/>
                      <w:color w:val="585858"/>
                      <w:sz w:val="18"/>
                    </w:rPr>
                    <w:t> </w:t>
                  </w:r>
                  <w:r>
                    <w:rPr>
                      <w:rFonts w:ascii="Calibri" w:hAnsi="Calibri"/>
                      <w:color w:val="585858"/>
                      <w:spacing w:val="1"/>
                      <w:w w:val="99"/>
                      <w:sz w:val="18"/>
                    </w:rPr>
                    <w:t>d</w:t>
                  </w:r>
                  <w:r>
                    <w:rPr>
                      <w:rFonts w:ascii="Calibri" w:hAnsi="Calibri"/>
                      <w:color w:val="585858"/>
                      <w:spacing w:val="-1"/>
                      <w:w w:val="100"/>
                      <w:sz w:val="18"/>
                    </w:rPr>
                    <w:t>e</w:t>
                  </w:r>
                  <w:r>
                    <w:rPr>
                      <w:rFonts w:ascii="Calibri" w:hAnsi="Calibri"/>
                      <w:color w:val="585858"/>
                      <w:w w:val="99"/>
                      <w:sz w:val="18"/>
                    </w:rPr>
                    <w:t>… </w:t>
                  </w:r>
                  <w:r>
                    <w:rPr>
                      <w:rFonts w:ascii="Calibri" w:hAnsi="Calibri"/>
                      <w:color w:val="585858"/>
                      <w:spacing w:val="-1"/>
                      <w:sz w:val="18"/>
                    </w:rPr>
                    <w:t>C</w:t>
                  </w:r>
                  <w:r>
                    <w:rPr>
                      <w:rFonts w:ascii="Calibri" w:hAnsi="Calibri"/>
                      <w:color w:val="585858"/>
                      <w:spacing w:val="1"/>
                      <w:sz w:val="18"/>
                    </w:rPr>
                    <w:t>o</w:t>
                  </w:r>
                  <w:r>
                    <w:rPr>
                      <w:rFonts w:ascii="Calibri" w:hAnsi="Calibri"/>
                      <w:color w:val="585858"/>
                      <w:spacing w:val="-1"/>
                      <w:sz w:val="18"/>
                    </w:rPr>
                    <w:t>l</w:t>
                  </w:r>
                  <w:r>
                    <w:rPr>
                      <w:rFonts w:ascii="Calibri" w:hAnsi="Calibri"/>
                      <w:color w:val="585858"/>
                      <w:spacing w:val="-2"/>
                      <w:sz w:val="18"/>
                    </w:rPr>
                    <w:t>o</w:t>
                  </w:r>
                  <w:r>
                    <w:rPr>
                      <w:rFonts w:ascii="Calibri" w:hAnsi="Calibri"/>
                      <w:color w:val="585858"/>
                      <w:spacing w:val="1"/>
                      <w:sz w:val="18"/>
                    </w:rPr>
                    <w:t>n</w:t>
                  </w:r>
                  <w:r>
                    <w:rPr>
                      <w:rFonts w:ascii="Calibri" w:hAnsi="Calibri"/>
                      <w:color w:val="585858"/>
                      <w:spacing w:val="-1"/>
                      <w:sz w:val="18"/>
                    </w:rPr>
                    <w:t>i</w:t>
                  </w:r>
                  <w:r>
                    <w:rPr>
                      <w:rFonts w:ascii="Calibri" w:hAnsi="Calibri"/>
                      <w:color w:val="585858"/>
                      <w:sz w:val="18"/>
                    </w:rPr>
                    <w:t>a </w:t>
                  </w:r>
                  <w:r>
                    <w:rPr>
                      <w:rFonts w:ascii="Calibri" w:hAnsi="Calibri"/>
                      <w:color w:val="585858"/>
                      <w:spacing w:val="-2"/>
                      <w:sz w:val="18"/>
                    </w:rPr>
                    <w:t>E</w:t>
                  </w:r>
                  <w:r>
                    <w:rPr>
                      <w:rFonts w:ascii="Calibri" w:hAnsi="Calibri"/>
                      <w:color w:val="585858"/>
                      <w:sz w:val="18"/>
                    </w:rPr>
                    <w:t>l</w:t>
                  </w:r>
                  <w:r>
                    <w:rPr>
                      <w:rFonts w:ascii="Calibri" w:hAnsi="Calibri"/>
                      <w:color w:val="585858"/>
                      <w:spacing w:val="1"/>
                      <w:sz w:val="18"/>
                    </w:rPr>
                    <w:t> </w:t>
                  </w:r>
                  <w:r>
                    <w:rPr>
                      <w:rFonts w:ascii="Calibri" w:hAnsi="Calibri"/>
                      <w:color w:val="585858"/>
                      <w:spacing w:val="-1"/>
                      <w:sz w:val="18"/>
                    </w:rPr>
                    <w:t>Se</w:t>
                  </w:r>
                  <w:r>
                    <w:rPr>
                      <w:rFonts w:ascii="Calibri" w:hAnsi="Calibri"/>
                      <w:color w:val="585858"/>
                      <w:sz w:val="18"/>
                    </w:rPr>
                    <w:t>m</w:t>
                  </w:r>
                  <w:r>
                    <w:rPr>
                      <w:rFonts w:ascii="Calibri" w:hAnsi="Calibri"/>
                      <w:color w:val="585858"/>
                      <w:spacing w:val="1"/>
                      <w:sz w:val="18"/>
                    </w:rPr>
                    <w:t>i</w:t>
                  </w:r>
                  <w:r>
                    <w:rPr>
                      <w:rFonts w:ascii="Calibri" w:hAnsi="Calibri"/>
                      <w:color w:val="585858"/>
                      <w:spacing w:val="-1"/>
                      <w:sz w:val="18"/>
                    </w:rPr>
                    <w:t>n</w:t>
                  </w:r>
                  <w:r>
                    <w:rPr>
                      <w:rFonts w:ascii="Calibri" w:hAnsi="Calibri"/>
                      <w:color w:val="585858"/>
                      <w:sz w:val="18"/>
                    </w:rPr>
                    <w:t>ar</w:t>
                  </w:r>
                  <w:r>
                    <w:rPr>
                      <w:rFonts w:ascii="Calibri" w:hAnsi="Calibri"/>
                      <w:color w:val="585858"/>
                      <w:spacing w:val="-1"/>
                      <w:sz w:val="18"/>
                    </w:rPr>
                    <w:t>i</w:t>
                  </w:r>
                  <w:r>
                    <w:rPr>
                      <w:rFonts w:ascii="Calibri" w:hAnsi="Calibri"/>
                      <w:color w:val="585858"/>
                      <w:sz w:val="18"/>
                    </w:rPr>
                    <w:t>o</w:t>
                  </w:r>
                </w:p>
                <w:p>
                  <w:pPr>
                    <w:spacing w:line="249" w:lineRule="auto" w:before="0"/>
                    <w:ind w:left="20" w:right="143" w:firstLine="425"/>
                    <w:jc w:val="right"/>
                    <w:rPr>
                      <w:rFonts w:ascii="Calibri"/>
                      <w:sz w:val="18"/>
                    </w:rPr>
                  </w:pPr>
                  <w:r>
                    <w:rPr>
                      <w:rFonts w:ascii="Calibri"/>
                      <w:color w:val="585858"/>
                      <w:sz w:val="18"/>
                    </w:rPr>
                    <w:t>M</w:t>
                  </w:r>
                  <w:r>
                    <w:rPr>
                      <w:rFonts w:ascii="Calibri"/>
                      <w:color w:val="585858"/>
                      <w:spacing w:val="-1"/>
                      <w:sz w:val="18"/>
                    </w:rPr>
                    <w:t>e</w:t>
                  </w:r>
                  <w:r>
                    <w:rPr>
                      <w:rFonts w:ascii="Calibri"/>
                      <w:color w:val="585858"/>
                      <w:spacing w:val="1"/>
                      <w:sz w:val="18"/>
                    </w:rPr>
                    <w:t>r</w:t>
                  </w:r>
                  <w:r>
                    <w:rPr>
                      <w:rFonts w:ascii="Calibri"/>
                      <w:color w:val="585858"/>
                      <w:spacing w:val="-2"/>
                      <w:sz w:val="18"/>
                    </w:rPr>
                    <w:t>c</w:t>
                  </w:r>
                  <w:r>
                    <w:rPr>
                      <w:rFonts w:ascii="Calibri"/>
                      <w:color w:val="585858"/>
                      <w:sz w:val="18"/>
                    </w:rPr>
                    <w:t>a</w:t>
                  </w:r>
                  <w:r>
                    <w:rPr>
                      <w:rFonts w:ascii="Calibri"/>
                      <w:color w:val="585858"/>
                      <w:spacing w:val="1"/>
                      <w:sz w:val="18"/>
                    </w:rPr>
                    <w:t>d</w:t>
                  </w:r>
                  <w:r>
                    <w:rPr>
                      <w:rFonts w:ascii="Calibri"/>
                      <w:color w:val="585858"/>
                      <w:sz w:val="18"/>
                    </w:rPr>
                    <w:t>o</w:t>
                  </w:r>
                  <w:r>
                    <w:rPr>
                      <w:rFonts w:ascii="Calibri"/>
                      <w:color w:val="585858"/>
                      <w:spacing w:val="-2"/>
                      <w:sz w:val="18"/>
                    </w:rPr>
                    <w:t> </w:t>
                  </w:r>
                  <w:r>
                    <w:rPr>
                      <w:rFonts w:ascii="Calibri"/>
                      <w:color w:val="585858"/>
                      <w:sz w:val="18"/>
                    </w:rPr>
                    <w:t>Mor</w:t>
                  </w:r>
                  <w:r>
                    <w:rPr>
                      <w:rFonts w:ascii="Calibri"/>
                      <w:color w:val="585858"/>
                      <w:spacing w:val="-2"/>
                      <w:sz w:val="18"/>
                    </w:rPr>
                    <w:t>e</w:t>
                  </w:r>
                  <w:r>
                    <w:rPr>
                      <w:rFonts w:ascii="Calibri"/>
                      <w:color w:val="585858"/>
                      <w:spacing w:val="1"/>
                      <w:sz w:val="18"/>
                    </w:rPr>
                    <w:t>l</w:t>
                  </w:r>
                  <w:r>
                    <w:rPr>
                      <w:rFonts w:ascii="Calibri"/>
                      <w:color w:val="585858"/>
                      <w:spacing w:val="-2"/>
                      <w:sz w:val="18"/>
                    </w:rPr>
                    <w:t>o</w:t>
                  </w:r>
                  <w:r>
                    <w:rPr>
                      <w:rFonts w:ascii="Calibri"/>
                      <w:color w:val="585858"/>
                      <w:sz w:val="18"/>
                    </w:rPr>
                    <w:t>s </w:t>
                  </w:r>
                  <w:r>
                    <w:rPr>
                      <w:rFonts w:ascii="Calibri"/>
                      <w:color w:val="585858"/>
                      <w:spacing w:val="-2"/>
                      <w:sz w:val="18"/>
                    </w:rPr>
                    <w:t>S</w:t>
                  </w:r>
                  <w:r>
                    <w:rPr>
                      <w:rFonts w:ascii="Calibri"/>
                      <w:color w:val="585858"/>
                      <w:sz w:val="18"/>
                    </w:rPr>
                    <w:t>an</w:t>
                  </w:r>
                  <w:r>
                    <w:rPr>
                      <w:rFonts w:ascii="Calibri"/>
                      <w:color w:val="585858"/>
                      <w:spacing w:val="1"/>
                      <w:sz w:val="18"/>
                    </w:rPr>
                    <w:t> </w:t>
                  </w:r>
                  <w:r>
                    <w:rPr>
                      <w:rFonts w:ascii="Calibri"/>
                      <w:color w:val="585858"/>
                      <w:spacing w:val="-1"/>
                      <w:sz w:val="18"/>
                    </w:rPr>
                    <w:t>A</w:t>
                  </w:r>
                  <w:r>
                    <w:rPr>
                      <w:rFonts w:ascii="Calibri"/>
                      <w:color w:val="585858"/>
                      <w:spacing w:val="1"/>
                      <w:sz w:val="18"/>
                    </w:rPr>
                    <w:t>n</w:t>
                  </w:r>
                  <w:r>
                    <w:rPr>
                      <w:rFonts w:ascii="Calibri"/>
                      <w:color w:val="585858"/>
                      <w:sz w:val="18"/>
                    </w:rPr>
                    <w:t>t</w:t>
                  </w:r>
                  <w:r>
                    <w:rPr>
                      <w:rFonts w:ascii="Calibri"/>
                      <w:color w:val="585858"/>
                      <w:spacing w:val="-2"/>
                      <w:sz w:val="18"/>
                    </w:rPr>
                    <w:t>o</w:t>
                  </w:r>
                  <w:r>
                    <w:rPr>
                      <w:rFonts w:ascii="Calibri"/>
                      <w:color w:val="585858"/>
                      <w:spacing w:val="1"/>
                      <w:sz w:val="18"/>
                    </w:rPr>
                    <w:t>n</w:t>
                  </w:r>
                  <w:r>
                    <w:rPr>
                      <w:rFonts w:ascii="Calibri"/>
                      <w:color w:val="585858"/>
                      <w:spacing w:val="-1"/>
                      <w:sz w:val="18"/>
                    </w:rPr>
                    <w:t>i</w:t>
                  </w:r>
                  <w:r>
                    <w:rPr>
                      <w:rFonts w:ascii="Calibri"/>
                      <w:color w:val="585858"/>
                      <w:sz w:val="18"/>
                    </w:rPr>
                    <w:t>o</w:t>
                  </w:r>
                  <w:r>
                    <w:rPr>
                      <w:rFonts w:ascii="Calibri"/>
                      <w:color w:val="585858"/>
                      <w:spacing w:val="-2"/>
                      <w:sz w:val="18"/>
                    </w:rPr>
                    <w:t> </w:t>
                  </w:r>
                  <w:r>
                    <w:rPr>
                      <w:rFonts w:ascii="Calibri"/>
                      <w:color w:val="585858"/>
                      <w:sz w:val="18"/>
                    </w:rPr>
                    <w:t>B</w:t>
                  </w:r>
                  <w:r>
                    <w:rPr>
                      <w:rFonts w:ascii="Calibri"/>
                      <w:color w:val="585858"/>
                      <w:spacing w:val="1"/>
                      <w:sz w:val="18"/>
                    </w:rPr>
                    <w:t>u</w:t>
                  </w:r>
                  <w:r>
                    <w:rPr>
                      <w:rFonts w:ascii="Calibri"/>
                      <w:color w:val="585858"/>
                      <w:spacing w:val="-1"/>
                      <w:sz w:val="18"/>
                    </w:rPr>
                    <w:t>en</w:t>
                  </w:r>
                  <w:r>
                    <w:rPr>
                      <w:rFonts w:ascii="Calibri"/>
                      <w:color w:val="585858"/>
                      <w:sz w:val="18"/>
                    </w:rPr>
                    <w:t>avi</w:t>
                  </w:r>
                  <w:r>
                    <w:rPr>
                      <w:rFonts w:ascii="Calibri"/>
                      <w:color w:val="585858"/>
                      <w:spacing w:val="1"/>
                      <w:sz w:val="18"/>
                    </w:rPr>
                    <w:t>s</w:t>
                  </w:r>
                  <w:r>
                    <w:rPr>
                      <w:rFonts w:ascii="Calibri"/>
                      <w:color w:val="585858"/>
                      <w:sz w:val="18"/>
                    </w:rPr>
                    <w:t>ta </w:t>
                  </w:r>
                  <w:r>
                    <w:rPr>
                      <w:rFonts w:ascii="Calibri"/>
                      <w:color w:val="585858"/>
                      <w:spacing w:val="-2"/>
                      <w:sz w:val="18"/>
                    </w:rPr>
                    <w:t>S</w:t>
                  </w:r>
                  <w:r>
                    <w:rPr>
                      <w:rFonts w:ascii="Calibri"/>
                      <w:color w:val="585858"/>
                      <w:sz w:val="18"/>
                    </w:rPr>
                    <w:t>an</w:t>
                  </w:r>
                  <w:r>
                    <w:rPr>
                      <w:rFonts w:ascii="Calibri"/>
                      <w:color w:val="585858"/>
                      <w:spacing w:val="1"/>
                      <w:sz w:val="18"/>
                    </w:rPr>
                    <w:t> </w:t>
                  </w:r>
                  <w:r>
                    <w:rPr>
                      <w:rFonts w:ascii="Calibri"/>
                      <w:color w:val="585858"/>
                      <w:sz w:val="18"/>
                    </w:rPr>
                    <w:t>B</w:t>
                  </w:r>
                  <w:r>
                    <w:rPr>
                      <w:rFonts w:ascii="Calibri"/>
                      <w:color w:val="585858"/>
                      <w:spacing w:val="-1"/>
                      <w:sz w:val="18"/>
                    </w:rPr>
                    <w:t>ue</w:t>
                  </w:r>
                  <w:r>
                    <w:rPr>
                      <w:rFonts w:ascii="Calibri"/>
                      <w:color w:val="585858"/>
                      <w:spacing w:val="1"/>
                      <w:sz w:val="18"/>
                    </w:rPr>
                    <w:t>n</w:t>
                  </w:r>
                  <w:r>
                    <w:rPr>
                      <w:rFonts w:ascii="Calibri"/>
                      <w:color w:val="585858"/>
                      <w:sz w:val="18"/>
                    </w:rPr>
                    <w:t>ave</w:t>
                  </w:r>
                  <w:r>
                    <w:rPr>
                      <w:rFonts w:ascii="Calibri"/>
                      <w:color w:val="585858"/>
                      <w:spacing w:val="-2"/>
                      <w:sz w:val="18"/>
                    </w:rPr>
                    <w:t>n</w:t>
                  </w:r>
                  <w:r>
                    <w:rPr>
                      <w:rFonts w:ascii="Calibri"/>
                      <w:color w:val="585858"/>
                      <w:sz w:val="18"/>
                    </w:rPr>
                    <w:t>t</w:t>
                  </w:r>
                  <w:r>
                    <w:rPr>
                      <w:rFonts w:ascii="Calibri"/>
                      <w:color w:val="585858"/>
                      <w:spacing w:val="1"/>
                      <w:sz w:val="18"/>
                    </w:rPr>
                    <w:t>u</w:t>
                  </w:r>
                  <w:r>
                    <w:rPr>
                      <w:rFonts w:ascii="Calibri"/>
                      <w:color w:val="585858"/>
                      <w:sz w:val="18"/>
                    </w:rPr>
                    <w:t>ra</w:t>
                  </w:r>
                </w:p>
                <w:p>
                  <w:pPr>
                    <w:spacing w:before="0"/>
                    <w:ind w:left="0" w:right="144" w:firstLine="0"/>
                    <w:jc w:val="right"/>
                    <w:rPr>
                      <w:rFonts w:ascii="Calibri"/>
                      <w:sz w:val="18"/>
                    </w:rPr>
                  </w:pPr>
                  <w:r>
                    <w:rPr>
                      <w:rFonts w:ascii="Calibri"/>
                      <w:color w:val="585858"/>
                      <w:spacing w:val="-2"/>
                      <w:sz w:val="18"/>
                    </w:rPr>
                    <w:t>S</w:t>
                  </w:r>
                  <w:r>
                    <w:rPr>
                      <w:rFonts w:ascii="Calibri"/>
                      <w:color w:val="585858"/>
                      <w:sz w:val="18"/>
                    </w:rPr>
                    <w:t>an</w:t>
                  </w:r>
                  <w:r>
                    <w:rPr>
                      <w:rFonts w:ascii="Calibri"/>
                      <w:color w:val="585858"/>
                      <w:spacing w:val="1"/>
                      <w:sz w:val="18"/>
                    </w:rPr>
                    <w:t> </w:t>
                  </w:r>
                  <w:r>
                    <w:rPr>
                      <w:rFonts w:ascii="Calibri"/>
                      <w:color w:val="585858"/>
                      <w:sz w:val="18"/>
                    </w:rPr>
                    <w:t>P</w:t>
                  </w:r>
                  <w:r>
                    <w:rPr>
                      <w:rFonts w:ascii="Calibri"/>
                      <w:color w:val="585858"/>
                      <w:spacing w:val="-1"/>
                      <w:sz w:val="18"/>
                    </w:rPr>
                    <w:t>ed</w:t>
                  </w:r>
                  <w:r>
                    <w:rPr>
                      <w:rFonts w:ascii="Calibri"/>
                      <w:color w:val="585858"/>
                      <w:sz w:val="18"/>
                    </w:rPr>
                    <w:t>ro </w:t>
                  </w:r>
                  <w:r>
                    <w:rPr>
                      <w:rFonts w:ascii="Calibri"/>
                      <w:color w:val="585858"/>
                      <w:spacing w:val="-2"/>
                      <w:sz w:val="18"/>
                    </w:rPr>
                    <w:t>T</w:t>
                  </w:r>
                  <w:r>
                    <w:rPr>
                      <w:rFonts w:ascii="Calibri"/>
                      <w:color w:val="585858"/>
                      <w:sz w:val="18"/>
                    </w:rPr>
                    <w:t>oto</w:t>
                  </w:r>
                  <w:r>
                    <w:rPr>
                      <w:rFonts w:ascii="Calibri"/>
                      <w:color w:val="585858"/>
                      <w:spacing w:val="-1"/>
                      <w:sz w:val="18"/>
                    </w:rPr>
                    <w:t>l</w:t>
                  </w:r>
                  <w:r>
                    <w:rPr>
                      <w:rFonts w:ascii="Calibri"/>
                      <w:color w:val="585858"/>
                      <w:sz w:val="18"/>
                    </w:rPr>
                    <w:t>t</w:t>
                  </w:r>
                  <w:r>
                    <w:rPr>
                      <w:rFonts w:ascii="Calibri"/>
                      <w:color w:val="585858"/>
                      <w:spacing w:val="-1"/>
                      <w:sz w:val="18"/>
                    </w:rPr>
                    <w:t>e</w:t>
                  </w:r>
                  <w:r>
                    <w:rPr>
                      <w:rFonts w:ascii="Calibri"/>
                      <w:color w:val="585858"/>
                      <w:spacing w:val="1"/>
                      <w:sz w:val="18"/>
                    </w:rPr>
                    <w:t>p</w:t>
                  </w:r>
                  <w:r>
                    <w:rPr>
                      <w:rFonts w:ascii="Calibri"/>
                      <w:color w:val="585858"/>
                      <w:spacing w:val="-1"/>
                      <w:sz w:val="18"/>
                    </w:rPr>
                    <w:t>e</w:t>
                  </w:r>
                  <w:r>
                    <w:rPr>
                      <w:rFonts w:ascii="Calibri"/>
                      <w:color w:val="585858"/>
                      <w:sz w:val="18"/>
                    </w:rPr>
                    <w:t>c</w:t>
                  </w:r>
                </w:p>
                <w:p>
                  <w:pPr>
                    <w:spacing w:before="8"/>
                    <w:ind w:left="0" w:right="143" w:firstLine="0"/>
                    <w:jc w:val="right"/>
                    <w:rPr>
                      <w:rFonts w:ascii="Calibri"/>
                      <w:sz w:val="18"/>
                    </w:rPr>
                  </w:pPr>
                  <w:r>
                    <w:rPr>
                      <w:rFonts w:ascii="Calibri"/>
                      <w:color w:val="585858"/>
                      <w:spacing w:val="-2"/>
                      <w:w w:val="100"/>
                      <w:sz w:val="18"/>
                    </w:rPr>
                    <w:t>S</w:t>
                  </w:r>
                  <w:r>
                    <w:rPr>
                      <w:rFonts w:ascii="Calibri"/>
                      <w:color w:val="585858"/>
                      <w:w w:val="100"/>
                      <w:sz w:val="18"/>
                    </w:rPr>
                    <w:t>a</w:t>
                  </w:r>
                  <w:r>
                    <w:rPr>
                      <w:rFonts w:ascii="Calibri"/>
                      <w:color w:val="585858"/>
                      <w:spacing w:val="1"/>
                      <w:w w:val="100"/>
                      <w:sz w:val="18"/>
                    </w:rPr>
                    <w:t>n</w:t>
                  </w:r>
                  <w:r>
                    <w:rPr>
                      <w:rFonts w:ascii="Calibri"/>
                      <w:color w:val="585858"/>
                      <w:w w:val="100"/>
                      <w:sz w:val="18"/>
                    </w:rPr>
                    <w:t>t</w:t>
                  </w:r>
                  <w:r>
                    <w:rPr>
                      <w:rFonts w:ascii="Calibri"/>
                      <w:color w:val="585858"/>
                      <w:spacing w:val="-1"/>
                      <w:w w:val="100"/>
                      <w:sz w:val="18"/>
                    </w:rPr>
                    <w:t>i</w:t>
                  </w:r>
                  <w:r>
                    <w:rPr>
                      <w:rFonts w:ascii="Calibri"/>
                      <w:color w:val="585858"/>
                      <w:w w:val="100"/>
                      <w:sz w:val="18"/>
                    </w:rPr>
                    <w:t>a</w:t>
                  </w:r>
                  <w:r>
                    <w:rPr>
                      <w:rFonts w:ascii="Calibri"/>
                      <w:color w:val="585858"/>
                      <w:spacing w:val="-2"/>
                      <w:w w:val="100"/>
                      <w:sz w:val="18"/>
                    </w:rPr>
                    <w:t>g</w:t>
                  </w:r>
                  <w:r>
                    <w:rPr>
                      <w:rFonts w:ascii="Calibri"/>
                      <w:color w:val="585858"/>
                      <w:w w:val="100"/>
                      <w:sz w:val="18"/>
                    </w:rPr>
                    <w:t>o</w:t>
                  </w:r>
                  <w:r>
                    <w:rPr>
                      <w:rFonts w:ascii="Calibri"/>
                      <w:color w:val="585858"/>
                      <w:sz w:val="18"/>
                    </w:rPr>
                    <w:t> </w:t>
                  </w:r>
                  <w:r>
                    <w:rPr>
                      <w:rFonts w:ascii="Calibri"/>
                      <w:color w:val="585858"/>
                      <w:spacing w:val="-2"/>
                      <w:w w:val="100"/>
                      <w:sz w:val="18"/>
                    </w:rPr>
                    <w:t>T</w:t>
                  </w:r>
                  <w:r>
                    <w:rPr>
                      <w:rFonts w:ascii="Calibri"/>
                      <w:color w:val="585858"/>
                      <w:spacing w:val="1"/>
                      <w:w w:val="100"/>
                      <w:sz w:val="18"/>
                    </w:rPr>
                    <w:t>l</w:t>
                  </w:r>
                  <w:r>
                    <w:rPr>
                      <w:rFonts w:ascii="Calibri"/>
                      <w:color w:val="585858"/>
                      <w:w w:val="100"/>
                      <w:sz w:val="18"/>
                    </w:rPr>
                    <w:t>a</w:t>
                  </w:r>
                  <w:r>
                    <w:rPr>
                      <w:rFonts w:ascii="Calibri"/>
                      <w:color w:val="585858"/>
                      <w:spacing w:val="-2"/>
                      <w:w w:val="100"/>
                      <w:sz w:val="18"/>
                    </w:rPr>
                    <w:t>c</w:t>
                  </w:r>
                  <w:r>
                    <w:rPr>
                      <w:rFonts w:ascii="Calibri"/>
                      <w:color w:val="585858"/>
                      <w:w w:val="100"/>
                      <w:sz w:val="18"/>
                    </w:rPr>
                    <w:t>ot</w:t>
                  </w:r>
                  <w:r>
                    <w:rPr>
                      <w:rFonts w:ascii="Calibri"/>
                      <w:color w:val="585858"/>
                      <w:spacing w:val="-2"/>
                      <w:w w:val="100"/>
                      <w:sz w:val="18"/>
                    </w:rPr>
                    <w:t>e</w:t>
                  </w:r>
                  <w:r>
                    <w:rPr>
                      <w:rFonts w:ascii="Calibri"/>
                      <w:color w:val="585858"/>
                      <w:spacing w:val="1"/>
                      <w:w w:val="100"/>
                      <w:sz w:val="18"/>
                    </w:rPr>
                    <w:t>p</w:t>
                  </w:r>
                  <w:r>
                    <w:rPr>
                      <w:rFonts w:ascii="Calibri"/>
                      <w:color w:val="585858"/>
                      <w:spacing w:val="-1"/>
                      <w:w w:val="100"/>
                      <w:sz w:val="18"/>
                    </w:rPr>
                    <w:t>e</w:t>
                  </w:r>
                  <w:r>
                    <w:rPr>
                      <w:rFonts w:ascii="Calibri"/>
                      <w:color w:val="585858"/>
                      <w:w w:val="100"/>
                      <w:sz w:val="18"/>
                    </w:rPr>
                    <w:t>c</w:t>
                  </w:r>
                </w:p>
                <w:p>
                  <w:pPr>
                    <w:spacing w:line="249" w:lineRule="auto" w:before="9"/>
                    <w:ind w:left="369" w:right="142" w:firstLine="414"/>
                    <w:jc w:val="right"/>
                    <w:rPr>
                      <w:rFonts w:ascii="Calibri" w:hAnsi="Calibri"/>
                      <w:sz w:val="18"/>
                    </w:rPr>
                  </w:pPr>
                  <w:r>
                    <w:rPr>
                      <w:rFonts w:ascii="Calibri" w:hAnsi="Calibri"/>
                      <w:color w:val="585858"/>
                      <w:spacing w:val="-1"/>
                      <w:sz w:val="18"/>
                    </w:rPr>
                    <w:t>Ca</w:t>
                  </w:r>
                  <w:r>
                    <w:rPr>
                      <w:rFonts w:ascii="Calibri" w:hAnsi="Calibri"/>
                      <w:color w:val="585858"/>
                      <w:sz w:val="18"/>
                    </w:rPr>
                    <w:t>cal</w:t>
                  </w:r>
                  <w:r>
                    <w:rPr>
                      <w:rFonts w:ascii="Calibri" w:hAnsi="Calibri"/>
                      <w:color w:val="585858"/>
                      <w:spacing w:val="-2"/>
                      <w:sz w:val="18"/>
                    </w:rPr>
                    <w:t>o</w:t>
                  </w:r>
                  <w:r>
                    <w:rPr>
                      <w:rFonts w:ascii="Calibri" w:hAnsi="Calibri"/>
                      <w:color w:val="585858"/>
                      <w:sz w:val="18"/>
                    </w:rPr>
                    <w:t>macán Jicalt</w:t>
                  </w:r>
                  <w:r>
                    <w:rPr>
                      <w:rFonts w:ascii="Calibri" w:hAnsi="Calibri"/>
                      <w:color w:val="585858"/>
                      <w:spacing w:val="-2"/>
                      <w:sz w:val="18"/>
                    </w:rPr>
                    <w:t>e</w:t>
                  </w:r>
                  <w:r>
                    <w:rPr>
                      <w:rFonts w:ascii="Calibri" w:hAnsi="Calibri"/>
                      <w:color w:val="585858"/>
                      <w:spacing w:val="1"/>
                      <w:sz w:val="18"/>
                    </w:rPr>
                    <w:t>p</w:t>
                  </w:r>
                  <w:r>
                    <w:rPr>
                      <w:rFonts w:ascii="Calibri" w:hAnsi="Calibri"/>
                      <w:color w:val="585858"/>
                      <w:spacing w:val="-1"/>
                      <w:sz w:val="18"/>
                    </w:rPr>
                    <w:t>e</w:t>
                  </w:r>
                  <w:r>
                    <w:rPr>
                      <w:rFonts w:ascii="Calibri" w:hAnsi="Calibri"/>
                      <w:color w:val="585858"/>
                      <w:sz w:val="18"/>
                    </w:rPr>
                    <w:t>c </w:t>
                  </w:r>
                  <w:r>
                    <w:rPr>
                      <w:rFonts w:ascii="Calibri" w:hAnsi="Calibri"/>
                      <w:color w:val="585858"/>
                      <w:spacing w:val="-1"/>
                      <w:sz w:val="18"/>
                    </w:rPr>
                    <w:t>A</w:t>
                  </w:r>
                  <w:r>
                    <w:rPr>
                      <w:rFonts w:ascii="Calibri" w:hAnsi="Calibri"/>
                      <w:color w:val="585858"/>
                      <w:spacing w:val="1"/>
                      <w:sz w:val="18"/>
                    </w:rPr>
                    <w:t>u</w:t>
                  </w:r>
                  <w:r>
                    <w:rPr>
                      <w:rFonts w:ascii="Calibri" w:hAnsi="Calibri"/>
                      <w:color w:val="585858"/>
                      <w:sz w:val="18"/>
                    </w:rPr>
                    <w:t>t</w:t>
                  </w:r>
                  <w:r>
                    <w:rPr>
                      <w:rFonts w:ascii="Calibri" w:hAnsi="Calibri"/>
                      <w:color w:val="585858"/>
                      <w:spacing w:val="-2"/>
                      <w:sz w:val="18"/>
                    </w:rPr>
                    <w:t>o</w:t>
                  </w:r>
                  <w:r>
                    <w:rPr>
                      <w:rFonts w:ascii="Calibri" w:hAnsi="Calibri"/>
                      <w:color w:val="585858"/>
                      <w:spacing w:val="1"/>
                      <w:sz w:val="18"/>
                    </w:rPr>
                    <w:t>p</w:t>
                  </w:r>
                  <w:r>
                    <w:rPr>
                      <w:rFonts w:ascii="Calibri" w:hAnsi="Calibri"/>
                      <w:color w:val="585858"/>
                      <w:sz w:val="18"/>
                    </w:rPr>
                    <w:t>an</w:t>
                  </w:r>
                </w:p>
                <w:p>
                  <w:pPr>
                    <w:spacing w:line="249" w:lineRule="auto" w:before="0"/>
                    <w:ind w:left="636" w:right="0" w:firstLine="372"/>
                    <w:jc w:val="left"/>
                    <w:rPr>
                      <w:rFonts w:ascii="Calibri" w:hAnsi="Calibri"/>
                      <w:sz w:val="18"/>
                    </w:rPr>
                  </w:pPr>
                  <w:r>
                    <w:rPr>
                      <w:rFonts w:ascii="Calibri" w:hAnsi="Calibri"/>
                      <w:color w:val="585858"/>
                      <w:spacing w:val="-2"/>
                      <w:w w:val="99"/>
                      <w:sz w:val="18"/>
                    </w:rPr>
                    <w:t>S</w:t>
                  </w:r>
                  <w:r>
                    <w:rPr>
                      <w:rFonts w:ascii="Calibri" w:hAnsi="Calibri"/>
                      <w:color w:val="585858"/>
                      <w:w w:val="99"/>
                      <w:sz w:val="18"/>
                    </w:rPr>
                    <w:t>an</w:t>
                  </w:r>
                  <w:r>
                    <w:rPr>
                      <w:rFonts w:ascii="Calibri" w:hAnsi="Calibri"/>
                      <w:color w:val="585858"/>
                      <w:spacing w:val="1"/>
                      <w:sz w:val="18"/>
                    </w:rPr>
                    <w:t> </w:t>
                  </w:r>
                  <w:r>
                    <w:rPr>
                      <w:rFonts w:ascii="Calibri" w:hAnsi="Calibri"/>
                      <w:color w:val="585858"/>
                      <w:spacing w:val="-1"/>
                      <w:w w:val="99"/>
                      <w:sz w:val="18"/>
                    </w:rPr>
                    <w:t>F</w:t>
                  </w:r>
                  <w:r>
                    <w:rPr>
                      <w:rFonts w:ascii="Calibri" w:hAnsi="Calibri"/>
                      <w:color w:val="585858"/>
                      <w:spacing w:val="1"/>
                      <w:w w:val="100"/>
                      <w:sz w:val="18"/>
                    </w:rPr>
                    <w:t>e</w:t>
                  </w:r>
                  <w:r>
                    <w:rPr>
                      <w:rFonts w:ascii="Calibri" w:hAnsi="Calibri"/>
                      <w:color w:val="585858"/>
                      <w:spacing w:val="-1"/>
                      <w:w w:val="100"/>
                      <w:sz w:val="18"/>
                    </w:rPr>
                    <w:t>li</w:t>
                  </w:r>
                  <w:r>
                    <w:rPr>
                      <w:rFonts w:ascii="Calibri" w:hAnsi="Calibri"/>
                      <w:color w:val="585858"/>
                      <w:spacing w:val="-1"/>
                      <w:w w:val="99"/>
                      <w:sz w:val="18"/>
                    </w:rPr>
                    <w:t>p</w:t>
                  </w:r>
                  <w:r>
                    <w:rPr>
                      <w:rFonts w:ascii="Calibri" w:hAnsi="Calibri"/>
                      <w:color w:val="585858"/>
                      <w:spacing w:val="1"/>
                      <w:w w:val="100"/>
                      <w:sz w:val="18"/>
                    </w:rPr>
                    <w:t>e</w:t>
                  </w:r>
                  <w:r>
                    <w:rPr>
                      <w:rFonts w:ascii="Calibri" w:hAnsi="Calibri"/>
                      <w:color w:val="585858"/>
                      <w:w w:val="99"/>
                      <w:sz w:val="18"/>
                    </w:rPr>
                    <w:t>… </w:t>
                  </w:r>
                  <w:r>
                    <w:rPr>
                      <w:rFonts w:ascii="Calibri" w:hAnsi="Calibri"/>
                      <w:color w:val="585858"/>
                      <w:spacing w:val="-2"/>
                      <w:sz w:val="18"/>
                    </w:rPr>
                    <w:t>S</w:t>
                  </w:r>
                  <w:r>
                    <w:rPr>
                      <w:rFonts w:ascii="Calibri" w:hAnsi="Calibri"/>
                      <w:color w:val="585858"/>
                      <w:sz w:val="18"/>
                    </w:rPr>
                    <w:t>an</w:t>
                  </w:r>
                  <w:r>
                    <w:rPr>
                      <w:rFonts w:ascii="Calibri" w:hAnsi="Calibri"/>
                      <w:color w:val="585858"/>
                      <w:spacing w:val="1"/>
                      <w:sz w:val="18"/>
                    </w:rPr>
                    <w:t> </w:t>
                  </w:r>
                  <w:r>
                    <w:rPr>
                      <w:rFonts w:ascii="Calibri" w:hAnsi="Calibri"/>
                      <w:color w:val="585858"/>
                      <w:sz w:val="18"/>
                    </w:rPr>
                    <w:t>J</w:t>
                  </w:r>
                  <w:r>
                    <w:rPr>
                      <w:rFonts w:ascii="Calibri" w:hAnsi="Calibri"/>
                      <w:color w:val="585858"/>
                      <w:spacing w:val="-1"/>
                      <w:sz w:val="18"/>
                    </w:rPr>
                    <w:t>u</w:t>
                  </w:r>
                  <w:r>
                    <w:rPr>
                      <w:rFonts w:ascii="Calibri" w:hAnsi="Calibri"/>
                      <w:color w:val="585858"/>
                      <w:sz w:val="18"/>
                    </w:rPr>
                    <w:t>an</w:t>
                  </w:r>
                  <w:r>
                    <w:rPr>
                      <w:rFonts w:ascii="Calibri" w:hAnsi="Calibri"/>
                      <w:color w:val="585858"/>
                      <w:spacing w:val="-1"/>
                      <w:sz w:val="18"/>
                    </w:rPr>
                    <w:t> </w:t>
                  </w:r>
                  <w:r>
                    <w:rPr>
                      <w:rFonts w:ascii="Calibri" w:hAnsi="Calibri"/>
                      <w:color w:val="585858"/>
                      <w:spacing w:val="1"/>
                      <w:sz w:val="18"/>
                    </w:rPr>
                    <w:t>T</w:t>
                  </w:r>
                  <w:r>
                    <w:rPr>
                      <w:rFonts w:ascii="Calibri" w:hAnsi="Calibri"/>
                      <w:color w:val="585858"/>
                      <w:spacing w:val="-1"/>
                      <w:sz w:val="18"/>
                    </w:rPr>
                    <w:t>il</w:t>
                  </w:r>
                  <w:r>
                    <w:rPr>
                      <w:rFonts w:ascii="Calibri" w:hAnsi="Calibri"/>
                      <w:color w:val="585858"/>
                      <w:sz w:val="18"/>
                    </w:rPr>
                    <w:t>a</w:t>
                  </w:r>
                  <w:r>
                    <w:rPr>
                      <w:rFonts w:ascii="Calibri" w:hAnsi="Calibri"/>
                      <w:color w:val="585858"/>
                      <w:spacing w:val="1"/>
                      <w:sz w:val="18"/>
                    </w:rPr>
                    <w:t>p</w:t>
                  </w:r>
                  <w:r>
                    <w:rPr>
                      <w:rFonts w:ascii="Calibri" w:hAnsi="Calibri"/>
                      <w:color w:val="585858"/>
                      <w:sz w:val="18"/>
                    </w:rPr>
                    <w:t>a</w:t>
                  </w:r>
                </w:p>
                <w:p>
                  <w:pPr>
                    <w:spacing w:before="0"/>
                    <w:ind w:left="0" w:right="144" w:firstLine="0"/>
                    <w:jc w:val="right"/>
                    <w:rPr>
                      <w:rFonts w:ascii="Calibri" w:hAnsi="Calibri"/>
                      <w:sz w:val="18"/>
                    </w:rPr>
                  </w:pPr>
                  <w:r>
                    <w:rPr>
                      <w:rFonts w:ascii="Calibri" w:hAnsi="Calibri"/>
                      <w:color w:val="585858"/>
                      <w:spacing w:val="-2"/>
                      <w:sz w:val="18"/>
                    </w:rPr>
                    <w:t>S</w:t>
                  </w:r>
                  <w:r>
                    <w:rPr>
                      <w:rFonts w:ascii="Calibri" w:hAnsi="Calibri"/>
                      <w:color w:val="585858"/>
                      <w:sz w:val="18"/>
                    </w:rPr>
                    <w:t>an</w:t>
                  </w:r>
                  <w:r>
                    <w:rPr>
                      <w:rFonts w:ascii="Calibri" w:hAnsi="Calibri"/>
                      <w:color w:val="585858"/>
                      <w:spacing w:val="1"/>
                      <w:sz w:val="18"/>
                    </w:rPr>
                    <w:t> </w:t>
                  </w:r>
                  <w:r>
                    <w:rPr>
                      <w:rFonts w:ascii="Calibri" w:hAnsi="Calibri"/>
                      <w:color w:val="585858"/>
                      <w:spacing w:val="-2"/>
                      <w:sz w:val="18"/>
                    </w:rPr>
                    <w:t>L</w:t>
                  </w:r>
                  <w:r>
                    <w:rPr>
                      <w:rFonts w:ascii="Calibri" w:hAnsi="Calibri"/>
                      <w:color w:val="585858"/>
                      <w:sz w:val="18"/>
                    </w:rPr>
                    <w:t>or</w:t>
                  </w:r>
                  <w:r>
                    <w:rPr>
                      <w:rFonts w:ascii="Calibri" w:hAnsi="Calibri"/>
                      <w:color w:val="585858"/>
                      <w:spacing w:val="-2"/>
                      <w:sz w:val="18"/>
                    </w:rPr>
                    <w:t>e</w:t>
                  </w:r>
                  <w:r>
                    <w:rPr>
                      <w:rFonts w:ascii="Calibri" w:hAnsi="Calibri"/>
                      <w:color w:val="585858"/>
                      <w:spacing w:val="1"/>
                      <w:sz w:val="18"/>
                    </w:rPr>
                    <w:t>n</w:t>
                  </w:r>
                  <w:r>
                    <w:rPr>
                      <w:rFonts w:ascii="Calibri" w:hAnsi="Calibri"/>
                      <w:color w:val="585858"/>
                      <w:spacing w:val="-2"/>
                      <w:sz w:val="18"/>
                    </w:rPr>
                    <w:t>z</w:t>
                  </w:r>
                  <w:r>
                    <w:rPr>
                      <w:rFonts w:ascii="Calibri" w:hAnsi="Calibri"/>
                      <w:color w:val="585858"/>
                      <w:sz w:val="18"/>
                    </w:rPr>
                    <w:t>o </w:t>
                  </w:r>
                  <w:r>
                    <w:rPr>
                      <w:rFonts w:ascii="Calibri" w:hAnsi="Calibri"/>
                      <w:color w:val="585858"/>
                      <w:spacing w:val="-2"/>
                      <w:sz w:val="18"/>
                    </w:rPr>
                    <w:t>T</w:t>
                  </w:r>
                  <w:r>
                    <w:rPr>
                      <w:rFonts w:ascii="Calibri" w:hAnsi="Calibri"/>
                      <w:color w:val="585858"/>
                      <w:spacing w:val="1"/>
                      <w:sz w:val="18"/>
                    </w:rPr>
                    <w:t>e</w:t>
                  </w:r>
                  <w:r>
                    <w:rPr>
                      <w:rFonts w:ascii="Calibri" w:hAnsi="Calibri"/>
                      <w:color w:val="585858"/>
                      <w:spacing w:val="-1"/>
                      <w:sz w:val="18"/>
                    </w:rPr>
                    <w:t>p</w:t>
                  </w:r>
                  <w:r>
                    <w:rPr>
                      <w:rFonts w:ascii="Calibri" w:hAnsi="Calibri"/>
                      <w:color w:val="585858"/>
                      <w:sz w:val="18"/>
                    </w:rPr>
                    <w:t>al</w:t>
                  </w:r>
                  <w:r>
                    <w:rPr>
                      <w:rFonts w:ascii="Calibri" w:hAnsi="Calibri"/>
                      <w:color w:val="585858"/>
                      <w:spacing w:val="-1"/>
                      <w:sz w:val="18"/>
                    </w:rPr>
                    <w:t>t</w:t>
                  </w:r>
                  <w:r>
                    <w:rPr>
                      <w:rFonts w:ascii="Calibri" w:hAnsi="Calibri"/>
                      <w:color w:val="585858"/>
                      <w:spacing w:val="1"/>
                      <w:sz w:val="18"/>
                    </w:rPr>
                    <w:t>i</w:t>
                  </w:r>
                  <w:r>
                    <w:rPr>
                      <w:rFonts w:ascii="Calibri" w:hAnsi="Calibri"/>
                      <w:color w:val="585858"/>
                      <w:sz w:val="18"/>
                    </w:rPr>
                    <w:t>t</w:t>
                  </w:r>
                  <w:r>
                    <w:rPr>
                      <w:rFonts w:ascii="Calibri" w:hAnsi="Calibri"/>
                      <w:color w:val="585858"/>
                      <w:spacing w:val="-1"/>
                      <w:sz w:val="18"/>
                    </w:rPr>
                    <w:t>l</w:t>
                  </w:r>
                  <w:r>
                    <w:rPr>
                      <w:rFonts w:ascii="Calibri" w:hAnsi="Calibri"/>
                      <w:color w:val="585858"/>
                      <w:sz w:val="18"/>
                    </w:rPr>
                    <w:t>án</w:t>
                  </w:r>
                </w:p>
                <w:p>
                  <w:pPr>
                    <w:spacing w:line="249" w:lineRule="auto" w:before="9"/>
                    <w:ind w:left="976" w:right="0" w:hanging="73"/>
                    <w:jc w:val="left"/>
                    <w:rPr>
                      <w:rFonts w:ascii="Calibri" w:hAnsi="Calibri"/>
                      <w:sz w:val="18"/>
                    </w:rPr>
                  </w:pPr>
                  <w:r>
                    <w:rPr>
                      <w:rFonts w:ascii="Calibri" w:hAnsi="Calibri"/>
                      <w:color w:val="585858"/>
                      <w:spacing w:val="-2"/>
                      <w:w w:val="99"/>
                      <w:sz w:val="18"/>
                    </w:rPr>
                    <w:t>S</w:t>
                  </w:r>
                  <w:r>
                    <w:rPr>
                      <w:rFonts w:ascii="Calibri" w:hAnsi="Calibri"/>
                      <w:color w:val="585858"/>
                      <w:w w:val="99"/>
                      <w:sz w:val="18"/>
                    </w:rPr>
                    <w:t>an</w:t>
                  </w:r>
                  <w:r>
                    <w:rPr>
                      <w:rFonts w:ascii="Calibri" w:hAnsi="Calibri"/>
                      <w:color w:val="585858"/>
                      <w:spacing w:val="1"/>
                      <w:sz w:val="18"/>
                    </w:rPr>
                    <w:t> </w:t>
                  </w:r>
                  <w:r>
                    <w:rPr>
                      <w:rFonts w:ascii="Calibri" w:hAnsi="Calibri"/>
                      <w:color w:val="585858"/>
                      <w:sz w:val="18"/>
                    </w:rPr>
                    <w:t>Marc</w:t>
                  </w:r>
                  <w:r>
                    <w:rPr>
                      <w:rFonts w:ascii="Calibri" w:hAnsi="Calibri"/>
                      <w:color w:val="585858"/>
                      <w:spacing w:val="-2"/>
                      <w:sz w:val="18"/>
                    </w:rPr>
                    <w:t>o</w:t>
                  </w:r>
                  <w:r>
                    <w:rPr>
                      <w:rFonts w:ascii="Calibri" w:hAnsi="Calibri"/>
                      <w:color w:val="585858"/>
                      <w:spacing w:val="1"/>
                      <w:w w:val="99"/>
                      <w:sz w:val="18"/>
                    </w:rPr>
                    <w:t>s</w:t>
                  </w:r>
                  <w:r>
                    <w:rPr>
                      <w:rFonts w:ascii="Calibri" w:hAnsi="Calibri"/>
                      <w:color w:val="585858"/>
                      <w:w w:val="99"/>
                      <w:sz w:val="18"/>
                    </w:rPr>
                    <w:t>… </w:t>
                  </w:r>
                  <w:r>
                    <w:rPr>
                      <w:rFonts w:ascii="Calibri" w:hAnsi="Calibri"/>
                      <w:color w:val="585858"/>
                      <w:spacing w:val="-2"/>
                      <w:w w:val="99"/>
                      <w:sz w:val="18"/>
                    </w:rPr>
                    <w:t>S</w:t>
                  </w:r>
                  <w:r>
                    <w:rPr>
                      <w:rFonts w:ascii="Calibri" w:hAnsi="Calibri"/>
                      <w:color w:val="585858"/>
                      <w:w w:val="99"/>
                      <w:sz w:val="18"/>
                    </w:rPr>
                    <w:t>a</w:t>
                  </w:r>
                  <w:r>
                    <w:rPr>
                      <w:rFonts w:ascii="Calibri" w:hAnsi="Calibri"/>
                      <w:color w:val="585858"/>
                      <w:spacing w:val="1"/>
                      <w:w w:val="99"/>
                      <w:sz w:val="18"/>
                    </w:rPr>
                    <w:t>n</w:t>
                  </w:r>
                  <w:r>
                    <w:rPr>
                      <w:rFonts w:ascii="Calibri" w:hAnsi="Calibri"/>
                      <w:color w:val="585858"/>
                      <w:w w:val="100"/>
                      <w:sz w:val="18"/>
                    </w:rPr>
                    <w:t>ta </w:t>
                  </w:r>
                  <w:r>
                    <w:rPr>
                      <w:rFonts w:ascii="Calibri" w:hAnsi="Calibri"/>
                      <w:color w:val="585858"/>
                      <w:w w:val="99"/>
                      <w:sz w:val="18"/>
                    </w:rPr>
                    <w:t>Cr</w:t>
                  </w:r>
                  <w:r>
                    <w:rPr>
                      <w:rFonts w:ascii="Calibri" w:hAnsi="Calibri"/>
                      <w:color w:val="585858"/>
                      <w:spacing w:val="-2"/>
                      <w:w w:val="99"/>
                      <w:sz w:val="18"/>
                    </w:rPr>
                    <w:t>u</w:t>
                  </w:r>
                  <w:r>
                    <w:rPr>
                      <w:rFonts w:ascii="Calibri" w:hAnsi="Calibri"/>
                      <w:color w:val="585858"/>
                      <w:w w:val="99"/>
                      <w:sz w:val="18"/>
                    </w:rPr>
                    <w:t>z</w:t>
                  </w:r>
                  <w:r>
                    <w:rPr>
                      <w:rFonts w:ascii="Calibri" w:hAnsi="Calibri"/>
                      <w:color w:val="585858"/>
                      <w:w w:val="99"/>
                      <w:sz w:val="18"/>
                    </w:rPr>
                    <w:t>…</w:t>
                  </w:r>
                </w:p>
                <w:p>
                  <w:pPr>
                    <w:spacing w:line="249" w:lineRule="auto" w:before="0"/>
                    <w:ind w:left="522" w:right="142" w:firstLine="261"/>
                    <w:jc w:val="right"/>
                    <w:rPr>
                      <w:rFonts w:ascii="Calibri" w:hAnsi="Calibri"/>
                      <w:sz w:val="18"/>
                    </w:rPr>
                  </w:pPr>
                  <w:r>
                    <w:rPr>
                      <w:rFonts w:ascii="Calibri" w:hAnsi="Calibri"/>
                      <w:color w:val="585858"/>
                      <w:spacing w:val="-1"/>
                      <w:w w:val="100"/>
                      <w:sz w:val="18"/>
                    </w:rPr>
                    <w:t>Cali</w:t>
                  </w:r>
                  <w:r>
                    <w:rPr>
                      <w:rFonts w:ascii="Calibri" w:hAnsi="Calibri"/>
                      <w:color w:val="585858"/>
                      <w:w w:val="100"/>
                      <w:sz w:val="18"/>
                    </w:rPr>
                    <w:t>xt</w:t>
                  </w:r>
                  <w:r>
                    <w:rPr>
                      <w:rFonts w:ascii="Calibri" w:hAnsi="Calibri"/>
                      <w:color w:val="585858"/>
                      <w:spacing w:val="-1"/>
                      <w:w w:val="100"/>
                      <w:sz w:val="18"/>
                    </w:rPr>
                    <w:t>l</w:t>
                  </w:r>
                  <w:r>
                    <w:rPr>
                      <w:rFonts w:ascii="Calibri" w:hAnsi="Calibri"/>
                      <w:color w:val="585858"/>
                      <w:w w:val="100"/>
                      <w:sz w:val="18"/>
                    </w:rPr>
                    <w:t>a</w:t>
                  </w:r>
                  <w:r>
                    <w:rPr>
                      <w:rFonts w:ascii="Calibri" w:hAnsi="Calibri"/>
                      <w:color w:val="585858"/>
                      <w:spacing w:val="1"/>
                      <w:w w:val="100"/>
                      <w:sz w:val="18"/>
                    </w:rPr>
                    <w:t>h</w:t>
                  </w:r>
                  <w:r>
                    <w:rPr>
                      <w:rFonts w:ascii="Calibri" w:hAnsi="Calibri"/>
                      <w:color w:val="585858"/>
                      <w:spacing w:val="-2"/>
                      <w:w w:val="100"/>
                      <w:sz w:val="18"/>
                    </w:rPr>
                    <w:t>u</w:t>
                  </w:r>
                  <w:r>
                    <w:rPr>
                      <w:rFonts w:ascii="Calibri" w:hAnsi="Calibri"/>
                      <w:color w:val="585858"/>
                      <w:w w:val="100"/>
                      <w:sz w:val="18"/>
                    </w:rPr>
                    <w:t>aca </w:t>
                  </w:r>
                  <w:r>
                    <w:rPr>
                      <w:rFonts w:ascii="Calibri" w:hAnsi="Calibri"/>
                      <w:color w:val="585858"/>
                      <w:spacing w:val="-1"/>
                      <w:sz w:val="18"/>
                    </w:rPr>
                    <w:t>Cap</w:t>
                  </w:r>
                  <w:r>
                    <w:rPr>
                      <w:rFonts w:ascii="Calibri" w:hAnsi="Calibri"/>
                      <w:color w:val="585858"/>
                      <w:spacing w:val="1"/>
                      <w:sz w:val="18"/>
                    </w:rPr>
                    <w:t>u</w:t>
                  </w:r>
                  <w:r>
                    <w:rPr>
                      <w:rFonts w:ascii="Calibri" w:hAnsi="Calibri"/>
                      <w:color w:val="585858"/>
                      <w:spacing w:val="-1"/>
                      <w:sz w:val="18"/>
                    </w:rPr>
                    <w:t>l</w:t>
                  </w:r>
                  <w:r>
                    <w:rPr>
                      <w:rFonts w:ascii="Calibri" w:hAnsi="Calibri"/>
                      <w:color w:val="585858"/>
                      <w:sz w:val="18"/>
                    </w:rPr>
                    <w:t>t</w:t>
                  </w:r>
                  <w:r>
                    <w:rPr>
                      <w:rFonts w:ascii="Calibri" w:hAnsi="Calibri"/>
                      <w:color w:val="585858"/>
                      <w:spacing w:val="-1"/>
                      <w:sz w:val="18"/>
                    </w:rPr>
                    <w:t>i</w:t>
                  </w:r>
                  <w:r>
                    <w:rPr>
                      <w:rFonts w:ascii="Calibri" w:hAnsi="Calibri"/>
                      <w:color w:val="585858"/>
                      <w:sz w:val="18"/>
                    </w:rPr>
                    <w:t>t</w:t>
                  </w:r>
                  <w:r>
                    <w:rPr>
                      <w:rFonts w:ascii="Calibri" w:hAnsi="Calibri"/>
                      <w:color w:val="585858"/>
                      <w:spacing w:val="1"/>
                      <w:sz w:val="18"/>
                    </w:rPr>
                    <w:t>l</w:t>
                  </w:r>
                  <w:r>
                    <w:rPr>
                      <w:rFonts w:ascii="Calibri" w:hAnsi="Calibri"/>
                      <w:color w:val="585858"/>
                      <w:sz w:val="18"/>
                    </w:rPr>
                    <w:t>án </w:t>
                  </w:r>
                  <w:r>
                    <w:rPr>
                      <w:rFonts w:ascii="Calibri" w:hAnsi="Calibri"/>
                      <w:color w:val="585858"/>
                      <w:spacing w:val="-1"/>
                      <w:sz w:val="18"/>
                    </w:rPr>
                    <w:t>C</w:t>
                  </w:r>
                  <w:r>
                    <w:rPr>
                      <w:rFonts w:ascii="Calibri" w:hAnsi="Calibri"/>
                      <w:color w:val="585858"/>
                      <w:spacing w:val="1"/>
                      <w:sz w:val="18"/>
                    </w:rPr>
                    <w:t>o</w:t>
                  </w:r>
                  <w:r>
                    <w:rPr>
                      <w:rFonts w:ascii="Calibri" w:hAnsi="Calibri"/>
                      <w:color w:val="585858"/>
                      <w:spacing w:val="-1"/>
                      <w:sz w:val="18"/>
                    </w:rPr>
                    <w:t>l</w:t>
                  </w:r>
                  <w:r>
                    <w:rPr>
                      <w:rFonts w:ascii="Calibri" w:hAnsi="Calibri"/>
                      <w:color w:val="585858"/>
                      <w:spacing w:val="-2"/>
                      <w:sz w:val="18"/>
                    </w:rPr>
                    <w:t>o</w:t>
                  </w:r>
                  <w:r>
                    <w:rPr>
                      <w:rFonts w:ascii="Calibri" w:hAnsi="Calibri"/>
                      <w:color w:val="585858"/>
                      <w:spacing w:val="1"/>
                      <w:sz w:val="18"/>
                    </w:rPr>
                    <w:t>n</w:t>
                  </w:r>
                  <w:r>
                    <w:rPr>
                      <w:rFonts w:ascii="Calibri" w:hAnsi="Calibri"/>
                      <w:color w:val="585858"/>
                      <w:spacing w:val="-1"/>
                      <w:sz w:val="18"/>
                    </w:rPr>
                    <w:t>i</w:t>
                  </w:r>
                  <w:r>
                    <w:rPr>
                      <w:rFonts w:ascii="Calibri" w:hAnsi="Calibri"/>
                      <w:color w:val="585858"/>
                      <w:sz w:val="18"/>
                    </w:rPr>
                    <w:t>a 8 </w:t>
                  </w:r>
                  <w:r>
                    <w:rPr>
                      <w:rFonts w:ascii="Calibri" w:hAnsi="Calibri"/>
                      <w:color w:val="585858"/>
                      <w:spacing w:val="-1"/>
                      <w:sz w:val="18"/>
                    </w:rPr>
                    <w:t>Ce</w:t>
                  </w:r>
                  <w:r>
                    <w:rPr>
                      <w:rFonts w:ascii="Calibri" w:hAnsi="Calibri"/>
                      <w:color w:val="585858"/>
                      <w:sz w:val="18"/>
                    </w:rPr>
                    <w:t>dr</w:t>
                  </w:r>
                  <w:r>
                    <w:rPr>
                      <w:rFonts w:ascii="Calibri" w:hAnsi="Calibri"/>
                      <w:color w:val="585858"/>
                      <w:spacing w:val="-2"/>
                      <w:sz w:val="18"/>
                    </w:rPr>
                    <w:t>o</w:t>
                  </w:r>
                  <w:r>
                    <w:rPr>
                      <w:rFonts w:ascii="Calibri" w:hAnsi="Calibri"/>
                      <w:color w:val="585858"/>
                      <w:sz w:val="18"/>
                    </w:rPr>
                    <w:t>s</w:t>
                  </w:r>
                </w:p>
                <w:p>
                  <w:pPr>
                    <w:spacing w:line="249" w:lineRule="auto" w:before="0"/>
                    <w:ind w:left="46" w:right="0" w:firstLine="648"/>
                    <w:jc w:val="left"/>
                    <w:rPr>
                      <w:rFonts w:ascii="Calibri" w:hAnsi="Calibri"/>
                      <w:sz w:val="18"/>
                    </w:rPr>
                  </w:pPr>
                  <w:r>
                    <w:rPr>
                      <w:rFonts w:ascii="Calibri" w:hAnsi="Calibri"/>
                      <w:color w:val="585858"/>
                      <w:w w:val="99"/>
                      <w:sz w:val="18"/>
                    </w:rPr>
                    <w:t>C</w:t>
                  </w:r>
                  <w:r>
                    <w:rPr>
                      <w:rFonts w:ascii="Calibri" w:hAnsi="Calibri"/>
                      <w:color w:val="585858"/>
                      <w:spacing w:val="1"/>
                      <w:w w:val="99"/>
                      <w:sz w:val="18"/>
                    </w:rPr>
                    <w:t>o</w:t>
                  </w:r>
                  <w:r>
                    <w:rPr>
                      <w:rFonts w:ascii="Calibri" w:hAnsi="Calibri"/>
                      <w:color w:val="585858"/>
                      <w:spacing w:val="-1"/>
                      <w:w w:val="100"/>
                      <w:sz w:val="18"/>
                    </w:rPr>
                    <w:t>l</w:t>
                  </w:r>
                  <w:r>
                    <w:rPr>
                      <w:rFonts w:ascii="Calibri" w:hAnsi="Calibri"/>
                      <w:color w:val="585858"/>
                      <w:spacing w:val="-2"/>
                      <w:w w:val="99"/>
                      <w:sz w:val="18"/>
                    </w:rPr>
                    <w:t>o</w:t>
                  </w:r>
                  <w:r>
                    <w:rPr>
                      <w:rFonts w:ascii="Calibri" w:hAnsi="Calibri"/>
                      <w:color w:val="585858"/>
                      <w:spacing w:val="1"/>
                      <w:w w:val="99"/>
                      <w:sz w:val="18"/>
                    </w:rPr>
                    <w:t>n</w:t>
                  </w:r>
                  <w:r>
                    <w:rPr>
                      <w:rFonts w:ascii="Calibri" w:hAnsi="Calibri"/>
                      <w:color w:val="585858"/>
                      <w:spacing w:val="-1"/>
                      <w:w w:val="100"/>
                      <w:sz w:val="18"/>
                    </w:rPr>
                    <w:t>i</w:t>
                  </w:r>
                  <w:r>
                    <w:rPr>
                      <w:rFonts w:ascii="Calibri" w:hAnsi="Calibri"/>
                      <w:color w:val="585858"/>
                      <w:w w:val="99"/>
                      <w:sz w:val="18"/>
                    </w:rPr>
                    <w:t>a </w:t>
                  </w:r>
                  <w:r>
                    <w:rPr>
                      <w:rFonts w:ascii="Calibri" w:hAnsi="Calibri"/>
                      <w:color w:val="585858"/>
                      <w:spacing w:val="-1"/>
                      <w:w w:val="100"/>
                      <w:sz w:val="18"/>
                    </w:rPr>
                    <w:t>N</w:t>
                  </w:r>
                  <w:r>
                    <w:rPr>
                      <w:rFonts w:ascii="Calibri" w:hAnsi="Calibri"/>
                      <w:color w:val="585858"/>
                      <w:spacing w:val="1"/>
                      <w:w w:val="99"/>
                      <w:sz w:val="18"/>
                    </w:rPr>
                    <w:t>u</w:t>
                  </w:r>
                  <w:r>
                    <w:rPr>
                      <w:rFonts w:ascii="Calibri" w:hAnsi="Calibri"/>
                      <w:color w:val="585858"/>
                      <w:spacing w:val="-1"/>
                      <w:w w:val="100"/>
                      <w:sz w:val="18"/>
                    </w:rPr>
                    <w:t>e</w:t>
                  </w:r>
                  <w:r>
                    <w:rPr>
                      <w:rFonts w:ascii="Calibri" w:hAnsi="Calibri"/>
                      <w:color w:val="585858"/>
                      <w:w w:val="99"/>
                      <w:sz w:val="18"/>
                    </w:rPr>
                    <w:t>va… El</w:t>
                  </w:r>
                  <w:r>
                    <w:rPr>
                      <w:rFonts w:ascii="Calibri" w:hAnsi="Calibri"/>
                      <w:color w:val="585858"/>
                      <w:spacing w:val="-1"/>
                      <w:w w:val="99"/>
                      <w:sz w:val="18"/>
                    </w:rPr>
                    <w:t> Car</w:t>
                  </w:r>
                  <w:r>
                    <w:rPr>
                      <w:rFonts w:ascii="Calibri" w:hAnsi="Calibri"/>
                      <w:color w:val="585858"/>
                      <w:w w:val="99"/>
                      <w:sz w:val="18"/>
                    </w:rPr>
                    <w:t>m</w:t>
                  </w:r>
                  <w:r>
                    <w:rPr>
                      <w:rFonts w:ascii="Calibri" w:hAnsi="Calibri"/>
                      <w:color w:val="585858"/>
                      <w:spacing w:val="-1"/>
                      <w:w w:val="99"/>
                      <w:sz w:val="18"/>
                    </w:rPr>
                    <w:t>e</w:t>
                  </w:r>
                  <w:r>
                    <w:rPr>
                      <w:rFonts w:ascii="Calibri" w:hAnsi="Calibri"/>
                      <w:color w:val="585858"/>
                      <w:w w:val="99"/>
                      <w:sz w:val="18"/>
                    </w:rPr>
                    <w:t>n</w:t>
                  </w:r>
                  <w:r>
                    <w:rPr>
                      <w:rFonts w:ascii="Calibri" w:hAnsi="Calibri"/>
                      <w:color w:val="585858"/>
                      <w:spacing w:val="-1"/>
                      <w:w w:val="99"/>
                      <w:sz w:val="18"/>
                    </w:rPr>
                    <w:t> </w:t>
                  </w:r>
                  <w:r>
                    <w:rPr>
                      <w:rFonts w:ascii="Calibri" w:hAnsi="Calibri"/>
                      <w:color w:val="585858"/>
                      <w:spacing w:val="1"/>
                      <w:w w:val="99"/>
                      <w:sz w:val="18"/>
                    </w:rPr>
                    <w:t>T</w:t>
                  </w:r>
                  <w:r>
                    <w:rPr>
                      <w:rFonts w:ascii="Calibri" w:hAnsi="Calibri"/>
                      <w:color w:val="585858"/>
                      <w:w w:val="99"/>
                      <w:sz w:val="18"/>
                    </w:rPr>
                    <w:t>oto</w:t>
                  </w:r>
                  <w:r>
                    <w:rPr>
                      <w:rFonts w:ascii="Calibri" w:hAnsi="Calibri"/>
                      <w:color w:val="585858"/>
                      <w:spacing w:val="-1"/>
                      <w:w w:val="99"/>
                      <w:sz w:val="18"/>
                    </w:rPr>
                    <w:t>l</w:t>
                  </w:r>
                  <w:r>
                    <w:rPr>
                      <w:rFonts w:ascii="Calibri" w:hAnsi="Calibri"/>
                      <w:color w:val="585858"/>
                      <w:w w:val="99"/>
                      <w:sz w:val="18"/>
                    </w:rPr>
                    <w:t>t</w:t>
                  </w:r>
                  <w:r>
                    <w:rPr>
                      <w:rFonts w:ascii="Calibri" w:hAnsi="Calibri"/>
                      <w:color w:val="585858"/>
                      <w:spacing w:val="-1"/>
                      <w:w w:val="99"/>
                      <w:sz w:val="18"/>
                    </w:rPr>
                    <w:t>epe</w:t>
                  </w:r>
                  <w:r>
                    <w:rPr>
                      <w:rFonts w:ascii="Calibri" w:hAnsi="Calibri"/>
                      <w:color w:val="585858"/>
                      <w:spacing w:val="1"/>
                      <w:w w:val="99"/>
                      <w:sz w:val="18"/>
                    </w:rPr>
                    <w:t>c</w:t>
                  </w:r>
                  <w:r>
                    <w:rPr>
                      <w:rFonts w:ascii="Calibri" w:hAnsi="Calibri"/>
                      <w:color w:val="585858"/>
                      <w:w w:val="99"/>
                      <w:sz w:val="18"/>
                    </w:rPr>
                    <w:t>… </w:t>
                  </w:r>
                  <w:r>
                    <w:rPr>
                      <w:rFonts w:ascii="Calibri" w:hAnsi="Calibri"/>
                      <w:color w:val="585858"/>
                      <w:sz w:val="18"/>
                    </w:rPr>
                    <w:t>M</w:t>
                  </w:r>
                  <w:r>
                    <w:rPr>
                      <w:rFonts w:ascii="Calibri" w:hAnsi="Calibri"/>
                      <w:color w:val="585858"/>
                      <w:spacing w:val="-1"/>
                      <w:sz w:val="18"/>
                    </w:rPr>
                    <w:t>e</w:t>
                  </w:r>
                  <w:r>
                    <w:rPr>
                      <w:rFonts w:ascii="Calibri" w:hAnsi="Calibri"/>
                      <w:color w:val="585858"/>
                      <w:spacing w:val="1"/>
                      <w:sz w:val="18"/>
                    </w:rPr>
                    <w:t>r</w:t>
                  </w:r>
                  <w:r>
                    <w:rPr>
                      <w:rFonts w:ascii="Calibri" w:hAnsi="Calibri"/>
                      <w:color w:val="585858"/>
                      <w:spacing w:val="-2"/>
                      <w:sz w:val="18"/>
                    </w:rPr>
                    <w:t>c</w:t>
                  </w:r>
                  <w:r>
                    <w:rPr>
                      <w:rFonts w:ascii="Calibri" w:hAnsi="Calibri"/>
                      <w:color w:val="585858"/>
                      <w:sz w:val="18"/>
                    </w:rPr>
                    <w:t>a</w:t>
                  </w:r>
                  <w:r>
                    <w:rPr>
                      <w:rFonts w:ascii="Calibri" w:hAnsi="Calibri"/>
                      <w:color w:val="585858"/>
                      <w:spacing w:val="1"/>
                      <w:sz w:val="18"/>
                    </w:rPr>
                    <w:t>d</w:t>
                  </w:r>
                  <w:r>
                    <w:rPr>
                      <w:rFonts w:ascii="Calibri" w:hAnsi="Calibri"/>
                      <w:color w:val="585858"/>
                      <w:sz w:val="18"/>
                    </w:rPr>
                    <w:t>o</w:t>
                  </w:r>
                  <w:r>
                    <w:rPr>
                      <w:rFonts w:ascii="Calibri" w:hAnsi="Calibri"/>
                      <w:color w:val="585858"/>
                      <w:spacing w:val="-2"/>
                      <w:sz w:val="18"/>
                    </w:rPr>
                    <w:t> </w:t>
                  </w:r>
                  <w:r>
                    <w:rPr>
                      <w:rFonts w:ascii="Calibri" w:hAnsi="Calibri"/>
                      <w:color w:val="585858"/>
                      <w:sz w:val="18"/>
                    </w:rPr>
                    <w:t>B</w:t>
                  </w:r>
                  <w:r>
                    <w:rPr>
                      <w:rFonts w:ascii="Calibri" w:hAnsi="Calibri"/>
                      <w:color w:val="585858"/>
                      <w:spacing w:val="-1"/>
                      <w:sz w:val="18"/>
                    </w:rPr>
                    <w:t>e</w:t>
                  </w:r>
                  <w:r>
                    <w:rPr>
                      <w:rFonts w:ascii="Calibri" w:hAnsi="Calibri"/>
                      <w:color w:val="585858"/>
                      <w:spacing w:val="1"/>
                      <w:sz w:val="18"/>
                    </w:rPr>
                    <w:t>n</w:t>
                  </w:r>
                  <w:r>
                    <w:rPr>
                      <w:rFonts w:ascii="Calibri" w:hAnsi="Calibri"/>
                      <w:color w:val="585858"/>
                      <w:spacing w:val="-1"/>
                      <w:sz w:val="18"/>
                    </w:rPr>
                    <w:t>i</w:t>
                  </w:r>
                  <w:r>
                    <w:rPr>
                      <w:rFonts w:ascii="Calibri" w:hAnsi="Calibri"/>
                      <w:color w:val="585858"/>
                      <w:sz w:val="18"/>
                    </w:rPr>
                    <w:t>to </w:t>
                  </w:r>
                  <w:r>
                    <w:rPr>
                      <w:rFonts w:ascii="Calibri" w:hAnsi="Calibri"/>
                      <w:color w:val="585858"/>
                      <w:spacing w:val="-3"/>
                      <w:sz w:val="18"/>
                    </w:rPr>
                    <w:t>J</w:t>
                  </w:r>
                  <w:r>
                    <w:rPr>
                      <w:rFonts w:ascii="Calibri" w:hAnsi="Calibri"/>
                      <w:color w:val="585858"/>
                      <w:spacing w:val="1"/>
                      <w:sz w:val="18"/>
                    </w:rPr>
                    <w:t>u</w:t>
                  </w:r>
                  <w:r>
                    <w:rPr>
                      <w:rFonts w:ascii="Calibri" w:hAnsi="Calibri"/>
                      <w:color w:val="585858"/>
                      <w:sz w:val="18"/>
                    </w:rPr>
                    <w:t>ar</w:t>
                  </w:r>
                  <w:r>
                    <w:rPr>
                      <w:rFonts w:ascii="Calibri" w:hAnsi="Calibri"/>
                      <w:color w:val="585858"/>
                      <w:spacing w:val="-1"/>
                      <w:sz w:val="18"/>
                    </w:rPr>
                    <w:t>e</w:t>
                  </w:r>
                  <w:r>
                    <w:rPr>
                      <w:rFonts w:ascii="Calibri" w:hAnsi="Calibri"/>
                      <w:color w:val="585858"/>
                      <w:sz w:val="18"/>
                    </w:rPr>
                    <w:t>z </w:t>
                  </w:r>
                  <w:r>
                    <w:rPr>
                      <w:rFonts w:ascii="Calibri" w:hAnsi="Calibri"/>
                      <w:color w:val="585858"/>
                      <w:spacing w:val="-2"/>
                      <w:sz w:val="18"/>
                    </w:rPr>
                    <w:t>S</w:t>
                  </w:r>
                  <w:r>
                    <w:rPr>
                      <w:rFonts w:ascii="Calibri" w:hAnsi="Calibri"/>
                      <w:color w:val="585858"/>
                      <w:sz w:val="18"/>
                    </w:rPr>
                    <w:t>an</w:t>
                  </w:r>
                  <w:r>
                    <w:rPr>
                      <w:rFonts w:ascii="Calibri" w:hAnsi="Calibri"/>
                      <w:color w:val="585858"/>
                      <w:spacing w:val="1"/>
                      <w:sz w:val="18"/>
                    </w:rPr>
                    <w:t> </w:t>
                  </w:r>
                  <w:r>
                    <w:rPr>
                      <w:rFonts w:ascii="Calibri" w:hAnsi="Calibri"/>
                      <w:color w:val="585858"/>
                      <w:sz w:val="18"/>
                    </w:rPr>
                    <w:t>Mat</w:t>
                  </w:r>
                  <w:r>
                    <w:rPr>
                      <w:rFonts w:ascii="Calibri" w:hAnsi="Calibri"/>
                      <w:color w:val="585858"/>
                      <w:spacing w:val="-1"/>
                      <w:sz w:val="18"/>
                    </w:rPr>
                    <w:t>e</w:t>
                  </w:r>
                  <w:r>
                    <w:rPr>
                      <w:rFonts w:ascii="Calibri" w:hAnsi="Calibri"/>
                      <w:color w:val="585858"/>
                      <w:sz w:val="18"/>
                    </w:rPr>
                    <w:t>o </w:t>
                  </w:r>
                  <w:r>
                    <w:rPr>
                      <w:rFonts w:ascii="Calibri" w:hAnsi="Calibri"/>
                      <w:color w:val="585858"/>
                      <w:spacing w:val="-2"/>
                      <w:sz w:val="18"/>
                    </w:rPr>
                    <w:t>O</w:t>
                  </w:r>
                  <w:r>
                    <w:rPr>
                      <w:rFonts w:ascii="Calibri" w:hAnsi="Calibri"/>
                      <w:color w:val="585858"/>
                      <w:spacing w:val="2"/>
                      <w:sz w:val="18"/>
                    </w:rPr>
                    <w:t>t</w:t>
                  </w:r>
                  <w:r>
                    <w:rPr>
                      <w:rFonts w:ascii="Calibri" w:hAnsi="Calibri"/>
                      <w:color w:val="585858"/>
                      <w:spacing w:val="-2"/>
                      <w:sz w:val="18"/>
                    </w:rPr>
                    <w:t>z</w:t>
                  </w:r>
                  <w:r>
                    <w:rPr>
                      <w:rFonts w:ascii="Calibri" w:hAnsi="Calibri"/>
                      <w:color w:val="585858"/>
                      <w:sz w:val="18"/>
                    </w:rPr>
                    <w:t>acat</w:t>
                  </w:r>
                  <w:r>
                    <w:rPr>
                      <w:rFonts w:ascii="Calibri" w:hAnsi="Calibri"/>
                      <w:color w:val="585858"/>
                      <w:spacing w:val="-1"/>
                      <w:sz w:val="18"/>
                    </w:rPr>
                    <w:t>ip</w:t>
                  </w:r>
                  <w:r>
                    <w:rPr>
                      <w:rFonts w:ascii="Calibri" w:hAnsi="Calibri"/>
                      <w:color w:val="585858"/>
                      <w:sz w:val="18"/>
                    </w:rPr>
                    <w:t>an</w:t>
                  </w:r>
                </w:p>
                <w:p>
                  <w:pPr>
                    <w:spacing w:line="249" w:lineRule="auto" w:before="0"/>
                    <w:ind w:left="40" w:right="142" w:firstLine="144"/>
                    <w:jc w:val="right"/>
                    <w:rPr>
                      <w:rFonts w:ascii="Calibri" w:hAnsi="Calibri"/>
                      <w:sz w:val="18"/>
                    </w:rPr>
                  </w:pPr>
                  <w:r>
                    <w:rPr>
                      <w:rFonts w:ascii="Calibri" w:hAnsi="Calibri"/>
                      <w:color w:val="585858"/>
                      <w:spacing w:val="-2"/>
                      <w:sz w:val="18"/>
                    </w:rPr>
                    <w:t>S</w:t>
                  </w:r>
                  <w:r>
                    <w:rPr>
                      <w:rFonts w:ascii="Calibri" w:hAnsi="Calibri"/>
                      <w:color w:val="585858"/>
                      <w:sz w:val="18"/>
                    </w:rPr>
                    <w:t>an</w:t>
                  </w:r>
                  <w:r>
                    <w:rPr>
                      <w:rFonts w:ascii="Calibri" w:hAnsi="Calibri"/>
                      <w:color w:val="585858"/>
                      <w:spacing w:val="1"/>
                      <w:sz w:val="18"/>
                    </w:rPr>
                    <w:t> </w:t>
                  </w:r>
                  <w:r>
                    <w:rPr>
                      <w:rFonts w:ascii="Calibri" w:hAnsi="Calibri"/>
                      <w:color w:val="585858"/>
                      <w:sz w:val="18"/>
                    </w:rPr>
                    <w:t>Mat</w:t>
                  </w:r>
                  <w:r>
                    <w:rPr>
                      <w:rFonts w:ascii="Calibri" w:hAnsi="Calibri"/>
                      <w:color w:val="585858"/>
                      <w:spacing w:val="-1"/>
                      <w:sz w:val="18"/>
                    </w:rPr>
                    <w:t>e</w:t>
                  </w:r>
                  <w:r>
                    <w:rPr>
                      <w:rFonts w:ascii="Calibri" w:hAnsi="Calibri"/>
                      <w:color w:val="585858"/>
                      <w:sz w:val="18"/>
                    </w:rPr>
                    <w:t>o </w:t>
                  </w:r>
                  <w:r>
                    <w:rPr>
                      <w:rFonts w:ascii="Calibri" w:hAnsi="Calibri"/>
                      <w:color w:val="585858"/>
                      <w:spacing w:val="-2"/>
                      <w:sz w:val="18"/>
                    </w:rPr>
                    <w:t>O</w:t>
                  </w:r>
                  <w:r>
                    <w:rPr>
                      <w:rFonts w:ascii="Calibri" w:hAnsi="Calibri"/>
                      <w:color w:val="585858"/>
                      <w:spacing w:val="1"/>
                      <w:sz w:val="18"/>
                    </w:rPr>
                    <w:t>x</w:t>
                  </w:r>
                  <w:r>
                    <w:rPr>
                      <w:rFonts w:ascii="Calibri" w:hAnsi="Calibri"/>
                      <w:color w:val="585858"/>
                      <w:sz w:val="18"/>
                    </w:rPr>
                    <w:t>tot</w:t>
                  </w:r>
                  <w:r>
                    <w:rPr>
                      <w:rFonts w:ascii="Calibri" w:hAnsi="Calibri"/>
                      <w:color w:val="585858"/>
                      <w:spacing w:val="-1"/>
                      <w:sz w:val="18"/>
                    </w:rPr>
                    <w:t>i</w:t>
                  </w:r>
                  <w:r>
                    <w:rPr>
                      <w:rFonts w:ascii="Calibri" w:hAnsi="Calibri"/>
                      <w:color w:val="585858"/>
                      <w:sz w:val="18"/>
                    </w:rPr>
                    <w:t>t</w:t>
                  </w:r>
                  <w:r>
                    <w:rPr>
                      <w:rFonts w:ascii="Calibri" w:hAnsi="Calibri"/>
                      <w:color w:val="585858"/>
                      <w:spacing w:val="-1"/>
                      <w:sz w:val="18"/>
                    </w:rPr>
                    <w:t>l</w:t>
                  </w:r>
                  <w:r>
                    <w:rPr>
                      <w:rFonts w:ascii="Calibri" w:hAnsi="Calibri"/>
                      <w:color w:val="585858"/>
                      <w:sz w:val="18"/>
                    </w:rPr>
                    <w:t>án </w:t>
                  </w:r>
                  <w:r>
                    <w:rPr>
                      <w:rFonts w:ascii="Calibri" w:hAnsi="Calibri"/>
                      <w:color w:val="585858"/>
                      <w:spacing w:val="-2"/>
                      <w:sz w:val="18"/>
                    </w:rPr>
                    <w:t>S</w:t>
                  </w:r>
                  <w:r>
                    <w:rPr>
                      <w:rFonts w:ascii="Calibri" w:hAnsi="Calibri"/>
                      <w:color w:val="585858"/>
                      <w:sz w:val="18"/>
                    </w:rPr>
                    <w:t>a</w:t>
                  </w:r>
                  <w:r>
                    <w:rPr>
                      <w:rFonts w:ascii="Calibri" w:hAnsi="Calibri"/>
                      <w:color w:val="585858"/>
                      <w:spacing w:val="1"/>
                      <w:sz w:val="18"/>
                    </w:rPr>
                    <w:t>n</w:t>
                  </w:r>
                  <w:r>
                    <w:rPr>
                      <w:rFonts w:ascii="Calibri" w:hAnsi="Calibri"/>
                      <w:color w:val="585858"/>
                      <w:sz w:val="18"/>
                    </w:rPr>
                    <w:t>ta</w:t>
                  </w:r>
                  <w:r>
                    <w:rPr>
                      <w:rFonts w:ascii="Calibri" w:hAnsi="Calibri"/>
                      <w:color w:val="585858"/>
                      <w:spacing w:val="-1"/>
                      <w:sz w:val="18"/>
                    </w:rPr>
                    <w:t> A</w:t>
                  </w:r>
                  <w:r>
                    <w:rPr>
                      <w:rFonts w:ascii="Calibri" w:hAnsi="Calibri"/>
                      <w:color w:val="585858"/>
                      <w:spacing w:val="1"/>
                      <w:sz w:val="18"/>
                    </w:rPr>
                    <w:t>n</w:t>
                  </w:r>
                  <w:r>
                    <w:rPr>
                      <w:rFonts w:ascii="Calibri" w:hAnsi="Calibri"/>
                      <w:color w:val="585858"/>
                      <w:sz w:val="18"/>
                    </w:rPr>
                    <w:t>a </w:t>
                  </w:r>
                  <w:r>
                    <w:rPr>
                      <w:rFonts w:ascii="Calibri" w:hAnsi="Calibri"/>
                      <w:color w:val="585858"/>
                      <w:spacing w:val="-1"/>
                      <w:sz w:val="18"/>
                    </w:rPr>
                    <w:t>Tl</w:t>
                  </w:r>
                  <w:r>
                    <w:rPr>
                      <w:rFonts w:ascii="Calibri" w:hAnsi="Calibri"/>
                      <w:color w:val="585858"/>
                      <w:sz w:val="18"/>
                    </w:rPr>
                    <w:t>a</w:t>
                  </w:r>
                  <w:r>
                    <w:rPr>
                      <w:rFonts w:ascii="Calibri" w:hAnsi="Calibri"/>
                      <w:color w:val="585858"/>
                      <w:spacing w:val="1"/>
                      <w:sz w:val="18"/>
                    </w:rPr>
                    <w:t>p</w:t>
                  </w:r>
                  <w:r>
                    <w:rPr>
                      <w:rFonts w:ascii="Calibri" w:hAnsi="Calibri"/>
                      <w:color w:val="585858"/>
                      <w:sz w:val="18"/>
                    </w:rPr>
                    <w:t>al</w:t>
                  </w:r>
                  <w:r>
                    <w:rPr>
                      <w:rFonts w:ascii="Calibri" w:hAnsi="Calibri"/>
                      <w:color w:val="585858"/>
                      <w:spacing w:val="-1"/>
                      <w:sz w:val="18"/>
                    </w:rPr>
                    <w:t>ti</w:t>
                  </w:r>
                  <w:r>
                    <w:rPr>
                      <w:rFonts w:ascii="Calibri" w:hAnsi="Calibri"/>
                      <w:color w:val="585858"/>
                      <w:sz w:val="18"/>
                    </w:rPr>
                    <w:t>t</w:t>
                  </w:r>
                  <w:r>
                    <w:rPr>
                      <w:rFonts w:ascii="Calibri" w:hAnsi="Calibri"/>
                      <w:color w:val="585858"/>
                      <w:spacing w:val="-1"/>
                      <w:sz w:val="18"/>
                    </w:rPr>
                    <w:t>l</w:t>
                  </w:r>
                  <w:r>
                    <w:rPr>
                      <w:rFonts w:ascii="Calibri" w:hAnsi="Calibri"/>
                      <w:color w:val="585858"/>
                      <w:sz w:val="18"/>
                    </w:rPr>
                    <w:t>án </w:t>
                  </w:r>
                  <w:r>
                    <w:rPr>
                      <w:rFonts w:ascii="Calibri" w:hAnsi="Calibri"/>
                      <w:color w:val="585858"/>
                      <w:spacing w:val="-2"/>
                      <w:sz w:val="18"/>
                    </w:rPr>
                    <w:t>S</w:t>
                  </w:r>
                  <w:r>
                    <w:rPr>
                      <w:rFonts w:ascii="Calibri" w:hAnsi="Calibri"/>
                      <w:color w:val="585858"/>
                      <w:sz w:val="18"/>
                    </w:rPr>
                    <w:t>a</w:t>
                  </w:r>
                  <w:r>
                    <w:rPr>
                      <w:rFonts w:ascii="Calibri" w:hAnsi="Calibri"/>
                      <w:color w:val="585858"/>
                      <w:spacing w:val="1"/>
                      <w:sz w:val="18"/>
                    </w:rPr>
                    <w:t>n</w:t>
                  </w:r>
                  <w:r>
                    <w:rPr>
                      <w:rFonts w:ascii="Calibri" w:hAnsi="Calibri"/>
                      <w:color w:val="585858"/>
                      <w:sz w:val="18"/>
                    </w:rPr>
                    <w:t>ta</w:t>
                  </w:r>
                  <w:r>
                    <w:rPr>
                      <w:rFonts w:ascii="Calibri" w:hAnsi="Calibri"/>
                      <w:color w:val="585858"/>
                      <w:spacing w:val="-1"/>
                      <w:sz w:val="18"/>
                    </w:rPr>
                    <w:t> </w:t>
                  </w:r>
                  <w:r>
                    <w:rPr>
                      <w:rFonts w:ascii="Calibri" w:hAnsi="Calibri"/>
                      <w:color w:val="585858"/>
                      <w:sz w:val="18"/>
                    </w:rPr>
                    <w:t>Ma</w:t>
                  </w:r>
                  <w:r>
                    <w:rPr>
                      <w:rFonts w:ascii="Calibri" w:hAnsi="Calibri"/>
                      <w:color w:val="585858"/>
                      <w:spacing w:val="-1"/>
                      <w:sz w:val="18"/>
                    </w:rPr>
                    <w:t>rí</w:t>
                  </w:r>
                  <w:r>
                    <w:rPr>
                      <w:rFonts w:ascii="Calibri" w:hAnsi="Calibri"/>
                      <w:color w:val="585858"/>
                      <w:sz w:val="18"/>
                    </w:rPr>
                    <w:t>a </w:t>
                  </w:r>
                  <w:r>
                    <w:rPr>
                      <w:rFonts w:ascii="Calibri" w:hAnsi="Calibri"/>
                      <w:color w:val="585858"/>
                      <w:spacing w:val="1"/>
                      <w:sz w:val="18"/>
                    </w:rPr>
                    <w:t>T</w:t>
                  </w:r>
                  <w:r>
                    <w:rPr>
                      <w:rFonts w:ascii="Calibri" w:hAnsi="Calibri"/>
                      <w:color w:val="585858"/>
                      <w:spacing w:val="-2"/>
                      <w:sz w:val="18"/>
                    </w:rPr>
                    <w:t>o</w:t>
                  </w:r>
                  <w:r>
                    <w:rPr>
                      <w:rFonts w:ascii="Calibri" w:hAnsi="Calibri"/>
                      <w:color w:val="585858"/>
                      <w:sz w:val="18"/>
                    </w:rPr>
                    <w:t>to</w:t>
                  </w:r>
                  <w:r>
                    <w:rPr>
                      <w:rFonts w:ascii="Calibri" w:hAnsi="Calibri"/>
                      <w:color w:val="585858"/>
                      <w:spacing w:val="-1"/>
                      <w:sz w:val="18"/>
                    </w:rPr>
                    <w:t>l</w:t>
                  </w:r>
                  <w:r>
                    <w:rPr>
                      <w:rFonts w:ascii="Calibri" w:hAnsi="Calibri"/>
                      <w:color w:val="585858"/>
                      <w:sz w:val="18"/>
                    </w:rPr>
                    <w:t>t</w:t>
                  </w:r>
                  <w:r>
                    <w:rPr>
                      <w:rFonts w:ascii="Calibri" w:hAnsi="Calibri"/>
                      <w:color w:val="585858"/>
                      <w:spacing w:val="1"/>
                      <w:sz w:val="18"/>
                    </w:rPr>
                    <w:t>e</w:t>
                  </w:r>
                  <w:r>
                    <w:rPr>
                      <w:rFonts w:ascii="Calibri" w:hAnsi="Calibri"/>
                      <w:color w:val="585858"/>
                      <w:spacing w:val="-1"/>
                      <w:sz w:val="18"/>
                    </w:rPr>
                    <w:t>pe</w:t>
                  </w:r>
                  <w:r>
                    <w:rPr>
                      <w:rFonts w:ascii="Calibri" w:hAnsi="Calibri"/>
                      <w:color w:val="585858"/>
                      <w:sz w:val="18"/>
                    </w:rPr>
                    <w:t>c </w:t>
                  </w:r>
                  <w:r>
                    <w:rPr>
                      <w:rFonts w:ascii="Calibri" w:hAnsi="Calibri"/>
                      <w:color w:val="585858"/>
                      <w:spacing w:val="-2"/>
                      <w:sz w:val="18"/>
                    </w:rPr>
                    <w:t>S</w:t>
                  </w:r>
                  <w:r>
                    <w:rPr>
                      <w:rFonts w:ascii="Calibri" w:hAnsi="Calibri"/>
                      <w:color w:val="585858"/>
                      <w:sz w:val="18"/>
                    </w:rPr>
                    <w:t>a</w:t>
                  </w:r>
                  <w:r>
                    <w:rPr>
                      <w:rFonts w:ascii="Calibri" w:hAnsi="Calibri"/>
                      <w:color w:val="585858"/>
                      <w:spacing w:val="1"/>
                      <w:sz w:val="18"/>
                    </w:rPr>
                    <w:t>n</w:t>
                  </w:r>
                  <w:r>
                    <w:rPr>
                      <w:rFonts w:ascii="Calibri" w:hAnsi="Calibri"/>
                      <w:color w:val="585858"/>
                      <w:sz w:val="18"/>
                    </w:rPr>
                    <w:t>t</w:t>
                  </w:r>
                  <w:r>
                    <w:rPr>
                      <w:rFonts w:ascii="Calibri" w:hAnsi="Calibri"/>
                      <w:color w:val="585858"/>
                      <w:spacing w:val="-1"/>
                      <w:sz w:val="18"/>
                    </w:rPr>
                    <w:t>i</w:t>
                  </w:r>
                  <w:r>
                    <w:rPr>
                      <w:rFonts w:ascii="Calibri" w:hAnsi="Calibri"/>
                      <w:color w:val="585858"/>
                      <w:sz w:val="18"/>
                    </w:rPr>
                    <w:t>a</w:t>
                  </w:r>
                  <w:r>
                    <w:rPr>
                      <w:rFonts w:ascii="Calibri" w:hAnsi="Calibri"/>
                      <w:color w:val="585858"/>
                      <w:spacing w:val="-1"/>
                      <w:sz w:val="18"/>
                    </w:rPr>
                    <w:t>g</w:t>
                  </w:r>
                  <w:r>
                    <w:rPr>
                      <w:rFonts w:ascii="Calibri" w:hAnsi="Calibri"/>
                      <w:color w:val="585858"/>
                      <w:sz w:val="18"/>
                    </w:rPr>
                    <w:t>o M</w:t>
                  </w:r>
                  <w:r>
                    <w:rPr>
                      <w:rFonts w:ascii="Calibri" w:hAnsi="Calibri"/>
                      <w:color w:val="585858"/>
                      <w:spacing w:val="-1"/>
                      <w:sz w:val="18"/>
                    </w:rPr>
                    <w:t>il</w:t>
                  </w:r>
                  <w:r>
                    <w:rPr>
                      <w:rFonts w:ascii="Calibri" w:hAnsi="Calibri"/>
                      <w:color w:val="585858"/>
                      <w:spacing w:val="2"/>
                      <w:sz w:val="18"/>
                    </w:rPr>
                    <w:t>t</w:t>
                  </w:r>
                  <w:r>
                    <w:rPr>
                      <w:rFonts w:ascii="Calibri" w:hAnsi="Calibri"/>
                      <w:color w:val="585858"/>
                      <w:spacing w:val="-1"/>
                      <w:sz w:val="18"/>
                    </w:rPr>
                    <w:t>ep</w:t>
                  </w:r>
                  <w:r>
                    <w:rPr>
                      <w:rFonts w:ascii="Calibri" w:hAnsi="Calibri"/>
                      <w:color w:val="585858"/>
                      <w:spacing w:val="1"/>
                      <w:sz w:val="18"/>
                    </w:rPr>
                    <w:t>e</w:t>
                  </w:r>
                  <w:r>
                    <w:rPr>
                      <w:rFonts w:ascii="Calibri" w:hAnsi="Calibri"/>
                      <w:color w:val="585858"/>
                      <w:sz w:val="18"/>
                    </w:rPr>
                    <w:t>c </w:t>
                  </w:r>
                  <w:r>
                    <w:rPr>
                      <w:rFonts w:ascii="Calibri" w:hAnsi="Calibri"/>
                      <w:color w:val="585858"/>
                      <w:spacing w:val="-2"/>
                      <w:sz w:val="18"/>
                    </w:rPr>
                    <w:t>S</w:t>
                  </w:r>
                  <w:r>
                    <w:rPr>
                      <w:rFonts w:ascii="Calibri" w:hAnsi="Calibri"/>
                      <w:color w:val="585858"/>
                      <w:sz w:val="18"/>
                    </w:rPr>
                    <w:t>a</w:t>
                  </w:r>
                  <w:r>
                    <w:rPr>
                      <w:rFonts w:ascii="Calibri" w:hAnsi="Calibri"/>
                      <w:color w:val="585858"/>
                      <w:spacing w:val="1"/>
                      <w:sz w:val="18"/>
                    </w:rPr>
                    <w:t>n</w:t>
                  </w:r>
                  <w:r>
                    <w:rPr>
                      <w:rFonts w:ascii="Calibri" w:hAnsi="Calibri"/>
                      <w:color w:val="585858"/>
                      <w:sz w:val="18"/>
                    </w:rPr>
                    <w:t>t</w:t>
                  </w:r>
                  <w:r>
                    <w:rPr>
                      <w:rFonts w:ascii="Calibri" w:hAnsi="Calibri"/>
                      <w:color w:val="585858"/>
                      <w:spacing w:val="-1"/>
                      <w:sz w:val="18"/>
                    </w:rPr>
                    <w:t>i</w:t>
                  </w:r>
                  <w:r>
                    <w:rPr>
                      <w:rFonts w:ascii="Calibri" w:hAnsi="Calibri"/>
                      <w:color w:val="585858"/>
                      <w:sz w:val="18"/>
                    </w:rPr>
                    <w:t>a</w:t>
                  </w:r>
                  <w:r>
                    <w:rPr>
                      <w:rFonts w:ascii="Calibri" w:hAnsi="Calibri"/>
                      <w:color w:val="585858"/>
                      <w:spacing w:val="-1"/>
                      <w:sz w:val="18"/>
                    </w:rPr>
                    <w:t>g</w:t>
                  </w:r>
                  <w:r>
                    <w:rPr>
                      <w:rFonts w:ascii="Calibri" w:hAnsi="Calibri"/>
                      <w:color w:val="585858"/>
                      <w:sz w:val="18"/>
                    </w:rPr>
                    <w:t>o </w:t>
                  </w:r>
                  <w:r>
                    <w:rPr>
                      <w:rFonts w:ascii="Calibri" w:hAnsi="Calibri"/>
                      <w:color w:val="585858"/>
                      <w:spacing w:val="-2"/>
                      <w:sz w:val="18"/>
                    </w:rPr>
                    <w:t>T</w:t>
                  </w:r>
                  <w:r>
                    <w:rPr>
                      <w:rFonts w:ascii="Calibri" w:hAnsi="Calibri"/>
                      <w:color w:val="585858"/>
                      <w:spacing w:val="1"/>
                      <w:sz w:val="18"/>
                    </w:rPr>
                    <w:t>l</w:t>
                  </w:r>
                  <w:r>
                    <w:rPr>
                      <w:rFonts w:ascii="Calibri" w:hAnsi="Calibri"/>
                      <w:color w:val="585858"/>
                      <w:sz w:val="18"/>
                    </w:rPr>
                    <w:t>a</w:t>
                  </w:r>
                  <w:r>
                    <w:rPr>
                      <w:rFonts w:ascii="Calibri" w:hAnsi="Calibri"/>
                      <w:color w:val="585858"/>
                      <w:spacing w:val="-1"/>
                      <w:sz w:val="18"/>
                    </w:rPr>
                    <w:t>x</w:t>
                  </w:r>
                  <w:r>
                    <w:rPr>
                      <w:rFonts w:ascii="Calibri" w:hAnsi="Calibri"/>
                      <w:color w:val="585858"/>
                      <w:sz w:val="18"/>
                    </w:rPr>
                    <w:t>o</w:t>
                  </w:r>
                  <w:r>
                    <w:rPr>
                      <w:rFonts w:ascii="Calibri" w:hAnsi="Calibri"/>
                      <w:color w:val="585858"/>
                      <w:spacing w:val="-2"/>
                      <w:sz w:val="18"/>
                    </w:rPr>
                    <w:t>m</w:t>
                  </w:r>
                  <w:r>
                    <w:rPr>
                      <w:rFonts w:ascii="Calibri" w:hAnsi="Calibri"/>
                      <w:color w:val="585858"/>
                      <w:spacing w:val="1"/>
                      <w:sz w:val="18"/>
                    </w:rPr>
                    <w:t>u</w:t>
                  </w:r>
                  <w:r>
                    <w:rPr>
                      <w:rFonts w:ascii="Calibri" w:hAnsi="Calibri"/>
                      <w:color w:val="585858"/>
                      <w:spacing w:val="-1"/>
                      <w:sz w:val="18"/>
                    </w:rPr>
                    <w:t>l</w:t>
                  </w:r>
                  <w:r>
                    <w:rPr>
                      <w:rFonts w:ascii="Calibri" w:hAnsi="Calibri"/>
                      <w:color w:val="585858"/>
                      <w:sz w:val="18"/>
                    </w:rPr>
                    <w:t>co</w:t>
                  </w:r>
                </w:p>
                <w:p>
                  <w:pPr>
                    <w:spacing w:line="249" w:lineRule="auto" w:before="0"/>
                    <w:ind w:left="60" w:right="143" w:firstLine="1156"/>
                    <w:jc w:val="right"/>
                    <w:rPr>
                      <w:rFonts w:ascii="Calibri"/>
                      <w:sz w:val="18"/>
                    </w:rPr>
                  </w:pPr>
                  <w:r>
                    <w:rPr>
                      <w:rFonts w:ascii="Calibri"/>
                      <w:color w:val="585858"/>
                      <w:sz w:val="18"/>
                    </w:rPr>
                    <w:t>T</w:t>
                  </w:r>
                  <w:r>
                    <w:rPr>
                      <w:rFonts w:ascii="Calibri"/>
                      <w:color w:val="585858"/>
                      <w:spacing w:val="-1"/>
                      <w:sz w:val="18"/>
                    </w:rPr>
                    <w:t>e</w:t>
                  </w:r>
                  <w:r>
                    <w:rPr>
                      <w:rFonts w:ascii="Calibri"/>
                      <w:color w:val="585858"/>
                      <w:sz w:val="18"/>
                    </w:rPr>
                    <w:t>ca</w:t>
                  </w:r>
                  <w:r>
                    <w:rPr>
                      <w:rFonts w:ascii="Calibri"/>
                      <w:color w:val="585858"/>
                      <w:spacing w:val="-1"/>
                      <w:sz w:val="18"/>
                    </w:rPr>
                    <w:t>xi</w:t>
                  </w:r>
                  <w:r>
                    <w:rPr>
                      <w:rFonts w:ascii="Calibri"/>
                      <w:color w:val="585858"/>
                      <w:sz w:val="18"/>
                    </w:rPr>
                    <w:t>c </w:t>
                  </w:r>
                  <w:r>
                    <w:rPr>
                      <w:rFonts w:ascii="Calibri"/>
                      <w:color w:val="585858"/>
                      <w:spacing w:val="-1"/>
                      <w:sz w:val="18"/>
                    </w:rPr>
                    <w:t>C</w:t>
                  </w:r>
                  <w:r>
                    <w:rPr>
                      <w:rFonts w:ascii="Calibri"/>
                      <w:color w:val="585858"/>
                      <w:spacing w:val="1"/>
                      <w:sz w:val="18"/>
                    </w:rPr>
                    <w:t>o</w:t>
                  </w:r>
                  <w:r>
                    <w:rPr>
                      <w:rFonts w:ascii="Calibri"/>
                      <w:color w:val="585858"/>
                      <w:spacing w:val="-1"/>
                      <w:sz w:val="18"/>
                    </w:rPr>
                    <w:t>l</w:t>
                  </w:r>
                  <w:r>
                    <w:rPr>
                      <w:rFonts w:ascii="Calibri"/>
                      <w:color w:val="585858"/>
                      <w:spacing w:val="-2"/>
                      <w:sz w:val="18"/>
                    </w:rPr>
                    <w:t>o</w:t>
                  </w:r>
                  <w:r>
                    <w:rPr>
                      <w:rFonts w:ascii="Calibri"/>
                      <w:color w:val="585858"/>
                      <w:spacing w:val="1"/>
                      <w:sz w:val="18"/>
                    </w:rPr>
                    <w:t>n</w:t>
                  </w:r>
                  <w:r>
                    <w:rPr>
                      <w:rFonts w:ascii="Calibri"/>
                      <w:color w:val="585858"/>
                      <w:spacing w:val="-1"/>
                      <w:sz w:val="18"/>
                    </w:rPr>
                    <w:t>i</w:t>
                  </w:r>
                  <w:r>
                    <w:rPr>
                      <w:rFonts w:ascii="Calibri"/>
                      <w:color w:val="585858"/>
                      <w:sz w:val="18"/>
                    </w:rPr>
                    <w:t>a M</w:t>
                  </w:r>
                  <w:r>
                    <w:rPr>
                      <w:rFonts w:ascii="Calibri"/>
                      <w:color w:val="585858"/>
                      <w:spacing w:val="-1"/>
                      <w:sz w:val="18"/>
                    </w:rPr>
                    <w:t>ig</w:t>
                  </w:r>
                  <w:r>
                    <w:rPr>
                      <w:rFonts w:ascii="Calibri"/>
                      <w:color w:val="585858"/>
                      <w:spacing w:val="1"/>
                      <w:sz w:val="18"/>
                    </w:rPr>
                    <w:t>u</w:t>
                  </w:r>
                  <w:r>
                    <w:rPr>
                      <w:rFonts w:ascii="Calibri"/>
                      <w:color w:val="585858"/>
                      <w:spacing w:val="-1"/>
                      <w:sz w:val="18"/>
                    </w:rPr>
                    <w:t>e</w:t>
                  </w:r>
                  <w:r>
                    <w:rPr>
                      <w:rFonts w:ascii="Calibri"/>
                      <w:color w:val="585858"/>
                      <w:sz w:val="18"/>
                    </w:rPr>
                    <w:t>l</w:t>
                  </w:r>
                  <w:r>
                    <w:rPr>
                      <w:rFonts w:ascii="Calibri"/>
                      <w:color w:val="585858"/>
                      <w:spacing w:val="-1"/>
                      <w:sz w:val="18"/>
                    </w:rPr>
                    <w:t> </w:t>
                  </w:r>
                  <w:r>
                    <w:rPr>
                      <w:rFonts w:ascii="Calibri"/>
                      <w:color w:val="585858"/>
                      <w:sz w:val="18"/>
                    </w:rPr>
                    <w:t>H</w:t>
                  </w:r>
                  <w:r>
                    <w:rPr>
                      <w:rFonts w:ascii="Calibri"/>
                      <w:color w:val="585858"/>
                      <w:spacing w:val="-1"/>
                      <w:sz w:val="18"/>
                    </w:rPr>
                    <w:t>i</w:t>
                  </w:r>
                  <w:r>
                    <w:rPr>
                      <w:rFonts w:ascii="Calibri"/>
                      <w:color w:val="585858"/>
                      <w:spacing w:val="1"/>
                      <w:sz w:val="18"/>
                    </w:rPr>
                    <w:t>d</w:t>
                  </w:r>
                  <w:r>
                    <w:rPr>
                      <w:rFonts w:ascii="Calibri"/>
                      <w:color w:val="585858"/>
                      <w:sz w:val="18"/>
                    </w:rPr>
                    <w:t>al</w:t>
                  </w:r>
                  <w:r>
                    <w:rPr>
                      <w:rFonts w:ascii="Calibri"/>
                      <w:color w:val="585858"/>
                      <w:spacing w:val="-2"/>
                      <w:sz w:val="18"/>
                    </w:rPr>
                    <w:t>g</w:t>
                  </w:r>
                  <w:r>
                    <w:rPr>
                      <w:rFonts w:ascii="Calibri"/>
                      <w:color w:val="585858"/>
                      <w:sz w:val="18"/>
                    </w:rPr>
                    <w:t>o</w:t>
                  </w:r>
                </w:p>
                <w:p>
                  <w:pPr>
                    <w:spacing w:before="0"/>
                    <w:ind w:left="3437" w:right="3280" w:firstLine="0"/>
                    <w:jc w:val="center"/>
                    <w:rPr>
                      <w:rFonts w:ascii="Calibri" w:hAnsi="Calibri"/>
                      <w:sz w:val="18"/>
                    </w:rPr>
                  </w:pPr>
                  <w:r>
                    <w:rPr>
                      <w:rFonts w:ascii="Calibri" w:hAnsi="Calibri"/>
                      <w:color w:val="585858"/>
                      <w:sz w:val="18"/>
                    </w:rPr>
                    <w:t>El</w:t>
                  </w:r>
                  <w:r>
                    <w:rPr>
                      <w:rFonts w:ascii="Calibri" w:hAnsi="Calibri"/>
                      <w:color w:val="585858"/>
                      <w:spacing w:val="-1"/>
                      <w:sz w:val="18"/>
                    </w:rPr>
                    <w:t> Cár</w:t>
                  </w:r>
                  <w:r>
                    <w:rPr>
                      <w:rFonts w:ascii="Calibri" w:hAnsi="Calibri"/>
                      <w:color w:val="585858"/>
                      <w:sz w:val="18"/>
                    </w:rPr>
                    <w:t>m</w:t>
                  </w:r>
                  <w:r>
                    <w:rPr>
                      <w:rFonts w:ascii="Calibri" w:hAnsi="Calibri"/>
                      <w:color w:val="585858"/>
                      <w:spacing w:val="-1"/>
                      <w:sz w:val="18"/>
                    </w:rPr>
                    <w:t>e</w:t>
                  </w:r>
                  <w:r>
                    <w:rPr>
                      <w:rFonts w:ascii="Calibri" w:hAnsi="Calibri"/>
                      <w:color w:val="585858"/>
                      <w:sz w:val="18"/>
                    </w:rPr>
                    <w:t>n</w:t>
                  </w:r>
                  <w:r>
                    <w:rPr>
                      <w:rFonts w:ascii="Calibri" w:hAnsi="Calibri"/>
                      <w:color w:val="585858"/>
                      <w:spacing w:val="-1"/>
                      <w:sz w:val="18"/>
                    </w:rPr>
                    <w:t> </w:t>
                  </w:r>
                  <w:r>
                    <w:rPr>
                      <w:rFonts w:ascii="Calibri" w:hAnsi="Calibri"/>
                      <w:color w:val="585858"/>
                      <w:spacing w:val="1"/>
                      <w:sz w:val="18"/>
                    </w:rPr>
                    <w:t>T</w:t>
                  </w:r>
                  <w:r>
                    <w:rPr>
                      <w:rFonts w:ascii="Calibri" w:hAnsi="Calibri"/>
                      <w:color w:val="585858"/>
                      <w:sz w:val="18"/>
                    </w:rPr>
                    <w:t>oto</w:t>
                  </w:r>
                  <w:r>
                    <w:rPr>
                      <w:rFonts w:ascii="Calibri" w:hAnsi="Calibri"/>
                      <w:color w:val="585858"/>
                      <w:spacing w:val="-1"/>
                      <w:sz w:val="18"/>
                    </w:rPr>
                    <w:t>l</w:t>
                  </w:r>
                  <w:r>
                    <w:rPr>
                      <w:rFonts w:ascii="Calibri" w:hAnsi="Calibri"/>
                      <w:color w:val="585858"/>
                      <w:sz w:val="18"/>
                    </w:rPr>
                    <w:t>t</w:t>
                  </w:r>
                  <w:r>
                    <w:rPr>
                      <w:rFonts w:ascii="Calibri" w:hAnsi="Calibri"/>
                      <w:color w:val="585858"/>
                      <w:spacing w:val="-1"/>
                      <w:sz w:val="18"/>
                    </w:rPr>
                    <w:t>epe</w:t>
                  </w:r>
                  <w:r>
                    <w:rPr>
                      <w:rFonts w:ascii="Calibri" w:hAnsi="Calibri"/>
                      <w:color w:val="585858"/>
                      <w:spacing w:val="1"/>
                      <w:sz w:val="18"/>
                    </w:rPr>
                    <w:t>c</w:t>
                  </w:r>
                  <w:r>
                    <w:rPr>
                      <w:rFonts w:ascii="Calibri" w:hAnsi="Calibri"/>
                      <w:color w:val="585858"/>
                      <w:w w:val="99"/>
                      <w:sz w:val="18"/>
                    </w:rPr>
                    <w:t>…</w:t>
                  </w:r>
                </w:p>
                <w:p>
                  <w:pPr>
                    <w:spacing w:before="8"/>
                    <w:ind w:left="3437" w:right="3280" w:firstLine="0"/>
                    <w:jc w:val="center"/>
                    <w:rPr>
                      <w:rFonts w:ascii="Calibri" w:hAnsi="Calibri"/>
                      <w:sz w:val="18"/>
                    </w:rPr>
                  </w:pPr>
                  <w:r>
                    <w:rPr>
                      <w:rFonts w:ascii="Calibri" w:hAnsi="Calibri"/>
                      <w:color w:val="585858"/>
                      <w:w w:val="100"/>
                      <w:sz w:val="18"/>
                    </w:rPr>
                    <w:t>El</w:t>
                  </w:r>
                  <w:r>
                    <w:rPr>
                      <w:rFonts w:ascii="Calibri" w:hAnsi="Calibri"/>
                      <w:color w:val="585858"/>
                      <w:spacing w:val="-1"/>
                      <w:sz w:val="18"/>
                    </w:rPr>
                    <w:t> </w:t>
                  </w:r>
                  <w:r>
                    <w:rPr>
                      <w:rFonts w:ascii="Calibri" w:hAnsi="Calibri"/>
                      <w:color w:val="585858"/>
                      <w:spacing w:val="-1"/>
                      <w:w w:val="100"/>
                      <w:sz w:val="18"/>
                    </w:rPr>
                    <w:t>Car</w:t>
                  </w:r>
                  <w:r>
                    <w:rPr>
                      <w:rFonts w:ascii="Calibri" w:hAnsi="Calibri"/>
                      <w:color w:val="585858"/>
                      <w:w w:val="100"/>
                      <w:sz w:val="18"/>
                    </w:rPr>
                    <w:t>m</w:t>
                  </w:r>
                  <w:r>
                    <w:rPr>
                      <w:rFonts w:ascii="Calibri" w:hAnsi="Calibri"/>
                      <w:color w:val="585858"/>
                      <w:spacing w:val="-1"/>
                      <w:w w:val="100"/>
                      <w:sz w:val="18"/>
                    </w:rPr>
                    <w:t>e</w:t>
                  </w:r>
                  <w:r>
                    <w:rPr>
                      <w:rFonts w:ascii="Calibri" w:hAnsi="Calibri"/>
                      <w:color w:val="585858"/>
                      <w:w w:val="100"/>
                      <w:sz w:val="18"/>
                    </w:rPr>
                    <w:t>n</w:t>
                  </w:r>
                  <w:r>
                    <w:rPr>
                      <w:rFonts w:ascii="Calibri" w:hAnsi="Calibri"/>
                      <w:color w:val="585858"/>
                      <w:spacing w:val="-2"/>
                      <w:sz w:val="18"/>
                    </w:rPr>
                    <w:t> </w:t>
                  </w:r>
                  <w:r>
                    <w:rPr>
                      <w:rFonts w:ascii="Calibri" w:hAnsi="Calibri"/>
                      <w:color w:val="585858"/>
                      <w:w w:val="100"/>
                      <w:sz w:val="18"/>
                    </w:rPr>
                    <w:t>Totol</w:t>
                  </w:r>
                  <w:r>
                    <w:rPr>
                      <w:rFonts w:ascii="Calibri" w:hAnsi="Calibri"/>
                      <w:color w:val="585858"/>
                      <w:spacing w:val="-1"/>
                      <w:w w:val="100"/>
                      <w:sz w:val="18"/>
                    </w:rPr>
                    <w:t>te</w:t>
                  </w:r>
                  <w:r>
                    <w:rPr>
                      <w:rFonts w:ascii="Calibri" w:hAnsi="Calibri"/>
                      <w:color w:val="585858"/>
                      <w:spacing w:val="-2"/>
                      <w:w w:val="100"/>
                      <w:sz w:val="18"/>
                    </w:rPr>
                    <w:t>p</w:t>
                  </w:r>
                  <w:r>
                    <w:rPr>
                      <w:rFonts w:ascii="Calibri" w:hAnsi="Calibri"/>
                      <w:color w:val="585858"/>
                      <w:spacing w:val="-1"/>
                      <w:w w:val="100"/>
                      <w:sz w:val="18"/>
                    </w:rPr>
                    <w:t>e</w:t>
                  </w:r>
                  <w:r>
                    <w:rPr>
                      <w:rFonts w:ascii="Calibri" w:hAnsi="Calibri"/>
                      <w:color w:val="585858"/>
                      <w:w w:val="100"/>
                      <w:sz w:val="18"/>
                    </w:rPr>
                    <w:t>c</w:t>
                  </w:r>
                  <w:r>
                    <w:rPr>
                      <w:rFonts w:ascii="Calibri" w:hAnsi="Calibri"/>
                      <w:color w:val="585858"/>
                      <w:w w:val="100"/>
                      <w:sz w:val="18"/>
                    </w:rPr>
                    <w:t>…</w:t>
                  </w:r>
                </w:p>
                <w:p>
                  <w:pPr>
                    <w:spacing w:before="9"/>
                    <w:ind w:left="0" w:right="143" w:firstLine="0"/>
                    <w:jc w:val="right"/>
                    <w:rPr>
                      <w:rFonts w:ascii="Calibri"/>
                      <w:sz w:val="18"/>
                    </w:rPr>
                  </w:pPr>
                  <w:r>
                    <w:rPr>
                      <w:rFonts w:ascii="Calibri"/>
                      <w:color w:val="585858"/>
                      <w:sz w:val="18"/>
                    </w:rPr>
                    <w:t>M</w:t>
                  </w:r>
                  <w:r>
                    <w:rPr>
                      <w:rFonts w:ascii="Calibri"/>
                      <w:color w:val="585858"/>
                      <w:spacing w:val="-1"/>
                      <w:sz w:val="18"/>
                    </w:rPr>
                    <w:t>e</w:t>
                  </w:r>
                  <w:r>
                    <w:rPr>
                      <w:rFonts w:ascii="Calibri"/>
                      <w:color w:val="585858"/>
                      <w:spacing w:val="1"/>
                      <w:sz w:val="18"/>
                    </w:rPr>
                    <w:t>r</w:t>
                  </w:r>
                  <w:r>
                    <w:rPr>
                      <w:rFonts w:ascii="Calibri"/>
                      <w:color w:val="585858"/>
                      <w:spacing w:val="-2"/>
                      <w:sz w:val="18"/>
                    </w:rPr>
                    <w:t>c</w:t>
                  </w:r>
                  <w:r>
                    <w:rPr>
                      <w:rFonts w:ascii="Calibri"/>
                      <w:color w:val="585858"/>
                      <w:sz w:val="18"/>
                    </w:rPr>
                    <w:t>a</w:t>
                  </w:r>
                  <w:r>
                    <w:rPr>
                      <w:rFonts w:ascii="Calibri"/>
                      <w:color w:val="585858"/>
                      <w:spacing w:val="1"/>
                      <w:sz w:val="18"/>
                    </w:rPr>
                    <w:t>d</w:t>
                  </w:r>
                  <w:r>
                    <w:rPr>
                      <w:rFonts w:ascii="Calibri"/>
                      <w:color w:val="585858"/>
                      <w:sz w:val="18"/>
                    </w:rPr>
                    <w:t>o</w:t>
                  </w:r>
                  <w:r>
                    <w:rPr>
                      <w:rFonts w:ascii="Calibri"/>
                      <w:color w:val="585858"/>
                      <w:spacing w:val="-2"/>
                      <w:sz w:val="18"/>
                    </w:rPr>
                    <w:t> </w:t>
                  </w:r>
                  <w:r>
                    <w:rPr>
                      <w:rFonts w:ascii="Calibri"/>
                      <w:color w:val="585858"/>
                      <w:sz w:val="18"/>
                    </w:rPr>
                    <w:t>H</w:t>
                  </w:r>
                  <w:r>
                    <w:rPr>
                      <w:rFonts w:ascii="Calibri"/>
                      <w:color w:val="585858"/>
                      <w:spacing w:val="-1"/>
                      <w:sz w:val="18"/>
                    </w:rPr>
                    <w:t>i</w:t>
                  </w:r>
                  <w:r>
                    <w:rPr>
                      <w:rFonts w:ascii="Calibri"/>
                      <w:color w:val="585858"/>
                      <w:spacing w:val="1"/>
                      <w:sz w:val="18"/>
                    </w:rPr>
                    <w:t>d</w:t>
                  </w:r>
                  <w:r>
                    <w:rPr>
                      <w:rFonts w:ascii="Calibri"/>
                      <w:color w:val="585858"/>
                      <w:spacing w:val="-3"/>
                      <w:sz w:val="18"/>
                    </w:rPr>
                    <w:t>a</w:t>
                  </w:r>
                  <w:r>
                    <w:rPr>
                      <w:rFonts w:ascii="Calibri"/>
                      <w:color w:val="585858"/>
                      <w:spacing w:val="1"/>
                      <w:sz w:val="18"/>
                    </w:rPr>
                    <w:t>l</w:t>
                  </w:r>
                  <w:r>
                    <w:rPr>
                      <w:rFonts w:ascii="Calibri"/>
                      <w:color w:val="585858"/>
                      <w:spacing w:val="-1"/>
                      <w:sz w:val="18"/>
                    </w:rPr>
                    <w:t>g</w:t>
                  </w:r>
                  <w:r>
                    <w:rPr>
                      <w:rFonts w:ascii="Calibri"/>
                      <w:color w:val="585858"/>
                      <w:sz w:val="18"/>
                    </w:rPr>
                    <w:t>o</w:t>
                  </w:r>
                </w:p>
                <w:p>
                  <w:pPr>
                    <w:spacing w:line="249" w:lineRule="auto" w:before="9"/>
                    <w:ind w:left="799" w:right="0" w:firstLine="131"/>
                    <w:jc w:val="left"/>
                    <w:rPr>
                      <w:rFonts w:ascii="Calibri" w:hAnsi="Calibri"/>
                      <w:sz w:val="18"/>
                    </w:rPr>
                  </w:pPr>
                  <w:r>
                    <w:rPr>
                      <w:rFonts w:ascii="Calibri" w:hAnsi="Calibri"/>
                      <w:color w:val="585858"/>
                      <w:spacing w:val="-2"/>
                      <w:w w:val="99"/>
                      <w:sz w:val="18"/>
                    </w:rPr>
                    <w:t>S</w:t>
                  </w:r>
                  <w:r>
                    <w:rPr>
                      <w:rFonts w:ascii="Calibri" w:hAnsi="Calibri"/>
                      <w:color w:val="585858"/>
                      <w:w w:val="99"/>
                      <w:sz w:val="18"/>
                    </w:rPr>
                    <w:t>an</w:t>
                  </w:r>
                  <w:r>
                    <w:rPr>
                      <w:rFonts w:ascii="Calibri" w:hAnsi="Calibri"/>
                      <w:color w:val="585858"/>
                      <w:spacing w:val="1"/>
                      <w:sz w:val="18"/>
                    </w:rPr>
                    <w:t> </w:t>
                  </w:r>
                  <w:r>
                    <w:rPr>
                      <w:rFonts w:ascii="Calibri" w:hAnsi="Calibri"/>
                      <w:color w:val="585858"/>
                      <w:spacing w:val="-1"/>
                      <w:w w:val="100"/>
                      <w:sz w:val="18"/>
                    </w:rPr>
                    <w:t>A</w:t>
                  </w:r>
                  <w:r>
                    <w:rPr>
                      <w:rFonts w:ascii="Calibri" w:hAnsi="Calibri"/>
                      <w:color w:val="585858"/>
                      <w:spacing w:val="1"/>
                      <w:w w:val="99"/>
                      <w:sz w:val="18"/>
                    </w:rPr>
                    <w:t>n</w:t>
                  </w:r>
                  <w:r>
                    <w:rPr>
                      <w:rFonts w:ascii="Calibri" w:hAnsi="Calibri"/>
                      <w:color w:val="585858"/>
                      <w:spacing w:val="-1"/>
                      <w:w w:val="99"/>
                      <w:sz w:val="18"/>
                    </w:rPr>
                    <w:t>d</w:t>
                  </w:r>
                  <w:r>
                    <w:rPr>
                      <w:rFonts w:ascii="Calibri" w:hAnsi="Calibri"/>
                      <w:color w:val="585858"/>
                      <w:w w:val="100"/>
                      <w:sz w:val="18"/>
                    </w:rPr>
                    <w:t>ré</w:t>
                  </w:r>
                  <w:r>
                    <w:rPr>
                      <w:rFonts w:ascii="Calibri" w:hAnsi="Calibri"/>
                      <w:color w:val="585858"/>
                      <w:spacing w:val="-1"/>
                      <w:w w:val="99"/>
                      <w:sz w:val="18"/>
                    </w:rPr>
                    <w:t>s</w:t>
                  </w:r>
                  <w:r>
                    <w:rPr>
                      <w:rFonts w:ascii="Calibri" w:hAnsi="Calibri"/>
                      <w:color w:val="585858"/>
                      <w:w w:val="99"/>
                      <w:sz w:val="18"/>
                    </w:rPr>
                    <w:t>… </w:t>
                  </w:r>
                  <w:r>
                    <w:rPr>
                      <w:rFonts w:ascii="Calibri" w:hAnsi="Calibri"/>
                      <w:color w:val="585858"/>
                      <w:spacing w:val="-2"/>
                      <w:w w:val="99"/>
                      <w:sz w:val="18"/>
                    </w:rPr>
                    <w:t>S</w:t>
                  </w:r>
                  <w:r>
                    <w:rPr>
                      <w:rFonts w:ascii="Calibri" w:hAnsi="Calibri"/>
                      <w:color w:val="585858"/>
                      <w:w w:val="99"/>
                      <w:sz w:val="18"/>
                    </w:rPr>
                    <w:t>an</w:t>
                  </w:r>
                  <w:r>
                    <w:rPr>
                      <w:rFonts w:ascii="Calibri" w:hAnsi="Calibri"/>
                      <w:color w:val="585858"/>
                      <w:spacing w:val="1"/>
                      <w:sz w:val="18"/>
                    </w:rPr>
                    <w:t> </w:t>
                  </w:r>
                  <w:r>
                    <w:rPr>
                      <w:rFonts w:ascii="Calibri" w:hAnsi="Calibri"/>
                      <w:color w:val="585858"/>
                      <w:w w:val="100"/>
                      <w:sz w:val="18"/>
                    </w:rPr>
                    <w:t>Cr</w:t>
                  </w:r>
                  <w:r>
                    <w:rPr>
                      <w:rFonts w:ascii="Calibri" w:hAnsi="Calibri"/>
                      <w:color w:val="585858"/>
                      <w:spacing w:val="-1"/>
                      <w:w w:val="100"/>
                      <w:sz w:val="18"/>
                    </w:rPr>
                    <w:t>i</w:t>
                  </w:r>
                  <w:r>
                    <w:rPr>
                      <w:rFonts w:ascii="Calibri" w:hAnsi="Calibri"/>
                      <w:color w:val="585858"/>
                      <w:spacing w:val="-1"/>
                      <w:w w:val="99"/>
                      <w:sz w:val="18"/>
                    </w:rPr>
                    <w:t>s</w:t>
                  </w:r>
                  <w:r>
                    <w:rPr>
                      <w:rFonts w:ascii="Calibri" w:hAnsi="Calibri"/>
                      <w:color w:val="585858"/>
                      <w:spacing w:val="1"/>
                      <w:w w:val="100"/>
                      <w:sz w:val="18"/>
                    </w:rPr>
                    <w:t>t</w:t>
                  </w:r>
                  <w:r>
                    <w:rPr>
                      <w:rFonts w:ascii="Calibri" w:hAnsi="Calibri"/>
                      <w:color w:val="585858"/>
                      <w:spacing w:val="-2"/>
                      <w:w w:val="99"/>
                      <w:sz w:val="18"/>
                    </w:rPr>
                    <w:t>ó</w:t>
                  </w:r>
                  <w:r>
                    <w:rPr>
                      <w:rFonts w:ascii="Calibri" w:hAnsi="Calibri"/>
                      <w:color w:val="585858"/>
                      <w:spacing w:val="1"/>
                      <w:w w:val="99"/>
                      <w:sz w:val="18"/>
                    </w:rPr>
                    <w:t>b</w:t>
                  </w:r>
                  <w:r>
                    <w:rPr>
                      <w:rFonts w:ascii="Calibri" w:hAnsi="Calibri"/>
                      <w:color w:val="585858"/>
                      <w:spacing w:val="-3"/>
                      <w:w w:val="99"/>
                      <w:sz w:val="18"/>
                    </w:rPr>
                    <w:t>a</w:t>
                  </w:r>
                  <w:r>
                    <w:rPr>
                      <w:rFonts w:ascii="Calibri" w:hAnsi="Calibri"/>
                      <w:color w:val="585858"/>
                      <w:spacing w:val="1"/>
                      <w:w w:val="100"/>
                      <w:sz w:val="18"/>
                    </w:rPr>
                    <w:t>l</w:t>
                  </w:r>
                  <w:r>
                    <w:rPr>
                      <w:rFonts w:ascii="Calibri" w:hAnsi="Calibri"/>
                      <w:color w:val="585858"/>
                      <w:w w:val="99"/>
                      <w:sz w:val="18"/>
                    </w:rPr>
                    <w:t>…</w:t>
                  </w:r>
                </w:p>
                <w:p>
                  <w:pPr>
                    <w:spacing w:line="249" w:lineRule="auto" w:before="0"/>
                    <w:ind w:left="367" w:right="144" w:hanging="94"/>
                    <w:jc w:val="right"/>
                    <w:rPr>
                      <w:rFonts w:ascii="Calibri" w:hAnsi="Calibri"/>
                      <w:sz w:val="18"/>
                    </w:rPr>
                  </w:pPr>
                  <w:r>
                    <w:rPr>
                      <w:rFonts w:ascii="Calibri" w:hAnsi="Calibri"/>
                      <w:color w:val="585858"/>
                      <w:spacing w:val="-2"/>
                      <w:sz w:val="18"/>
                    </w:rPr>
                    <w:t>S</w:t>
                  </w:r>
                  <w:r>
                    <w:rPr>
                      <w:rFonts w:ascii="Calibri" w:hAnsi="Calibri"/>
                      <w:color w:val="585858"/>
                      <w:sz w:val="18"/>
                    </w:rPr>
                    <w:t>an</w:t>
                  </w:r>
                  <w:r>
                    <w:rPr>
                      <w:rFonts w:ascii="Calibri" w:hAnsi="Calibri"/>
                      <w:color w:val="585858"/>
                      <w:spacing w:val="1"/>
                      <w:sz w:val="18"/>
                    </w:rPr>
                    <w:t> </w:t>
                  </w:r>
                  <w:r>
                    <w:rPr>
                      <w:rFonts w:ascii="Calibri" w:hAnsi="Calibri"/>
                      <w:color w:val="585858"/>
                      <w:sz w:val="18"/>
                    </w:rPr>
                    <w:t>Mar</w:t>
                  </w:r>
                  <w:r>
                    <w:rPr>
                      <w:rFonts w:ascii="Calibri" w:hAnsi="Calibri"/>
                      <w:color w:val="585858"/>
                      <w:spacing w:val="-1"/>
                      <w:sz w:val="18"/>
                    </w:rPr>
                    <w:t>tí</w:t>
                  </w:r>
                  <w:r>
                    <w:rPr>
                      <w:rFonts w:ascii="Calibri" w:hAnsi="Calibri"/>
                      <w:color w:val="585858"/>
                      <w:sz w:val="18"/>
                    </w:rPr>
                    <w:t>n</w:t>
                  </w:r>
                  <w:r>
                    <w:rPr>
                      <w:rFonts w:ascii="Calibri" w:hAnsi="Calibri"/>
                      <w:color w:val="585858"/>
                      <w:spacing w:val="1"/>
                      <w:sz w:val="18"/>
                    </w:rPr>
                    <w:t> </w:t>
                  </w:r>
                  <w:r>
                    <w:rPr>
                      <w:rFonts w:ascii="Calibri" w:hAnsi="Calibri"/>
                      <w:color w:val="585858"/>
                      <w:spacing w:val="-2"/>
                      <w:sz w:val="18"/>
                    </w:rPr>
                    <w:t>T</w:t>
                  </w:r>
                  <w:r>
                    <w:rPr>
                      <w:rFonts w:ascii="Calibri" w:hAnsi="Calibri"/>
                      <w:color w:val="585858"/>
                      <w:sz w:val="18"/>
                    </w:rPr>
                    <w:t>o</w:t>
                  </w:r>
                  <w:r>
                    <w:rPr>
                      <w:rFonts w:ascii="Calibri" w:hAnsi="Calibri"/>
                      <w:color w:val="585858"/>
                      <w:spacing w:val="-1"/>
                      <w:sz w:val="18"/>
                    </w:rPr>
                    <w:t>l</w:t>
                  </w:r>
                  <w:r>
                    <w:rPr>
                      <w:rFonts w:ascii="Calibri" w:hAnsi="Calibri"/>
                      <w:color w:val="585858"/>
                      <w:sz w:val="18"/>
                    </w:rPr>
                    <w:t>t</w:t>
                  </w:r>
                  <w:r>
                    <w:rPr>
                      <w:rFonts w:ascii="Calibri" w:hAnsi="Calibri"/>
                      <w:color w:val="585858"/>
                      <w:spacing w:val="-1"/>
                      <w:sz w:val="18"/>
                    </w:rPr>
                    <w:t>e</w:t>
                  </w:r>
                  <w:r>
                    <w:rPr>
                      <w:rFonts w:ascii="Calibri" w:hAnsi="Calibri"/>
                      <w:color w:val="585858"/>
                      <w:spacing w:val="1"/>
                      <w:sz w:val="18"/>
                    </w:rPr>
                    <w:t>p</w:t>
                  </w:r>
                  <w:r>
                    <w:rPr>
                      <w:rFonts w:ascii="Calibri" w:hAnsi="Calibri"/>
                      <w:color w:val="585858"/>
                      <w:spacing w:val="-1"/>
                      <w:sz w:val="18"/>
                    </w:rPr>
                    <w:t>e</w:t>
                  </w:r>
                  <w:r>
                    <w:rPr>
                      <w:rFonts w:ascii="Calibri" w:hAnsi="Calibri"/>
                      <w:color w:val="585858"/>
                      <w:sz w:val="18"/>
                    </w:rPr>
                    <w:t>c </w:t>
                  </w:r>
                  <w:r>
                    <w:rPr>
                      <w:rFonts w:ascii="Calibri" w:hAnsi="Calibri"/>
                      <w:color w:val="585858"/>
                      <w:spacing w:val="-2"/>
                      <w:sz w:val="18"/>
                    </w:rPr>
                    <w:t>S</w:t>
                  </w:r>
                  <w:r>
                    <w:rPr>
                      <w:rFonts w:ascii="Calibri" w:hAnsi="Calibri"/>
                      <w:color w:val="585858"/>
                      <w:sz w:val="18"/>
                    </w:rPr>
                    <w:t>an</w:t>
                  </w:r>
                  <w:r>
                    <w:rPr>
                      <w:rFonts w:ascii="Calibri" w:hAnsi="Calibri"/>
                      <w:color w:val="585858"/>
                      <w:spacing w:val="1"/>
                      <w:sz w:val="18"/>
                    </w:rPr>
                    <w:t> </w:t>
                  </w:r>
                  <w:r>
                    <w:rPr>
                      <w:rFonts w:ascii="Calibri" w:hAnsi="Calibri"/>
                      <w:color w:val="585858"/>
                      <w:sz w:val="18"/>
                    </w:rPr>
                    <w:t>P</w:t>
                  </w:r>
                  <w:r>
                    <w:rPr>
                      <w:rFonts w:ascii="Calibri" w:hAnsi="Calibri"/>
                      <w:color w:val="585858"/>
                      <w:spacing w:val="-3"/>
                      <w:sz w:val="18"/>
                    </w:rPr>
                    <w:t>a</w:t>
                  </w:r>
                  <w:r>
                    <w:rPr>
                      <w:rFonts w:ascii="Calibri" w:hAnsi="Calibri"/>
                      <w:color w:val="585858"/>
                      <w:spacing w:val="1"/>
                      <w:sz w:val="18"/>
                    </w:rPr>
                    <w:t>b</w:t>
                  </w:r>
                  <w:r>
                    <w:rPr>
                      <w:rFonts w:ascii="Calibri" w:hAnsi="Calibri"/>
                      <w:color w:val="585858"/>
                      <w:spacing w:val="-1"/>
                      <w:sz w:val="18"/>
                    </w:rPr>
                    <w:t>l</w:t>
                  </w:r>
                  <w:r>
                    <w:rPr>
                      <w:rFonts w:ascii="Calibri" w:hAnsi="Calibri"/>
                      <w:color w:val="585858"/>
                      <w:sz w:val="18"/>
                    </w:rPr>
                    <w:t>o </w:t>
                  </w:r>
                  <w:r>
                    <w:rPr>
                      <w:rFonts w:ascii="Calibri" w:hAnsi="Calibri"/>
                      <w:color w:val="585858"/>
                      <w:spacing w:val="-1"/>
                      <w:sz w:val="18"/>
                    </w:rPr>
                    <w:t>Au</w:t>
                  </w:r>
                  <w:r>
                    <w:rPr>
                      <w:rFonts w:ascii="Calibri" w:hAnsi="Calibri"/>
                      <w:color w:val="585858"/>
                      <w:spacing w:val="2"/>
                      <w:sz w:val="18"/>
                    </w:rPr>
                    <w:t>t</w:t>
                  </w:r>
                  <w:r>
                    <w:rPr>
                      <w:rFonts w:ascii="Calibri" w:hAnsi="Calibri"/>
                      <w:color w:val="585858"/>
                      <w:spacing w:val="-2"/>
                      <w:sz w:val="18"/>
                    </w:rPr>
                    <w:t>o</w:t>
                  </w:r>
                  <w:r>
                    <w:rPr>
                      <w:rFonts w:ascii="Calibri" w:hAnsi="Calibri"/>
                      <w:color w:val="585858"/>
                      <w:spacing w:val="-1"/>
                      <w:sz w:val="18"/>
                    </w:rPr>
                    <w:t>p</w:t>
                  </w:r>
                  <w:r>
                    <w:rPr>
                      <w:rFonts w:ascii="Calibri" w:hAnsi="Calibri"/>
                      <w:color w:val="585858"/>
                      <w:sz w:val="18"/>
                    </w:rPr>
                    <w:t>an</w:t>
                  </w:r>
                </w:p>
                <w:p>
                  <w:pPr>
                    <w:spacing w:before="0"/>
                    <w:ind w:left="0" w:right="144" w:firstLine="0"/>
                    <w:jc w:val="right"/>
                    <w:rPr>
                      <w:rFonts w:ascii="Calibri"/>
                      <w:sz w:val="18"/>
                    </w:rPr>
                  </w:pPr>
                  <w:r>
                    <w:rPr>
                      <w:rFonts w:ascii="Calibri"/>
                      <w:color w:val="585858"/>
                      <w:sz w:val="18"/>
                    </w:rPr>
                    <w:t>T</w:t>
                  </w:r>
                  <w:r>
                    <w:rPr>
                      <w:rFonts w:ascii="Calibri"/>
                      <w:color w:val="585858"/>
                      <w:spacing w:val="-1"/>
                      <w:sz w:val="18"/>
                    </w:rPr>
                    <w:t>l</w:t>
                  </w:r>
                  <w:r>
                    <w:rPr>
                      <w:rFonts w:ascii="Calibri"/>
                      <w:color w:val="585858"/>
                      <w:sz w:val="18"/>
                    </w:rPr>
                    <w:t>a</w:t>
                  </w:r>
                  <w:r>
                    <w:rPr>
                      <w:rFonts w:ascii="Calibri"/>
                      <w:color w:val="585858"/>
                      <w:spacing w:val="-2"/>
                      <w:sz w:val="18"/>
                    </w:rPr>
                    <w:t>c</w:t>
                  </w:r>
                  <w:r>
                    <w:rPr>
                      <w:rFonts w:ascii="Calibri"/>
                      <w:color w:val="585858"/>
                      <w:spacing w:val="1"/>
                      <w:sz w:val="18"/>
                    </w:rPr>
                    <w:t>h</w:t>
                  </w:r>
                  <w:r>
                    <w:rPr>
                      <w:rFonts w:ascii="Calibri"/>
                      <w:color w:val="585858"/>
                      <w:sz w:val="18"/>
                    </w:rPr>
                    <w:t>al</w:t>
                  </w:r>
                  <w:r>
                    <w:rPr>
                      <w:rFonts w:ascii="Calibri"/>
                      <w:color w:val="585858"/>
                      <w:spacing w:val="-2"/>
                      <w:sz w:val="18"/>
                    </w:rPr>
                    <w:t>o</w:t>
                  </w:r>
                  <w:r>
                    <w:rPr>
                      <w:rFonts w:ascii="Calibri"/>
                      <w:color w:val="585858"/>
                      <w:sz w:val="18"/>
                    </w:rPr>
                    <w:t>ya</w:t>
                  </w:r>
                </w:p>
              </w:txbxContent>
            </v:textbox>
            <w10:wrap type="none"/>
          </v:shape>
        </w:pict>
      </w:r>
      <w:r>
        <w:rPr/>
        <w:t>Caracterización del queso fresco que se comercializa en mercados</w:t>
      </w:r>
      <w:r>
        <w:rPr>
          <w:spacing w:val="-45"/>
        </w:rPr>
        <w:t> </w:t>
      </w:r>
      <w:r>
        <w:rPr/>
        <w:t>populares del municipio de</w:t>
      </w:r>
      <w:r>
        <w:rPr>
          <w:spacing w:val="-4"/>
        </w:rPr>
        <w:t> </w:t>
      </w:r>
      <w:r>
        <w:rPr/>
        <w:t>Toluca</w:t>
      </w:r>
    </w:p>
    <w:p>
      <w:pPr>
        <w:pStyle w:val="BodyText"/>
        <w:spacing w:before="10"/>
        <w:rPr>
          <w:b/>
          <w:sz w:val="20"/>
        </w:rPr>
      </w:pPr>
    </w:p>
    <w:p>
      <w:pPr>
        <w:pStyle w:val="BodyText"/>
        <w:spacing w:line="276" w:lineRule="auto"/>
        <w:ind w:left="142" w:right="783"/>
        <w:jc w:val="both"/>
      </w:pPr>
      <w:r>
        <w:rPr/>
        <w:t>Los análisis fisicoquímicos permitieron realizar la caracterización del queso fresco que se comercializa en mercados populares del municipio de Toluca y el valor total de los resultados obtenidos se muestra en el cuadro 11.</w:t>
      </w:r>
    </w:p>
    <w:p>
      <w:pPr>
        <w:pStyle w:val="BodyText"/>
        <w:spacing w:before="10"/>
        <w:rPr>
          <w:sz w:val="20"/>
        </w:rPr>
      </w:pPr>
    </w:p>
    <w:p>
      <w:pPr>
        <w:pStyle w:val="BodyText"/>
        <w:spacing w:line="276" w:lineRule="auto"/>
        <w:ind w:left="142" w:right="783"/>
        <w:jc w:val="both"/>
      </w:pPr>
      <w:r>
        <w:rPr/>
        <w:t>Cuadro 11: Caracterización fisicoquímica del queso fresco que se comercializa en mercados populares del municipio de Toluca.</w:t>
      </w:r>
    </w:p>
    <w:p>
      <w:pPr>
        <w:pStyle w:val="BodyText"/>
        <w:spacing w:before="9" w:after="1"/>
        <w:rPr>
          <w:sz w:val="10"/>
        </w:rPr>
      </w:pPr>
    </w:p>
    <w:tbl>
      <w:tblPr>
        <w:tblW w:w="0" w:type="auto"/>
        <w:jc w:val="left"/>
        <w:tblInd w:w="2732" w:type="dxa"/>
        <w:tblBorders>
          <w:top w:val="single" w:sz="4" w:space="0" w:color="C8C8C8"/>
          <w:left w:val="single" w:sz="4" w:space="0" w:color="C8C8C8"/>
          <w:bottom w:val="single" w:sz="4" w:space="0" w:color="C8C8C8"/>
          <w:right w:val="single" w:sz="4" w:space="0" w:color="C8C8C8"/>
          <w:insideH w:val="single" w:sz="4" w:space="0" w:color="C8C8C8"/>
          <w:insideV w:val="single" w:sz="4" w:space="0" w:color="C8C8C8"/>
        </w:tblBorders>
        <w:tblLayout w:type="fixed"/>
        <w:tblCellMar>
          <w:top w:w="0" w:type="dxa"/>
          <w:left w:w="0" w:type="dxa"/>
          <w:bottom w:w="0" w:type="dxa"/>
          <w:right w:w="0" w:type="dxa"/>
        </w:tblCellMar>
        <w:tblLook w:val="01E0"/>
      </w:tblPr>
      <w:tblGrid>
        <w:gridCol w:w="2184"/>
        <w:gridCol w:w="1462"/>
      </w:tblGrid>
      <w:tr>
        <w:trPr>
          <w:trHeight w:val="355" w:hRule="exact"/>
        </w:trPr>
        <w:tc>
          <w:tcPr>
            <w:tcW w:w="2184" w:type="dxa"/>
            <w:tcBorders>
              <w:top w:val="single" w:sz="4" w:space="0" w:color="A4A4A4"/>
              <w:left w:val="single" w:sz="4" w:space="0" w:color="A4A4A4"/>
              <w:bottom w:val="single" w:sz="4" w:space="0" w:color="A4A4A4"/>
              <w:right w:val="nil"/>
            </w:tcBorders>
            <w:shd w:val="clear" w:color="auto" w:fill="808080"/>
          </w:tcPr>
          <w:p>
            <w:pPr>
              <w:pStyle w:val="TableParagraph"/>
              <w:spacing w:line="227" w:lineRule="exact"/>
              <w:ind w:left="619"/>
              <w:jc w:val="left"/>
              <w:rPr>
                <w:sz w:val="20"/>
              </w:rPr>
            </w:pPr>
            <w:r>
              <w:rPr>
                <w:color w:val="FFFFFF"/>
                <w:sz w:val="20"/>
              </w:rPr>
              <w:t>Parámetro</w:t>
            </w:r>
          </w:p>
        </w:tc>
        <w:tc>
          <w:tcPr>
            <w:tcW w:w="1462" w:type="dxa"/>
            <w:tcBorders>
              <w:top w:val="single" w:sz="4" w:space="0" w:color="A4A4A4"/>
              <w:left w:val="nil"/>
              <w:bottom w:val="single" w:sz="4" w:space="0" w:color="A4A4A4"/>
              <w:right w:val="single" w:sz="4" w:space="0" w:color="A4A4A4"/>
            </w:tcBorders>
            <w:shd w:val="clear" w:color="auto" w:fill="808080"/>
          </w:tcPr>
          <w:p>
            <w:pPr>
              <w:pStyle w:val="TableParagraph"/>
              <w:spacing w:line="227" w:lineRule="exact"/>
              <w:ind w:left="476" w:right="474"/>
              <w:rPr>
                <w:sz w:val="20"/>
              </w:rPr>
            </w:pPr>
            <w:r>
              <w:rPr>
                <w:color w:val="FFFFFF"/>
                <w:sz w:val="20"/>
              </w:rPr>
              <w:t>Valor</w:t>
            </w:r>
          </w:p>
        </w:tc>
      </w:tr>
      <w:tr>
        <w:trPr>
          <w:trHeight w:val="353" w:hRule="exact"/>
        </w:trPr>
        <w:tc>
          <w:tcPr>
            <w:tcW w:w="2184" w:type="dxa"/>
            <w:tcBorders>
              <w:top w:val="single" w:sz="4" w:space="0" w:color="A4A4A4"/>
            </w:tcBorders>
          </w:tcPr>
          <w:p>
            <w:pPr>
              <w:pStyle w:val="TableParagraph"/>
              <w:spacing w:line="227" w:lineRule="exact"/>
              <w:jc w:val="left"/>
              <w:rPr>
                <w:sz w:val="20"/>
              </w:rPr>
            </w:pPr>
            <w:r>
              <w:rPr>
                <w:sz w:val="20"/>
              </w:rPr>
              <w:t>Temperatura de venta</w:t>
            </w:r>
          </w:p>
        </w:tc>
        <w:tc>
          <w:tcPr>
            <w:tcW w:w="1462" w:type="dxa"/>
            <w:tcBorders>
              <w:top w:val="single" w:sz="4" w:space="0" w:color="A4A4A4"/>
            </w:tcBorders>
          </w:tcPr>
          <w:p>
            <w:pPr>
              <w:pStyle w:val="TableParagraph"/>
              <w:spacing w:line="227" w:lineRule="exact"/>
              <w:jc w:val="left"/>
              <w:rPr>
                <w:sz w:val="20"/>
              </w:rPr>
            </w:pPr>
            <w:r>
              <w:rPr>
                <w:sz w:val="20"/>
              </w:rPr>
              <w:t>7.8-26.2 °C</w:t>
            </w:r>
          </w:p>
        </w:tc>
      </w:tr>
      <w:tr>
        <w:trPr>
          <w:trHeight w:val="356" w:hRule="exact"/>
        </w:trPr>
        <w:tc>
          <w:tcPr>
            <w:tcW w:w="2184" w:type="dxa"/>
          </w:tcPr>
          <w:p>
            <w:pPr>
              <w:pStyle w:val="TableParagraph"/>
              <w:spacing w:line="230" w:lineRule="exact"/>
              <w:jc w:val="left"/>
              <w:rPr>
                <w:sz w:val="20"/>
              </w:rPr>
            </w:pPr>
            <w:r>
              <w:rPr>
                <w:sz w:val="20"/>
              </w:rPr>
              <w:t>pH</w:t>
            </w:r>
          </w:p>
        </w:tc>
        <w:tc>
          <w:tcPr>
            <w:tcW w:w="1462" w:type="dxa"/>
          </w:tcPr>
          <w:p>
            <w:pPr>
              <w:pStyle w:val="TableParagraph"/>
              <w:spacing w:line="230" w:lineRule="exact"/>
              <w:jc w:val="left"/>
              <w:rPr>
                <w:sz w:val="20"/>
              </w:rPr>
            </w:pPr>
            <w:r>
              <w:rPr>
                <w:sz w:val="20"/>
              </w:rPr>
              <w:t>4.84-6.07</w:t>
            </w:r>
          </w:p>
        </w:tc>
      </w:tr>
      <w:tr>
        <w:trPr>
          <w:trHeight w:val="355" w:hRule="exact"/>
        </w:trPr>
        <w:tc>
          <w:tcPr>
            <w:tcW w:w="2184" w:type="dxa"/>
          </w:tcPr>
          <w:p>
            <w:pPr>
              <w:pStyle w:val="TableParagraph"/>
              <w:spacing w:line="230" w:lineRule="exact"/>
              <w:jc w:val="left"/>
              <w:rPr>
                <w:sz w:val="20"/>
              </w:rPr>
            </w:pPr>
            <w:r>
              <w:rPr>
                <w:sz w:val="20"/>
              </w:rPr>
              <w:t>Forma</w:t>
            </w:r>
          </w:p>
        </w:tc>
        <w:tc>
          <w:tcPr>
            <w:tcW w:w="1462" w:type="dxa"/>
          </w:tcPr>
          <w:p>
            <w:pPr>
              <w:pStyle w:val="TableParagraph"/>
              <w:spacing w:line="230" w:lineRule="exact"/>
              <w:jc w:val="left"/>
              <w:rPr>
                <w:sz w:val="20"/>
              </w:rPr>
            </w:pPr>
            <w:r>
              <w:rPr>
                <w:sz w:val="20"/>
              </w:rPr>
              <w:t>Circular</w:t>
            </w:r>
          </w:p>
        </w:tc>
      </w:tr>
      <w:tr>
        <w:trPr>
          <w:trHeight w:val="355" w:hRule="exact"/>
        </w:trPr>
        <w:tc>
          <w:tcPr>
            <w:tcW w:w="2184" w:type="dxa"/>
          </w:tcPr>
          <w:p>
            <w:pPr>
              <w:pStyle w:val="TableParagraph"/>
              <w:spacing w:line="227" w:lineRule="exact"/>
              <w:jc w:val="left"/>
              <w:rPr>
                <w:sz w:val="20"/>
              </w:rPr>
            </w:pPr>
            <w:r>
              <w:rPr>
                <w:sz w:val="20"/>
              </w:rPr>
              <w:t>Peso</w:t>
            </w:r>
          </w:p>
        </w:tc>
        <w:tc>
          <w:tcPr>
            <w:tcW w:w="1462" w:type="dxa"/>
          </w:tcPr>
          <w:p>
            <w:pPr>
              <w:pStyle w:val="TableParagraph"/>
              <w:spacing w:line="227" w:lineRule="exact"/>
              <w:jc w:val="left"/>
              <w:rPr>
                <w:sz w:val="20"/>
              </w:rPr>
            </w:pPr>
            <w:r>
              <w:rPr>
                <w:sz w:val="20"/>
              </w:rPr>
              <w:t>100-250 gr.</w:t>
            </w:r>
          </w:p>
        </w:tc>
      </w:tr>
      <w:tr>
        <w:trPr>
          <w:trHeight w:val="355" w:hRule="exact"/>
        </w:trPr>
        <w:tc>
          <w:tcPr>
            <w:tcW w:w="2184" w:type="dxa"/>
          </w:tcPr>
          <w:p>
            <w:pPr>
              <w:pStyle w:val="TableParagraph"/>
              <w:spacing w:line="227" w:lineRule="exact"/>
              <w:jc w:val="left"/>
              <w:rPr>
                <w:sz w:val="20"/>
              </w:rPr>
            </w:pPr>
            <w:r>
              <w:rPr>
                <w:sz w:val="20"/>
              </w:rPr>
              <w:t>Humedad</w:t>
            </w:r>
          </w:p>
        </w:tc>
        <w:tc>
          <w:tcPr>
            <w:tcW w:w="1462" w:type="dxa"/>
          </w:tcPr>
          <w:p>
            <w:pPr>
              <w:pStyle w:val="TableParagraph"/>
              <w:spacing w:line="227" w:lineRule="exact"/>
              <w:jc w:val="left"/>
              <w:rPr>
                <w:sz w:val="20"/>
              </w:rPr>
            </w:pPr>
            <w:r>
              <w:rPr>
                <w:sz w:val="20"/>
              </w:rPr>
              <w:t>42.71-66.66%</w:t>
            </w:r>
          </w:p>
        </w:tc>
      </w:tr>
      <w:tr>
        <w:trPr>
          <w:trHeight w:val="355" w:hRule="exact"/>
        </w:trPr>
        <w:tc>
          <w:tcPr>
            <w:tcW w:w="2184" w:type="dxa"/>
          </w:tcPr>
          <w:p>
            <w:pPr>
              <w:pStyle w:val="TableParagraph"/>
              <w:spacing w:line="227" w:lineRule="exact"/>
              <w:jc w:val="left"/>
              <w:rPr>
                <w:sz w:val="20"/>
              </w:rPr>
            </w:pPr>
            <w:r>
              <w:rPr>
                <w:sz w:val="20"/>
              </w:rPr>
              <w:t>Materia seca</w:t>
            </w:r>
          </w:p>
        </w:tc>
        <w:tc>
          <w:tcPr>
            <w:tcW w:w="1462" w:type="dxa"/>
          </w:tcPr>
          <w:p>
            <w:pPr>
              <w:pStyle w:val="TableParagraph"/>
              <w:spacing w:line="227" w:lineRule="exact"/>
              <w:jc w:val="left"/>
              <w:rPr>
                <w:sz w:val="20"/>
              </w:rPr>
            </w:pPr>
            <w:r>
              <w:rPr>
                <w:sz w:val="20"/>
              </w:rPr>
              <w:t>1.678-3.3841</w:t>
            </w:r>
          </w:p>
        </w:tc>
      </w:tr>
      <w:tr>
        <w:trPr>
          <w:trHeight w:val="355" w:hRule="exact"/>
        </w:trPr>
        <w:tc>
          <w:tcPr>
            <w:tcW w:w="2184" w:type="dxa"/>
          </w:tcPr>
          <w:p>
            <w:pPr>
              <w:pStyle w:val="TableParagraph"/>
              <w:spacing w:line="227" w:lineRule="exact"/>
              <w:jc w:val="left"/>
              <w:rPr>
                <w:sz w:val="20"/>
              </w:rPr>
            </w:pPr>
            <w:r>
              <w:rPr>
                <w:sz w:val="20"/>
              </w:rPr>
              <w:t>Cenizas</w:t>
            </w:r>
          </w:p>
        </w:tc>
        <w:tc>
          <w:tcPr>
            <w:tcW w:w="1462" w:type="dxa"/>
          </w:tcPr>
          <w:p>
            <w:pPr>
              <w:pStyle w:val="TableParagraph"/>
              <w:spacing w:line="227" w:lineRule="exact"/>
              <w:jc w:val="left"/>
              <w:rPr>
                <w:sz w:val="20"/>
              </w:rPr>
            </w:pPr>
            <w:r>
              <w:rPr>
                <w:sz w:val="20"/>
              </w:rPr>
              <w:t>2.65-5.24%</w:t>
            </w:r>
          </w:p>
        </w:tc>
      </w:tr>
      <w:tr>
        <w:trPr>
          <w:trHeight w:val="355" w:hRule="exact"/>
        </w:trPr>
        <w:tc>
          <w:tcPr>
            <w:tcW w:w="2184" w:type="dxa"/>
          </w:tcPr>
          <w:p>
            <w:pPr>
              <w:pStyle w:val="TableParagraph"/>
              <w:spacing w:line="227" w:lineRule="exact"/>
              <w:jc w:val="left"/>
              <w:rPr>
                <w:sz w:val="20"/>
              </w:rPr>
            </w:pPr>
            <w:r>
              <w:rPr>
                <w:sz w:val="20"/>
              </w:rPr>
              <w:t>NaCl</w:t>
            </w:r>
          </w:p>
        </w:tc>
        <w:tc>
          <w:tcPr>
            <w:tcW w:w="1462" w:type="dxa"/>
          </w:tcPr>
          <w:p>
            <w:pPr>
              <w:pStyle w:val="TableParagraph"/>
              <w:spacing w:line="227" w:lineRule="exact"/>
              <w:jc w:val="left"/>
              <w:rPr>
                <w:sz w:val="20"/>
              </w:rPr>
            </w:pPr>
            <w:r>
              <w:rPr>
                <w:sz w:val="20"/>
              </w:rPr>
              <w:t>0.29-1.44%</w:t>
            </w:r>
          </w:p>
        </w:tc>
      </w:tr>
      <w:tr>
        <w:trPr>
          <w:trHeight w:val="355" w:hRule="exact"/>
        </w:trPr>
        <w:tc>
          <w:tcPr>
            <w:tcW w:w="2184" w:type="dxa"/>
          </w:tcPr>
          <w:p>
            <w:pPr>
              <w:pStyle w:val="TableParagraph"/>
              <w:spacing w:line="227" w:lineRule="exact"/>
              <w:jc w:val="left"/>
              <w:rPr>
                <w:sz w:val="20"/>
              </w:rPr>
            </w:pPr>
            <w:r>
              <w:rPr>
                <w:sz w:val="20"/>
              </w:rPr>
              <w:t>Proteínas</w:t>
            </w:r>
          </w:p>
        </w:tc>
        <w:tc>
          <w:tcPr>
            <w:tcW w:w="1462" w:type="dxa"/>
          </w:tcPr>
          <w:p>
            <w:pPr>
              <w:pStyle w:val="TableParagraph"/>
              <w:spacing w:line="227" w:lineRule="exact"/>
              <w:jc w:val="left"/>
              <w:rPr>
                <w:sz w:val="20"/>
              </w:rPr>
            </w:pPr>
            <w:r>
              <w:rPr>
                <w:sz w:val="20"/>
              </w:rPr>
              <w:t>16.81-26.62%</w:t>
            </w:r>
          </w:p>
        </w:tc>
      </w:tr>
      <w:tr>
        <w:trPr>
          <w:trHeight w:val="355" w:hRule="exact"/>
        </w:trPr>
        <w:tc>
          <w:tcPr>
            <w:tcW w:w="2184" w:type="dxa"/>
          </w:tcPr>
          <w:p>
            <w:pPr>
              <w:pStyle w:val="TableParagraph"/>
              <w:spacing w:line="227" w:lineRule="exact"/>
              <w:jc w:val="left"/>
              <w:rPr>
                <w:sz w:val="20"/>
              </w:rPr>
            </w:pPr>
            <w:r>
              <w:rPr>
                <w:sz w:val="20"/>
              </w:rPr>
              <w:t>Grasa</w:t>
            </w:r>
          </w:p>
        </w:tc>
        <w:tc>
          <w:tcPr>
            <w:tcW w:w="1462" w:type="dxa"/>
          </w:tcPr>
          <w:p>
            <w:pPr>
              <w:pStyle w:val="TableParagraph"/>
              <w:spacing w:line="227" w:lineRule="exact"/>
              <w:jc w:val="left"/>
              <w:rPr>
                <w:sz w:val="20"/>
              </w:rPr>
            </w:pPr>
            <w:r>
              <w:rPr>
                <w:sz w:val="20"/>
              </w:rPr>
              <w:t>12-32 %</w:t>
            </w:r>
          </w:p>
        </w:tc>
      </w:tr>
    </w:tbl>
    <w:p>
      <w:pPr>
        <w:spacing w:after="0" w:line="227" w:lineRule="exact"/>
        <w:jc w:val="left"/>
        <w:rPr>
          <w:sz w:val="20"/>
        </w:rPr>
        <w:sectPr>
          <w:footerReference w:type="default" r:id="rId42"/>
          <w:pgSz w:w="12240" w:h="15840"/>
          <w:pgMar w:footer="710" w:header="728" w:top="1200" w:bottom="900" w:left="1560" w:right="920"/>
          <w:pgNumType w:start="51"/>
        </w:sectPr>
      </w:pPr>
    </w:p>
    <w:p>
      <w:pPr>
        <w:pStyle w:val="BodyText"/>
        <w:spacing w:before="9"/>
        <w:rPr>
          <w:sz w:val="12"/>
        </w:rPr>
      </w:pPr>
    </w:p>
    <w:p>
      <w:pPr>
        <w:pStyle w:val="BodyText"/>
        <w:spacing w:line="276" w:lineRule="auto" w:before="70"/>
        <w:ind w:left="142" w:right="80"/>
      </w:pPr>
      <w:r>
        <w:rPr/>
        <w:t>Asimismo se muestran las medias de los resultados obtenidos de cada parámetro para los municipios como se muestra en la cuadro 12.</w:t>
      </w:r>
    </w:p>
    <w:p>
      <w:pPr>
        <w:pStyle w:val="BodyText"/>
        <w:spacing w:before="10"/>
        <w:rPr>
          <w:sz w:val="20"/>
        </w:rPr>
      </w:pPr>
    </w:p>
    <w:p>
      <w:pPr>
        <w:pStyle w:val="BodyText"/>
        <w:spacing w:line="278" w:lineRule="auto"/>
        <w:ind w:left="142" w:right="80"/>
      </w:pPr>
      <w:r>
        <w:rPr/>
        <w:t>Cuadro 12: Valores de parámetros fisicoquímicos en los quesos frescos por municipio.</w:t>
      </w:r>
    </w:p>
    <w:p>
      <w:pPr>
        <w:pStyle w:val="BodyText"/>
        <w:spacing w:before="4" w:after="1"/>
        <w:rPr>
          <w:sz w:val="10"/>
        </w:rPr>
      </w:pPr>
    </w:p>
    <w:tbl>
      <w:tblPr>
        <w:tblW w:w="0" w:type="auto"/>
        <w:jc w:val="left"/>
        <w:tblInd w:w="142"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1318"/>
        <w:gridCol w:w="989"/>
        <w:gridCol w:w="997"/>
        <w:gridCol w:w="989"/>
        <w:gridCol w:w="876"/>
        <w:gridCol w:w="876"/>
        <w:gridCol w:w="991"/>
        <w:gridCol w:w="989"/>
        <w:gridCol w:w="1042"/>
      </w:tblGrid>
      <w:tr>
        <w:trPr>
          <w:trHeight w:val="367" w:hRule="exact"/>
        </w:trPr>
        <w:tc>
          <w:tcPr>
            <w:tcW w:w="9066" w:type="dxa"/>
            <w:gridSpan w:val="9"/>
            <w:tcBorders>
              <w:top w:val="single" w:sz="4" w:space="0" w:color="000000"/>
              <w:left w:val="single" w:sz="4" w:space="0" w:color="000000"/>
              <w:bottom w:val="single" w:sz="4" w:space="0" w:color="000000"/>
              <w:right w:val="single" w:sz="4" w:space="0" w:color="000000"/>
            </w:tcBorders>
            <w:shd w:val="clear" w:color="auto" w:fill="808080"/>
          </w:tcPr>
          <w:p>
            <w:pPr>
              <w:pStyle w:val="TableParagraph"/>
              <w:spacing w:line="206" w:lineRule="exact"/>
              <w:ind w:left="3943" w:right="3943"/>
              <w:rPr>
                <w:sz w:val="18"/>
              </w:rPr>
            </w:pPr>
            <w:r>
              <w:rPr>
                <w:color w:val="FFFFFF"/>
                <w:sz w:val="18"/>
              </w:rPr>
              <w:t>Queso Fresco</w:t>
            </w:r>
          </w:p>
        </w:tc>
      </w:tr>
      <w:tr>
        <w:trPr>
          <w:trHeight w:val="607" w:hRule="exact"/>
        </w:trPr>
        <w:tc>
          <w:tcPr>
            <w:tcW w:w="1318" w:type="dxa"/>
            <w:tcBorders>
              <w:top w:val="single" w:sz="4" w:space="0" w:color="000000"/>
            </w:tcBorders>
          </w:tcPr>
          <w:p>
            <w:pPr/>
          </w:p>
        </w:tc>
        <w:tc>
          <w:tcPr>
            <w:tcW w:w="989" w:type="dxa"/>
            <w:tcBorders>
              <w:top w:val="single" w:sz="4" w:space="0" w:color="000000"/>
            </w:tcBorders>
          </w:tcPr>
          <w:p>
            <w:pPr>
              <w:pStyle w:val="TableParagraph"/>
              <w:spacing w:line="206" w:lineRule="exact"/>
              <w:ind w:left="119" w:right="118"/>
              <w:rPr>
                <w:sz w:val="18"/>
              </w:rPr>
            </w:pPr>
            <w:r>
              <w:rPr>
                <w:sz w:val="18"/>
              </w:rPr>
              <w:t>pH</w:t>
            </w:r>
          </w:p>
        </w:tc>
        <w:tc>
          <w:tcPr>
            <w:tcW w:w="997" w:type="dxa"/>
            <w:tcBorders>
              <w:top w:val="single" w:sz="4" w:space="0" w:color="000000"/>
            </w:tcBorders>
          </w:tcPr>
          <w:p>
            <w:pPr>
              <w:pStyle w:val="TableParagraph"/>
              <w:spacing w:line="206" w:lineRule="exact"/>
              <w:ind w:left="83" w:right="82"/>
              <w:rPr>
                <w:sz w:val="18"/>
              </w:rPr>
            </w:pPr>
            <w:r>
              <w:rPr>
                <w:sz w:val="18"/>
              </w:rPr>
              <w:t>Humedad</w:t>
            </w:r>
          </w:p>
        </w:tc>
        <w:tc>
          <w:tcPr>
            <w:tcW w:w="989" w:type="dxa"/>
            <w:tcBorders>
              <w:top w:val="single" w:sz="4" w:space="0" w:color="000000"/>
            </w:tcBorders>
          </w:tcPr>
          <w:p>
            <w:pPr>
              <w:pStyle w:val="TableParagraph"/>
              <w:spacing w:line="276" w:lineRule="auto"/>
              <w:ind w:left="300" w:hanging="111"/>
              <w:jc w:val="left"/>
              <w:rPr>
                <w:sz w:val="18"/>
              </w:rPr>
            </w:pPr>
            <w:r>
              <w:rPr>
                <w:w w:val="95"/>
                <w:sz w:val="18"/>
              </w:rPr>
              <w:t>Materia </w:t>
            </w:r>
            <w:r>
              <w:rPr>
                <w:sz w:val="18"/>
              </w:rPr>
              <w:t>seca</w:t>
            </w:r>
          </w:p>
        </w:tc>
        <w:tc>
          <w:tcPr>
            <w:tcW w:w="876" w:type="dxa"/>
            <w:tcBorders>
              <w:top w:val="single" w:sz="4" w:space="0" w:color="000000"/>
            </w:tcBorders>
          </w:tcPr>
          <w:p>
            <w:pPr>
              <w:pStyle w:val="TableParagraph"/>
              <w:spacing w:line="206" w:lineRule="exact"/>
              <w:ind w:left="88" w:right="88"/>
              <w:rPr>
                <w:sz w:val="18"/>
              </w:rPr>
            </w:pPr>
            <w:r>
              <w:rPr>
                <w:sz w:val="18"/>
              </w:rPr>
              <w:t>Cenizas</w:t>
            </w:r>
          </w:p>
        </w:tc>
        <w:tc>
          <w:tcPr>
            <w:tcW w:w="876" w:type="dxa"/>
            <w:tcBorders>
              <w:top w:val="single" w:sz="4" w:space="0" w:color="000000"/>
            </w:tcBorders>
          </w:tcPr>
          <w:p>
            <w:pPr>
              <w:pStyle w:val="TableParagraph"/>
              <w:spacing w:line="206" w:lineRule="exact"/>
              <w:ind w:left="113" w:right="113"/>
              <w:rPr>
                <w:sz w:val="18"/>
              </w:rPr>
            </w:pPr>
            <w:r>
              <w:rPr>
                <w:sz w:val="18"/>
              </w:rPr>
              <w:t>NaCl</w:t>
            </w:r>
          </w:p>
        </w:tc>
        <w:tc>
          <w:tcPr>
            <w:tcW w:w="991" w:type="dxa"/>
            <w:tcBorders>
              <w:top w:val="single" w:sz="4" w:space="0" w:color="000000"/>
            </w:tcBorders>
          </w:tcPr>
          <w:p>
            <w:pPr>
              <w:pStyle w:val="TableParagraph"/>
              <w:spacing w:line="206" w:lineRule="exact"/>
              <w:ind w:left="120" w:right="121"/>
              <w:rPr>
                <w:sz w:val="18"/>
              </w:rPr>
            </w:pPr>
            <w:r>
              <w:rPr>
                <w:sz w:val="18"/>
              </w:rPr>
              <w:t>Proteína</w:t>
            </w:r>
          </w:p>
        </w:tc>
        <w:tc>
          <w:tcPr>
            <w:tcW w:w="989" w:type="dxa"/>
            <w:tcBorders>
              <w:top w:val="single" w:sz="4" w:space="0" w:color="000000"/>
            </w:tcBorders>
          </w:tcPr>
          <w:p>
            <w:pPr>
              <w:pStyle w:val="TableParagraph"/>
              <w:spacing w:line="206" w:lineRule="exact"/>
              <w:ind w:left="118" w:right="120"/>
              <w:rPr>
                <w:sz w:val="18"/>
              </w:rPr>
            </w:pPr>
            <w:r>
              <w:rPr>
                <w:sz w:val="18"/>
              </w:rPr>
              <w:t>Grasa</w:t>
            </w:r>
          </w:p>
        </w:tc>
        <w:tc>
          <w:tcPr>
            <w:tcW w:w="1042" w:type="dxa"/>
            <w:tcBorders>
              <w:top w:val="single" w:sz="4" w:space="0" w:color="000000"/>
            </w:tcBorders>
          </w:tcPr>
          <w:p>
            <w:pPr>
              <w:pStyle w:val="TableParagraph"/>
              <w:spacing w:line="206" w:lineRule="exact"/>
              <w:ind w:left="120" w:right="120"/>
              <w:rPr>
                <w:sz w:val="18"/>
              </w:rPr>
            </w:pPr>
            <w:r>
              <w:rPr>
                <w:sz w:val="18"/>
              </w:rPr>
              <w:t>Peso</w:t>
            </w:r>
          </w:p>
        </w:tc>
      </w:tr>
      <w:tr>
        <w:trPr>
          <w:trHeight w:val="367" w:hRule="exact"/>
        </w:trPr>
        <w:tc>
          <w:tcPr>
            <w:tcW w:w="1318" w:type="dxa"/>
          </w:tcPr>
          <w:p>
            <w:pPr>
              <w:pStyle w:val="TableParagraph"/>
              <w:spacing w:line="206" w:lineRule="exact"/>
              <w:ind w:right="194"/>
              <w:jc w:val="left"/>
              <w:rPr>
                <w:sz w:val="18"/>
              </w:rPr>
            </w:pPr>
            <w:r>
              <w:rPr>
                <w:sz w:val="18"/>
              </w:rPr>
              <w:t>Aculco</w:t>
            </w:r>
          </w:p>
        </w:tc>
        <w:tc>
          <w:tcPr>
            <w:tcW w:w="989" w:type="dxa"/>
          </w:tcPr>
          <w:p>
            <w:pPr>
              <w:pStyle w:val="TableParagraph"/>
              <w:spacing w:line="206" w:lineRule="exact"/>
              <w:ind w:left="119" w:right="118"/>
              <w:rPr>
                <w:sz w:val="18"/>
              </w:rPr>
            </w:pPr>
            <w:r>
              <w:rPr>
                <w:sz w:val="18"/>
              </w:rPr>
              <w:t>5.2</w:t>
            </w:r>
          </w:p>
        </w:tc>
        <w:tc>
          <w:tcPr>
            <w:tcW w:w="997" w:type="dxa"/>
          </w:tcPr>
          <w:p>
            <w:pPr>
              <w:pStyle w:val="TableParagraph"/>
              <w:spacing w:line="206" w:lineRule="exact"/>
              <w:ind w:left="83" w:right="81"/>
              <w:rPr>
                <w:sz w:val="18"/>
              </w:rPr>
            </w:pPr>
            <w:r>
              <w:rPr>
                <w:sz w:val="18"/>
              </w:rPr>
              <w:t>48</w:t>
            </w:r>
          </w:p>
        </w:tc>
        <w:tc>
          <w:tcPr>
            <w:tcW w:w="989" w:type="dxa"/>
          </w:tcPr>
          <w:p>
            <w:pPr>
              <w:pStyle w:val="TableParagraph"/>
              <w:spacing w:line="206" w:lineRule="exact"/>
              <w:ind w:left="119" w:right="119"/>
              <w:rPr>
                <w:sz w:val="18"/>
              </w:rPr>
            </w:pPr>
            <w:r>
              <w:rPr>
                <w:sz w:val="18"/>
              </w:rPr>
              <w:t>51.9</w:t>
            </w:r>
          </w:p>
        </w:tc>
        <w:tc>
          <w:tcPr>
            <w:tcW w:w="876" w:type="dxa"/>
          </w:tcPr>
          <w:p>
            <w:pPr>
              <w:pStyle w:val="TableParagraph"/>
              <w:spacing w:line="206" w:lineRule="exact"/>
              <w:ind w:left="87" w:right="88"/>
              <w:rPr>
                <w:sz w:val="18"/>
              </w:rPr>
            </w:pPr>
            <w:r>
              <w:rPr>
                <w:sz w:val="18"/>
              </w:rPr>
              <w:t>3.3</w:t>
            </w:r>
          </w:p>
        </w:tc>
        <w:tc>
          <w:tcPr>
            <w:tcW w:w="876" w:type="dxa"/>
          </w:tcPr>
          <w:p>
            <w:pPr>
              <w:pStyle w:val="TableParagraph"/>
              <w:spacing w:line="206" w:lineRule="exact"/>
              <w:ind w:left="113" w:right="114"/>
              <w:rPr>
                <w:sz w:val="18"/>
              </w:rPr>
            </w:pPr>
            <w:r>
              <w:rPr>
                <w:sz w:val="18"/>
              </w:rPr>
              <w:t>0.7</w:t>
            </w:r>
          </w:p>
        </w:tc>
        <w:tc>
          <w:tcPr>
            <w:tcW w:w="991" w:type="dxa"/>
          </w:tcPr>
          <w:p>
            <w:pPr>
              <w:pStyle w:val="TableParagraph"/>
              <w:spacing w:line="206" w:lineRule="exact"/>
              <w:ind w:left="120" w:right="121"/>
              <w:rPr>
                <w:sz w:val="18"/>
              </w:rPr>
            </w:pPr>
            <w:r>
              <w:rPr>
                <w:sz w:val="18"/>
              </w:rPr>
              <w:t>19.3</w:t>
            </w:r>
          </w:p>
        </w:tc>
        <w:tc>
          <w:tcPr>
            <w:tcW w:w="989" w:type="dxa"/>
          </w:tcPr>
          <w:p>
            <w:pPr>
              <w:pStyle w:val="TableParagraph"/>
              <w:spacing w:line="206" w:lineRule="exact"/>
              <w:ind w:left="118" w:right="121"/>
              <w:rPr>
                <w:sz w:val="18"/>
              </w:rPr>
            </w:pPr>
            <w:r>
              <w:rPr>
                <w:sz w:val="18"/>
              </w:rPr>
              <w:t>22</w:t>
            </w:r>
          </w:p>
        </w:tc>
        <w:tc>
          <w:tcPr>
            <w:tcW w:w="1042" w:type="dxa"/>
          </w:tcPr>
          <w:p>
            <w:pPr>
              <w:pStyle w:val="TableParagraph"/>
              <w:spacing w:line="206" w:lineRule="exact"/>
              <w:ind w:left="120" w:right="120"/>
              <w:rPr>
                <w:sz w:val="18"/>
              </w:rPr>
            </w:pPr>
            <w:r>
              <w:rPr>
                <w:sz w:val="18"/>
              </w:rPr>
              <w:t>185</w:t>
            </w:r>
          </w:p>
        </w:tc>
      </w:tr>
      <w:tr>
        <w:trPr>
          <w:trHeight w:val="608" w:hRule="exact"/>
        </w:trPr>
        <w:tc>
          <w:tcPr>
            <w:tcW w:w="1318" w:type="dxa"/>
          </w:tcPr>
          <w:p>
            <w:pPr>
              <w:pStyle w:val="TableParagraph"/>
              <w:spacing w:line="276" w:lineRule="auto"/>
              <w:ind w:right="194"/>
              <w:jc w:val="left"/>
              <w:rPr>
                <w:sz w:val="18"/>
              </w:rPr>
            </w:pPr>
            <w:r>
              <w:rPr>
                <w:sz w:val="18"/>
              </w:rPr>
              <w:t>Almoloya de Juárez</w:t>
            </w:r>
          </w:p>
        </w:tc>
        <w:tc>
          <w:tcPr>
            <w:tcW w:w="989" w:type="dxa"/>
          </w:tcPr>
          <w:p>
            <w:pPr>
              <w:pStyle w:val="TableParagraph"/>
              <w:spacing w:line="206" w:lineRule="exact"/>
              <w:ind w:left="119" w:right="118"/>
              <w:rPr>
                <w:sz w:val="18"/>
              </w:rPr>
            </w:pPr>
            <w:r>
              <w:rPr>
                <w:sz w:val="18"/>
              </w:rPr>
              <w:t>5.4</w:t>
            </w:r>
          </w:p>
        </w:tc>
        <w:tc>
          <w:tcPr>
            <w:tcW w:w="997" w:type="dxa"/>
          </w:tcPr>
          <w:p>
            <w:pPr>
              <w:pStyle w:val="TableParagraph"/>
              <w:spacing w:line="206" w:lineRule="exact"/>
              <w:ind w:left="83" w:right="81"/>
              <w:rPr>
                <w:sz w:val="18"/>
              </w:rPr>
            </w:pPr>
            <w:r>
              <w:rPr>
                <w:sz w:val="18"/>
              </w:rPr>
              <w:t>48</w:t>
            </w:r>
          </w:p>
        </w:tc>
        <w:tc>
          <w:tcPr>
            <w:tcW w:w="989" w:type="dxa"/>
          </w:tcPr>
          <w:p>
            <w:pPr>
              <w:pStyle w:val="TableParagraph"/>
              <w:spacing w:line="206" w:lineRule="exact"/>
              <w:ind w:left="119" w:right="119"/>
              <w:rPr>
                <w:sz w:val="18"/>
              </w:rPr>
            </w:pPr>
            <w:r>
              <w:rPr>
                <w:sz w:val="18"/>
              </w:rPr>
              <w:t>51.3</w:t>
            </w:r>
          </w:p>
        </w:tc>
        <w:tc>
          <w:tcPr>
            <w:tcW w:w="876" w:type="dxa"/>
          </w:tcPr>
          <w:p>
            <w:pPr>
              <w:pStyle w:val="TableParagraph"/>
              <w:spacing w:line="206" w:lineRule="exact"/>
              <w:ind w:left="87" w:right="88"/>
              <w:rPr>
                <w:sz w:val="18"/>
              </w:rPr>
            </w:pPr>
            <w:r>
              <w:rPr>
                <w:sz w:val="18"/>
              </w:rPr>
              <w:t>3.4</w:t>
            </w:r>
          </w:p>
        </w:tc>
        <w:tc>
          <w:tcPr>
            <w:tcW w:w="876" w:type="dxa"/>
          </w:tcPr>
          <w:p>
            <w:pPr>
              <w:pStyle w:val="TableParagraph"/>
              <w:spacing w:line="206" w:lineRule="exact"/>
              <w:ind w:left="113" w:right="114"/>
              <w:rPr>
                <w:sz w:val="18"/>
              </w:rPr>
            </w:pPr>
            <w:r>
              <w:rPr>
                <w:sz w:val="18"/>
              </w:rPr>
              <w:t>0.8</w:t>
            </w:r>
          </w:p>
        </w:tc>
        <w:tc>
          <w:tcPr>
            <w:tcW w:w="991" w:type="dxa"/>
          </w:tcPr>
          <w:p>
            <w:pPr>
              <w:pStyle w:val="TableParagraph"/>
              <w:spacing w:line="206" w:lineRule="exact"/>
              <w:ind w:left="120" w:right="121"/>
              <w:rPr>
                <w:sz w:val="18"/>
              </w:rPr>
            </w:pPr>
            <w:r>
              <w:rPr>
                <w:sz w:val="18"/>
              </w:rPr>
              <w:t>21.5</w:t>
            </w:r>
          </w:p>
        </w:tc>
        <w:tc>
          <w:tcPr>
            <w:tcW w:w="989" w:type="dxa"/>
          </w:tcPr>
          <w:p>
            <w:pPr>
              <w:pStyle w:val="TableParagraph"/>
              <w:spacing w:line="206" w:lineRule="exact"/>
              <w:ind w:left="118" w:right="121"/>
              <w:rPr>
                <w:sz w:val="18"/>
              </w:rPr>
            </w:pPr>
            <w:r>
              <w:rPr>
                <w:sz w:val="18"/>
              </w:rPr>
              <w:t>21</w:t>
            </w:r>
          </w:p>
        </w:tc>
        <w:tc>
          <w:tcPr>
            <w:tcW w:w="1042" w:type="dxa"/>
          </w:tcPr>
          <w:p>
            <w:pPr>
              <w:pStyle w:val="TableParagraph"/>
              <w:spacing w:line="206" w:lineRule="exact"/>
              <w:ind w:left="120" w:right="120"/>
              <w:rPr>
                <w:sz w:val="18"/>
              </w:rPr>
            </w:pPr>
            <w:r>
              <w:rPr>
                <w:sz w:val="18"/>
              </w:rPr>
              <w:t>180</w:t>
            </w:r>
          </w:p>
        </w:tc>
      </w:tr>
      <w:tr>
        <w:trPr>
          <w:trHeight w:val="367" w:hRule="exact"/>
        </w:trPr>
        <w:tc>
          <w:tcPr>
            <w:tcW w:w="1318" w:type="dxa"/>
          </w:tcPr>
          <w:p>
            <w:pPr>
              <w:pStyle w:val="TableParagraph"/>
              <w:spacing w:line="206" w:lineRule="exact"/>
              <w:ind w:right="194"/>
              <w:jc w:val="left"/>
              <w:rPr>
                <w:sz w:val="18"/>
              </w:rPr>
            </w:pPr>
            <w:r>
              <w:rPr>
                <w:sz w:val="18"/>
              </w:rPr>
              <w:t>Desconoce</w:t>
            </w:r>
          </w:p>
        </w:tc>
        <w:tc>
          <w:tcPr>
            <w:tcW w:w="989" w:type="dxa"/>
          </w:tcPr>
          <w:p>
            <w:pPr>
              <w:pStyle w:val="TableParagraph"/>
              <w:spacing w:line="206" w:lineRule="exact"/>
              <w:ind w:left="119" w:right="118"/>
              <w:rPr>
                <w:sz w:val="18"/>
              </w:rPr>
            </w:pPr>
            <w:r>
              <w:rPr>
                <w:sz w:val="18"/>
              </w:rPr>
              <w:t>5.3</w:t>
            </w:r>
          </w:p>
        </w:tc>
        <w:tc>
          <w:tcPr>
            <w:tcW w:w="997" w:type="dxa"/>
          </w:tcPr>
          <w:p>
            <w:pPr>
              <w:pStyle w:val="TableParagraph"/>
              <w:spacing w:line="206" w:lineRule="exact"/>
              <w:ind w:left="83" w:right="81"/>
              <w:rPr>
                <w:sz w:val="18"/>
              </w:rPr>
            </w:pPr>
            <w:r>
              <w:rPr>
                <w:sz w:val="18"/>
              </w:rPr>
              <w:t>47</w:t>
            </w:r>
          </w:p>
        </w:tc>
        <w:tc>
          <w:tcPr>
            <w:tcW w:w="989" w:type="dxa"/>
          </w:tcPr>
          <w:p>
            <w:pPr>
              <w:pStyle w:val="TableParagraph"/>
              <w:spacing w:line="206" w:lineRule="exact"/>
              <w:ind w:left="119" w:right="119"/>
              <w:rPr>
                <w:sz w:val="18"/>
              </w:rPr>
            </w:pPr>
            <w:r>
              <w:rPr>
                <w:sz w:val="18"/>
              </w:rPr>
              <w:t>53</w:t>
            </w:r>
          </w:p>
        </w:tc>
        <w:tc>
          <w:tcPr>
            <w:tcW w:w="876" w:type="dxa"/>
          </w:tcPr>
          <w:p>
            <w:pPr>
              <w:pStyle w:val="TableParagraph"/>
              <w:spacing w:line="206" w:lineRule="exact"/>
              <w:ind w:left="87" w:right="88"/>
              <w:rPr>
                <w:sz w:val="18"/>
              </w:rPr>
            </w:pPr>
            <w:r>
              <w:rPr>
                <w:sz w:val="18"/>
              </w:rPr>
              <w:t>3.2</w:t>
            </w:r>
          </w:p>
        </w:tc>
        <w:tc>
          <w:tcPr>
            <w:tcW w:w="876" w:type="dxa"/>
          </w:tcPr>
          <w:p>
            <w:pPr>
              <w:pStyle w:val="TableParagraph"/>
              <w:spacing w:line="206" w:lineRule="exact"/>
              <w:ind w:left="113" w:right="114"/>
              <w:rPr>
                <w:sz w:val="18"/>
              </w:rPr>
            </w:pPr>
            <w:r>
              <w:rPr>
                <w:sz w:val="18"/>
              </w:rPr>
              <w:t>0.8</w:t>
            </w:r>
          </w:p>
        </w:tc>
        <w:tc>
          <w:tcPr>
            <w:tcW w:w="991" w:type="dxa"/>
          </w:tcPr>
          <w:p>
            <w:pPr>
              <w:pStyle w:val="TableParagraph"/>
              <w:spacing w:line="206" w:lineRule="exact"/>
              <w:ind w:left="120" w:right="120"/>
              <w:rPr>
                <w:sz w:val="18"/>
              </w:rPr>
            </w:pPr>
            <w:r>
              <w:rPr>
                <w:sz w:val="18"/>
              </w:rPr>
              <w:t>22</w:t>
            </w:r>
          </w:p>
        </w:tc>
        <w:tc>
          <w:tcPr>
            <w:tcW w:w="989" w:type="dxa"/>
          </w:tcPr>
          <w:p>
            <w:pPr>
              <w:pStyle w:val="TableParagraph"/>
              <w:spacing w:line="206" w:lineRule="exact"/>
              <w:ind w:left="118" w:right="121"/>
              <w:rPr>
                <w:sz w:val="18"/>
              </w:rPr>
            </w:pPr>
            <w:r>
              <w:rPr>
                <w:sz w:val="18"/>
              </w:rPr>
              <w:t>21</w:t>
            </w:r>
          </w:p>
        </w:tc>
        <w:tc>
          <w:tcPr>
            <w:tcW w:w="1042" w:type="dxa"/>
          </w:tcPr>
          <w:p>
            <w:pPr>
              <w:pStyle w:val="TableParagraph"/>
              <w:spacing w:line="206" w:lineRule="exact"/>
              <w:ind w:left="120" w:right="120"/>
              <w:rPr>
                <w:sz w:val="18"/>
              </w:rPr>
            </w:pPr>
            <w:r>
              <w:rPr>
                <w:sz w:val="18"/>
              </w:rPr>
              <w:t>170</w:t>
            </w:r>
          </w:p>
        </w:tc>
      </w:tr>
      <w:tr>
        <w:trPr>
          <w:trHeight w:val="367" w:hRule="exact"/>
        </w:trPr>
        <w:tc>
          <w:tcPr>
            <w:tcW w:w="1318" w:type="dxa"/>
          </w:tcPr>
          <w:p>
            <w:pPr>
              <w:pStyle w:val="TableParagraph"/>
              <w:spacing w:line="206" w:lineRule="exact"/>
              <w:ind w:right="194"/>
              <w:jc w:val="left"/>
              <w:rPr>
                <w:sz w:val="18"/>
              </w:rPr>
            </w:pPr>
            <w:r>
              <w:rPr>
                <w:sz w:val="18"/>
              </w:rPr>
              <w:t>Ecatepec</w:t>
            </w:r>
          </w:p>
        </w:tc>
        <w:tc>
          <w:tcPr>
            <w:tcW w:w="989" w:type="dxa"/>
          </w:tcPr>
          <w:p>
            <w:pPr>
              <w:pStyle w:val="TableParagraph"/>
              <w:spacing w:line="206" w:lineRule="exact"/>
              <w:ind w:left="119" w:right="118"/>
              <w:rPr>
                <w:sz w:val="18"/>
              </w:rPr>
            </w:pPr>
            <w:r>
              <w:rPr>
                <w:sz w:val="18"/>
              </w:rPr>
              <w:t>5.3</w:t>
            </w:r>
          </w:p>
        </w:tc>
        <w:tc>
          <w:tcPr>
            <w:tcW w:w="997" w:type="dxa"/>
          </w:tcPr>
          <w:p>
            <w:pPr>
              <w:pStyle w:val="TableParagraph"/>
              <w:spacing w:line="206" w:lineRule="exact"/>
              <w:ind w:left="83" w:right="81"/>
              <w:rPr>
                <w:sz w:val="18"/>
              </w:rPr>
            </w:pPr>
            <w:r>
              <w:rPr>
                <w:sz w:val="18"/>
              </w:rPr>
              <w:t>44</w:t>
            </w:r>
          </w:p>
        </w:tc>
        <w:tc>
          <w:tcPr>
            <w:tcW w:w="989" w:type="dxa"/>
          </w:tcPr>
          <w:p>
            <w:pPr>
              <w:pStyle w:val="TableParagraph"/>
              <w:spacing w:line="206" w:lineRule="exact"/>
              <w:ind w:left="119" w:right="119"/>
              <w:rPr>
                <w:sz w:val="18"/>
              </w:rPr>
            </w:pPr>
            <w:r>
              <w:rPr>
                <w:sz w:val="18"/>
              </w:rPr>
              <w:t>55.7</w:t>
            </w:r>
          </w:p>
        </w:tc>
        <w:tc>
          <w:tcPr>
            <w:tcW w:w="876" w:type="dxa"/>
          </w:tcPr>
          <w:p>
            <w:pPr>
              <w:pStyle w:val="TableParagraph"/>
              <w:spacing w:line="206" w:lineRule="exact"/>
              <w:ind w:left="87" w:right="88"/>
              <w:rPr>
                <w:sz w:val="18"/>
              </w:rPr>
            </w:pPr>
            <w:r>
              <w:rPr>
                <w:sz w:val="18"/>
              </w:rPr>
              <w:t>3.2</w:t>
            </w:r>
          </w:p>
        </w:tc>
        <w:tc>
          <w:tcPr>
            <w:tcW w:w="876" w:type="dxa"/>
          </w:tcPr>
          <w:p>
            <w:pPr>
              <w:pStyle w:val="TableParagraph"/>
              <w:spacing w:line="206" w:lineRule="exact"/>
              <w:ind w:left="113" w:right="114"/>
              <w:rPr>
                <w:sz w:val="18"/>
              </w:rPr>
            </w:pPr>
            <w:r>
              <w:rPr>
                <w:sz w:val="18"/>
              </w:rPr>
              <w:t>0.8</w:t>
            </w:r>
          </w:p>
        </w:tc>
        <w:tc>
          <w:tcPr>
            <w:tcW w:w="991" w:type="dxa"/>
          </w:tcPr>
          <w:p>
            <w:pPr>
              <w:pStyle w:val="TableParagraph"/>
              <w:spacing w:line="206" w:lineRule="exact"/>
              <w:ind w:left="120" w:right="121"/>
              <w:rPr>
                <w:sz w:val="18"/>
              </w:rPr>
            </w:pPr>
            <w:r>
              <w:rPr>
                <w:sz w:val="18"/>
              </w:rPr>
              <w:t>22.8</w:t>
            </w:r>
          </w:p>
        </w:tc>
        <w:tc>
          <w:tcPr>
            <w:tcW w:w="989" w:type="dxa"/>
          </w:tcPr>
          <w:p>
            <w:pPr>
              <w:pStyle w:val="TableParagraph"/>
              <w:spacing w:line="206" w:lineRule="exact"/>
              <w:ind w:left="118" w:right="121"/>
              <w:rPr>
                <w:sz w:val="18"/>
              </w:rPr>
            </w:pPr>
            <w:r>
              <w:rPr>
                <w:sz w:val="18"/>
              </w:rPr>
              <w:t>26</w:t>
            </w:r>
          </w:p>
        </w:tc>
        <w:tc>
          <w:tcPr>
            <w:tcW w:w="1042" w:type="dxa"/>
          </w:tcPr>
          <w:p>
            <w:pPr>
              <w:pStyle w:val="TableParagraph"/>
              <w:spacing w:line="206" w:lineRule="exact"/>
              <w:ind w:left="120" w:right="120"/>
              <w:rPr>
                <w:sz w:val="18"/>
              </w:rPr>
            </w:pPr>
            <w:r>
              <w:rPr>
                <w:sz w:val="18"/>
              </w:rPr>
              <w:t>266</w:t>
            </w:r>
          </w:p>
        </w:tc>
      </w:tr>
      <w:tr>
        <w:trPr>
          <w:trHeight w:val="370" w:hRule="exact"/>
        </w:trPr>
        <w:tc>
          <w:tcPr>
            <w:tcW w:w="1318" w:type="dxa"/>
          </w:tcPr>
          <w:p>
            <w:pPr>
              <w:pStyle w:val="TableParagraph"/>
              <w:spacing w:line="206" w:lineRule="exact"/>
              <w:jc w:val="left"/>
              <w:rPr>
                <w:sz w:val="18"/>
              </w:rPr>
            </w:pPr>
            <w:r>
              <w:rPr>
                <w:sz w:val="18"/>
              </w:rPr>
              <w:t>Guadalajara</w:t>
            </w:r>
          </w:p>
        </w:tc>
        <w:tc>
          <w:tcPr>
            <w:tcW w:w="989" w:type="dxa"/>
          </w:tcPr>
          <w:p>
            <w:pPr>
              <w:pStyle w:val="TableParagraph"/>
              <w:spacing w:line="206" w:lineRule="exact"/>
              <w:ind w:left="119" w:right="118"/>
              <w:rPr>
                <w:sz w:val="18"/>
              </w:rPr>
            </w:pPr>
            <w:r>
              <w:rPr>
                <w:sz w:val="18"/>
              </w:rPr>
              <w:t>5.7</w:t>
            </w:r>
          </w:p>
        </w:tc>
        <w:tc>
          <w:tcPr>
            <w:tcW w:w="997" w:type="dxa"/>
          </w:tcPr>
          <w:p>
            <w:pPr>
              <w:pStyle w:val="TableParagraph"/>
              <w:spacing w:line="206" w:lineRule="exact"/>
              <w:ind w:left="83" w:right="81"/>
              <w:rPr>
                <w:sz w:val="18"/>
              </w:rPr>
            </w:pPr>
            <w:r>
              <w:rPr>
                <w:sz w:val="18"/>
              </w:rPr>
              <w:t>46</w:t>
            </w:r>
          </w:p>
        </w:tc>
        <w:tc>
          <w:tcPr>
            <w:tcW w:w="989" w:type="dxa"/>
          </w:tcPr>
          <w:p>
            <w:pPr>
              <w:pStyle w:val="TableParagraph"/>
              <w:spacing w:line="206" w:lineRule="exact"/>
              <w:ind w:left="119" w:right="119"/>
              <w:rPr>
                <w:sz w:val="18"/>
              </w:rPr>
            </w:pPr>
            <w:r>
              <w:rPr>
                <w:sz w:val="18"/>
              </w:rPr>
              <w:t>54.4</w:t>
            </w:r>
          </w:p>
        </w:tc>
        <w:tc>
          <w:tcPr>
            <w:tcW w:w="876" w:type="dxa"/>
          </w:tcPr>
          <w:p>
            <w:pPr>
              <w:pStyle w:val="TableParagraph"/>
              <w:spacing w:line="206" w:lineRule="exact"/>
              <w:ind w:left="0" w:right="1"/>
              <w:rPr>
                <w:sz w:val="18"/>
              </w:rPr>
            </w:pPr>
            <w:r>
              <w:rPr>
                <w:w w:val="99"/>
                <w:sz w:val="18"/>
              </w:rPr>
              <w:t>3</w:t>
            </w:r>
          </w:p>
        </w:tc>
        <w:tc>
          <w:tcPr>
            <w:tcW w:w="876" w:type="dxa"/>
          </w:tcPr>
          <w:p>
            <w:pPr>
              <w:pStyle w:val="TableParagraph"/>
              <w:spacing w:line="206" w:lineRule="exact"/>
              <w:ind w:left="113" w:right="114"/>
              <w:rPr>
                <w:sz w:val="18"/>
              </w:rPr>
            </w:pPr>
            <w:r>
              <w:rPr>
                <w:sz w:val="18"/>
              </w:rPr>
              <w:t>0.7</w:t>
            </w:r>
          </w:p>
        </w:tc>
        <w:tc>
          <w:tcPr>
            <w:tcW w:w="991" w:type="dxa"/>
          </w:tcPr>
          <w:p>
            <w:pPr>
              <w:pStyle w:val="TableParagraph"/>
              <w:spacing w:line="206" w:lineRule="exact"/>
              <w:ind w:left="120" w:right="121"/>
              <w:rPr>
                <w:sz w:val="18"/>
              </w:rPr>
            </w:pPr>
            <w:r>
              <w:rPr>
                <w:sz w:val="18"/>
              </w:rPr>
              <w:t>24.2</w:t>
            </w:r>
          </w:p>
        </w:tc>
        <w:tc>
          <w:tcPr>
            <w:tcW w:w="989" w:type="dxa"/>
          </w:tcPr>
          <w:p>
            <w:pPr>
              <w:pStyle w:val="TableParagraph"/>
              <w:spacing w:line="206" w:lineRule="exact"/>
              <w:ind w:left="118" w:right="121"/>
              <w:rPr>
                <w:sz w:val="18"/>
              </w:rPr>
            </w:pPr>
            <w:r>
              <w:rPr>
                <w:sz w:val="18"/>
              </w:rPr>
              <w:t>24</w:t>
            </w:r>
          </w:p>
        </w:tc>
        <w:tc>
          <w:tcPr>
            <w:tcW w:w="1042" w:type="dxa"/>
          </w:tcPr>
          <w:p>
            <w:pPr>
              <w:pStyle w:val="TableParagraph"/>
              <w:spacing w:line="206" w:lineRule="exact"/>
              <w:ind w:left="120" w:right="120"/>
              <w:rPr>
                <w:sz w:val="18"/>
              </w:rPr>
            </w:pPr>
            <w:r>
              <w:rPr>
                <w:sz w:val="18"/>
              </w:rPr>
              <w:t>180</w:t>
            </w:r>
          </w:p>
        </w:tc>
      </w:tr>
      <w:tr>
        <w:trPr>
          <w:trHeight w:val="367" w:hRule="exact"/>
        </w:trPr>
        <w:tc>
          <w:tcPr>
            <w:tcW w:w="1318" w:type="dxa"/>
          </w:tcPr>
          <w:p>
            <w:pPr>
              <w:pStyle w:val="TableParagraph"/>
              <w:spacing w:line="206" w:lineRule="exact"/>
              <w:ind w:right="194"/>
              <w:jc w:val="left"/>
              <w:rPr>
                <w:sz w:val="18"/>
              </w:rPr>
            </w:pPr>
            <w:r>
              <w:rPr>
                <w:sz w:val="18"/>
              </w:rPr>
              <w:t>Ixtlahuaca</w:t>
            </w:r>
          </w:p>
        </w:tc>
        <w:tc>
          <w:tcPr>
            <w:tcW w:w="989" w:type="dxa"/>
          </w:tcPr>
          <w:p>
            <w:pPr>
              <w:pStyle w:val="TableParagraph"/>
              <w:spacing w:line="206" w:lineRule="exact"/>
              <w:ind w:left="119" w:right="118"/>
              <w:rPr>
                <w:sz w:val="18"/>
              </w:rPr>
            </w:pPr>
            <w:r>
              <w:rPr>
                <w:sz w:val="18"/>
              </w:rPr>
              <w:t>5.3</w:t>
            </w:r>
          </w:p>
        </w:tc>
        <w:tc>
          <w:tcPr>
            <w:tcW w:w="997" w:type="dxa"/>
          </w:tcPr>
          <w:p>
            <w:pPr>
              <w:pStyle w:val="TableParagraph"/>
              <w:spacing w:line="206" w:lineRule="exact"/>
              <w:ind w:left="83" w:right="81"/>
              <w:rPr>
                <w:sz w:val="18"/>
              </w:rPr>
            </w:pPr>
            <w:r>
              <w:rPr>
                <w:sz w:val="18"/>
              </w:rPr>
              <w:t>48</w:t>
            </w:r>
          </w:p>
        </w:tc>
        <w:tc>
          <w:tcPr>
            <w:tcW w:w="989" w:type="dxa"/>
          </w:tcPr>
          <w:p>
            <w:pPr>
              <w:pStyle w:val="TableParagraph"/>
              <w:spacing w:line="206" w:lineRule="exact"/>
              <w:ind w:left="119" w:right="119"/>
              <w:rPr>
                <w:sz w:val="18"/>
              </w:rPr>
            </w:pPr>
            <w:r>
              <w:rPr>
                <w:sz w:val="18"/>
              </w:rPr>
              <w:t>52.5</w:t>
            </w:r>
          </w:p>
        </w:tc>
        <w:tc>
          <w:tcPr>
            <w:tcW w:w="876" w:type="dxa"/>
          </w:tcPr>
          <w:p>
            <w:pPr>
              <w:pStyle w:val="TableParagraph"/>
              <w:spacing w:line="206" w:lineRule="exact"/>
              <w:ind w:left="87" w:right="88"/>
              <w:rPr>
                <w:sz w:val="18"/>
              </w:rPr>
            </w:pPr>
            <w:r>
              <w:rPr>
                <w:sz w:val="18"/>
              </w:rPr>
              <w:t>4.3</w:t>
            </w:r>
          </w:p>
        </w:tc>
        <w:tc>
          <w:tcPr>
            <w:tcW w:w="876" w:type="dxa"/>
          </w:tcPr>
          <w:p>
            <w:pPr>
              <w:pStyle w:val="TableParagraph"/>
              <w:spacing w:line="206" w:lineRule="exact"/>
              <w:ind w:left="113" w:right="114"/>
              <w:rPr>
                <w:sz w:val="18"/>
              </w:rPr>
            </w:pPr>
            <w:r>
              <w:rPr>
                <w:sz w:val="18"/>
              </w:rPr>
              <w:t>0.7</w:t>
            </w:r>
          </w:p>
        </w:tc>
        <w:tc>
          <w:tcPr>
            <w:tcW w:w="991" w:type="dxa"/>
          </w:tcPr>
          <w:p>
            <w:pPr>
              <w:pStyle w:val="TableParagraph"/>
              <w:spacing w:line="206" w:lineRule="exact"/>
              <w:ind w:left="120" w:right="121"/>
              <w:rPr>
                <w:sz w:val="18"/>
              </w:rPr>
            </w:pPr>
            <w:r>
              <w:rPr>
                <w:sz w:val="18"/>
              </w:rPr>
              <w:t>22.4</w:t>
            </w:r>
          </w:p>
        </w:tc>
        <w:tc>
          <w:tcPr>
            <w:tcW w:w="989" w:type="dxa"/>
          </w:tcPr>
          <w:p>
            <w:pPr>
              <w:pStyle w:val="TableParagraph"/>
              <w:spacing w:line="206" w:lineRule="exact"/>
              <w:ind w:left="118" w:right="121"/>
              <w:rPr>
                <w:sz w:val="18"/>
              </w:rPr>
            </w:pPr>
            <w:r>
              <w:rPr>
                <w:sz w:val="18"/>
              </w:rPr>
              <w:t>20</w:t>
            </w:r>
          </w:p>
        </w:tc>
        <w:tc>
          <w:tcPr>
            <w:tcW w:w="1042" w:type="dxa"/>
          </w:tcPr>
          <w:p>
            <w:pPr>
              <w:pStyle w:val="TableParagraph"/>
              <w:spacing w:line="206" w:lineRule="exact"/>
              <w:ind w:left="120" w:right="120"/>
              <w:rPr>
                <w:sz w:val="18"/>
              </w:rPr>
            </w:pPr>
            <w:r>
              <w:rPr>
                <w:sz w:val="18"/>
              </w:rPr>
              <w:t>152</w:t>
            </w:r>
          </w:p>
        </w:tc>
      </w:tr>
      <w:tr>
        <w:trPr>
          <w:trHeight w:val="367" w:hRule="exact"/>
        </w:trPr>
        <w:tc>
          <w:tcPr>
            <w:tcW w:w="1318" w:type="dxa"/>
          </w:tcPr>
          <w:p>
            <w:pPr>
              <w:pStyle w:val="TableParagraph"/>
              <w:spacing w:line="206" w:lineRule="exact"/>
              <w:ind w:right="194"/>
              <w:jc w:val="left"/>
              <w:rPr>
                <w:sz w:val="18"/>
              </w:rPr>
            </w:pPr>
            <w:r>
              <w:rPr>
                <w:sz w:val="18"/>
              </w:rPr>
              <w:t>Metepec</w:t>
            </w:r>
          </w:p>
        </w:tc>
        <w:tc>
          <w:tcPr>
            <w:tcW w:w="989" w:type="dxa"/>
          </w:tcPr>
          <w:p>
            <w:pPr>
              <w:pStyle w:val="TableParagraph"/>
              <w:spacing w:line="206" w:lineRule="exact"/>
              <w:ind w:left="119" w:right="118"/>
              <w:rPr>
                <w:sz w:val="18"/>
              </w:rPr>
            </w:pPr>
            <w:r>
              <w:rPr>
                <w:sz w:val="18"/>
              </w:rPr>
              <w:t>5.1</w:t>
            </w:r>
          </w:p>
        </w:tc>
        <w:tc>
          <w:tcPr>
            <w:tcW w:w="997" w:type="dxa"/>
          </w:tcPr>
          <w:p>
            <w:pPr>
              <w:pStyle w:val="TableParagraph"/>
              <w:spacing w:line="206" w:lineRule="exact"/>
              <w:ind w:left="83" w:right="81"/>
              <w:rPr>
                <w:sz w:val="18"/>
              </w:rPr>
            </w:pPr>
            <w:r>
              <w:rPr>
                <w:sz w:val="18"/>
              </w:rPr>
              <w:t>48</w:t>
            </w:r>
          </w:p>
        </w:tc>
        <w:tc>
          <w:tcPr>
            <w:tcW w:w="989" w:type="dxa"/>
          </w:tcPr>
          <w:p>
            <w:pPr>
              <w:pStyle w:val="TableParagraph"/>
              <w:spacing w:line="206" w:lineRule="exact"/>
              <w:ind w:left="119" w:right="119"/>
              <w:rPr>
                <w:sz w:val="18"/>
              </w:rPr>
            </w:pPr>
            <w:r>
              <w:rPr>
                <w:sz w:val="18"/>
              </w:rPr>
              <w:t>50</w:t>
            </w:r>
          </w:p>
        </w:tc>
        <w:tc>
          <w:tcPr>
            <w:tcW w:w="876" w:type="dxa"/>
          </w:tcPr>
          <w:p>
            <w:pPr>
              <w:pStyle w:val="TableParagraph"/>
              <w:spacing w:line="206" w:lineRule="exact"/>
              <w:ind w:left="87" w:right="88"/>
              <w:rPr>
                <w:sz w:val="18"/>
              </w:rPr>
            </w:pPr>
            <w:r>
              <w:rPr>
                <w:sz w:val="18"/>
              </w:rPr>
              <w:t>3.4</w:t>
            </w:r>
          </w:p>
        </w:tc>
        <w:tc>
          <w:tcPr>
            <w:tcW w:w="876" w:type="dxa"/>
          </w:tcPr>
          <w:p>
            <w:pPr>
              <w:pStyle w:val="TableParagraph"/>
              <w:spacing w:line="206" w:lineRule="exact"/>
              <w:ind w:left="113" w:right="114"/>
              <w:rPr>
                <w:sz w:val="18"/>
              </w:rPr>
            </w:pPr>
            <w:r>
              <w:rPr>
                <w:sz w:val="18"/>
              </w:rPr>
              <w:t>0.8</w:t>
            </w:r>
          </w:p>
        </w:tc>
        <w:tc>
          <w:tcPr>
            <w:tcW w:w="991" w:type="dxa"/>
          </w:tcPr>
          <w:p>
            <w:pPr>
              <w:pStyle w:val="TableParagraph"/>
              <w:spacing w:line="206" w:lineRule="exact"/>
              <w:ind w:left="120" w:right="120"/>
              <w:rPr>
                <w:sz w:val="18"/>
              </w:rPr>
            </w:pPr>
            <w:r>
              <w:rPr>
                <w:sz w:val="18"/>
              </w:rPr>
              <w:t>19</w:t>
            </w:r>
          </w:p>
        </w:tc>
        <w:tc>
          <w:tcPr>
            <w:tcW w:w="989" w:type="dxa"/>
          </w:tcPr>
          <w:p>
            <w:pPr>
              <w:pStyle w:val="TableParagraph"/>
              <w:spacing w:line="206" w:lineRule="exact"/>
              <w:ind w:left="118" w:right="121"/>
              <w:rPr>
                <w:sz w:val="18"/>
              </w:rPr>
            </w:pPr>
            <w:r>
              <w:rPr>
                <w:sz w:val="18"/>
              </w:rPr>
              <w:t>22</w:t>
            </w:r>
          </w:p>
        </w:tc>
        <w:tc>
          <w:tcPr>
            <w:tcW w:w="1042" w:type="dxa"/>
          </w:tcPr>
          <w:p>
            <w:pPr>
              <w:pStyle w:val="TableParagraph"/>
              <w:spacing w:line="206" w:lineRule="exact"/>
              <w:ind w:left="120" w:right="120"/>
              <w:rPr>
                <w:sz w:val="18"/>
              </w:rPr>
            </w:pPr>
            <w:r>
              <w:rPr>
                <w:sz w:val="18"/>
              </w:rPr>
              <w:t>126</w:t>
            </w:r>
          </w:p>
        </w:tc>
      </w:tr>
      <w:tr>
        <w:trPr>
          <w:trHeight w:val="607" w:hRule="exact"/>
        </w:trPr>
        <w:tc>
          <w:tcPr>
            <w:tcW w:w="1318" w:type="dxa"/>
          </w:tcPr>
          <w:p>
            <w:pPr>
              <w:pStyle w:val="TableParagraph"/>
              <w:spacing w:line="278" w:lineRule="auto"/>
              <w:ind w:right="314"/>
              <w:jc w:val="left"/>
              <w:rPr>
                <w:sz w:val="18"/>
              </w:rPr>
            </w:pPr>
            <w:r>
              <w:rPr>
                <w:sz w:val="18"/>
              </w:rPr>
              <w:t>San Mateo Atenco</w:t>
            </w:r>
          </w:p>
        </w:tc>
        <w:tc>
          <w:tcPr>
            <w:tcW w:w="989" w:type="dxa"/>
          </w:tcPr>
          <w:p>
            <w:pPr>
              <w:pStyle w:val="TableParagraph"/>
              <w:spacing w:line="206" w:lineRule="exact"/>
              <w:ind w:left="119" w:right="118"/>
              <w:rPr>
                <w:sz w:val="18"/>
              </w:rPr>
            </w:pPr>
            <w:r>
              <w:rPr>
                <w:sz w:val="18"/>
              </w:rPr>
              <w:t>5.5</w:t>
            </w:r>
          </w:p>
        </w:tc>
        <w:tc>
          <w:tcPr>
            <w:tcW w:w="997" w:type="dxa"/>
          </w:tcPr>
          <w:p>
            <w:pPr>
              <w:pStyle w:val="TableParagraph"/>
              <w:spacing w:line="206" w:lineRule="exact"/>
              <w:ind w:left="83" w:right="81"/>
              <w:rPr>
                <w:sz w:val="18"/>
              </w:rPr>
            </w:pPr>
            <w:r>
              <w:rPr>
                <w:sz w:val="18"/>
              </w:rPr>
              <w:t>46</w:t>
            </w:r>
          </w:p>
        </w:tc>
        <w:tc>
          <w:tcPr>
            <w:tcW w:w="989" w:type="dxa"/>
          </w:tcPr>
          <w:p>
            <w:pPr>
              <w:pStyle w:val="TableParagraph"/>
              <w:spacing w:line="206" w:lineRule="exact"/>
              <w:ind w:left="119" w:right="119"/>
              <w:rPr>
                <w:sz w:val="18"/>
              </w:rPr>
            </w:pPr>
            <w:r>
              <w:rPr>
                <w:sz w:val="18"/>
              </w:rPr>
              <w:t>53.7</w:t>
            </w:r>
          </w:p>
        </w:tc>
        <w:tc>
          <w:tcPr>
            <w:tcW w:w="876" w:type="dxa"/>
          </w:tcPr>
          <w:p>
            <w:pPr>
              <w:pStyle w:val="TableParagraph"/>
              <w:spacing w:line="206" w:lineRule="exact"/>
              <w:ind w:left="0" w:right="1"/>
              <w:rPr>
                <w:sz w:val="18"/>
              </w:rPr>
            </w:pPr>
            <w:r>
              <w:rPr>
                <w:w w:val="99"/>
                <w:sz w:val="18"/>
              </w:rPr>
              <w:t>3</w:t>
            </w:r>
          </w:p>
        </w:tc>
        <w:tc>
          <w:tcPr>
            <w:tcW w:w="876" w:type="dxa"/>
          </w:tcPr>
          <w:p>
            <w:pPr>
              <w:pStyle w:val="TableParagraph"/>
              <w:spacing w:line="206" w:lineRule="exact"/>
              <w:ind w:left="113" w:right="114"/>
              <w:rPr>
                <w:sz w:val="18"/>
              </w:rPr>
            </w:pPr>
            <w:r>
              <w:rPr>
                <w:sz w:val="18"/>
              </w:rPr>
              <w:t>0.7</w:t>
            </w:r>
          </w:p>
        </w:tc>
        <w:tc>
          <w:tcPr>
            <w:tcW w:w="991" w:type="dxa"/>
          </w:tcPr>
          <w:p>
            <w:pPr>
              <w:pStyle w:val="TableParagraph"/>
              <w:spacing w:line="206" w:lineRule="exact"/>
              <w:ind w:left="120" w:right="121"/>
              <w:rPr>
                <w:sz w:val="18"/>
              </w:rPr>
            </w:pPr>
            <w:r>
              <w:rPr>
                <w:sz w:val="18"/>
              </w:rPr>
              <w:t>19.3</w:t>
            </w:r>
          </w:p>
        </w:tc>
        <w:tc>
          <w:tcPr>
            <w:tcW w:w="989" w:type="dxa"/>
          </w:tcPr>
          <w:p>
            <w:pPr>
              <w:pStyle w:val="TableParagraph"/>
              <w:spacing w:line="206" w:lineRule="exact"/>
              <w:ind w:left="118" w:right="121"/>
              <w:rPr>
                <w:sz w:val="18"/>
              </w:rPr>
            </w:pPr>
            <w:r>
              <w:rPr>
                <w:sz w:val="18"/>
              </w:rPr>
              <w:t>23</w:t>
            </w:r>
          </w:p>
        </w:tc>
        <w:tc>
          <w:tcPr>
            <w:tcW w:w="1042" w:type="dxa"/>
          </w:tcPr>
          <w:p>
            <w:pPr>
              <w:pStyle w:val="TableParagraph"/>
              <w:spacing w:line="206" w:lineRule="exact"/>
              <w:ind w:left="120" w:right="120"/>
              <w:rPr>
                <w:sz w:val="18"/>
              </w:rPr>
            </w:pPr>
            <w:r>
              <w:rPr>
                <w:sz w:val="18"/>
              </w:rPr>
              <w:t>200</w:t>
            </w:r>
          </w:p>
        </w:tc>
      </w:tr>
      <w:tr>
        <w:trPr>
          <w:trHeight w:val="367" w:hRule="exact"/>
        </w:trPr>
        <w:tc>
          <w:tcPr>
            <w:tcW w:w="1318" w:type="dxa"/>
          </w:tcPr>
          <w:p>
            <w:pPr>
              <w:pStyle w:val="TableParagraph"/>
              <w:spacing w:line="206" w:lineRule="exact"/>
              <w:ind w:right="194"/>
              <w:jc w:val="left"/>
              <w:rPr>
                <w:sz w:val="18"/>
              </w:rPr>
            </w:pPr>
            <w:r>
              <w:rPr>
                <w:sz w:val="18"/>
              </w:rPr>
              <w:t>Texcatitlán</w:t>
            </w:r>
          </w:p>
        </w:tc>
        <w:tc>
          <w:tcPr>
            <w:tcW w:w="989" w:type="dxa"/>
          </w:tcPr>
          <w:p>
            <w:pPr>
              <w:pStyle w:val="TableParagraph"/>
              <w:spacing w:line="206" w:lineRule="exact"/>
              <w:ind w:left="119" w:right="118"/>
              <w:rPr>
                <w:sz w:val="18"/>
              </w:rPr>
            </w:pPr>
            <w:r>
              <w:rPr>
                <w:sz w:val="18"/>
              </w:rPr>
              <w:t>5.1</w:t>
            </w:r>
          </w:p>
        </w:tc>
        <w:tc>
          <w:tcPr>
            <w:tcW w:w="997" w:type="dxa"/>
          </w:tcPr>
          <w:p>
            <w:pPr>
              <w:pStyle w:val="TableParagraph"/>
              <w:spacing w:line="206" w:lineRule="exact"/>
              <w:ind w:left="83" w:right="81"/>
              <w:rPr>
                <w:sz w:val="18"/>
              </w:rPr>
            </w:pPr>
            <w:r>
              <w:rPr>
                <w:sz w:val="18"/>
              </w:rPr>
              <w:t>52</w:t>
            </w:r>
          </w:p>
        </w:tc>
        <w:tc>
          <w:tcPr>
            <w:tcW w:w="989" w:type="dxa"/>
          </w:tcPr>
          <w:p>
            <w:pPr>
              <w:pStyle w:val="TableParagraph"/>
              <w:spacing w:line="206" w:lineRule="exact"/>
              <w:ind w:left="119" w:right="119"/>
              <w:rPr>
                <w:sz w:val="18"/>
              </w:rPr>
            </w:pPr>
            <w:r>
              <w:rPr>
                <w:sz w:val="18"/>
              </w:rPr>
              <w:t>48.2</w:t>
            </w:r>
          </w:p>
        </w:tc>
        <w:tc>
          <w:tcPr>
            <w:tcW w:w="876" w:type="dxa"/>
          </w:tcPr>
          <w:p>
            <w:pPr>
              <w:pStyle w:val="TableParagraph"/>
              <w:spacing w:line="206" w:lineRule="exact"/>
              <w:ind w:left="87" w:right="88"/>
              <w:rPr>
                <w:sz w:val="18"/>
              </w:rPr>
            </w:pPr>
            <w:r>
              <w:rPr>
                <w:sz w:val="18"/>
              </w:rPr>
              <w:t>3.7</w:t>
            </w:r>
          </w:p>
        </w:tc>
        <w:tc>
          <w:tcPr>
            <w:tcW w:w="876" w:type="dxa"/>
          </w:tcPr>
          <w:p>
            <w:pPr>
              <w:pStyle w:val="TableParagraph"/>
              <w:spacing w:line="206" w:lineRule="exact"/>
              <w:ind w:left="113" w:right="114"/>
              <w:rPr>
                <w:sz w:val="18"/>
              </w:rPr>
            </w:pPr>
            <w:r>
              <w:rPr>
                <w:sz w:val="18"/>
              </w:rPr>
              <w:t>1.1</w:t>
            </w:r>
          </w:p>
        </w:tc>
        <w:tc>
          <w:tcPr>
            <w:tcW w:w="991" w:type="dxa"/>
          </w:tcPr>
          <w:p>
            <w:pPr>
              <w:pStyle w:val="TableParagraph"/>
              <w:spacing w:line="206" w:lineRule="exact"/>
              <w:ind w:left="120" w:right="121"/>
              <w:rPr>
                <w:sz w:val="18"/>
              </w:rPr>
            </w:pPr>
            <w:r>
              <w:rPr>
                <w:sz w:val="18"/>
              </w:rPr>
              <w:t>19.6</w:t>
            </w:r>
          </w:p>
        </w:tc>
        <w:tc>
          <w:tcPr>
            <w:tcW w:w="989" w:type="dxa"/>
          </w:tcPr>
          <w:p>
            <w:pPr>
              <w:pStyle w:val="TableParagraph"/>
              <w:spacing w:line="206" w:lineRule="exact"/>
              <w:ind w:left="118" w:right="121"/>
              <w:rPr>
                <w:sz w:val="18"/>
              </w:rPr>
            </w:pPr>
            <w:r>
              <w:rPr>
                <w:sz w:val="18"/>
              </w:rPr>
              <w:t>17</w:t>
            </w:r>
          </w:p>
        </w:tc>
        <w:tc>
          <w:tcPr>
            <w:tcW w:w="1042" w:type="dxa"/>
          </w:tcPr>
          <w:p>
            <w:pPr>
              <w:pStyle w:val="TableParagraph"/>
              <w:spacing w:line="206" w:lineRule="exact"/>
              <w:ind w:left="120" w:right="120"/>
              <w:rPr>
                <w:sz w:val="18"/>
              </w:rPr>
            </w:pPr>
            <w:r>
              <w:rPr>
                <w:sz w:val="18"/>
              </w:rPr>
              <w:t>180</w:t>
            </w:r>
          </w:p>
        </w:tc>
      </w:tr>
      <w:tr>
        <w:trPr>
          <w:trHeight w:val="368" w:hRule="exact"/>
        </w:trPr>
        <w:tc>
          <w:tcPr>
            <w:tcW w:w="1318" w:type="dxa"/>
          </w:tcPr>
          <w:p>
            <w:pPr>
              <w:pStyle w:val="TableParagraph"/>
              <w:spacing w:line="207" w:lineRule="exact"/>
              <w:ind w:right="194"/>
              <w:jc w:val="left"/>
              <w:rPr>
                <w:sz w:val="18"/>
              </w:rPr>
            </w:pPr>
            <w:r>
              <w:rPr>
                <w:sz w:val="18"/>
              </w:rPr>
              <w:t>Toluca</w:t>
            </w:r>
          </w:p>
        </w:tc>
        <w:tc>
          <w:tcPr>
            <w:tcW w:w="989" w:type="dxa"/>
          </w:tcPr>
          <w:p>
            <w:pPr>
              <w:pStyle w:val="TableParagraph"/>
              <w:spacing w:line="207" w:lineRule="exact"/>
              <w:ind w:left="119" w:right="118"/>
              <w:rPr>
                <w:sz w:val="18"/>
              </w:rPr>
            </w:pPr>
            <w:r>
              <w:rPr>
                <w:sz w:val="18"/>
              </w:rPr>
              <w:t>5.2</w:t>
            </w:r>
          </w:p>
        </w:tc>
        <w:tc>
          <w:tcPr>
            <w:tcW w:w="997" w:type="dxa"/>
          </w:tcPr>
          <w:p>
            <w:pPr>
              <w:pStyle w:val="TableParagraph"/>
              <w:spacing w:line="207" w:lineRule="exact"/>
              <w:ind w:left="83" w:right="81"/>
              <w:rPr>
                <w:sz w:val="18"/>
              </w:rPr>
            </w:pPr>
            <w:r>
              <w:rPr>
                <w:sz w:val="18"/>
              </w:rPr>
              <w:t>48</w:t>
            </w:r>
          </w:p>
        </w:tc>
        <w:tc>
          <w:tcPr>
            <w:tcW w:w="989" w:type="dxa"/>
          </w:tcPr>
          <w:p>
            <w:pPr>
              <w:pStyle w:val="TableParagraph"/>
              <w:spacing w:line="207" w:lineRule="exact"/>
              <w:ind w:left="119" w:right="119"/>
              <w:rPr>
                <w:sz w:val="18"/>
              </w:rPr>
            </w:pPr>
            <w:r>
              <w:rPr>
                <w:sz w:val="18"/>
              </w:rPr>
              <w:t>51.6</w:t>
            </w:r>
          </w:p>
        </w:tc>
        <w:tc>
          <w:tcPr>
            <w:tcW w:w="876" w:type="dxa"/>
          </w:tcPr>
          <w:p>
            <w:pPr>
              <w:pStyle w:val="TableParagraph"/>
              <w:spacing w:line="207" w:lineRule="exact"/>
              <w:ind w:left="87" w:right="88"/>
              <w:rPr>
                <w:sz w:val="18"/>
              </w:rPr>
            </w:pPr>
            <w:r>
              <w:rPr>
                <w:sz w:val="18"/>
              </w:rPr>
              <w:t>3.1</w:t>
            </w:r>
          </w:p>
        </w:tc>
        <w:tc>
          <w:tcPr>
            <w:tcW w:w="876" w:type="dxa"/>
          </w:tcPr>
          <w:p>
            <w:pPr>
              <w:pStyle w:val="TableParagraph"/>
              <w:spacing w:line="207" w:lineRule="exact"/>
              <w:ind w:left="113" w:right="114"/>
              <w:rPr>
                <w:sz w:val="18"/>
              </w:rPr>
            </w:pPr>
            <w:r>
              <w:rPr>
                <w:sz w:val="18"/>
              </w:rPr>
              <w:t>0.7</w:t>
            </w:r>
          </w:p>
        </w:tc>
        <w:tc>
          <w:tcPr>
            <w:tcW w:w="991" w:type="dxa"/>
          </w:tcPr>
          <w:p>
            <w:pPr>
              <w:pStyle w:val="TableParagraph"/>
              <w:spacing w:line="207" w:lineRule="exact"/>
              <w:ind w:left="120" w:right="120"/>
              <w:rPr>
                <w:sz w:val="18"/>
              </w:rPr>
            </w:pPr>
            <w:r>
              <w:rPr>
                <w:sz w:val="18"/>
              </w:rPr>
              <w:t>19</w:t>
            </w:r>
          </w:p>
        </w:tc>
        <w:tc>
          <w:tcPr>
            <w:tcW w:w="989" w:type="dxa"/>
          </w:tcPr>
          <w:p>
            <w:pPr>
              <w:pStyle w:val="TableParagraph"/>
              <w:spacing w:line="207" w:lineRule="exact"/>
              <w:ind w:left="118" w:right="121"/>
              <w:rPr>
                <w:sz w:val="18"/>
              </w:rPr>
            </w:pPr>
            <w:r>
              <w:rPr>
                <w:sz w:val="18"/>
              </w:rPr>
              <w:t>20</w:t>
            </w:r>
          </w:p>
        </w:tc>
        <w:tc>
          <w:tcPr>
            <w:tcW w:w="1042" w:type="dxa"/>
          </w:tcPr>
          <w:p>
            <w:pPr>
              <w:pStyle w:val="TableParagraph"/>
              <w:spacing w:line="207" w:lineRule="exact"/>
              <w:ind w:left="120" w:right="120"/>
              <w:rPr>
                <w:sz w:val="18"/>
              </w:rPr>
            </w:pPr>
            <w:r>
              <w:rPr>
                <w:sz w:val="18"/>
              </w:rPr>
              <w:t>170</w:t>
            </w:r>
          </w:p>
        </w:tc>
      </w:tr>
      <w:tr>
        <w:trPr>
          <w:trHeight w:val="370" w:hRule="exact"/>
        </w:trPr>
        <w:tc>
          <w:tcPr>
            <w:tcW w:w="1318" w:type="dxa"/>
          </w:tcPr>
          <w:p>
            <w:pPr>
              <w:pStyle w:val="TableParagraph"/>
              <w:spacing w:before="1"/>
              <w:jc w:val="left"/>
              <w:rPr>
                <w:sz w:val="18"/>
              </w:rPr>
            </w:pPr>
            <w:r>
              <w:rPr>
                <w:sz w:val="18"/>
              </w:rPr>
              <w:t>Villa Victoria</w:t>
            </w:r>
          </w:p>
        </w:tc>
        <w:tc>
          <w:tcPr>
            <w:tcW w:w="989" w:type="dxa"/>
          </w:tcPr>
          <w:p>
            <w:pPr>
              <w:pStyle w:val="TableParagraph"/>
              <w:spacing w:before="1"/>
              <w:ind w:left="119" w:right="118"/>
              <w:rPr>
                <w:sz w:val="18"/>
              </w:rPr>
            </w:pPr>
            <w:r>
              <w:rPr>
                <w:sz w:val="18"/>
              </w:rPr>
              <w:t>5.3</w:t>
            </w:r>
          </w:p>
        </w:tc>
        <w:tc>
          <w:tcPr>
            <w:tcW w:w="997" w:type="dxa"/>
          </w:tcPr>
          <w:p>
            <w:pPr>
              <w:pStyle w:val="TableParagraph"/>
              <w:spacing w:before="1"/>
              <w:ind w:left="83" w:right="81"/>
              <w:rPr>
                <w:sz w:val="18"/>
              </w:rPr>
            </w:pPr>
            <w:r>
              <w:rPr>
                <w:sz w:val="18"/>
              </w:rPr>
              <w:t>52</w:t>
            </w:r>
          </w:p>
        </w:tc>
        <w:tc>
          <w:tcPr>
            <w:tcW w:w="989" w:type="dxa"/>
          </w:tcPr>
          <w:p>
            <w:pPr>
              <w:pStyle w:val="TableParagraph"/>
              <w:spacing w:before="1"/>
              <w:ind w:left="119" w:right="119"/>
              <w:rPr>
                <w:sz w:val="18"/>
              </w:rPr>
            </w:pPr>
            <w:r>
              <w:rPr>
                <w:sz w:val="18"/>
              </w:rPr>
              <w:t>48.2</w:t>
            </w:r>
          </w:p>
        </w:tc>
        <w:tc>
          <w:tcPr>
            <w:tcW w:w="876" w:type="dxa"/>
          </w:tcPr>
          <w:p>
            <w:pPr>
              <w:pStyle w:val="TableParagraph"/>
              <w:spacing w:before="1"/>
              <w:ind w:left="87" w:right="88"/>
              <w:rPr>
                <w:sz w:val="18"/>
              </w:rPr>
            </w:pPr>
            <w:r>
              <w:rPr>
                <w:sz w:val="18"/>
              </w:rPr>
              <w:t>3.2</w:t>
            </w:r>
          </w:p>
        </w:tc>
        <w:tc>
          <w:tcPr>
            <w:tcW w:w="876" w:type="dxa"/>
          </w:tcPr>
          <w:p>
            <w:pPr>
              <w:pStyle w:val="TableParagraph"/>
              <w:spacing w:before="1"/>
              <w:ind w:left="0" w:right="1"/>
              <w:rPr>
                <w:sz w:val="18"/>
              </w:rPr>
            </w:pPr>
            <w:r>
              <w:rPr>
                <w:w w:val="99"/>
                <w:sz w:val="18"/>
              </w:rPr>
              <w:t>1</w:t>
            </w:r>
          </w:p>
        </w:tc>
        <w:tc>
          <w:tcPr>
            <w:tcW w:w="991" w:type="dxa"/>
          </w:tcPr>
          <w:p>
            <w:pPr>
              <w:pStyle w:val="TableParagraph"/>
              <w:spacing w:before="1"/>
              <w:ind w:left="120" w:right="120"/>
              <w:rPr>
                <w:sz w:val="18"/>
              </w:rPr>
            </w:pPr>
            <w:r>
              <w:rPr>
                <w:sz w:val="18"/>
              </w:rPr>
              <w:t>20</w:t>
            </w:r>
          </w:p>
        </w:tc>
        <w:tc>
          <w:tcPr>
            <w:tcW w:w="989" w:type="dxa"/>
          </w:tcPr>
          <w:p>
            <w:pPr>
              <w:pStyle w:val="TableParagraph"/>
              <w:spacing w:before="1"/>
              <w:ind w:left="118" w:right="121"/>
              <w:rPr>
                <w:sz w:val="18"/>
              </w:rPr>
            </w:pPr>
            <w:r>
              <w:rPr>
                <w:sz w:val="18"/>
              </w:rPr>
              <w:t>19</w:t>
            </w:r>
          </w:p>
        </w:tc>
        <w:tc>
          <w:tcPr>
            <w:tcW w:w="1042" w:type="dxa"/>
          </w:tcPr>
          <w:p>
            <w:pPr>
              <w:pStyle w:val="TableParagraph"/>
              <w:spacing w:before="1"/>
              <w:ind w:left="120" w:right="120"/>
              <w:rPr>
                <w:sz w:val="18"/>
              </w:rPr>
            </w:pPr>
            <w:r>
              <w:rPr>
                <w:sz w:val="18"/>
              </w:rPr>
              <w:t>173</w:t>
            </w:r>
          </w:p>
        </w:tc>
      </w:tr>
      <w:tr>
        <w:trPr>
          <w:trHeight w:val="367" w:hRule="exact"/>
        </w:trPr>
        <w:tc>
          <w:tcPr>
            <w:tcW w:w="1318" w:type="dxa"/>
          </w:tcPr>
          <w:p>
            <w:pPr>
              <w:pStyle w:val="TableParagraph"/>
              <w:spacing w:line="206" w:lineRule="exact"/>
              <w:jc w:val="left"/>
              <w:rPr>
                <w:sz w:val="18"/>
              </w:rPr>
            </w:pPr>
            <w:r>
              <w:rPr>
                <w:sz w:val="18"/>
              </w:rPr>
              <w:t>Zinacantepec</w:t>
            </w:r>
          </w:p>
        </w:tc>
        <w:tc>
          <w:tcPr>
            <w:tcW w:w="989" w:type="dxa"/>
          </w:tcPr>
          <w:p>
            <w:pPr>
              <w:pStyle w:val="TableParagraph"/>
              <w:spacing w:line="206" w:lineRule="exact"/>
              <w:ind w:left="119" w:right="118"/>
              <w:rPr>
                <w:sz w:val="18"/>
              </w:rPr>
            </w:pPr>
            <w:r>
              <w:rPr>
                <w:sz w:val="18"/>
              </w:rPr>
              <w:t>5.6</w:t>
            </w:r>
          </w:p>
        </w:tc>
        <w:tc>
          <w:tcPr>
            <w:tcW w:w="997" w:type="dxa"/>
          </w:tcPr>
          <w:p>
            <w:pPr>
              <w:pStyle w:val="TableParagraph"/>
              <w:spacing w:line="206" w:lineRule="exact"/>
              <w:ind w:left="83" w:right="81"/>
              <w:rPr>
                <w:sz w:val="18"/>
              </w:rPr>
            </w:pPr>
            <w:r>
              <w:rPr>
                <w:sz w:val="18"/>
              </w:rPr>
              <w:t>49</w:t>
            </w:r>
          </w:p>
        </w:tc>
        <w:tc>
          <w:tcPr>
            <w:tcW w:w="989" w:type="dxa"/>
          </w:tcPr>
          <w:p>
            <w:pPr>
              <w:pStyle w:val="TableParagraph"/>
              <w:spacing w:line="206" w:lineRule="exact"/>
              <w:ind w:left="119" w:right="119"/>
              <w:rPr>
                <w:sz w:val="18"/>
              </w:rPr>
            </w:pPr>
            <w:r>
              <w:rPr>
                <w:sz w:val="18"/>
              </w:rPr>
              <w:t>51</w:t>
            </w:r>
          </w:p>
        </w:tc>
        <w:tc>
          <w:tcPr>
            <w:tcW w:w="876" w:type="dxa"/>
          </w:tcPr>
          <w:p>
            <w:pPr>
              <w:pStyle w:val="TableParagraph"/>
              <w:spacing w:line="206" w:lineRule="exact"/>
              <w:ind w:left="87" w:right="88"/>
              <w:rPr>
                <w:sz w:val="18"/>
              </w:rPr>
            </w:pPr>
            <w:r>
              <w:rPr>
                <w:sz w:val="18"/>
              </w:rPr>
              <w:t>3.6</w:t>
            </w:r>
          </w:p>
        </w:tc>
        <w:tc>
          <w:tcPr>
            <w:tcW w:w="876" w:type="dxa"/>
          </w:tcPr>
          <w:p>
            <w:pPr>
              <w:pStyle w:val="TableParagraph"/>
              <w:spacing w:line="206" w:lineRule="exact"/>
              <w:ind w:left="113" w:right="114"/>
              <w:rPr>
                <w:sz w:val="18"/>
              </w:rPr>
            </w:pPr>
            <w:r>
              <w:rPr>
                <w:sz w:val="18"/>
              </w:rPr>
              <w:t>0.8</w:t>
            </w:r>
          </w:p>
        </w:tc>
        <w:tc>
          <w:tcPr>
            <w:tcW w:w="991" w:type="dxa"/>
          </w:tcPr>
          <w:p>
            <w:pPr>
              <w:pStyle w:val="TableParagraph"/>
              <w:spacing w:line="206" w:lineRule="exact"/>
              <w:ind w:left="120" w:right="121"/>
              <w:rPr>
                <w:sz w:val="18"/>
              </w:rPr>
            </w:pPr>
            <w:r>
              <w:rPr>
                <w:sz w:val="18"/>
              </w:rPr>
              <w:t>19.2</w:t>
            </w:r>
          </w:p>
        </w:tc>
        <w:tc>
          <w:tcPr>
            <w:tcW w:w="989" w:type="dxa"/>
          </w:tcPr>
          <w:p>
            <w:pPr>
              <w:pStyle w:val="TableParagraph"/>
              <w:spacing w:line="206" w:lineRule="exact"/>
              <w:ind w:left="118" w:right="121"/>
              <w:rPr>
                <w:sz w:val="18"/>
              </w:rPr>
            </w:pPr>
            <w:r>
              <w:rPr>
                <w:sz w:val="18"/>
              </w:rPr>
              <w:t>21</w:t>
            </w:r>
          </w:p>
        </w:tc>
        <w:tc>
          <w:tcPr>
            <w:tcW w:w="1042" w:type="dxa"/>
          </w:tcPr>
          <w:p>
            <w:pPr>
              <w:pStyle w:val="TableParagraph"/>
              <w:spacing w:line="206" w:lineRule="exact"/>
              <w:ind w:left="120" w:right="120"/>
              <w:rPr>
                <w:sz w:val="18"/>
              </w:rPr>
            </w:pPr>
            <w:r>
              <w:rPr>
                <w:sz w:val="18"/>
              </w:rPr>
              <w:t>145</w:t>
            </w:r>
          </w:p>
        </w:tc>
      </w:tr>
      <w:tr>
        <w:trPr>
          <w:trHeight w:val="370" w:hRule="exact"/>
        </w:trPr>
        <w:tc>
          <w:tcPr>
            <w:tcW w:w="1318" w:type="dxa"/>
          </w:tcPr>
          <w:p>
            <w:pPr>
              <w:pStyle w:val="TableParagraph"/>
              <w:spacing w:line="206" w:lineRule="exact"/>
              <w:ind w:right="194"/>
              <w:jc w:val="left"/>
              <w:rPr>
                <w:sz w:val="18"/>
              </w:rPr>
            </w:pPr>
            <w:r>
              <w:rPr>
                <w:sz w:val="18"/>
              </w:rPr>
              <w:t>Media±DE</w:t>
            </w:r>
          </w:p>
        </w:tc>
        <w:tc>
          <w:tcPr>
            <w:tcW w:w="989" w:type="dxa"/>
          </w:tcPr>
          <w:p>
            <w:pPr>
              <w:pStyle w:val="TableParagraph"/>
              <w:spacing w:line="206" w:lineRule="exact"/>
              <w:ind w:left="119" w:right="120"/>
              <w:rPr>
                <w:sz w:val="18"/>
              </w:rPr>
            </w:pPr>
            <w:r>
              <w:rPr>
                <w:sz w:val="18"/>
              </w:rPr>
              <w:t>5.3±0.26</w:t>
            </w:r>
          </w:p>
        </w:tc>
        <w:tc>
          <w:tcPr>
            <w:tcW w:w="997" w:type="dxa"/>
          </w:tcPr>
          <w:p>
            <w:pPr>
              <w:pStyle w:val="TableParagraph"/>
              <w:spacing w:line="206" w:lineRule="exact"/>
              <w:ind w:left="83" w:right="82"/>
              <w:rPr>
                <w:sz w:val="18"/>
              </w:rPr>
            </w:pPr>
            <w:r>
              <w:rPr>
                <w:sz w:val="18"/>
              </w:rPr>
              <w:t>49.5±6.5</w:t>
            </w:r>
          </w:p>
        </w:tc>
        <w:tc>
          <w:tcPr>
            <w:tcW w:w="989" w:type="dxa"/>
          </w:tcPr>
          <w:p>
            <w:pPr>
              <w:pStyle w:val="TableParagraph"/>
              <w:spacing w:line="206" w:lineRule="exact"/>
              <w:ind w:left="119" w:right="120"/>
              <w:rPr>
                <w:sz w:val="18"/>
              </w:rPr>
            </w:pPr>
            <w:r>
              <w:rPr>
                <w:sz w:val="18"/>
              </w:rPr>
              <w:t>50.3±5.4</w:t>
            </w:r>
          </w:p>
        </w:tc>
        <w:tc>
          <w:tcPr>
            <w:tcW w:w="876" w:type="dxa"/>
          </w:tcPr>
          <w:p>
            <w:pPr>
              <w:pStyle w:val="TableParagraph"/>
              <w:spacing w:line="206" w:lineRule="exact"/>
              <w:ind w:left="87" w:right="88"/>
              <w:rPr>
                <w:sz w:val="18"/>
              </w:rPr>
            </w:pPr>
            <w:r>
              <w:rPr>
                <w:sz w:val="18"/>
              </w:rPr>
              <w:t>3.3±0.8</w:t>
            </w:r>
          </w:p>
        </w:tc>
        <w:tc>
          <w:tcPr>
            <w:tcW w:w="876" w:type="dxa"/>
          </w:tcPr>
          <w:p>
            <w:pPr>
              <w:pStyle w:val="TableParagraph"/>
              <w:spacing w:line="206" w:lineRule="exact"/>
              <w:ind w:left="113" w:right="114"/>
              <w:rPr>
                <w:sz w:val="18"/>
              </w:rPr>
            </w:pPr>
            <w:r>
              <w:rPr>
                <w:sz w:val="18"/>
              </w:rPr>
              <w:t>0.9±0.4</w:t>
            </w:r>
          </w:p>
        </w:tc>
        <w:tc>
          <w:tcPr>
            <w:tcW w:w="991" w:type="dxa"/>
          </w:tcPr>
          <w:p>
            <w:pPr>
              <w:pStyle w:val="TableParagraph"/>
              <w:spacing w:line="206" w:lineRule="exact"/>
              <w:ind w:left="120" w:right="121"/>
              <w:rPr>
                <w:sz w:val="18"/>
              </w:rPr>
            </w:pPr>
            <w:r>
              <w:rPr>
                <w:sz w:val="18"/>
              </w:rPr>
              <w:t>20.6±2.1</w:t>
            </w:r>
          </w:p>
        </w:tc>
        <w:tc>
          <w:tcPr>
            <w:tcW w:w="989" w:type="dxa"/>
          </w:tcPr>
          <w:p>
            <w:pPr>
              <w:pStyle w:val="TableParagraph"/>
              <w:spacing w:line="206" w:lineRule="exact"/>
              <w:ind w:left="118" w:right="122"/>
              <w:rPr>
                <w:sz w:val="18"/>
              </w:rPr>
            </w:pPr>
            <w:r>
              <w:rPr>
                <w:sz w:val="18"/>
              </w:rPr>
              <w:t>19.9±3.7</w:t>
            </w:r>
          </w:p>
        </w:tc>
        <w:tc>
          <w:tcPr>
            <w:tcW w:w="1042" w:type="dxa"/>
          </w:tcPr>
          <w:p>
            <w:pPr>
              <w:pStyle w:val="TableParagraph"/>
              <w:spacing w:line="206" w:lineRule="exact"/>
              <w:ind w:left="121" w:right="120"/>
              <w:rPr>
                <w:sz w:val="18"/>
              </w:rPr>
            </w:pPr>
            <w:r>
              <w:rPr>
                <w:sz w:val="18"/>
              </w:rPr>
              <w:t>173±34.4</w:t>
            </w:r>
          </w:p>
        </w:tc>
      </w:tr>
    </w:tbl>
    <w:p>
      <w:pPr>
        <w:pStyle w:val="BodyText"/>
        <w:rPr>
          <w:sz w:val="20"/>
        </w:rPr>
      </w:pPr>
    </w:p>
    <w:p>
      <w:pPr>
        <w:pStyle w:val="BodyText"/>
        <w:spacing w:before="11"/>
        <w:rPr>
          <w:sz w:val="20"/>
        </w:rPr>
      </w:pPr>
    </w:p>
    <w:p>
      <w:pPr>
        <w:pStyle w:val="BodyText"/>
        <w:spacing w:before="69"/>
        <w:ind w:left="142"/>
        <w:jc w:val="both"/>
      </w:pPr>
      <w:r>
        <w:rPr/>
        <w:t>pH</w:t>
      </w:r>
    </w:p>
    <w:p>
      <w:pPr>
        <w:pStyle w:val="BodyText"/>
        <w:spacing w:line="276" w:lineRule="auto" w:before="161"/>
        <w:ind w:left="142" w:right="360"/>
        <w:jc w:val="both"/>
      </w:pPr>
      <w:r>
        <w:rPr/>
        <w:t>El pH de los quesos se situó en el rango de 5.1-5.7, el queso procedente de Guadalajara fue el que mostró el valor más alto de pH con 5.7, seguido de Zinacantepec, San Mateo Atenco y Almoloya de Juárez con valores de 5.6, 5.5 y</w:t>
      </w:r>
    </w:p>
    <w:p>
      <w:pPr>
        <w:pStyle w:val="BodyText"/>
        <w:spacing w:line="276" w:lineRule="auto" w:before="1"/>
        <w:ind w:left="142" w:right="360"/>
        <w:jc w:val="both"/>
      </w:pPr>
      <w:r>
        <w:rPr/>
        <w:t>5.4 respectivamente; los municipios de Villa Victoria, Ixtlahuaca y Ecatepec presentaron</w:t>
      </w:r>
      <w:r>
        <w:rPr>
          <w:spacing w:val="-2"/>
        </w:rPr>
        <w:t> </w:t>
      </w:r>
      <w:r>
        <w:rPr/>
        <w:t>el</w:t>
      </w:r>
      <w:r>
        <w:rPr>
          <w:spacing w:val="-6"/>
        </w:rPr>
        <w:t> </w:t>
      </w:r>
      <w:r>
        <w:rPr/>
        <w:t>mismo</w:t>
      </w:r>
      <w:r>
        <w:rPr>
          <w:spacing w:val="-3"/>
        </w:rPr>
        <w:t> </w:t>
      </w:r>
      <w:r>
        <w:rPr/>
        <w:t>valor</w:t>
      </w:r>
      <w:r>
        <w:rPr>
          <w:spacing w:val="-4"/>
        </w:rPr>
        <w:t> </w:t>
      </w:r>
      <w:r>
        <w:rPr/>
        <w:t>de</w:t>
      </w:r>
      <w:r>
        <w:rPr>
          <w:spacing w:val="-3"/>
        </w:rPr>
        <w:t> </w:t>
      </w:r>
      <w:r>
        <w:rPr/>
        <w:t>pH</w:t>
      </w:r>
      <w:r>
        <w:rPr>
          <w:spacing w:val="-4"/>
        </w:rPr>
        <w:t> </w:t>
      </w:r>
      <w:r>
        <w:rPr/>
        <w:t>con</w:t>
      </w:r>
      <w:r>
        <w:rPr>
          <w:spacing w:val="-3"/>
        </w:rPr>
        <w:t> </w:t>
      </w:r>
      <w:r>
        <w:rPr/>
        <w:t>5.3;</w:t>
      </w:r>
      <w:r>
        <w:rPr>
          <w:spacing w:val="-5"/>
        </w:rPr>
        <w:t> </w:t>
      </w:r>
      <w:r>
        <w:rPr/>
        <w:t>Toluca</w:t>
      </w:r>
      <w:r>
        <w:rPr>
          <w:spacing w:val="-2"/>
        </w:rPr>
        <w:t> </w:t>
      </w:r>
      <w:r>
        <w:rPr/>
        <w:t>y</w:t>
      </w:r>
      <w:r>
        <w:rPr>
          <w:spacing w:val="-6"/>
        </w:rPr>
        <w:t> </w:t>
      </w:r>
      <w:r>
        <w:rPr/>
        <w:t>Aculco</w:t>
      </w:r>
      <w:r>
        <w:rPr>
          <w:spacing w:val="-3"/>
        </w:rPr>
        <w:t> </w:t>
      </w:r>
      <w:r>
        <w:rPr/>
        <w:t>tuvieron</w:t>
      </w:r>
      <w:r>
        <w:rPr>
          <w:spacing w:val="-3"/>
        </w:rPr>
        <w:t> </w:t>
      </w:r>
      <w:r>
        <w:rPr/>
        <w:t>un</w:t>
      </w:r>
      <w:r>
        <w:rPr>
          <w:spacing w:val="-3"/>
        </w:rPr>
        <w:t> </w:t>
      </w:r>
      <w:r>
        <w:rPr/>
        <w:t>valor</w:t>
      </w:r>
      <w:r>
        <w:rPr>
          <w:spacing w:val="-4"/>
        </w:rPr>
        <w:t> </w:t>
      </w:r>
      <w:r>
        <w:rPr/>
        <w:t>de</w:t>
      </w:r>
      <w:r>
        <w:rPr>
          <w:spacing w:val="-3"/>
        </w:rPr>
        <w:t> </w:t>
      </w:r>
      <w:r>
        <w:rPr/>
        <w:t>5.2 y finalmente Texcatitlán y Metepec tuvieron el valor más bajo de pH con 5.1 como se muestra en el cuadro</w:t>
      </w:r>
      <w:r>
        <w:rPr>
          <w:spacing w:val="-10"/>
        </w:rPr>
        <w:t> </w:t>
      </w:r>
      <w:r>
        <w:rPr/>
        <w:t>13.</w:t>
      </w:r>
    </w:p>
    <w:p>
      <w:pPr>
        <w:spacing w:after="0" w:line="276" w:lineRule="auto"/>
        <w:jc w:val="both"/>
        <w:sectPr>
          <w:pgSz w:w="12240" w:h="15840"/>
          <w:pgMar w:header="728" w:footer="710" w:top="1200" w:bottom="900" w:left="1560" w:right="1340"/>
        </w:sectPr>
      </w:pPr>
    </w:p>
    <w:p>
      <w:pPr>
        <w:pStyle w:val="BodyText"/>
        <w:spacing w:before="7"/>
        <w:rPr>
          <w:sz w:val="12"/>
        </w:rPr>
      </w:pPr>
    </w:p>
    <w:p>
      <w:pPr>
        <w:pStyle w:val="BodyText"/>
        <w:spacing w:before="69"/>
        <w:ind w:left="142" w:right="63"/>
      </w:pPr>
      <w:r>
        <w:rPr/>
        <w:t>Cuadro 13: Valores de pH en los quesos frescos mostrados por municipio.</w:t>
      </w:r>
    </w:p>
    <w:p>
      <w:pPr>
        <w:pStyle w:val="BodyText"/>
        <w:spacing w:before="4"/>
        <w:rPr>
          <w:sz w:val="14"/>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79"/>
        <w:gridCol w:w="1080"/>
        <w:gridCol w:w="1314"/>
        <w:gridCol w:w="1062"/>
        <w:gridCol w:w="1406"/>
        <w:gridCol w:w="1055"/>
        <w:gridCol w:w="1133"/>
      </w:tblGrid>
      <w:tr>
        <w:trPr>
          <w:trHeight w:val="302" w:hRule="exact"/>
        </w:trPr>
        <w:tc>
          <w:tcPr>
            <w:tcW w:w="8829" w:type="dxa"/>
            <w:gridSpan w:val="7"/>
            <w:tcBorders>
              <w:right w:val="nil"/>
            </w:tcBorders>
            <w:shd w:val="clear" w:color="auto" w:fill="A6A6A6"/>
          </w:tcPr>
          <w:p>
            <w:pPr>
              <w:pStyle w:val="TableParagraph"/>
              <w:spacing w:line="194" w:lineRule="exact"/>
              <w:ind w:left="4358" w:right="4238"/>
              <w:rPr>
                <w:rFonts w:ascii="Calibri"/>
                <w:b/>
                <w:sz w:val="16"/>
              </w:rPr>
            </w:pPr>
            <w:r>
              <w:rPr>
                <w:rFonts w:ascii="Calibri"/>
                <w:b/>
                <w:color w:val="FFFFFF"/>
                <w:sz w:val="16"/>
              </w:rPr>
              <w:t>pH</w:t>
            </w:r>
          </w:p>
        </w:tc>
      </w:tr>
      <w:tr>
        <w:trPr>
          <w:trHeight w:val="540" w:hRule="exact"/>
        </w:trPr>
        <w:tc>
          <w:tcPr>
            <w:tcW w:w="1779" w:type="dxa"/>
            <w:tcBorders>
              <w:right w:val="nil"/>
            </w:tcBorders>
          </w:tcPr>
          <w:p>
            <w:pPr/>
          </w:p>
        </w:tc>
        <w:tc>
          <w:tcPr>
            <w:tcW w:w="1080" w:type="dxa"/>
            <w:tcBorders>
              <w:left w:val="nil"/>
              <w:right w:val="nil"/>
            </w:tcBorders>
          </w:tcPr>
          <w:p>
            <w:pPr>
              <w:pStyle w:val="TableParagraph"/>
              <w:spacing w:line="230" w:lineRule="exact"/>
              <w:ind w:left="316" w:right="178"/>
              <w:rPr>
                <w:sz w:val="20"/>
              </w:rPr>
            </w:pPr>
            <w:r>
              <w:rPr>
                <w:sz w:val="20"/>
              </w:rPr>
              <w:t>Media</w:t>
            </w:r>
          </w:p>
        </w:tc>
        <w:tc>
          <w:tcPr>
            <w:tcW w:w="1314" w:type="dxa"/>
            <w:tcBorders>
              <w:left w:val="nil"/>
              <w:right w:val="nil"/>
            </w:tcBorders>
          </w:tcPr>
          <w:p>
            <w:pPr>
              <w:pStyle w:val="TableParagraph"/>
              <w:spacing w:line="278" w:lineRule="auto"/>
              <w:ind w:left="300" w:hanging="101"/>
              <w:jc w:val="left"/>
              <w:rPr>
                <w:sz w:val="20"/>
              </w:rPr>
            </w:pPr>
            <w:r>
              <w:rPr>
                <w:w w:val="95"/>
                <w:sz w:val="20"/>
              </w:rPr>
              <w:t>Desviación </w:t>
            </w:r>
            <w:r>
              <w:rPr>
                <w:sz w:val="20"/>
              </w:rPr>
              <w:t>estándar</w:t>
            </w:r>
          </w:p>
        </w:tc>
        <w:tc>
          <w:tcPr>
            <w:tcW w:w="1062" w:type="dxa"/>
            <w:tcBorders>
              <w:left w:val="nil"/>
              <w:right w:val="nil"/>
            </w:tcBorders>
          </w:tcPr>
          <w:p>
            <w:pPr>
              <w:pStyle w:val="TableParagraph"/>
              <w:spacing w:line="230" w:lineRule="exact"/>
              <w:ind w:left="111" w:right="122"/>
              <w:rPr>
                <w:sz w:val="20"/>
              </w:rPr>
            </w:pPr>
            <w:r>
              <w:rPr>
                <w:sz w:val="20"/>
              </w:rPr>
              <w:t>Varianza</w:t>
            </w:r>
          </w:p>
        </w:tc>
        <w:tc>
          <w:tcPr>
            <w:tcW w:w="1406" w:type="dxa"/>
            <w:tcBorders>
              <w:left w:val="nil"/>
              <w:right w:val="nil"/>
            </w:tcBorders>
          </w:tcPr>
          <w:p>
            <w:pPr>
              <w:pStyle w:val="TableParagraph"/>
              <w:spacing w:line="278" w:lineRule="auto"/>
              <w:ind w:left="151" w:right="156" w:firstLine="38"/>
              <w:jc w:val="left"/>
              <w:rPr>
                <w:sz w:val="20"/>
              </w:rPr>
            </w:pPr>
            <w:r>
              <w:rPr>
                <w:sz w:val="20"/>
              </w:rPr>
              <w:t>Coeficiente de variación</w:t>
            </w:r>
          </w:p>
        </w:tc>
        <w:tc>
          <w:tcPr>
            <w:tcW w:w="1055" w:type="dxa"/>
            <w:tcBorders>
              <w:left w:val="nil"/>
              <w:right w:val="nil"/>
            </w:tcBorders>
          </w:tcPr>
          <w:p>
            <w:pPr>
              <w:pStyle w:val="TableParagraph"/>
              <w:spacing w:line="230" w:lineRule="exact"/>
              <w:ind w:left="159" w:right="199"/>
              <w:rPr>
                <w:sz w:val="20"/>
              </w:rPr>
            </w:pPr>
            <w:r>
              <w:rPr>
                <w:sz w:val="20"/>
              </w:rPr>
              <w:t>Mínimo</w:t>
            </w:r>
          </w:p>
        </w:tc>
        <w:tc>
          <w:tcPr>
            <w:tcW w:w="1133" w:type="dxa"/>
            <w:tcBorders>
              <w:left w:val="nil"/>
            </w:tcBorders>
          </w:tcPr>
          <w:p>
            <w:pPr>
              <w:pStyle w:val="TableParagraph"/>
              <w:spacing w:line="230" w:lineRule="exact"/>
              <w:ind w:left="201" w:right="187"/>
              <w:rPr>
                <w:sz w:val="20"/>
              </w:rPr>
            </w:pPr>
            <w:r>
              <w:rPr>
                <w:sz w:val="20"/>
              </w:rPr>
              <w:t>Máximo</w:t>
            </w:r>
          </w:p>
        </w:tc>
      </w:tr>
      <w:tr>
        <w:trPr>
          <w:trHeight w:val="274" w:hRule="exact"/>
        </w:trPr>
        <w:tc>
          <w:tcPr>
            <w:tcW w:w="1779" w:type="dxa"/>
            <w:tcBorders>
              <w:right w:val="nil"/>
            </w:tcBorders>
          </w:tcPr>
          <w:p>
            <w:pPr>
              <w:pStyle w:val="TableParagraph"/>
              <w:spacing w:line="230" w:lineRule="exact"/>
              <w:ind w:right="550"/>
              <w:jc w:val="left"/>
              <w:rPr>
                <w:sz w:val="20"/>
              </w:rPr>
            </w:pPr>
            <w:r>
              <w:rPr>
                <w:sz w:val="20"/>
              </w:rPr>
              <w:t>Aculco</w:t>
            </w:r>
          </w:p>
        </w:tc>
        <w:tc>
          <w:tcPr>
            <w:tcW w:w="1080" w:type="dxa"/>
            <w:tcBorders>
              <w:left w:val="nil"/>
              <w:right w:val="nil"/>
            </w:tcBorders>
          </w:tcPr>
          <w:p>
            <w:pPr>
              <w:pStyle w:val="TableParagraph"/>
              <w:spacing w:line="230" w:lineRule="exact"/>
              <w:ind w:left="316" w:right="176"/>
              <w:rPr>
                <w:sz w:val="20"/>
              </w:rPr>
            </w:pPr>
            <w:r>
              <w:rPr>
                <w:sz w:val="20"/>
              </w:rPr>
              <w:t>5.2</w:t>
            </w:r>
          </w:p>
        </w:tc>
        <w:tc>
          <w:tcPr>
            <w:tcW w:w="1314" w:type="dxa"/>
            <w:tcBorders>
              <w:left w:val="nil"/>
              <w:right w:val="nil"/>
            </w:tcBorders>
          </w:tcPr>
          <w:p>
            <w:pPr>
              <w:pStyle w:val="TableParagraph"/>
              <w:spacing w:line="230" w:lineRule="exact"/>
              <w:ind w:left="494"/>
              <w:jc w:val="left"/>
              <w:rPr>
                <w:sz w:val="20"/>
              </w:rPr>
            </w:pPr>
            <w:r>
              <w:rPr>
                <w:sz w:val="20"/>
              </w:rPr>
              <w:t>0.24</w:t>
            </w:r>
          </w:p>
        </w:tc>
        <w:tc>
          <w:tcPr>
            <w:tcW w:w="1062" w:type="dxa"/>
            <w:tcBorders>
              <w:left w:val="nil"/>
              <w:right w:val="nil"/>
            </w:tcBorders>
          </w:tcPr>
          <w:p>
            <w:pPr>
              <w:pStyle w:val="TableParagraph"/>
              <w:spacing w:line="230" w:lineRule="exact"/>
              <w:ind w:left="111" w:right="119"/>
              <w:rPr>
                <w:sz w:val="20"/>
              </w:rPr>
            </w:pPr>
            <w:r>
              <w:rPr>
                <w:sz w:val="20"/>
              </w:rPr>
              <w:t>0.06</w:t>
            </w:r>
          </w:p>
        </w:tc>
        <w:tc>
          <w:tcPr>
            <w:tcW w:w="1406" w:type="dxa"/>
            <w:tcBorders>
              <w:left w:val="nil"/>
              <w:right w:val="nil"/>
            </w:tcBorders>
          </w:tcPr>
          <w:p>
            <w:pPr>
              <w:pStyle w:val="TableParagraph"/>
              <w:spacing w:line="230" w:lineRule="exact"/>
              <w:ind w:left="473" w:right="501"/>
              <w:rPr>
                <w:sz w:val="20"/>
              </w:rPr>
            </w:pPr>
            <w:r>
              <w:rPr>
                <w:sz w:val="20"/>
              </w:rPr>
              <w:t>4.6</w:t>
            </w:r>
          </w:p>
        </w:tc>
        <w:tc>
          <w:tcPr>
            <w:tcW w:w="1055" w:type="dxa"/>
            <w:tcBorders>
              <w:left w:val="nil"/>
              <w:right w:val="nil"/>
            </w:tcBorders>
          </w:tcPr>
          <w:p>
            <w:pPr>
              <w:pStyle w:val="TableParagraph"/>
              <w:spacing w:line="230" w:lineRule="exact"/>
              <w:ind w:left="159" w:right="199"/>
              <w:rPr>
                <w:sz w:val="20"/>
              </w:rPr>
            </w:pPr>
            <w:r>
              <w:rPr>
                <w:sz w:val="20"/>
              </w:rPr>
              <w:t>4.84</w:t>
            </w:r>
          </w:p>
        </w:tc>
        <w:tc>
          <w:tcPr>
            <w:tcW w:w="1133" w:type="dxa"/>
            <w:tcBorders>
              <w:left w:val="nil"/>
            </w:tcBorders>
          </w:tcPr>
          <w:p>
            <w:pPr>
              <w:pStyle w:val="TableParagraph"/>
              <w:spacing w:line="230" w:lineRule="exact"/>
              <w:ind w:left="199" w:right="187"/>
              <w:rPr>
                <w:sz w:val="20"/>
              </w:rPr>
            </w:pPr>
            <w:r>
              <w:rPr>
                <w:sz w:val="20"/>
              </w:rPr>
              <w:t>5.4</w:t>
            </w:r>
          </w:p>
        </w:tc>
      </w:tr>
      <w:tr>
        <w:trPr>
          <w:trHeight w:val="540" w:hRule="exact"/>
        </w:trPr>
        <w:tc>
          <w:tcPr>
            <w:tcW w:w="1779" w:type="dxa"/>
            <w:tcBorders>
              <w:right w:val="nil"/>
            </w:tcBorders>
          </w:tcPr>
          <w:p>
            <w:pPr>
              <w:pStyle w:val="TableParagraph"/>
              <w:spacing w:line="278" w:lineRule="auto"/>
              <w:ind w:right="550"/>
              <w:jc w:val="left"/>
              <w:rPr>
                <w:sz w:val="20"/>
              </w:rPr>
            </w:pPr>
            <w:r>
              <w:rPr>
                <w:sz w:val="20"/>
              </w:rPr>
              <w:t>Almoloya de Juárez</w:t>
            </w:r>
          </w:p>
        </w:tc>
        <w:tc>
          <w:tcPr>
            <w:tcW w:w="1080" w:type="dxa"/>
            <w:tcBorders>
              <w:left w:val="nil"/>
              <w:right w:val="nil"/>
            </w:tcBorders>
          </w:tcPr>
          <w:p>
            <w:pPr>
              <w:pStyle w:val="TableParagraph"/>
              <w:spacing w:line="230" w:lineRule="exact"/>
              <w:ind w:left="316" w:right="176"/>
              <w:rPr>
                <w:sz w:val="20"/>
              </w:rPr>
            </w:pPr>
            <w:r>
              <w:rPr>
                <w:sz w:val="20"/>
              </w:rPr>
              <w:t>5.4</w:t>
            </w:r>
          </w:p>
        </w:tc>
        <w:tc>
          <w:tcPr>
            <w:tcW w:w="1314" w:type="dxa"/>
            <w:tcBorders>
              <w:left w:val="nil"/>
              <w:right w:val="nil"/>
            </w:tcBorders>
          </w:tcPr>
          <w:p>
            <w:pPr>
              <w:pStyle w:val="TableParagraph"/>
              <w:spacing w:line="230" w:lineRule="exact"/>
              <w:ind w:left="549"/>
              <w:jc w:val="left"/>
              <w:rPr>
                <w:sz w:val="20"/>
              </w:rPr>
            </w:pPr>
            <w:r>
              <w:rPr>
                <w:sz w:val="20"/>
              </w:rPr>
              <w:t>0.3</w:t>
            </w:r>
          </w:p>
        </w:tc>
        <w:tc>
          <w:tcPr>
            <w:tcW w:w="1062" w:type="dxa"/>
            <w:tcBorders>
              <w:left w:val="nil"/>
              <w:right w:val="nil"/>
            </w:tcBorders>
          </w:tcPr>
          <w:p>
            <w:pPr>
              <w:pStyle w:val="TableParagraph"/>
              <w:spacing w:line="230" w:lineRule="exact"/>
              <w:ind w:left="111" w:right="119"/>
              <w:rPr>
                <w:sz w:val="20"/>
              </w:rPr>
            </w:pPr>
            <w:r>
              <w:rPr>
                <w:sz w:val="20"/>
              </w:rPr>
              <w:t>0.09</w:t>
            </w:r>
          </w:p>
        </w:tc>
        <w:tc>
          <w:tcPr>
            <w:tcW w:w="1406" w:type="dxa"/>
            <w:tcBorders>
              <w:left w:val="nil"/>
              <w:right w:val="nil"/>
            </w:tcBorders>
          </w:tcPr>
          <w:p>
            <w:pPr>
              <w:pStyle w:val="TableParagraph"/>
              <w:spacing w:line="230" w:lineRule="exact"/>
              <w:ind w:left="473" w:right="501"/>
              <w:rPr>
                <w:sz w:val="20"/>
              </w:rPr>
            </w:pPr>
            <w:r>
              <w:rPr>
                <w:sz w:val="20"/>
              </w:rPr>
              <w:t>5.6</w:t>
            </w:r>
          </w:p>
        </w:tc>
        <w:tc>
          <w:tcPr>
            <w:tcW w:w="1055" w:type="dxa"/>
            <w:tcBorders>
              <w:left w:val="nil"/>
              <w:right w:val="nil"/>
            </w:tcBorders>
          </w:tcPr>
          <w:p>
            <w:pPr>
              <w:pStyle w:val="TableParagraph"/>
              <w:spacing w:line="230" w:lineRule="exact"/>
              <w:ind w:left="159" w:right="199"/>
              <w:rPr>
                <w:sz w:val="20"/>
              </w:rPr>
            </w:pPr>
            <w:r>
              <w:rPr>
                <w:sz w:val="20"/>
              </w:rPr>
              <w:t>5.1</w:t>
            </w:r>
          </w:p>
        </w:tc>
        <w:tc>
          <w:tcPr>
            <w:tcW w:w="1133" w:type="dxa"/>
            <w:tcBorders>
              <w:left w:val="nil"/>
            </w:tcBorders>
          </w:tcPr>
          <w:p>
            <w:pPr>
              <w:pStyle w:val="TableParagraph"/>
              <w:spacing w:line="230" w:lineRule="exact"/>
              <w:ind w:left="199" w:right="187"/>
              <w:rPr>
                <w:sz w:val="20"/>
              </w:rPr>
            </w:pPr>
            <w:r>
              <w:rPr>
                <w:sz w:val="20"/>
              </w:rPr>
              <w:t>5.7</w:t>
            </w:r>
          </w:p>
        </w:tc>
      </w:tr>
      <w:tr>
        <w:trPr>
          <w:trHeight w:val="274" w:hRule="exact"/>
        </w:trPr>
        <w:tc>
          <w:tcPr>
            <w:tcW w:w="1779" w:type="dxa"/>
            <w:tcBorders>
              <w:right w:val="nil"/>
            </w:tcBorders>
          </w:tcPr>
          <w:p>
            <w:pPr>
              <w:pStyle w:val="TableParagraph"/>
              <w:spacing w:line="230" w:lineRule="exact"/>
              <w:ind w:right="550"/>
              <w:jc w:val="left"/>
              <w:rPr>
                <w:sz w:val="20"/>
              </w:rPr>
            </w:pPr>
            <w:r>
              <w:rPr>
                <w:sz w:val="20"/>
              </w:rPr>
              <w:t>Desconoce</w:t>
            </w:r>
          </w:p>
        </w:tc>
        <w:tc>
          <w:tcPr>
            <w:tcW w:w="1080" w:type="dxa"/>
            <w:tcBorders>
              <w:left w:val="nil"/>
              <w:right w:val="nil"/>
            </w:tcBorders>
          </w:tcPr>
          <w:p>
            <w:pPr>
              <w:pStyle w:val="TableParagraph"/>
              <w:spacing w:line="230" w:lineRule="exact"/>
              <w:ind w:left="316" w:right="176"/>
              <w:rPr>
                <w:sz w:val="20"/>
              </w:rPr>
            </w:pPr>
            <w:r>
              <w:rPr>
                <w:sz w:val="20"/>
              </w:rPr>
              <w:t>5.3</w:t>
            </w:r>
          </w:p>
        </w:tc>
        <w:tc>
          <w:tcPr>
            <w:tcW w:w="1314" w:type="dxa"/>
            <w:tcBorders>
              <w:left w:val="nil"/>
              <w:right w:val="nil"/>
            </w:tcBorders>
          </w:tcPr>
          <w:p>
            <w:pPr>
              <w:pStyle w:val="TableParagraph"/>
              <w:spacing w:line="230" w:lineRule="exact"/>
              <w:ind w:left="494"/>
              <w:jc w:val="left"/>
              <w:rPr>
                <w:sz w:val="20"/>
              </w:rPr>
            </w:pPr>
            <w:r>
              <w:rPr>
                <w:sz w:val="20"/>
              </w:rPr>
              <w:t>0.35</w:t>
            </w:r>
          </w:p>
        </w:tc>
        <w:tc>
          <w:tcPr>
            <w:tcW w:w="1062" w:type="dxa"/>
            <w:tcBorders>
              <w:left w:val="nil"/>
              <w:right w:val="nil"/>
            </w:tcBorders>
          </w:tcPr>
          <w:p>
            <w:pPr>
              <w:pStyle w:val="TableParagraph"/>
              <w:spacing w:line="230" w:lineRule="exact"/>
              <w:ind w:left="111" w:right="119"/>
              <w:rPr>
                <w:sz w:val="20"/>
              </w:rPr>
            </w:pPr>
            <w:r>
              <w:rPr>
                <w:sz w:val="20"/>
              </w:rPr>
              <w:t>0.12</w:t>
            </w:r>
          </w:p>
        </w:tc>
        <w:tc>
          <w:tcPr>
            <w:tcW w:w="1406" w:type="dxa"/>
            <w:tcBorders>
              <w:left w:val="nil"/>
              <w:right w:val="nil"/>
            </w:tcBorders>
          </w:tcPr>
          <w:p>
            <w:pPr>
              <w:pStyle w:val="TableParagraph"/>
              <w:spacing w:line="230" w:lineRule="exact"/>
              <w:ind w:left="473" w:right="501"/>
              <w:rPr>
                <w:sz w:val="20"/>
              </w:rPr>
            </w:pPr>
            <w:r>
              <w:rPr>
                <w:sz w:val="20"/>
              </w:rPr>
              <w:t>6.6</w:t>
            </w:r>
          </w:p>
        </w:tc>
        <w:tc>
          <w:tcPr>
            <w:tcW w:w="1055" w:type="dxa"/>
            <w:tcBorders>
              <w:left w:val="nil"/>
              <w:right w:val="nil"/>
            </w:tcBorders>
          </w:tcPr>
          <w:p>
            <w:pPr>
              <w:pStyle w:val="TableParagraph"/>
              <w:spacing w:line="230" w:lineRule="exact"/>
              <w:ind w:left="159" w:right="199"/>
              <w:rPr>
                <w:sz w:val="20"/>
              </w:rPr>
            </w:pPr>
            <w:r>
              <w:rPr>
                <w:sz w:val="20"/>
              </w:rPr>
              <w:t>4.9</w:t>
            </w:r>
          </w:p>
        </w:tc>
        <w:tc>
          <w:tcPr>
            <w:tcW w:w="1133" w:type="dxa"/>
            <w:tcBorders>
              <w:left w:val="nil"/>
            </w:tcBorders>
          </w:tcPr>
          <w:p>
            <w:pPr>
              <w:pStyle w:val="TableParagraph"/>
              <w:spacing w:line="230" w:lineRule="exact"/>
              <w:ind w:left="199" w:right="187"/>
              <w:rPr>
                <w:sz w:val="20"/>
              </w:rPr>
            </w:pPr>
            <w:r>
              <w:rPr>
                <w:sz w:val="20"/>
              </w:rPr>
              <w:t>5.9</w:t>
            </w:r>
          </w:p>
        </w:tc>
      </w:tr>
      <w:tr>
        <w:trPr>
          <w:trHeight w:val="276" w:hRule="exact"/>
        </w:trPr>
        <w:tc>
          <w:tcPr>
            <w:tcW w:w="1779" w:type="dxa"/>
            <w:tcBorders>
              <w:right w:val="nil"/>
            </w:tcBorders>
          </w:tcPr>
          <w:p>
            <w:pPr>
              <w:pStyle w:val="TableParagraph"/>
              <w:spacing w:line="230" w:lineRule="exact"/>
              <w:ind w:right="550"/>
              <w:jc w:val="left"/>
              <w:rPr>
                <w:sz w:val="20"/>
              </w:rPr>
            </w:pPr>
            <w:r>
              <w:rPr>
                <w:sz w:val="20"/>
              </w:rPr>
              <w:t>Ecatepec</w:t>
            </w:r>
          </w:p>
        </w:tc>
        <w:tc>
          <w:tcPr>
            <w:tcW w:w="1080" w:type="dxa"/>
            <w:tcBorders>
              <w:left w:val="nil"/>
              <w:right w:val="nil"/>
            </w:tcBorders>
          </w:tcPr>
          <w:p>
            <w:pPr>
              <w:pStyle w:val="TableParagraph"/>
              <w:spacing w:line="230" w:lineRule="exact"/>
              <w:ind w:left="316" w:right="176"/>
              <w:rPr>
                <w:sz w:val="20"/>
              </w:rPr>
            </w:pPr>
            <w:r>
              <w:rPr>
                <w:sz w:val="20"/>
              </w:rPr>
              <w:t>5.3</w:t>
            </w:r>
          </w:p>
        </w:tc>
        <w:tc>
          <w:tcPr>
            <w:tcW w:w="1314" w:type="dxa"/>
            <w:tcBorders>
              <w:left w:val="nil"/>
              <w:right w:val="nil"/>
            </w:tcBorders>
          </w:tcPr>
          <w:p>
            <w:pPr>
              <w:pStyle w:val="TableParagraph"/>
              <w:spacing w:line="230" w:lineRule="exact"/>
              <w:ind w:left="494"/>
              <w:jc w:val="left"/>
              <w:rPr>
                <w:sz w:val="20"/>
              </w:rPr>
            </w:pPr>
            <w:r>
              <w:rPr>
                <w:sz w:val="20"/>
              </w:rPr>
              <w:t>0.00</w:t>
            </w:r>
          </w:p>
        </w:tc>
        <w:tc>
          <w:tcPr>
            <w:tcW w:w="1062" w:type="dxa"/>
            <w:tcBorders>
              <w:left w:val="nil"/>
              <w:right w:val="nil"/>
            </w:tcBorders>
          </w:tcPr>
          <w:p>
            <w:pPr>
              <w:pStyle w:val="TableParagraph"/>
              <w:spacing w:line="230" w:lineRule="exact"/>
              <w:ind w:left="111" w:right="119"/>
              <w:rPr>
                <w:sz w:val="20"/>
              </w:rPr>
            </w:pPr>
            <w:r>
              <w:rPr>
                <w:sz w:val="20"/>
              </w:rPr>
              <w:t>0.00</w:t>
            </w:r>
          </w:p>
        </w:tc>
        <w:tc>
          <w:tcPr>
            <w:tcW w:w="1406" w:type="dxa"/>
            <w:tcBorders>
              <w:left w:val="nil"/>
              <w:right w:val="nil"/>
            </w:tcBorders>
          </w:tcPr>
          <w:p>
            <w:pPr>
              <w:pStyle w:val="TableParagraph"/>
              <w:spacing w:line="230" w:lineRule="exact"/>
              <w:ind w:left="0" w:right="25"/>
              <w:rPr>
                <w:sz w:val="20"/>
              </w:rPr>
            </w:pPr>
            <w:r>
              <w:rPr>
                <w:w w:val="99"/>
                <w:sz w:val="20"/>
              </w:rPr>
              <w:t>0</w:t>
            </w:r>
          </w:p>
        </w:tc>
        <w:tc>
          <w:tcPr>
            <w:tcW w:w="1055" w:type="dxa"/>
            <w:tcBorders>
              <w:left w:val="nil"/>
              <w:right w:val="nil"/>
            </w:tcBorders>
          </w:tcPr>
          <w:p>
            <w:pPr>
              <w:pStyle w:val="TableParagraph"/>
              <w:spacing w:line="230" w:lineRule="exact"/>
              <w:ind w:left="159" w:right="199"/>
              <w:rPr>
                <w:sz w:val="20"/>
              </w:rPr>
            </w:pPr>
            <w:r>
              <w:rPr>
                <w:sz w:val="20"/>
              </w:rPr>
              <w:t>5.3</w:t>
            </w:r>
          </w:p>
        </w:tc>
        <w:tc>
          <w:tcPr>
            <w:tcW w:w="1133" w:type="dxa"/>
            <w:tcBorders>
              <w:left w:val="nil"/>
            </w:tcBorders>
          </w:tcPr>
          <w:p>
            <w:pPr>
              <w:pStyle w:val="TableParagraph"/>
              <w:spacing w:line="230" w:lineRule="exact"/>
              <w:ind w:left="199" w:right="187"/>
              <w:rPr>
                <w:sz w:val="20"/>
              </w:rPr>
            </w:pPr>
            <w:r>
              <w:rPr>
                <w:sz w:val="20"/>
              </w:rPr>
              <w:t>5.3</w:t>
            </w:r>
          </w:p>
        </w:tc>
      </w:tr>
      <w:tr>
        <w:trPr>
          <w:trHeight w:val="274" w:hRule="exact"/>
        </w:trPr>
        <w:tc>
          <w:tcPr>
            <w:tcW w:w="1779" w:type="dxa"/>
            <w:tcBorders>
              <w:right w:val="nil"/>
            </w:tcBorders>
          </w:tcPr>
          <w:p>
            <w:pPr>
              <w:pStyle w:val="TableParagraph"/>
              <w:spacing w:line="230" w:lineRule="exact"/>
              <w:jc w:val="left"/>
              <w:rPr>
                <w:sz w:val="20"/>
              </w:rPr>
            </w:pPr>
            <w:r>
              <w:rPr>
                <w:sz w:val="20"/>
              </w:rPr>
              <w:t>Guadalajara</w:t>
            </w:r>
          </w:p>
        </w:tc>
        <w:tc>
          <w:tcPr>
            <w:tcW w:w="1080" w:type="dxa"/>
            <w:tcBorders>
              <w:left w:val="nil"/>
              <w:right w:val="nil"/>
            </w:tcBorders>
          </w:tcPr>
          <w:p>
            <w:pPr>
              <w:pStyle w:val="TableParagraph"/>
              <w:spacing w:line="230" w:lineRule="exact"/>
              <w:ind w:left="316" w:right="176"/>
              <w:rPr>
                <w:sz w:val="20"/>
              </w:rPr>
            </w:pPr>
            <w:r>
              <w:rPr>
                <w:sz w:val="20"/>
              </w:rPr>
              <w:t>5.7</w:t>
            </w:r>
          </w:p>
        </w:tc>
        <w:tc>
          <w:tcPr>
            <w:tcW w:w="1314" w:type="dxa"/>
            <w:tcBorders>
              <w:left w:val="nil"/>
              <w:right w:val="nil"/>
            </w:tcBorders>
          </w:tcPr>
          <w:p>
            <w:pPr>
              <w:pStyle w:val="TableParagraph"/>
              <w:spacing w:line="230" w:lineRule="exact"/>
              <w:ind w:left="494"/>
              <w:jc w:val="left"/>
              <w:rPr>
                <w:sz w:val="20"/>
              </w:rPr>
            </w:pPr>
            <w:r>
              <w:rPr>
                <w:sz w:val="20"/>
              </w:rPr>
              <w:t>0.00</w:t>
            </w:r>
          </w:p>
        </w:tc>
        <w:tc>
          <w:tcPr>
            <w:tcW w:w="1062" w:type="dxa"/>
            <w:tcBorders>
              <w:left w:val="nil"/>
              <w:right w:val="nil"/>
            </w:tcBorders>
          </w:tcPr>
          <w:p>
            <w:pPr>
              <w:pStyle w:val="TableParagraph"/>
              <w:spacing w:line="230" w:lineRule="exact"/>
              <w:ind w:left="111" w:right="119"/>
              <w:rPr>
                <w:sz w:val="20"/>
              </w:rPr>
            </w:pPr>
            <w:r>
              <w:rPr>
                <w:sz w:val="20"/>
              </w:rPr>
              <w:t>0.00</w:t>
            </w:r>
          </w:p>
        </w:tc>
        <w:tc>
          <w:tcPr>
            <w:tcW w:w="1406" w:type="dxa"/>
            <w:tcBorders>
              <w:left w:val="nil"/>
              <w:right w:val="nil"/>
            </w:tcBorders>
          </w:tcPr>
          <w:p>
            <w:pPr>
              <w:pStyle w:val="TableParagraph"/>
              <w:spacing w:line="230" w:lineRule="exact"/>
              <w:ind w:left="0" w:right="25"/>
              <w:rPr>
                <w:sz w:val="20"/>
              </w:rPr>
            </w:pPr>
            <w:r>
              <w:rPr>
                <w:w w:val="99"/>
                <w:sz w:val="20"/>
              </w:rPr>
              <w:t>0</w:t>
            </w:r>
          </w:p>
        </w:tc>
        <w:tc>
          <w:tcPr>
            <w:tcW w:w="1055" w:type="dxa"/>
            <w:tcBorders>
              <w:left w:val="nil"/>
              <w:right w:val="nil"/>
            </w:tcBorders>
          </w:tcPr>
          <w:p>
            <w:pPr>
              <w:pStyle w:val="TableParagraph"/>
              <w:spacing w:line="230" w:lineRule="exact"/>
              <w:ind w:left="159" w:right="199"/>
              <w:rPr>
                <w:sz w:val="20"/>
              </w:rPr>
            </w:pPr>
            <w:r>
              <w:rPr>
                <w:sz w:val="20"/>
              </w:rPr>
              <w:t>5.7</w:t>
            </w:r>
          </w:p>
        </w:tc>
        <w:tc>
          <w:tcPr>
            <w:tcW w:w="1133" w:type="dxa"/>
            <w:tcBorders>
              <w:left w:val="nil"/>
            </w:tcBorders>
          </w:tcPr>
          <w:p>
            <w:pPr>
              <w:pStyle w:val="TableParagraph"/>
              <w:spacing w:line="230" w:lineRule="exact"/>
              <w:ind w:left="199" w:right="187"/>
              <w:rPr>
                <w:sz w:val="20"/>
              </w:rPr>
            </w:pPr>
            <w:r>
              <w:rPr>
                <w:sz w:val="20"/>
              </w:rPr>
              <w:t>5.7</w:t>
            </w:r>
          </w:p>
        </w:tc>
      </w:tr>
      <w:tr>
        <w:trPr>
          <w:trHeight w:val="274" w:hRule="exact"/>
        </w:trPr>
        <w:tc>
          <w:tcPr>
            <w:tcW w:w="1779" w:type="dxa"/>
            <w:tcBorders>
              <w:right w:val="nil"/>
            </w:tcBorders>
          </w:tcPr>
          <w:p>
            <w:pPr>
              <w:pStyle w:val="TableParagraph"/>
              <w:spacing w:line="230" w:lineRule="exact"/>
              <w:ind w:right="550"/>
              <w:jc w:val="left"/>
              <w:rPr>
                <w:sz w:val="20"/>
              </w:rPr>
            </w:pPr>
            <w:r>
              <w:rPr>
                <w:sz w:val="20"/>
              </w:rPr>
              <w:t>Ixtlahuaca</w:t>
            </w:r>
          </w:p>
        </w:tc>
        <w:tc>
          <w:tcPr>
            <w:tcW w:w="1080" w:type="dxa"/>
            <w:tcBorders>
              <w:left w:val="nil"/>
              <w:right w:val="nil"/>
            </w:tcBorders>
          </w:tcPr>
          <w:p>
            <w:pPr>
              <w:pStyle w:val="TableParagraph"/>
              <w:spacing w:line="230" w:lineRule="exact"/>
              <w:ind w:left="316" w:right="176"/>
              <w:rPr>
                <w:sz w:val="20"/>
              </w:rPr>
            </w:pPr>
            <w:r>
              <w:rPr>
                <w:sz w:val="20"/>
              </w:rPr>
              <w:t>5.3</w:t>
            </w:r>
          </w:p>
        </w:tc>
        <w:tc>
          <w:tcPr>
            <w:tcW w:w="1314" w:type="dxa"/>
            <w:tcBorders>
              <w:left w:val="nil"/>
              <w:right w:val="nil"/>
            </w:tcBorders>
          </w:tcPr>
          <w:p>
            <w:pPr>
              <w:pStyle w:val="TableParagraph"/>
              <w:spacing w:line="230" w:lineRule="exact"/>
              <w:ind w:left="494"/>
              <w:jc w:val="left"/>
              <w:rPr>
                <w:sz w:val="20"/>
              </w:rPr>
            </w:pPr>
            <w:r>
              <w:rPr>
                <w:sz w:val="20"/>
              </w:rPr>
              <w:t>0.27</w:t>
            </w:r>
          </w:p>
        </w:tc>
        <w:tc>
          <w:tcPr>
            <w:tcW w:w="1062" w:type="dxa"/>
            <w:tcBorders>
              <w:left w:val="nil"/>
              <w:right w:val="nil"/>
            </w:tcBorders>
          </w:tcPr>
          <w:p>
            <w:pPr>
              <w:pStyle w:val="TableParagraph"/>
              <w:spacing w:line="230" w:lineRule="exact"/>
              <w:ind w:left="111" w:right="119"/>
              <w:rPr>
                <w:sz w:val="20"/>
              </w:rPr>
            </w:pPr>
            <w:r>
              <w:rPr>
                <w:sz w:val="20"/>
              </w:rPr>
              <w:t>0.07</w:t>
            </w:r>
          </w:p>
        </w:tc>
        <w:tc>
          <w:tcPr>
            <w:tcW w:w="1406" w:type="dxa"/>
            <w:tcBorders>
              <w:left w:val="nil"/>
              <w:right w:val="nil"/>
            </w:tcBorders>
          </w:tcPr>
          <w:p>
            <w:pPr>
              <w:pStyle w:val="TableParagraph"/>
              <w:spacing w:line="230" w:lineRule="exact"/>
              <w:ind w:left="473" w:right="501"/>
              <w:rPr>
                <w:sz w:val="20"/>
              </w:rPr>
            </w:pPr>
            <w:r>
              <w:rPr>
                <w:sz w:val="20"/>
              </w:rPr>
              <w:t>5.08</w:t>
            </w:r>
          </w:p>
        </w:tc>
        <w:tc>
          <w:tcPr>
            <w:tcW w:w="1055" w:type="dxa"/>
            <w:tcBorders>
              <w:left w:val="nil"/>
              <w:right w:val="nil"/>
            </w:tcBorders>
          </w:tcPr>
          <w:p>
            <w:pPr>
              <w:pStyle w:val="TableParagraph"/>
              <w:spacing w:line="230" w:lineRule="exact"/>
              <w:ind w:left="159" w:right="199"/>
              <w:rPr>
                <w:sz w:val="20"/>
              </w:rPr>
            </w:pPr>
            <w:r>
              <w:rPr>
                <w:sz w:val="20"/>
              </w:rPr>
              <w:t>4.9</w:t>
            </w:r>
          </w:p>
        </w:tc>
        <w:tc>
          <w:tcPr>
            <w:tcW w:w="1133" w:type="dxa"/>
            <w:tcBorders>
              <w:left w:val="nil"/>
            </w:tcBorders>
          </w:tcPr>
          <w:p>
            <w:pPr>
              <w:pStyle w:val="TableParagraph"/>
              <w:spacing w:line="230" w:lineRule="exact"/>
              <w:ind w:left="199" w:right="187"/>
              <w:rPr>
                <w:sz w:val="20"/>
              </w:rPr>
            </w:pPr>
            <w:r>
              <w:rPr>
                <w:sz w:val="20"/>
              </w:rPr>
              <w:t>5.6</w:t>
            </w:r>
          </w:p>
        </w:tc>
      </w:tr>
      <w:tr>
        <w:trPr>
          <w:trHeight w:val="277" w:hRule="exact"/>
        </w:trPr>
        <w:tc>
          <w:tcPr>
            <w:tcW w:w="1779" w:type="dxa"/>
            <w:tcBorders>
              <w:right w:val="nil"/>
            </w:tcBorders>
          </w:tcPr>
          <w:p>
            <w:pPr>
              <w:pStyle w:val="TableParagraph"/>
              <w:ind w:right="550"/>
              <w:jc w:val="left"/>
              <w:rPr>
                <w:sz w:val="20"/>
              </w:rPr>
            </w:pPr>
            <w:r>
              <w:rPr>
                <w:sz w:val="20"/>
              </w:rPr>
              <w:t>Metepec</w:t>
            </w:r>
          </w:p>
        </w:tc>
        <w:tc>
          <w:tcPr>
            <w:tcW w:w="1080" w:type="dxa"/>
            <w:tcBorders>
              <w:left w:val="nil"/>
              <w:right w:val="nil"/>
            </w:tcBorders>
          </w:tcPr>
          <w:p>
            <w:pPr>
              <w:pStyle w:val="TableParagraph"/>
              <w:ind w:left="316" w:right="176"/>
              <w:rPr>
                <w:sz w:val="20"/>
              </w:rPr>
            </w:pPr>
            <w:r>
              <w:rPr>
                <w:sz w:val="20"/>
              </w:rPr>
              <w:t>5.1</w:t>
            </w:r>
          </w:p>
        </w:tc>
        <w:tc>
          <w:tcPr>
            <w:tcW w:w="1314" w:type="dxa"/>
            <w:tcBorders>
              <w:left w:val="nil"/>
              <w:right w:val="nil"/>
            </w:tcBorders>
          </w:tcPr>
          <w:p>
            <w:pPr>
              <w:pStyle w:val="TableParagraph"/>
              <w:ind w:left="494"/>
              <w:jc w:val="left"/>
              <w:rPr>
                <w:sz w:val="20"/>
              </w:rPr>
            </w:pPr>
            <w:r>
              <w:rPr>
                <w:sz w:val="20"/>
              </w:rPr>
              <w:t>0.00</w:t>
            </w:r>
          </w:p>
        </w:tc>
        <w:tc>
          <w:tcPr>
            <w:tcW w:w="1062" w:type="dxa"/>
            <w:tcBorders>
              <w:left w:val="nil"/>
              <w:right w:val="nil"/>
            </w:tcBorders>
          </w:tcPr>
          <w:p>
            <w:pPr>
              <w:pStyle w:val="TableParagraph"/>
              <w:ind w:left="111" w:right="119"/>
              <w:rPr>
                <w:sz w:val="20"/>
              </w:rPr>
            </w:pPr>
            <w:r>
              <w:rPr>
                <w:sz w:val="20"/>
              </w:rPr>
              <w:t>0.00</w:t>
            </w:r>
          </w:p>
        </w:tc>
        <w:tc>
          <w:tcPr>
            <w:tcW w:w="1406" w:type="dxa"/>
            <w:tcBorders>
              <w:left w:val="nil"/>
              <w:right w:val="nil"/>
            </w:tcBorders>
          </w:tcPr>
          <w:p>
            <w:pPr>
              <w:pStyle w:val="TableParagraph"/>
              <w:ind w:left="0" w:right="25"/>
              <w:rPr>
                <w:sz w:val="20"/>
              </w:rPr>
            </w:pPr>
            <w:r>
              <w:rPr>
                <w:w w:val="99"/>
                <w:sz w:val="20"/>
              </w:rPr>
              <w:t>0</w:t>
            </w:r>
          </w:p>
        </w:tc>
        <w:tc>
          <w:tcPr>
            <w:tcW w:w="1055" w:type="dxa"/>
            <w:tcBorders>
              <w:left w:val="nil"/>
              <w:right w:val="nil"/>
            </w:tcBorders>
          </w:tcPr>
          <w:p>
            <w:pPr>
              <w:pStyle w:val="TableParagraph"/>
              <w:ind w:left="159" w:right="199"/>
              <w:rPr>
                <w:sz w:val="20"/>
              </w:rPr>
            </w:pPr>
            <w:r>
              <w:rPr>
                <w:sz w:val="20"/>
              </w:rPr>
              <w:t>5.09</w:t>
            </w:r>
          </w:p>
        </w:tc>
        <w:tc>
          <w:tcPr>
            <w:tcW w:w="1133" w:type="dxa"/>
            <w:tcBorders>
              <w:left w:val="nil"/>
            </w:tcBorders>
          </w:tcPr>
          <w:p>
            <w:pPr>
              <w:pStyle w:val="TableParagraph"/>
              <w:ind w:left="199" w:right="187"/>
              <w:rPr>
                <w:sz w:val="20"/>
              </w:rPr>
            </w:pPr>
            <w:r>
              <w:rPr>
                <w:sz w:val="20"/>
              </w:rPr>
              <w:t>5.09</w:t>
            </w:r>
          </w:p>
        </w:tc>
      </w:tr>
      <w:tr>
        <w:trPr>
          <w:trHeight w:val="538" w:hRule="exact"/>
        </w:trPr>
        <w:tc>
          <w:tcPr>
            <w:tcW w:w="1779" w:type="dxa"/>
            <w:tcBorders>
              <w:right w:val="nil"/>
            </w:tcBorders>
          </w:tcPr>
          <w:p>
            <w:pPr>
              <w:pStyle w:val="TableParagraph"/>
              <w:spacing w:line="276" w:lineRule="auto"/>
              <w:ind w:right="683"/>
              <w:jc w:val="left"/>
              <w:rPr>
                <w:sz w:val="20"/>
              </w:rPr>
            </w:pPr>
            <w:r>
              <w:rPr>
                <w:sz w:val="20"/>
              </w:rPr>
              <w:t>San Mateo Atenco</w:t>
            </w:r>
          </w:p>
        </w:tc>
        <w:tc>
          <w:tcPr>
            <w:tcW w:w="1080" w:type="dxa"/>
            <w:tcBorders>
              <w:left w:val="nil"/>
              <w:right w:val="nil"/>
            </w:tcBorders>
          </w:tcPr>
          <w:p>
            <w:pPr>
              <w:pStyle w:val="TableParagraph"/>
              <w:spacing w:line="230" w:lineRule="exact"/>
              <w:ind w:left="316" w:right="176"/>
              <w:rPr>
                <w:sz w:val="20"/>
              </w:rPr>
            </w:pPr>
            <w:r>
              <w:rPr>
                <w:sz w:val="20"/>
              </w:rPr>
              <w:t>5.5</w:t>
            </w:r>
          </w:p>
        </w:tc>
        <w:tc>
          <w:tcPr>
            <w:tcW w:w="1314" w:type="dxa"/>
            <w:tcBorders>
              <w:left w:val="nil"/>
              <w:right w:val="nil"/>
            </w:tcBorders>
          </w:tcPr>
          <w:p>
            <w:pPr>
              <w:pStyle w:val="TableParagraph"/>
              <w:spacing w:line="230" w:lineRule="exact"/>
              <w:ind w:left="494"/>
              <w:jc w:val="left"/>
              <w:rPr>
                <w:sz w:val="20"/>
              </w:rPr>
            </w:pPr>
            <w:r>
              <w:rPr>
                <w:sz w:val="20"/>
              </w:rPr>
              <w:t>0.00</w:t>
            </w:r>
          </w:p>
        </w:tc>
        <w:tc>
          <w:tcPr>
            <w:tcW w:w="1062" w:type="dxa"/>
            <w:tcBorders>
              <w:left w:val="nil"/>
              <w:right w:val="nil"/>
            </w:tcBorders>
          </w:tcPr>
          <w:p>
            <w:pPr>
              <w:pStyle w:val="TableParagraph"/>
              <w:spacing w:line="230" w:lineRule="exact"/>
              <w:ind w:left="111" w:right="119"/>
              <w:rPr>
                <w:sz w:val="20"/>
              </w:rPr>
            </w:pPr>
            <w:r>
              <w:rPr>
                <w:sz w:val="20"/>
              </w:rPr>
              <w:t>0.00</w:t>
            </w:r>
          </w:p>
        </w:tc>
        <w:tc>
          <w:tcPr>
            <w:tcW w:w="1406" w:type="dxa"/>
            <w:tcBorders>
              <w:left w:val="nil"/>
              <w:right w:val="nil"/>
            </w:tcBorders>
          </w:tcPr>
          <w:p>
            <w:pPr>
              <w:pStyle w:val="TableParagraph"/>
              <w:spacing w:line="230" w:lineRule="exact"/>
              <w:ind w:left="0" w:right="25"/>
              <w:rPr>
                <w:sz w:val="20"/>
              </w:rPr>
            </w:pPr>
            <w:r>
              <w:rPr>
                <w:w w:val="99"/>
                <w:sz w:val="20"/>
              </w:rPr>
              <w:t>0</w:t>
            </w:r>
          </w:p>
        </w:tc>
        <w:tc>
          <w:tcPr>
            <w:tcW w:w="1055" w:type="dxa"/>
            <w:tcBorders>
              <w:left w:val="nil"/>
              <w:right w:val="nil"/>
            </w:tcBorders>
          </w:tcPr>
          <w:p>
            <w:pPr>
              <w:pStyle w:val="TableParagraph"/>
              <w:spacing w:line="230" w:lineRule="exact"/>
              <w:ind w:left="159" w:right="199"/>
              <w:rPr>
                <w:sz w:val="20"/>
              </w:rPr>
            </w:pPr>
            <w:r>
              <w:rPr>
                <w:sz w:val="20"/>
              </w:rPr>
              <w:t>5.5</w:t>
            </w:r>
          </w:p>
        </w:tc>
        <w:tc>
          <w:tcPr>
            <w:tcW w:w="1133" w:type="dxa"/>
            <w:tcBorders>
              <w:left w:val="nil"/>
            </w:tcBorders>
          </w:tcPr>
          <w:p>
            <w:pPr>
              <w:pStyle w:val="TableParagraph"/>
              <w:spacing w:line="230" w:lineRule="exact"/>
              <w:ind w:left="199" w:right="187"/>
              <w:rPr>
                <w:sz w:val="20"/>
              </w:rPr>
            </w:pPr>
            <w:r>
              <w:rPr>
                <w:sz w:val="20"/>
              </w:rPr>
              <w:t>5.5</w:t>
            </w:r>
          </w:p>
        </w:tc>
      </w:tr>
      <w:tr>
        <w:trPr>
          <w:trHeight w:val="276" w:hRule="exact"/>
        </w:trPr>
        <w:tc>
          <w:tcPr>
            <w:tcW w:w="1779" w:type="dxa"/>
            <w:tcBorders>
              <w:right w:val="nil"/>
            </w:tcBorders>
          </w:tcPr>
          <w:p>
            <w:pPr>
              <w:pStyle w:val="TableParagraph"/>
              <w:spacing w:line="230" w:lineRule="exact"/>
              <w:ind w:right="550"/>
              <w:jc w:val="left"/>
              <w:rPr>
                <w:sz w:val="20"/>
              </w:rPr>
            </w:pPr>
            <w:r>
              <w:rPr>
                <w:sz w:val="20"/>
              </w:rPr>
              <w:t>Texcatitlán</w:t>
            </w:r>
          </w:p>
        </w:tc>
        <w:tc>
          <w:tcPr>
            <w:tcW w:w="1080" w:type="dxa"/>
            <w:tcBorders>
              <w:left w:val="nil"/>
              <w:right w:val="nil"/>
            </w:tcBorders>
          </w:tcPr>
          <w:p>
            <w:pPr>
              <w:pStyle w:val="TableParagraph"/>
              <w:spacing w:line="230" w:lineRule="exact"/>
              <w:ind w:left="316" w:right="176"/>
              <w:rPr>
                <w:sz w:val="20"/>
              </w:rPr>
            </w:pPr>
            <w:r>
              <w:rPr>
                <w:sz w:val="20"/>
              </w:rPr>
              <w:t>5.1</w:t>
            </w:r>
          </w:p>
        </w:tc>
        <w:tc>
          <w:tcPr>
            <w:tcW w:w="1314" w:type="dxa"/>
            <w:tcBorders>
              <w:left w:val="nil"/>
              <w:right w:val="nil"/>
            </w:tcBorders>
          </w:tcPr>
          <w:p>
            <w:pPr>
              <w:pStyle w:val="TableParagraph"/>
              <w:spacing w:line="230" w:lineRule="exact"/>
              <w:ind w:left="494"/>
              <w:jc w:val="left"/>
              <w:rPr>
                <w:sz w:val="20"/>
              </w:rPr>
            </w:pPr>
            <w:r>
              <w:rPr>
                <w:sz w:val="20"/>
              </w:rPr>
              <w:t>0.00</w:t>
            </w:r>
          </w:p>
        </w:tc>
        <w:tc>
          <w:tcPr>
            <w:tcW w:w="1062" w:type="dxa"/>
            <w:tcBorders>
              <w:left w:val="nil"/>
              <w:right w:val="nil"/>
            </w:tcBorders>
          </w:tcPr>
          <w:p>
            <w:pPr>
              <w:pStyle w:val="TableParagraph"/>
              <w:spacing w:line="230" w:lineRule="exact"/>
              <w:ind w:left="111" w:right="119"/>
              <w:rPr>
                <w:sz w:val="20"/>
              </w:rPr>
            </w:pPr>
            <w:r>
              <w:rPr>
                <w:sz w:val="20"/>
              </w:rPr>
              <w:t>0.00</w:t>
            </w:r>
          </w:p>
        </w:tc>
        <w:tc>
          <w:tcPr>
            <w:tcW w:w="1406" w:type="dxa"/>
            <w:tcBorders>
              <w:left w:val="nil"/>
              <w:right w:val="nil"/>
            </w:tcBorders>
          </w:tcPr>
          <w:p>
            <w:pPr>
              <w:pStyle w:val="TableParagraph"/>
              <w:spacing w:line="230" w:lineRule="exact"/>
              <w:ind w:left="0" w:right="25"/>
              <w:rPr>
                <w:sz w:val="20"/>
              </w:rPr>
            </w:pPr>
            <w:r>
              <w:rPr>
                <w:w w:val="99"/>
                <w:sz w:val="20"/>
              </w:rPr>
              <w:t>0</w:t>
            </w:r>
          </w:p>
        </w:tc>
        <w:tc>
          <w:tcPr>
            <w:tcW w:w="1055" w:type="dxa"/>
            <w:tcBorders>
              <w:left w:val="nil"/>
              <w:right w:val="nil"/>
            </w:tcBorders>
          </w:tcPr>
          <w:p>
            <w:pPr>
              <w:pStyle w:val="TableParagraph"/>
              <w:spacing w:line="230" w:lineRule="exact"/>
              <w:ind w:left="159" w:right="199"/>
              <w:rPr>
                <w:sz w:val="20"/>
              </w:rPr>
            </w:pPr>
            <w:r>
              <w:rPr>
                <w:sz w:val="20"/>
              </w:rPr>
              <w:t>5.1</w:t>
            </w:r>
          </w:p>
        </w:tc>
        <w:tc>
          <w:tcPr>
            <w:tcW w:w="1133" w:type="dxa"/>
            <w:tcBorders>
              <w:left w:val="nil"/>
            </w:tcBorders>
          </w:tcPr>
          <w:p>
            <w:pPr>
              <w:pStyle w:val="TableParagraph"/>
              <w:spacing w:line="230" w:lineRule="exact"/>
              <w:ind w:left="199" w:right="187"/>
              <w:rPr>
                <w:sz w:val="20"/>
              </w:rPr>
            </w:pPr>
            <w:r>
              <w:rPr>
                <w:sz w:val="20"/>
              </w:rPr>
              <w:t>5.1</w:t>
            </w:r>
          </w:p>
        </w:tc>
      </w:tr>
      <w:tr>
        <w:trPr>
          <w:trHeight w:val="274" w:hRule="exact"/>
        </w:trPr>
        <w:tc>
          <w:tcPr>
            <w:tcW w:w="1779" w:type="dxa"/>
            <w:tcBorders>
              <w:right w:val="nil"/>
            </w:tcBorders>
          </w:tcPr>
          <w:p>
            <w:pPr>
              <w:pStyle w:val="TableParagraph"/>
              <w:spacing w:line="230" w:lineRule="exact"/>
              <w:ind w:right="550"/>
              <w:jc w:val="left"/>
              <w:rPr>
                <w:sz w:val="20"/>
              </w:rPr>
            </w:pPr>
            <w:r>
              <w:rPr>
                <w:sz w:val="20"/>
              </w:rPr>
              <w:t>Toluca</w:t>
            </w:r>
          </w:p>
        </w:tc>
        <w:tc>
          <w:tcPr>
            <w:tcW w:w="1080" w:type="dxa"/>
            <w:tcBorders>
              <w:left w:val="nil"/>
              <w:right w:val="nil"/>
            </w:tcBorders>
          </w:tcPr>
          <w:p>
            <w:pPr>
              <w:pStyle w:val="TableParagraph"/>
              <w:spacing w:line="230" w:lineRule="exact"/>
              <w:ind w:left="316" w:right="176"/>
              <w:rPr>
                <w:sz w:val="20"/>
              </w:rPr>
            </w:pPr>
            <w:r>
              <w:rPr>
                <w:sz w:val="20"/>
              </w:rPr>
              <w:t>5.2</w:t>
            </w:r>
          </w:p>
        </w:tc>
        <w:tc>
          <w:tcPr>
            <w:tcW w:w="1314" w:type="dxa"/>
            <w:tcBorders>
              <w:left w:val="nil"/>
              <w:right w:val="nil"/>
            </w:tcBorders>
          </w:tcPr>
          <w:p>
            <w:pPr>
              <w:pStyle w:val="TableParagraph"/>
              <w:spacing w:line="230" w:lineRule="exact"/>
              <w:ind w:left="494"/>
              <w:jc w:val="left"/>
              <w:rPr>
                <w:sz w:val="20"/>
              </w:rPr>
            </w:pPr>
            <w:r>
              <w:rPr>
                <w:sz w:val="20"/>
              </w:rPr>
              <w:t>0.09</w:t>
            </w:r>
          </w:p>
        </w:tc>
        <w:tc>
          <w:tcPr>
            <w:tcW w:w="1062" w:type="dxa"/>
            <w:tcBorders>
              <w:left w:val="nil"/>
              <w:right w:val="nil"/>
            </w:tcBorders>
          </w:tcPr>
          <w:p>
            <w:pPr>
              <w:pStyle w:val="TableParagraph"/>
              <w:spacing w:line="230" w:lineRule="exact"/>
              <w:ind w:left="111" w:right="119"/>
              <w:rPr>
                <w:sz w:val="20"/>
              </w:rPr>
            </w:pPr>
            <w:r>
              <w:rPr>
                <w:sz w:val="20"/>
              </w:rPr>
              <w:t>0.01</w:t>
            </w:r>
          </w:p>
        </w:tc>
        <w:tc>
          <w:tcPr>
            <w:tcW w:w="1406" w:type="dxa"/>
            <w:tcBorders>
              <w:left w:val="nil"/>
              <w:right w:val="nil"/>
            </w:tcBorders>
          </w:tcPr>
          <w:p>
            <w:pPr>
              <w:pStyle w:val="TableParagraph"/>
              <w:spacing w:line="230" w:lineRule="exact"/>
              <w:ind w:left="473" w:right="501"/>
              <w:rPr>
                <w:sz w:val="20"/>
              </w:rPr>
            </w:pPr>
            <w:r>
              <w:rPr>
                <w:sz w:val="20"/>
              </w:rPr>
              <w:t>1.73</w:t>
            </w:r>
          </w:p>
        </w:tc>
        <w:tc>
          <w:tcPr>
            <w:tcW w:w="1055" w:type="dxa"/>
            <w:tcBorders>
              <w:left w:val="nil"/>
              <w:right w:val="nil"/>
            </w:tcBorders>
          </w:tcPr>
          <w:p>
            <w:pPr>
              <w:pStyle w:val="TableParagraph"/>
              <w:spacing w:line="230" w:lineRule="exact"/>
              <w:ind w:left="159" w:right="199"/>
              <w:rPr>
                <w:sz w:val="20"/>
              </w:rPr>
            </w:pPr>
            <w:r>
              <w:rPr>
                <w:sz w:val="20"/>
              </w:rPr>
              <w:t>5.1</w:t>
            </w:r>
          </w:p>
        </w:tc>
        <w:tc>
          <w:tcPr>
            <w:tcW w:w="1133" w:type="dxa"/>
            <w:tcBorders>
              <w:left w:val="nil"/>
            </w:tcBorders>
          </w:tcPr>
          <w:p>
            <w:pPr>
              <w:pStyle w:val="TableParagraph"/>
              <w:spacing w:line="230" w:lineRule="exact"/>
              <w:ind w:left="199" w:right="187"/>
              <w:rPr>
                <w:sz w:val="20"/>
              </w:rPr>
            </w:pPr>
            <w:r>
              <w:rPr>
                <w:sz w:val="20"/>
              </w:rPr>
              <w:t>5.3</w:t>
            </w:r>
          </w:p>
        </w:tc>
      </w:tr>
      <w:tr>
        <w:trPr>
          <w:trHeight w:val="274" w:hRule="exact"/>
        </w:trPr>
        <w:tc>
          <w:tcPr>
            <w:tcW w:w="1779" w:type="dxa"/>
            <w:tcBorders>
              <w:right w:val="nil"/>
            </w:tcBorders>
          </w:tcPr>
          <w:p>
            <w:pPr>
              <w:pStyle w:val="TableParagraph"/>
              <w:spacing w:line="230" w:lineRule="exact"/>
              <w:jc w:val="left"/>
              <w:rPr>
                <w:sz w:val="20"/>
              </w:rPr>
            </w:pPr>
            <w:r>
              <w:rPr>
                <w:sz w:val="20"/>
              </w:rPr>
              <w:t>Villa Victoria</w:t>
            </w:r>
          </w:p>
        </w:tc>
        <w:tc>
          <w:tcPr>
            <w:tcW w:w="1080" w:type="dxa"/>
            <w:tcBorders>
              <w:left w:val="nil"/>
              <w:right w:val="nil"/>
            </w:tcBorders>
          </w:tcPr>
          <w:p>
            <w:pPr>
              <w:pStyle w:val="TableParagraph"/>
              <w:spacing w:line="230" w:lineRule="exact"/>
              <w:ind w:left="316" w:right="176"/>
              <w:rPr>
                <w:sz w:val="20"/>
              </w:rPr>
            </w:pPr>
            <w:r>
              <w:rPr>
                <w:sz w:val="20"/>
              </w:rPr>
              <w:t>5.3</w:t>
            </w:r>
          </w:p>
        </w:tc>
        <w:tc>
          <w:tcPr>
            <w:tcW w:w="1314" w:type="dxa"/>
            <w:tcBorders>
              <w:left w:val="nil"/>
              <w:right w:val="nil"/>
            </w:tcBorders>
          </w:tcPr>
          <w:p>
            <w:pPr>
              <w:pStyle w:val="TableParagraph"/>
              <w:spacing w:line="230" w:lineRule="exact"/>
              <w:ind w:left="494"/>
              <w:jc w:val="left"/>
              <w:rPr>
                <w:sz w:val="20"/>
              </w:rPr>
            </w:pPr>
            <w:r>
              <w:rPr>
                <w:sz w:val="20"/>
              </w:rPr>
              <w:t>0.27</w:t>
            </w:r>
          </w:p>
        </w:tc>
        <w:tc>
          <w:tcPr>
            <w:tcW w:w="1062" w:type="dxa"/>
            <w:tcBorders>
              <w:left w:val="nil"/>
              <w:right w:val="nil"/>
            </w:tcBorders>
          </w:tcPr>
          <w:p>
            <w:pPr>
              <w:pStyle w:val="TableParagraph"/>
              <w:spacing w:line="230" w:lineRule="exact"/>
              <w:ind w:left="111" w:right="119"/>
              <w:rPr>
                <w:sz w:val="20"/>
              </w:rPr>
            </w:pPr>
            <w:r>
              <w:rPr>
                <w:sz w:val="20"/>
              </w:rPr>
              <w:t>0.07</w:t>
            </w:r>
          </w:p>
        </w:tc>
        <w:tc>
          <w:tcPr>
            <w:tcW w:w="1406" w:type="dxa"/>
            <w:tcBorders>
              <w:left w:val="nil"/>
              <w:right w:val="nil"/>
            </w:tcBorders>
          </w:tcPr>
          <w:p>
            <w:pPr>
              <w:pStyle w:val="TableParagraph"/>
              <w:spacing w:line="230" w:lineRule="exact"/>
              <w:ind w:left="474" w:right="501"/>
              <w:rPr>
                <w:sz w:val="20"/>
              </w:rPr>
            </w:pPr>
            <w:r>
              <w:rPr>
                <w:sz w:val="20"/>
              </w:rPr>
              <w:t>5.11</w:t>
            </w:r>
          </w:p>
        </w:tc>
        <w:tc>
          <w:tcPr>
            <w:tcW w:w="1055" w:type="dxa"/>
            <w:tcBorders>
              <w:left w:val="nil"/>
              <w:right w:val="nil"/>
            </w:tcBorders>
          </w:tcPr>
          <w:p>
            <w:pPr>
              <w:pStyle w:val="TableParagraph"/>
              <w:spacing w:line="230" w:lineRule="exact"/>
              <w:ind w:left="159" w:right="199"/>
              <w:rPr>
                <w:sz w:val="20"/>
              </w:rPr>
            </w:pPr>
            <w:r>
              <w:rPr>
                <w:sz w:val="20"/>
              </w:rPr>
              <w:t>4.9</w:t>
            </w:r>
          </w:p>
        </w:tc>
        <w:tc>
          <w:tcPr>
            <w:tcW w:w="1133" w:type="dxa"/>
            <w:tcBorders>
              <w:left w:val="nil"/>
            </w:tcBorders>
          </w:tcPr>
          <w:p>
            <w:pPr>
              <w:pStyle w:val="TableParagraph"/>
              <w:spacing w:line="230" w:lineRule="exact"/>
              <w:ind w:left="199" w:right="187"/>
              <w:rPr>
                <w:sz w:val="20"/>
              </w:rPr>
            </w:pPr>
            <w:r>
              <w:rPr>
                <w:sz w:val="20"/>
              </w:rPr>
              <w:t>5.9</w:t>
            </w:r>
          </w:p>
        </w:tc>
      </w:tr>
      <w:tr>
        <w:trPr>
          <w:trHeight w:val="276" w:hRule="exact"/>
        </w:trPr>
        <w:tc>
          <w:tcPr>
            <w:tcW w:w="1779" w:type="dxa"/>
            <w:tcBorders>
              <w:right w:val="nil"/>
            </w:tcBorders>
          </w:tcPr>
          <w:p>
            <w:pPr>
              <w:pStyle w:val="TableParagraph"/>
              <w:spacing w:line="230" w:lineRule="exact"/>
              <w:jc w:val="left"/>
              <w:rPr>
                <w:sz w:val="20"/>
              </w:rPr>
            </w:pPr>
            <w:r>
              <w:rPr>
                <w:sz w:val="20"/>
              </w:rPr>
              <w:t>Zinacantepec</w:t>
            </w:r>
          </w:p>
        </w:tc>
        <w:tc>
          <w:tcPr>
            <w:tcW w:w="1080" w:type="dxa"/>
            <w:tcBorders>
              <w:left w:val="nil"/>
              <w:right w:val="nil"/>
            </w:tcBorders>
          </w:tcPr>
          <w:p>
            <w:pPr>
              <w:pStyle w:val="TableParagraph"/>
              <w:spacing w:line="230" w:lineRule="exact"/>
              <w:ind w:left="316" w:right="176"/>
              <w:rPr>
                <w:sz w:val="20"/>
              </w:rPr>
            </w:pPr>
            <w:r>
              <w:rPr>
                <w:sz w:val="20"/>
              </w:rPr>
              <w:t>5.6</w:t>
            </w:r>
          </w:p>
        </w:tc>
        <w:tc>
          <w:tcPr>
            <w:tcW w:w="1314" w:type="dxa"/>
            <w:tcBorders>
              <w:left w:val="nil"/>
              <w:right w:val="nil"/>
            </w:tcBorders>
          </w:tcPr>
          <w:p>
            <w:pPr>
              <w:pStyle w:val="TableParagraph"/>
              <w:spacing w:line="230" w:lineRule="exact"/>
              <w:ind w:left="494"/>
              <w:jc w:val="left"/>
              <w:rPr>
                <w:sz w:val="20"/>
              </w:rPr>
            </w:pPr>
            <w:r>
              <w:rPr>
                <w:sz w:val="20"/>
              </w:rPr>
              <w:t>0.00</w:t>
            </w:r>
          </w:p>
        </w:tc>
        <w:tc>
          <w:tcPr>
            <w:tcW w:w="1062" w:type="dxa"/>
            <w:tcBorders>
              <w:left w:val="nil"/>
              <w:right w:val="nil"/>
            </w:tcBorders>
          </w:tcPr>
          <w:p>
            <w:pPr>
              <w:pStyle w:val="TableParagraph"/>
              <w:spacing w:line="230" w:lineRule="exact"/>
              <w:ind w:left="111" w:right="119"/>
              <w:rPr>
                <w:sz w:val="20"/>
              </w:rPr>
            </w:pPr>
            <w:r>
              <w:rPr>
                <w:sz w:val="20"/>
              </w:rPr>
              <w:t>0.00</w:t>
            </w:r>
          </w:p>
        </w:tc>
        <w:tc>
          <w:tcPr>
            <w:tcW w:w="1406" w:type="dxa"/>
            <w:tcBorders>
              <w:left w:val="nil"/>
              <w:right w:val="nil"/>
            </w:tcBorders>
          </w:tcPr>
          <w:p>
            <w:pPr>
              <w:pStyle w:val="TableParagraph"/>
              <w:spacing w:line="230" w:lineRule="exact"/>
              <w:ind w:left="0" w:right="25"/>
              <w:rPr>
                <w:sz w:val="20"/>
              </w:rPr>
            </w:pPr>
            <w:r>
              <w:rPr>
                <w:w w:val="99"/>
                <w:sz w:val="20"/>
              </w:rPr>
              <w:t>0</w:t>
            </w:r>
          </w:p>
        </w:tc>
        <w:tc>
          <w:tcPr>
            <w:tcW w:w="1055" w:type="dxa"/>
            <w:tcBorders>
              <w:left w:val="nil"/>
              <w:right w:val="nil"/>
            </w:tcBorders>
          </w:tcPr>
          <w:p>
            <w:pPr>
              <w:pStyle w:val="TableParagraph"/>
              <w:spacing w:line="230" w:lineRule="exact"/>
              <w:ind w:left="159" w:right="199"/>
              <w:rPr>
                <w:sz w:val="20"/>
              </w:rPr>
            </w:pPr>
            <w:r>
              <w:rPr>
                <w:sz w:val="20"/>
              </w:rPr>
              <w:t>5.6</w:t>
            </w:r>
          </w:p>
        </w:tc>
        <w:tc>
          <w:tcPr>
            <w:tcW w:w="1133" w:type="dxa"/>
            <w:tcBorders>
              <w:left w:val="nil"/>
            </w:tcBorders>
          </w:tcPr>
          <w:p>
            <w:pPr>
              <w:pStyle w:val="TableParagraph"/>
              <w:spacing w:line="230" w:lineRule="exact"/>
              <w:ind w:left="199" w:right="187"/>
              <w:rPr>
                <w:sz w:val="20"/>
              </w:rPr>
            </w:pPr>
            <w:r>
              <w:rPr>
                <w:sz w:val="20"/>
              </w:rPr>
              <w:t>5.6</w:t>
            </w:r>
          </w:p>
        </w:tc>
      </w:tr>
    </w:tbl>
    <w:p>
      <w:pPr>
        <w:pStyle w:val="BodyText"/>
        <w:rPr>
          <w:sz w:val="20"/>
        </w:rPr>
      </w:pPr>
    </w:p>
    <w:p>
      <w:pPr>
        <w:pStyle w:val="BodyText"/>
        <w:spacing w:before="2"/>
        <w:rPr>
          <w:sz w:val="22"/>
        </w:rPr>
      </w:pPr>
    </w:p>
    <w:p>
      <w:pPr>
        <w:pStyle w:val="BodyText"/>
        <w:spacing w:before="70"/>
        <w:ind w:left="142"/>
        <w:jc w:val="both"/>
      </w:pPr>
      <w:r>
        <w:rPr/>
        <w:t>Humedad</w:t>
      </w:r>
    </w:p>
    <w:p>
      <w:pPr>
        <w:pStyle w:val="BodyText"/>
        <w:spacing w:before="4"/>
      </w:pPr>
    </w:p>
    <w:p>
      <w:pPr>
        <w:pStyle w:val="BodyText"/>
        <w:spacing w:line="276" w:lineRule="auto" w:before="1"/>
        <w:ind w:left="142" w:right="142"/>
        <w:jc w:val="both"/>
      </w:pPr>
      <w:r>
        <w:rPr/>
        <w:t>Los quesos que mostraron mayor porcentaje de humedad fueron los procedentes del municipio de Texcatitlán con un 51.8% y Villa Victoria con 51.5%, seguidos de Zinacantepec con 49%, Almoloya de Juárez con 48.4%, Aculco con 48.1%; en un rango</w:t>
      </w:r>
      <w:r>
        <w:rPr>
          <w:spacing w:val="-12"/>
        </w:rPr>
        <w:t> </w:t>
      </w:r>
      <w:r>
        <w:rPr/>
        <w:t>similar</w:t>
      </w:r>
      <w:r>
        <w:rPr>
          <w:spacing w:val="-13"/>
        </w:rPr>
        <w:t> </w:t>
      </w:r>
      <w:r>
        <w:rPr/>
        <w:t>se</w:t>
      </w:r>
      <w:r>
        <w:rPr>
          <w:spacing w:val="-14"/>
        </w:rPr>
        <w:t> </w:t>
      </w:r>
      <w:r>
        <w:rPr/>
        <w:t>ubicaron</w:t>
      </w:r>
      <w:r>
        <w:rPr>
          <w:spacing w:val="-12"/>
        </w:rPr>
        <w:t> </w:t>
      </w:r>
      <w:r>
        <w:rPr/>
        <w:t>los</w:t>
      </w:r>
      <w:r>
        <w:rPr>
          <w:spacing w:val="-17"/>
        </w:rPr>
        <w:t> </w:t>
      </w:r>
      <w:r>
        <w:rPr/>
        <w:t>municipios</w:t>
      </w:r>
      <w:r>
        <w:rPr>
          <w:spacing w:val="-14"/>
        </w:rPr>
        <w:t> </w:t>
      </w:r>
      <w:r>
        <w:rPr/>
        <w:t>de</w:t>
      </w:r>
      <w:r>
        <w:rPr>
          <w:spacing w:val="-12"/>
        </w:rPr>
        <w:t> </w:t>
      </w:r>
      <w:r>
        <w:rPr/>
        <w:t>Metepec,</w:t>
      </w:r>
      <w:r>
        <w:rPr>
          <w:spacing w:val="-14"/>
        </w:rPr>
        <w:t> </w:t>
      </w:r>
      <w:r>
        <w:rPr/>
        <w:t>Toluca,</w:t>
      </w:r>
      <w:r>
        <w:rPr>
          <w:spacing w:val="-14"/>
        </w:rPr>
        <w:t> </w:t>
      </w:r>
      <w:r>
        <w:rPr/>
        <w:t>Ixtlahuaca</w:t>
      </w:r>
      <w:r>
        <w:rPr>
          <w:spacing w:val="-12"/>
        </w:rPr>
        <w:t> </w:t>
      </w:r>
      <w:r>
        <w:rPr/>
        <w:t>con</w:t>
      </w:r>
      <w:r>
        <w:rPr>
          <w:spacing w:val="-14"/>
        </w:rPr>
        <w:t> </w:t>
      </w:r>
      <w:r>
        <w:rPr/>
        <w:t>valores de 47.9, 47.5, 47.5% respectivamente. Los valores más bajos fueron para los municipios</w:t>
      </w:r>
      <w:r>
        <w:rPr>
          <w:spacing w:val="-7"/>
        </w:rPr>
        <w:t> </w:t>
      </w:r>
      <w:r>
        <w:rPr/>
        <w:t>de</w:t>
      </w:r>
      <w:r>
        <w:rPr>
          <w:spacing w:val="-6"/>
        </w:rPr>
        <w:t> </w:t>
      </w:r>
      <w:r>
        <w:rPr/>
        <w:t>San</w:t>
      </w:r>
      <w:r>
        <w:rPr>
          <w:spacing w:val="-6"/>
        </w:rPr>
        <w:t> </w:t>
      </w:r>
      <w:r>
        <w:rPr/>
        <w:t>Mateo,</w:t>
      </w:r>
      <w:r>
        <w:rPr>
          <w:spacing w:val="-6"/>
        </w:rPr>
        <w:t> </w:t>
      </w:r>
      <w:r>
        <w:rPr/>
        <w:t>Guadalajara</w:t>
      </w:r>
      <w:r>
        <w:rPr>
          <w:spacing w:val="-6"/>
        </w:rPr>
        <w:t> </w:t>
      </w:r>
      <w:r>
        <w:rPr/>
        <w:t>y</w:t>
      </w:r>
      <w:r>
        <w:rPr>
          <w:spacing w:val="-9"/>
        </w:rPr>
        <w:t> </w:t>
      </w:r>
      <w:r>
        <w:rPr/>
        <w:t>Ecatepec</w:t>
      </w:r>
      <w:r>
        <w:rPr>
          <w:spacing w:val="-7"/>
        </w:rPr>
        <w:t> </w:t>
      </w:r>
      <w:r>
        <w:rPr/>
        <w:t>con</w:t>
      </w:r>
      <w:r>
        <w:rPr>
          <w:spacing w:val="-6"/>
        </w:rPr>
        <w:t> </w:t>
      </w:r>
      <w:r>
        <w:rPr/>
        <w:t>46.3,</w:t>
      </w:r>
      <w:r>
        <w:rPr>
          <w:spacing w:val="-6"/>
        </w:rPr>
        <w:t> </w:t>
      </w:r>
      <w:r>
        <w:rPr/>
        <w:t>45.5</w:t>
      </w:r>
      <w:r>
        <w:rPr>
          <w:spacing w:val="-6"/>
        </w:rPr>
        <w:t> </w:t>
      </w:r>
      <w:r>
        <w:rPr/>
        <w:t>y</w:t>
      </w:r>
      <w:r>
        <w:rPr>
          <w:spacing w:val="-7"/>
        </w:rPr>
        <w:t> </w:t>
      </w:r>
      <w:r>
        <w:rPr/>
        <w:t>44.3%</w:t>
      </w:r>
      <w:r>
        <w:rPr>
          <w:spacing w:val="-7"/>
        </w:rPr>
        <w:t> </w:t>
      </w:r>
      <w:r>
        <w:rPr/>
        <w:t>como</w:t>
      </w:r>
      <w:r>
        <w:rPr>
          <w:spacing w:val="-6"/>
        </w:rPr>
        <w:t> </w:t>
      </w:r>
      <w:r>
        <w:rPr/>
        <w:t>se muestra en el cuadro</w:t>
      </w:r>
      <w:r>
        <w:rPr>
          <w:spacing w:val="-11"/>
        </w:rPr>
        <w:t> </w:t>
      </w:r>
      <w:r>
        <w:rPr/>
        <w:t>14.</w:t>
      </w:r>
    </w:p>
    <w:p>
      <w:pPr>
        <w:spacing w:after="0" w:line="276" w:lineRule="auto"/>
        <w:jc w:val="both"/>
        <w:sectPr>
          <w:pgSz w:w="12240" w:h="15840"/>
          <w:pgMar w:header="728" w:footer="710" w:top="1200" w:bottom="900" w:left="1560" w:right="1560"/>
        </w:sectPr>
      </w:pPr>
    </w:p>
    <w:p>
      <w:pPr>
        <w:pStyle w:val="BodyText"/>
        <w:spacing w:before="7"/>
        <w:rPr>
          <w:sz w:val="12"/>
        </w:rPr>
      </w:pPr>
    </w:p>
    <w:p>
      <w:pPr>
        <w:pStyle w:val="BodyText"/>
        <w:spacing w:before="69"/>
        <w:ind w:left="142"/>
      </w:pPr>
      <w:r>
        <w:rPr/>
        <w:t>Cuadro 14: Valores de humedad en los quesos frescos mostrados por municipio.</w:t>
      </w:r>
    </w:p>
    <w:p>
      <w:pPr>
        <w:pStyle w:val="BodyText"/>
        <w:spacing w:before="4"/>
        <w:rPr>
          <w:sz w:val="14"/>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1"/>
        <w:gridCol w:w="1038"/>
        <w:gridCol w:w="1392"/>
        <w:gridCol w:w="1125"/>
        <w:gridCol w:w="1375"/>
        <w:gridCol w:w="1136"/>
        <w:gridCol w:w="1245"/>
      </w:tblGrid>
      <w:tr>
        <w:trPr>
          <w:trHeight w:val="274" w:hRule="exact"/>
        </w:trPr>
        <w:tc>
          <w:tcPr>
            <w:tcW w:w="8951" w:type="dxa"/>
            <w:gridSpan w:val="7"/>
            <w:tcBorders>
              <w:right w:val="nil"/>
            </w:tcBorders>
            <w:shd w:val="clear" w:color="auto" w:fill="A6A6A6"/>
          </w:tcPr>
          <w:p>
            <w:pPr>
              <w:pStyle w:val="TableParagraph"/>
              <w:spacing w:line="230" w:lineRule="exact"/>
              <w:ind w:left="4018" w:right="4020"/>
              <w:rPr>
                <w:sz w:val="20"/>
              </w:rPr>
            </w:pPr>
            <w:r>
              <w:rPr>
                <w:color w:val="FFFFFF"/>
                <w:sz w:val="20"/>
              </w:rPr>
              <w:t>Humedad</w:t>
            </w:r>
          </w:p>
        </w:tc>
      </w:tr>
      <w:tr>
        <w:trPr>
          <w:trHeight w:val="804" w:hRule="exact"/>
        </w:trPr>
        <w:tc>
          <w:tcPr>
            <w:tcW w:w="1641" w:type="dxa"/>
            <w:tcBorders>
              <w:right w:val="nil"/>
            </w:tcBorders>
          </w:tcPr>
          <w:p>
            <w:pPr/>
          </w:p>
        </w:tc>
        <w:tc>
          <w:tcPr>
            <w:tcW w:w="1038" w:type="dxa"/>
            <w:tcBorders>
              <w:left w:val="nil"/>
              <w:right w:val="nil"/>
            </w:tcBorders>
          </w:tcPr>
          <w:p>
            <w:pPr>
              <w:pStyle w:val="TableParagraph"/>
              <w:spacing w:before="2"/>
              <w:ind w:left="236" w:right="217"/>
              <w:rPr>
                <w:sz w:val="20"/>
              </w:rPr>
            </w:pPr>
            <w:r>
              <w:rPr>
                <w:sz w:val="20"/>
              </w:rPr>
              <w:t>Media</w:t>
            </w:r>
          </w:p>
        </w:tc>
        <w:tc>
          <w:tcPr>
            <w:tcW w:w="1392" w:type="dxa"/>
            <w:tcBorders>
              <w:left w:val="nil"/>
              <w:right w:val="nil"/>
            </w:tcBorders>
          </w:tcPr>
          <w:p>
            <w:pPr>
              <w:pStyle w:val="TableParagraph"/>
              <w:spacing w:line="276" w:lineRule="auto" w:before="2"/>
              <w:ind w:left="336" w:hanging="99"/>
              <w:jc w:val="left"/>
              <w:rPr>
                <w:sz w:val="20"/>
              </w:rPr>
            </w:pPr>
            <w:r>
              <w:rPr>
                <w:w w:val="95"/>
                <w:sz w:val="20"/>
              </w:rPr>
              <w:t>Desviación </w:t>
            </w:r>
            <w:r>
              <w:rPr>
                <w:sz w:val="20"/>
              </w:rPr>
              <w:t>estándar</w:t>
            </w:r>
          </w:p>
        </w:tc>
        <w:tc>
          <w:tcPr>
            <w:tcW w:w="1125" w:type="dxa"/>
            <w:tcBorders>
              <w:left w:val="nil"/>
              <w:right w:val="nil"/>
            </w:tcBorders>
          </w:tcPr>
          <w:p>
            <w:pPr>
              <w:pStyle w:val="TableParagraph"/>
              <w:spacing w:before="2"/>
              <w:ind w:left="149" w:right="146"/>
              <w:rPr>
                <w:sz w:val="20"/>
              </w:rPr>
            </w:pPr>
            <w:r>
              <w:rPr>
                <w:sz w:val="20"/>
              </w:rPr>
              <w:t>Varianza</w:t>
            </w:r>
          </w:p>
        </w:tc>
        <w:tc>
          <w:tcPr>
            <w:tcW w:w="1375" w:type="dxa"/>
            <w:tcBorders>
              <w:left w:val="nil"/>
              <w:right w:val="nil"/>
            </w:tcBorders>
          </w:tcPr>
          <w:p>
            <w:pPr>
              <w:pStyle w:val="TableParagraph"/>
              <w:spacing w:line="276" w:lineRule="auto" w:before="2"/>
              <w:ind w:left="179" w:right="205"/>
              <w:rPr>
                <w:sz w:val="20"/>
              </w:rPr>
            </w:pPr>
            <w:r>
              <w:rPr>
                <w:w w:val="95"/>
                <w:sz w:val="20"/>
              </w:rPr>
              <w:t>Coeficiente </w:t>
            </w:r>
            <w:r>
              <w:rPr>
                <w:sz w:val="20"/>
              </w:rPr>
              <w:t>de    variación</w:t>
            </w:r>
          </w:p>
        </w:tc>
        <w:tc>
          <w:tcPr>
            <w:tcW w:w="1136" w:type="dxa"/>
            <w:tcBorders>
              <w:left w:val="nil"/>
              <w:right w:val="nil"/>
            </w:tcBorders>
          </w:tcPr>
          <w:p>
            <w:pPr>
              <w:pStyle w:val="TableParagraph"/>
              <w:spacing w:before="2"/>
              <w:ind w:left="202"/>
              <w:jc w:val="left"/>
              <w:rPr>
                <w:sz w:val="20"/>
              </w:rPr>
            </w:pPr>
            <w:r>
              <w:rPr>
                <w:sz w:val="20"/>
              </w:rPr>
              <w:t>Mínimo</w:t>
            </w:r>
          </w:p>
        </w:tc>
        <w:tc>
          <w:tcPr>
            <w:tcW w:w="1245" w:type="dxa"/>
            <w:tcBorders>
              <w:left w:val="nil"/>
            </w:tcBorders>
          </w:tcPr>
          <w:p>
            <w:pPr>
              <w:pStyle w:val="TableParagraph"/>
              <w:spacing w:before="2"/>
              <w:ind w:left="257" w:right="242"/>
              <w:rPr>
                <w:sz w:val="20"/>
              </w:rPr>
            </w:pPr>
            <w:r>
              <w:rPr>
                <w:sz w:val="20"/>
              </w:rPr>
              <w:t>Máximo</w:t>
            </w:r>
          </w:p>
        </w:tc>
      </w:tr>
      <w:tr>
        <w:trPr>
          <w:trHeight w:val="276" w:hRule="exact"/>
        </w:trPr>
        <w:tc>
          <w:tcPr>
            <w:tcW w:w="1641" w:type="dxa"/>
            <w:tcBorders>
              <w:right w:val="nil"/>
            </w:tcBorders>
          </w:tcPr>
          <w:p>
            <w:pPr>
              <w:pStyle w:val="TableParagraph"/>
              <w:spacing w:line="230" w:lineRule="exact"/>
              <w:ind w:right="412"/>
              <w:jc w:val="left"/>
              <w:rPr>
                <w:sz w:val="20"/>
              </w:rPr>
            </w:pPr>
            <w:r>
              <w:rPr>
                <w:sz w:val="20"/>
              </w:rPr>
              <w:t>Aculco</w:t>
            </w:r>
          </w:p>
        </w:tc>
        <w:tc>
          <w:tcPr>
            <w:tcW w:w="1038" w:type="dxa"/>
            <w:tcBorders>
              <w:left w:val="nil"/>
              <w:right w:val="nil"/>
            </w:tcBorders>
          </w:tcPr>
          <w:p>
            <w:pPr>
              <w:pStyle w:val="TableParagraph"/>
              <w:spacing w:line="230" w:lineRule="exact"/>
              <w:ind w:left="234" w:right="217"/>
              <w:rPr>
                <w:sz w:val="20"/>
              </w:rPr>
            </w:pPr>
            <w:r>
              <w:rPr>
                <w:sz w:val="20"/>
              </w:rPr>
              <w:t>48.1</w:t>
            </w:r>
          </w:p>
        </w:tc>
        <w:tc>
          <w:tcPr>
            <w:tcW w:w="1392" w:type="dxa"/>
            <w:tcBorders>
              <w:left w:val="nil"/>
              <w:right w:val="nil"/>
            </w:tcBorders>
          </w:tcPr>
          <w:p>
            <w:pPr>
              <w:pStyle w:val="TableParagraph"/>
              <w:spacing w:line="230" w:lineRule="exact"/>
              <w:ind w:left="508" w:right="453"/>
              <w:rPr>
                <w:sz w:val="20"/>
              </w:rPr>
            </w:pPr>
            <w:r>
              <w:rPr>
                <w:sz w:val="20"/>
              </w:rPr>
              <w:t>3.7</w:t>
            </w:r>
          </w:p>
        </w:tc>
        <w:tc>
          <w:tcPr>
            <w:tcW w:w="1125" w:type="dxa"/>
            <w:tcBorders>
              <w:left w:val="nil"/>
              <w:right w:val="nil"/>
            </w:tcBorders>
          </w:tcPr>
          <w:p>
            <w:pPr>
              <w:pStyle w:val="TableParagraph"/>
              <w:spacing w:line="230" w:lineRule="exact"/>
              <w:ind w:left="147" w:right="146"/>
              <w:rPr>
                <w:sz w:val="20"/>
              </w:rPr>
            </w:pPr>
            <w:r>
              <w:rPr>
                <w:sz w:val="20"/>
              </w:rPr>
              <w:t>13.4</w:t>
            </w:r>
          </w:p>
        </w:tc>
        <w:tc>
          <w:tcPr>
            <w:tcW w:w="1375" w:type="dxa"/>
            <w:tcBorders>
              <w:left w:val="nil"/>
              <w:right w:val="nil"/>
            </w:tcBorders>
          </w:tcPr>
          <w:p>
            <w:pPr>
              <w:pStyle w:val="TableParagraph"/>
              <w:spacing w:line="230" w:lineRule="exact"/>
              <w:ind w:left="176" w:right="205"/>
              <w:rPr>
                <w:sz w:val="20"/>
              </w:rPr>
            </w:pPr>
            <w:r>
              <w:rPr>
                <w:sz w:val="20"/>
              </w:rPr>
              <w:t>7.6</w:t>
            </w:r>
          </w:p>
        </w:tc>
        <w:tc>
          <w:tcPr>
            <w:tcW w:w="1136" w:type="dxa"/>
            <w:tcBorders>
              <w:left w:val="nil"/>
              <w:right w:val="nil"/>
            </w:tcBorders>
          </w:tcPr>
          <w:p>
            <w:pPr>
              <w:pStyle w:val="TableParagraph"/>
              <w:spacing w:line="230" w:lineRule="exact"/>
              <w:ind w:left="279"/>
              <w:jc w:val="left"/>
              <w:rPr>
                <w:sz w:val="20"/>
              </w:rPr>
            </w:pPr>
            <w:r>
              <w:rPr>
                <w:sz w:val="20"/>
              </w:rPr>
              <w:t>43.49</w:t>
            </w:r>
          </w:p>
        </w:tc>
        <w:tc>
          <w:tcPr>
            <w:tcW w:w="1245" w:type="dxa"/>
            <w:tcBorders>
              <w:left w:val="nil"/>
            </w:tcBorders>
          </w:tcPr>
          <w:p>
            <w:pPr>
              <w:pStyle w:val="TableParagraph"/>
              <w:spacing w:line="230" w:lineRule="exact"/>
              <w:ind w:left="253" w:right="242"/>
              <w:rPr>
                <w:sz w:val="20"/>
              </w:rPr>
            </w:pPr>
            <w:r>
              <w:rPr>
                <w:sz w:val="20"/>
              </w:rPr>
              <w:t>52.33</w:t>
            </w:r>
          </w:p>
        </w:tc>
      </w:tr>
      <w:tr>
        <w:trPr>
          <w:trHeight w:val="538" w:hRule="exact"/>
        </w:trPr>
        <w:tc>
          <w:tcPr>
            <w:tcW w:w="1641" w:type="dxa"/>
            <w:tcBorders>
              <w:right w:val="nil"/>
            </w:tcBorders>
          </w:tcPr>
          <w:p>
            <w:pPr>
              <w:pStyle w:val="TableParagraph"/>
              <w:spacing w:line="276" w:lineRule="auto"/>
              <w:ind w:right="412"/>
              <w:jc w:val="left"/>
              <w:rPr>
                <w:sz w:val="20"/>
              </w:rPr>
            </w:pPr>
            <w:r>
              <w:rPr>
                <w:sz w:val="20"/>
              </w:rPr>
              <w:t>Almoloya de Juárez</w:t>
            </w:r>
          </w:p>
        </w:tc>
        <w:tc>
          <w:tcPr>
            <w:tcW w:w="1038" w:type="dxa"/>
            <w:tcBorders>
              <w:left w:val="nil"/>
              <w:right w:val="nil"/>
            </w:tcBorders>
          </w:tcPr>
          <w:p>
            <w:pPr>
              <w:pStyle w:val="TableParagraph"/>
              <w:spacing w:line="230" w:lineRule="exact"/>
              <w:ind w:left="234" w:right="217"/>
              <w:rPr>
                <w:sz w:val="20"/>
              </w:rPr>
            </w:pPr>
            <w:r>
              <w:rPr>
                <w:sz w:val="20"/>
              </w:rPr>
              <w:t>48.4</w:t>
            </w:r>
          </w:p>
        </w:tc>
        <w:tc>
          <w:tcPr>
            <w:tcW w:w="1392" w:type="dxa"/>
            <w:tcBorders>
              <w:left w:val="nil"/>
              <w:right w:val="nil"/>
            </w:tcBorders>
          </w:tcPr>
          <w:p>
            <w:pPr>
              <w:pStyle w:val="TableParagraph"/>
              <w:spacing w:line="230" w:lineRule="exact"/>
              <w:ind w:left="508" w:right="453"/>
              <w:rPr>
                <w:sz w:val="20"/>
              </w:rPr>
            </w:pPr>
            <w:r>
              <w:rPr>
                <w:sz w:val="20"/>
              </w:rPr>
              <w:t>2.06</w:t>
            </w:r>
          </w:p>
        </w:tc>
        <w:tc>
          <w:tcPr>
            <w:tcW w:w="1125" w:type="dxa"/>
            <w:tcBorders>
              <w:left w:val="nil"/>
              <w:right w:val="nil"/>
            </w:tcBorders>
          </w:tcPr>
          <w:p>
            <w:pPr>
              <w:pStyle w:val="TableParagraph"/>
              <w:spacing w:line="230" w:lineRule="exact"/>
              <w:ind w:left="147" w:right="146"/>
              <w:rPr>
                <w:sz w:val="20"/>
              </w:rPr>
            </w:pPr>
            <w:r>
              <w:rPr>
                <w:sz w:val="20"/>
              </w:rPr>
              <w:t>4.3</w:t>
            </w:r>
          </w:p>
        </w:tc>
        <w:tc>
          <w:tcPr>
            <w:tcW w:w="1375" w:type="dxa"/>
            <w:tcBorders>
              <w:left w:val="nil"/>
              <w:right w:val="nil"/>
            </w:tcBorders>
          </w:tcPr>
          <w:p>
            <w:pPr>
              <w:pStyle w:val="TableParagraph"/>
              <w:spacing w:line="230" w:lineRule="exact"/>
              <w:ind w:left="176" w:right="205"/>
              <w:rPr>
                <w:sz w:val="20"/>
              </w:rPr>
            </w:pPr>
            <w:r>
              <w:rPr>
                <w:sz w:val="20"/>
              </w:rPr>
              <w:t>4.3</w:t>
            </w:r>
          </w:p>
        </w:tc>
        <w:tc>
          <w:tcPr>
            <w:tcW w:w="1136" w:type="dxa"/>
            <w:tcBorders>
              <w:left w:val="nil"/>
              <w:right w:val="nil"/>
            </w:tcBorders>
          </w:tcPr>
          <w:p>
            <w:pPr>
              <w:pStyle w:val="TableParagraph"/>
              <w:spacing w:line="230" w:lineRule="exact"/>
              <w:ind w:left="181" w:right="256"/>
              <w:rPr>
                <w:sz w:val="20"/>
              </w:rPr>
            </w:pPr>
            <w:r>
              <w:rPr>
                <w:sz w:val="20"/>
              </w:rPr>
              <w:t>46</w:t>
            </w:r>
          </w:p>
        </w:tc>
        <w:tc>
          <w:tcPr>
            <w:tcW w:w="1245" w:type="dxa"/>
            <w:tcBorders>
              <w:left w:val="nil"/>
            </w:tcBorders>
          </w:tcPr>
          <w:p>
            <w:pPr>
              <w:pStyle w:val="TableParagraph"/>
              <w:spacing w:line="230" w:lineRule="exact"/>
              <w:ind w:left="255" w:right="242"/>
              <w:rPr>
                <w:sz w:val="20"/>
              </w:rPr>
            </w:pPr>
            <w:r>
              <w:rPr>
                <w:sz w:val="20"/>
              </w:rPr>
              <w:t>49.8</w:t>
            </w:r>
          </w:p>
        </w:tc>
      </w:tr>
      <w:tr>
        <w:trPr>
          <w:trHeight w:val="274" w:hRule="exact"/>
        </w:trPr>
        <w:tc>
          <w:tcPr>
            <w:tcW w:w="1641" w:type="dxa"/>
            <w:tcBorders>
              <w:right w:val="nil"/>
            </w:tcBorders>
          </w:tcPr>
          <w:p>
            <w:pPr>
              <w:pStyle w:val="TableParagraph"/>
              <w:spacing w:line="230" w:lineRule="exact"/>
              <w:ind w:right="412"/>
              <w:jc w:val="left"/>
              <w:rPr>
                <w:sz w:val="20"/>
              </w:rPr>
            </w:pPr>
            <w:r>
              <w:rPr>
                <w:sz w:val="20"/>
              </w:rPr>
              <w:t>Desconoce</w:t>
            </w:r>
          </w:p>
        </w:tc>
        <w:tc>
          <w:tcPr>
            <w:tcW w:w="1038" w:type="dxa"/>
            <w:tcBorders>
              <w:left w:val="nil"/>
              <w:right w:val="nil"/>
            </w:tcBorders>
          </w:tcPr>
          <w:p>
            <w:pPr>
              <w:pStyle w:val="TableParagraph"/>
              <w:spacing w:line="230" w:lineRule="exact"/>
              <w:ind w:left="234" w:right="217"/>
              <w:rPr>
                <w:sz w:val="20"/>
              </w:rPr>
            </w:pPr>
            <w:r>
              <w:rPr>
                <w:sz w:val="20"/>
              </w:rPr>
              <w:t>47.0</w:t>
            </w:r>
          </w:p>
        </w:tc>
        <w:tc>
          <w:tcPr>
            <w:tcW w:w="1392" w:type="dxa"/>
            <w:tcBorders>
              <w:left w:val="nil"/>
              <w:right w:val="nil"/>
            </w:tcBorders>
          </w:tcPr>
          <w:p>
            <w:pPr>
              <w:pStyle w:val="TableParagraph"/>
              <w:spacing w:line="230" w:lineRule="exact"/>
              <w:ind w:left="58"/>
              <w:rPr>
                <w:sz w:val="20"/>
              </w:rPr>
            </w:pPr>
            <w:r>
              <w:rPr>
                <w:w w:val="99"/>
                <w:sz w:val="20"/>
              </w:rPr>
              <w:t>7</w:t>
            </w:r>
          </w:p>
        </w:tc>
        <w:tc>
          <w:tcPr>
            <w:tcW w:w="1125" w:type="dxa"/>
            <w:tcBorders>
              <w:left w:val="nil"/>
              <w:right w:val="nil"/>
            </w:tcBorders>
          </w:tcPr>
          <w:p>
            <w:pPr>
              <w:pStyle w:val="TableParagraph"/>
              <w:spacing w:line="230" w:lineRule="exact"/>
              <w:ind w:left="149" w:right="146"/>
              <w:rPr>
                <w:sz w:val="20"/>
              </w:rPr>
            </w:pPr>
            <w:r>
              <w:rPr>
                <w:sz w:val="20"/>
              </w:rPr>
              <w:t>49.51</w:t>
            </w:r>
          </w:p>
        </w:tc>
        <w:tc>
          <w:tcPr>
            <w:tcW w:w="1375" w:type="dxa"/>
            <w:tcBorders>
              <w:left w:val="nil"/>
              <w:right w:val="nil"/>
            </w:tcBorders>
          </w:tcPr>
          <w:p>
            <w:pPr>
              <w:pStyle w:val="TableParagraph"/>
              <w:spacing w:line="230" w:lineRule="exact"/>
              <w:ind w:left="179" w:right="205"/>
              <w:rPr>
                <w:sz w:val="20"/>
              </w:rPr>
            </w:pPr>
            <w:r>
              <w:rPr>
                <w:sz w:val="20"/>
              </w:rPr>
              <w:t>14.96</w:t>
            </w:r>
          </w:p>
        </w:tc>
        <w:tc>
          <w:tcPr>
            <w:tcW w:w="1136" w:type="dxa"/>
            <w:tcBorders>
              <w:left w:val="nil"/>
              <w:right w:val="nil"/>
            </w:tcBorders>
          </w:tcPr>
          <w:p>
            <w:pPr>
              <w:pStyle w:val="TableParagraph"/>
              <w:spacing w:line="230" w:lineRule="exact"/>
              <w:ind w:left="279"/>
              <w:jc w:val="left"/>
              <w:rPr>
                <w:sz w:val="20"/>
              </w:rPr>
            </w:pPr>
            <w:r>
              <w:rPr>
                <w:sz w:val="20"/>
              </w:rPr>
              <w:t>34.67</w:t>
            </w:r>
          </w:p>
        </w:tc>
        <w:tc>
          <w:tcPr>
            <w:tcW w:w="1245" w:type="dxa"/>
            <w:tcBorders>
              <w:left w:val="nil"/>
            </w:tcBorders>
          </w:tcPr>
          <w:p>
            <w:pPr>
              <w:pStyle w:val="TableParagraph"/>
              <w:spacing w:line="230" w:lineRule="exact"/>
              <w:ind w:left="255" w:right="242"/>
              <w:rPr>
                <w:sz w:val="20"/>
              </w:rPr>
            </w:pPr>
            <w:r>
              <w:rPr>
                <w:sz w:val="20"/>
              </w:rPr>
              <w:t>55.2</w:t>
            </w:r>
          </w:p>
        </w:tc>
      </w:tr>
      <w:tr>
        <w:trPr>
          <w:trHeight w:val="276" w:hRule="exact"/>
        </w:trPr>
        <w:tc>
          <w:tcPr>
            <w:tcW w:w="1641" w:type="dxa"/>
            <w:tcBorders>
              <w:right w:val="nil"/>
            </w:tcBorders>
          </w:tcPr>
          <w:p>
            <w:pPr>
              <w:pStyle w:val="TableParagraph"/>
              <w:spacing w:before="2"/>
              <w:ind w:right="412"/>
              <w:jc w:val="left"/>
              <w:rPr>
                <w:sz w:val="20"/>
              </w:rPr>
            </w:pPr>
            <w:r>
              <w:rPr>
                <w:sz w:val="20"/>
              </w:rPr>
              <w:t>Ecatepec</w:t>
            </w:r>
          </w:p>
        </w:tc>
        <w:tc>
          <w:tcPr>
            <w:tcW w:w="1038" w:type="dxa"/>
            <w:tcBorders>
              <w:left w:val="nil"/>
              <w:right w:val="nil"/>
            </w:tcBorders>
          </w:tcPr>
          <w:p>
            <w:pPr>
              <w:pStyle w:val="TableParagraph"/>
              <w:spacing w:before="2"/>
              <w:ind w:left="234" w:right="217"/>
              <w:rPr>
                <w:sz w:val="20"/>
              </w:rPr>
            </w:pPr>
            <w:r>
              <w:rPr>
                <w:sz w:val="20"/>
              </w:rPr>
              <w:t>44.3</w:t>
            </w:r>
          </w:p>
        </w:tc>
        <w:tc>
          <w:tcPr>
            <w:tcW w:w="1392" w:type="dxa"/>
            <w:tcBorders>
              <w:left w:val="nil"/>
              <w:right w:val="nil"/>
            </w:tcBorders>
          </w:tcPr>
          <w:p>
            <w:pPr>
              <w:pStyle w:val="TableParagraph"/>
              <w:spacing w:before="2"/>
              <w:ind w:left="508" w:right="453"/>
              <w:rPr>
                <w:sz w:val="20"/>
              </w:rPr>
            </w:pPr>
            <w:r>
              <w:rPr>
                <w:sz w:val="20"/>
              </w:rPr>
              <w:t>0.0</w:t>
            </w:r>
          </w:p>
        </w:tc>
        <w:tc>
          <w:tcPr>
            <w:tcW w:w="1125" w:type="dxa"/>
            <w:tcBorders>
              <w:left w:val="nil"/>
              <w:right w:val="nil"/>
            </w:tcBorders>
          </w:tcPr>
          <w:p>
            <w:pPr>
              <w:pStyle w:val="TableParagraph"/>
              <w:spacing w:before="2"/>
              <w:ind w:left="147" w:right="146"/>
              <w:rPr>
                <w:sz w:val="20"/>
              </w:rPr>
            </w:pPr>
            <w:r>
              <w:rPr>
                <w:sz w:val="20"/>
              </w:rPr>
              <w:t>0.0</w:t>
            </w:r>
          </w:p>
        </w:tc>
        <w:tc>
          <w:tcPr>
            <w:tcW w:w="1375" w:type="dxa"/>
            <w:tcBorders>
              <w:left w:val="nil"/>
              <w:right w:val="nil"/>
            </w:tcBorders>
          </w:tcPr>
          <w:p>
            <w:pPr>
              <w:pStyle w:val="TableParagraph"/>
              <w:spacing w:before="2"/>
              <w:ind w:left="0" w:right="26"/>
              <w:rPr>
                <w:sz w:val="20"/>
              </w:rPr>
            </w:pPr>
            <w:r>
              <w:rPr>
                <w:w w:val="99"/>
                <w:sz w:val="20"/>
              </w:rPr>
              <w:t>0</w:t>
            </w:r>
          </w:p>
        </w:tc>
        <w:tc>
          <w:tcPr>
            <w:tcW w:w="1136" w:type="dxa"/>
            <w:tcBorders>
              <w:left w:val="nil"/>
              <w:right w:val="nil"/>
            </w:tcBorders>
          </w:tcPr>
          <w:p>
            <w:pPr>
              <w:pStyle w:val="TableParagraph"/>
              <w:spacing w:before="2"/>
              <w:ind w:left="334"/>
              <w:jc w:val="left"/>
              <w:rPr>
                <w:sz w:val="20"/>
              </w:rPr>
            </w:pPr>
            <w:r>
              <w:rPr>
                <w:sz w:val="20"/>
              </w:rPr>
              <w:t>44.3</w:t>
            </w:r>
          </w:p>
        </w:tc>
        <w:tc>
          <w:tcPr>
            <w:tcW w:w="1245" w:type="dxa"/>
            <w:tcBorders>
              <w:left w:val="nil"/>
            </w:tcBorders>
          </w:tcPr>
          <w:p>
            <w:pPr>
              <w:pStyle w:val="TableParagraph"/>
              <w:spacing w:before="2"/>
              <w:ind w:left="255" w:right="242"/>
              <w:rPr>
                <w:sz w:val="20"/>
              </w:rPr>
            </w:pPr>
            <w:r>
              <w:rPr>
                <w:sz w:val="20"/>
              </w:rPr>
              <w:t>44.3</w:t>
            </w:r>
          </w:p>
        </w:tc>
      </w:tr>
      <w:tr>
        <w:trPr>
          <w:trHeight w:val="274" w:hRule="exact"/>
        </w:trPr>
        <w:tc>
          <w:tcPr>
            <w:tcW w:w="1641" w:type="dxa"/>
            <w:tcBorders>
              <w:right w:val="nil"/>
            </w:tcBorders>
          </w:tcPr>
          <w:p>
            <w:pPr>
              <w:pStyle w:val="TableParagraph"/>
              <w:spacing w:line="230" w:lineRule="exact"/>
              <w:jc w:val="left"/>
              <w:rPr>
                <w:sz w:val="20"/>
              </w:rPr>
            </w:pPr>
            <w:r>
              <w:rPr>
                <w:sz w:val="20"/>
              </w:rPr>
              <w:t>Guadalajara</w:t>
            </w:r>
          </w:p>
        </w:tc>
        <w:tc>
          <w:tcPr>
            <w:tcW w:w="1038" w:type="dxa"/>
            <w:tcBorders>
              <w:left w:val="nil"/>
              <w:right w:val="nil"/>
            </w:tcBorders>
          </w:tcPr>
          <w:p>
            <w:pPr>
              <w:pStyle w:val="TableParagraph"/>
              <w:spacing w:line="230" w:lineRule="exact"/>
              <w:ind w:left="234" w:right="217"/>
              <w:rPr>
                <w:sz w:val="20"/>
              </w:rPr>
            </w:pPr>
            <w:r>
              <w:rPr>
                <w:sz w:val="20"/>
              </w:rPr>
              <w:t>45.5</w:t>
            </w:r>
          </w:p>
        </w:tc>
        <w:tc>
          <w:tcPr>
            <w:tcW w:w="1392" w:type="dxa"/>
            <w:tcBorders>
              <w:left w:val="nil"/>
              <w:right w:val="nil"/>
            </w:tcBorders>
          </w:tcPr>
          <w:p>
            <w:pPr>
              <w:pStyle w:val="TableParagraph"/>
              <w:spacing w:line="230" w:lineRule="exact"/>
              <w:ind w:left="508" w:right="453"/>
              <w:rPr>
                <w:sz w:val="20"/>
              </w:rPr>
            </w:pPr>
            <w:r>
              <w:rPr>
                <w:sz w:val="20"/>
              </w:rPr>
              <w:t>0.0</w:t>
            </w:r>
          </w:p>
        </w:tc>
        <w:tc>
          <w:tcPr>
            <w:tcW w:w="1125" w:type="dxa"/>
            <w:tcBorders>
              <w:left w:val="nil"/>
              <w:right w:val="nil"/>
            </w:tcBorders>
          </w:tcPr>
          <w:p>
            <w:pPr>
              <w:pStyle w:val="TableParagraph"/>
              <w:spacing w:line="230" w:lineRule="exact"/>
              <w:ind w:left="147" w:right="146"/>
              <w:rPr>
                <w:sz w:val="20"/>
              </w:rPr>
            </w:pPr>
            <w:r>
              <w:rPr>
                <w:sz w:val="20"/>
              </w:rPr>
              <w:t>0.0</w:t>
            </w:r>
          </w:p>
        </w:tc>
        <w:tc>
          <w:tcPr>
            <w:tcW w:w="1375" w:type="dxa"/>
            <w:tcBorders>
              <w:left w:val="nil"/>
              <w:right w:val="nil"/>
            </w:tcBorders>
          </w:tcPr>
          <w:p>
            <w:pPr>
              <w:pStyle w:val="TableParagraph"/>
              <w:spacing w:line="230" w:lineRule="exact"/>
              <w:ind w:left="0" w:right="26"/>
              <w:rPr>
                <w:sz w:val="20"/>
              </w:rPr>
            </w:pPr>
            <w:r>
              <w:rPr>
                <w:w w:val="99"/>
                <w:sz w:val="20"/>
              </w:rPr>
              <w:t>0</w:t>
            </w:r>
          </w:p>
        </w:tc>
        <w:tc>
          <w:tcPr>
            <w:tcW w:w="1136" w:type="dxa"/>
            <w:tcBorders>
              <w:left w:val="nil"/>
              <w:right w:val="nil"/>
            </w:tcBorders>
          </w:tcPr>
          <w:p>
            <w:pPr>
              <w:pStyle w:val="TableParagraph"/>
              <w:spacing w:line="230" w:lineRule="exact"/>
              <w:ind w:left="279"/>
              <w:jc w:val="left"/>
              <w:rPr>
                <w:sz w:val="20"/>
              </w:rPr>
            </w:pPr>
            <w:r>
              <w:rPr>
                <w:sz w:val="20"/>
              </w:rPr>
              <w:t>45.46</w:t>
            </w:r>
          </w:p>
        </w:tc>
        <w:tc>
          <w:tcPr>
            <w:tcW w:w="1245" w:type="dxa"/>
            <w:tcBorders>
              <w:left w:val="nil"/>
            </w:tcBorders>
          </w:tcPr>
          <w:p>
            <w:pPr>
              <w:pStyle w:val="TableParagraph"/>
              <w:spacing w:line="230" w:lineRule="exact"/>
              <w:ind w:left="255" w:right="242"/>
              <w:rPr>
                <w:sz w:val="20"/>
              </w:rPr>
            </w:pPr>
            <w:r>
              <w:rPr>
                <w:sz w:val="20"/>
              </w:rPr>
              <w:t>45.6</w:t>
            </w:r>
          </w:p>
        </w:tc>
      </w:tr>
      <w:tr>
        <w:trPr>
          <w:trHeight w:val="277" w:hRule="exact"/>
        </w:trPr>
        <w:tc>
          <w:tcPr>
            <w:tcW w:w="1641" w:type="dxa"/>
            <w:tcBorders>
              <w:right w:val="nil"/>
            </w:tcBorders>
          </w:tcPr>
          <w:p>
            <w:pPr>
              <w:pStyle w:val="TableParagraph"/>
              <w:ind w:right="412"/>
              <w:jc w:val="left"/>
              <w:rPr>
                <w:sz w:val="20"/>
              </w:rPr>
            </w:pPr>
            <w:r>
              <w:rPr>
                <w:sz w:val="20"/>
              </w:rPr>
              <w:t>Ixtlahuaca</w:t>
            </w:r>
          </w:p>
        </w:tc>
        <w:tc>
          <w:tcPr>
            <w:tcW w:w="1038" w:type="dxa"/>
            <w:tcBorders>
              <w:left w:val="nil"/>
              <w:right w:val="nil"/>
            </w:tcBorders>
          </w:tcPr>
          <w:p>
            <w:pPr>
              <w:pStyle w:val="TableParagraph"/>
              <w:ind w:left="234" w:right="217"/>
              <w:rPr>
                <w:sz w:val="20"/>
              </w:rPr>
            </w:pPr>
            <w:r>
              <w:rPr>
                <w:sz w:val="20"/>
              </w:rPr>
              <w:t>47.5</w:t>
            </w:r>
          </w:p>
        </w:tc>
        <w:tc>
          <w:tcPr>
            <w:tcW w:w="1392" w:type="dxa"/>
            <w:tcBorders>
              <w:left w:val="nil"/>
              <w:right w:val="nil"/>
            </w:tcBorders>
          </w:tcPr>
          <w:p>
            <w:pPr>
              <w:pStyle w:val="TableParagraph"/>
              <w:ind w:left="508" w:right="453"/>
              <w:rPr>
                <w:sz w:val="20"/>
              </w:rPr>
            </w:pPr>
            <w:r>
              <w:rPr>
                <w:sz w:val="20"/>
              </w:rPr>
              <w:t>8.55</w:t>
            </w:r>
          </w:p>
        </w:tc>
        <w:tc>
          <w:tcPr>
            <w:tcW w:w="1125" w:type="dxa"/>
            <w:tcBorders>
              <w:left w:val="nil"/>
              <w:right w:val="nil"/>
            </w:tcBorders>
          </w:tcPr>
          <w:p>
            <w:pPr>
              <w:pStyle w:val="TableParagraph"/>
              <w:ind w:left="147" w:right="146"/>
              <w:rPr>
                <w:sz w:val="20"/>
              </w:rPr>
            </w:pPr>
            <w:r>
              <w:rPr>
                <w:sz w:val="20"/>
              </w:rPr>
              <w:t>73.2</w:t>
            </w:r>
          </w:p>
        </w:tc>
        <w:tc>
          <w:tcPr>
            <w:tcW w:w="1375" w:type="dxa"/>
            <w:tcBorders>
              <w:left w:val="nil"/>
              <w:right w:val="nil"/>
            </w:tcBorders>
          </w:tcPr>
          <w:p>
            <w:pPr>
              <w:pStyle w:val="TableParagraph"/>
              <w:ind w:left="179" w:right="205"/>
              <w:rPr>
                <w:sz w:val="20"/>
              </w:rPr>
            </w:pPr>
            <w:r>
              <w:rPr>
                <w:sz w:val="20"/>
              </w:rPr>
              <w:t>18</w:t>
            </w:r>
          </w:p>
        </w:tc>
        <w:tc>
          <w:tcPr>
            <w:tcW w:w="1136" w:type="dxa"/>
            <w:tcBorders>
              <w:left w:val="nil"/>
              <w:right w:val="nil"/>
            </w:tcBorders>
          </w:tcPr>
          <w:p>
            <w:pPr>
              <w:pStyle w:val="TableParagraph"/>
              <w:ind w:left="181" w:right="256"/>
              <w:rPr>
                <w:sz w:val="20"/>
              </w:rPr>
            </w:pPr>
            <w:r>
              <w:rPr>
                <w:sz w:val="20"/>
              </w:rPr>
              <w:t>32</w:t>
            </w:r>
          </w:p>
        </w:tc>
        <w:tc>
          <w:tcPr>
            <w:tcW w:w="1245" w:type="dxa"/>
            <w:tcBorders>
              <w:left w:val="nil"/>
            </w:tcBorders>
          </w:tcPr>
          <w:p>
            <w:pPr>
              <w:pStyle w:val="TableParagraph"/>
              <w:ind w:left="255" w:right="242"/>
              <w:rPr>
                <w:sz w:val="20"/>
              </w:rPr>
            </w:pPr>
            <w:r>
              <w:rPr>
                <w:sz w:val="20"/>
              </w:rPr>
              <w:t>56.8</w:t>
            </w:r>
          </w:p>
        </w:tc>
      </w:tr>
      <w:tr>
        <w:trPr>
          <w:trHeight w:val="274" w:hRule="exact"/>
        </w:trPr>
        <w:tc>
          <w:tcPr>
            <w:tcW w:w="1641" w:type="dxa"/>
            <w:tcBorders>
              <w:right w:val="nil"/>
            </w:tcBorders>
          </w:tcPr>
          <w:p>
            <w:pPr>
              <w:pStyle w:val="TableParagraph"/>
              <w:spacing w:line="230" w:lineRule="exact"/>
              <w:ind w:right="412"/>
              <w:jc w:val="left"/>
              <w:rPr>
                <w:sz w:val="20"/>
              </w:rPr>
            </w:pPr>
            <w:r>
              <w:rPr>
                <w:sz w:val="20"/>
              </w:rPr>
              <w:t>Metepec</w:t>
            </w:r>
          </w:p>
        </w:tc>
        <w:tc>
          <w:tcPr>
            <w:tcW w:w="1038" w:type="dxa"/>
            <w:tcBorders>
              <w:left w:val="nil"/>
              <w:right w:val="nil"/>
            </w:tcBorders>
          </w:tcPr>
          <w:p>
            <w:pPr>
              <w:pStyle w:val="TableParagraph"/>
              <w:spacing w:line="230" w:lineRule="exact"/>
              <w:ind w:left="234" w:right="217"/>
              <w:rPr>
                <w:sz w:val="20"/>
              </w:rPr>
            </w:pPr>
            <w:r>
              <w:rPr>
                <w:sz w:val="20"/>
              </w:rPr>
              <w:t>47.9</w:t>
            </w:r>
          </w:p>
        </w:tc>
        <w:tc>
          <w:tcPr>
            <w:tcW w:w="1392" w:type="dxa"/>
            <w:tcBorders>
              <w:left w:val="nil"/>
              <w:right w:val="nil"/>
            </w:tcBorders>
          </w:tcPr>
          <w:p>
            <w:pPr>
              <w:pStyle w:val="TableParagraph"/>
              <w:spacing w:line="230" w:lineRule="exact"/>
              <w:ind w:left="508" w:right="453"/>
              <w:rPr>
                <w:sz w:val="20"/>
              </w:rPr>
            </w:pPr>
            <w:r>
              <w:rPr>
                <w:sz w:val="20"/>
              </w:rPr>
              <w:t>0.0</w:t>
            </w:r>
          </w:p>
        </w:tc>
        <w:tc>
          <w:tcPr>
            <w:tcW w:w="1125" w:type="dxa"/>
            <w:tcBorders>
              <w:left w:val="nil"/>
              <w:right w:val="nil"/>
            </w:tcBorders>
          </w:tcPr>
          <w:p>
            <w:pPr>
              <w:pStyle w:val="TableParagraph"/>
              <w:spacing w:line="230" w:lineRule="exact"/>
              <w:ind w:left="147" w:right="146"/>
              <w:rPr>
                <w:sz w:val="20"/>
              </w:rPr>
            </w:pPr>
            <w:r>
              <w:rPr>
                <w:sz w:val="20"/>
              </w:rPr>
              <w:t>0.0</w:t>
            </w:r>
          </w:p>
        </w:tc>
        <w:tc>
          <w:tcPr>
            <w:tcW w:w="1375" w:type="dxa"/>
            <w:tcBorders>
              <w:left w:val="nil"/>
              <w:right w:val="nil"/>
            </w:tcBorders>
          </w:tcPr>
          <w:p>
            <w:pPr>
              <w:pStyle w:val="TableParagraph"/>
              <w:spacing w:line="230" w:lineRule="exact"/>
              <w:ind w:left="0" w:right="26"/>
              <w:rPr>
                <w:sz w:val="20"/>
              </w:rPr>
            </w:pPr>
            <w:r>
              <w:rPr>
                <w:w w:val="99"/>
                <w:sz w:val="20"/>
              </w:rPr>
              <w:t>0</w:t>
            </w:r>
          </w:p>
        </w:tc>
        <w:tc>
          <w:tcPr>
            <w:tcW w:w="1136" w:type="dxa"/>
            <w:tcBorders>
              <w:left w:val="nil"/>
              <w:right w:val="nil"/>
            </w:tcBorders>
          </w:tcPr>
          <w:p>
            <w:pPr>
              <w:pStyle w:val="TableParagraph"/>
              <w:spacing w:line="230" w:lineRule="exact"/>
              <w:ind w:left="279"/>
              <w:jc w:val="left"/>
              <w:rPr>
                <w:sz w:val="20"/>
              </w:rPr>
            </w:pPr>
            <w:r>
              <w:rPr>
                <w:sz w:val="20"/>
              </w:rPr>
              <w:t>47.94</w:t>
            </w:r>
          </w:p>
        </w:tc>
        <w:tc>
          <w:tcPr>
            <w:tcW w:w="1245" w:type="dxa"/>
            <w:tcBorders>
              <w:left w:val="nil"/>
            </w:tcBorders>
          </w:tcPr>
          <w:p>
            <w:pPr>
              <w:pStyle w:val="TableParagraph"/>
              <w:spacing w:line="230" w:lineRule="exact"/>
              <w:ind w:left="253" w:right="242"/>
              <w:rPr>
                <w:sz w:val="20"/>
              </w:rPr>
            </w:pPr>
            <w:r>
              <w:rPr>
                <w:sz w:val="20"/>
              </w:rPr>
              <w:t>47.94</w:t>
            </w:r>
          </w:p>
        </w:tc>
      </w:tr>
      <w:tr>
        <w:trPr>
          <w:trHeight w:val="540" w:hRule="exact"/>
        </w:trPr>
        <w:tc>
          <w:tcPr>
            <w:tcW w:w="1641" w:type="dxa"/>
            <w:tcBorders>
              <w:right w:val="nil"/>
            </w:tcBorders>
          </w:tcPr>
          <w:p>
            <w:pPr>
              <w:pStyle w:val="TableParagraph"/>
              <w:spacing w:line="276" w:lineRule="auto"/>
              <w:ind w:right="545"/>
              <w:jc w:val="left"/>
              <w:rPr>
                <w:sz w:val="20"/>
              </w:rPr>
            </w:pPr>
            <w:r>
              <w:rPr>
                <w:sz w:val="20"/>
              </w:rPr>
              <w:t>San Mateo Atenco</w:t>
            </w:r>
          </w:p>
        </w:tc>
        <w:tc>
          <w:tcPr>
            <w:tcW w:w="1038" w:type="dxa"/>
            <w:tcBorders>
              <w:left w:val="nil"/>
              <w:right w:val="nil"/>
            </w:tcBorders>
          </w:tcPr>
          <w:p>
            <w:pPr>
              <w:pStyle w:val="TableParagraph"/>
              <w:spacing w:line="230" w:lineRule="exact"/>
              <w:ind w:left="234" w:right="217"/>
              <w:rPr>
                <w:sz w:val="20"/>
              </w:rPr>
            </w:pPr>
            <w:r>
              <w:rPr>
                <w:sz w:val="20"/>
              </w:rPr>
              <w:t>46.3</w:t>
            </w:r>
          </w:p>
        </w:tc>
        <w:tc>
          <w:tcPr>
            <w:tcW w:w="1392" w:type="dxa"/>
            <w:tcBorders>
              <w:left w:val="nil"/>
              <w:right w:val="nil"/>
            </w:tcBorders>
          </w:tcPr>
          <w:p>
            <w:pPr>
              <w:pStyle w:val="TableParagraph"/>
              <w:spacing w:line="230" w:lineRule="exact"/>
              <w:ind w:left="508" w:right="453"/>
              <w:rPr>
                <w:sz w:val="20"/>
              </w:rPr>
            </w:pPr>
            <w:r>
              <w:rPr>
                <w:sz w:val="20"/>
              </w:rPr>
              <w:t>0.0</w:t>
            </w:r>
          </w:p>
        </w:tc>
        <w:tc>
          <w:tcPr>
            <w:tcW w:w="1125" w:type="dxa"/>
            <w:tcBorders>
              <w:left w:val="nil"/>
              <w:right w:val="nil"/>
            </w:tcBorders>
          </w:tcPr>
          <w:p>
            <w:pPr>
              <w:pStyle w:val="TableParagraph"/>
              <w:spacing w:line="230" w:lineRule="exact"/>
              <w:ind w:left="147" w:right="146"/>
              <w:rPr>
                <w:sz w:val="20"/>
              </w:rPr>
            </w:pPr>
            <w:r>
              <w:rPr>
                <w:sz w:val="20"/>
              </w:rPr>
              <w:t>0.0</w:t>
            </w:r>
          </w:p>
        </w:tc>
        <w:tc>
          <w:tcPr>
            <w:tcW w:w="1375" w:type="dxa"/>
            <w:tcBorders>
              <w:left w:val="nil"/>
              <w:right w:val="nil"/>
            </w:tcBorders>
          </w:tcPr>
          <w:p>
            <w:pPr>
              <w:pStyle w:val="TableParagraph"/>
              <w:spacing w:line="230" w:lineRule="exact"/>
              <w:ind w:left="0" w:right="26"/>
              <w:rPr>
                <w:sz w:val="20"/>
              </w:rPr>
            </w:pPr>
            <w:r>
              <w:rPr>
                <w:w w:val="99"/>
                <w:sz w:val="20"/>
              </w:rPr>
              <w:t>0</w:t>
            </w:r>
          </w:p>
        </w:tc>
        <w:tc>
          <w:tcPr>
            <w:tcW w:w="1136" w:type="dxa"/>
            <w:tcBorders>
              <w:left w:val="nil"/>
              <w:right w:val="nil"/>
            </w:tcBorders>
          </w:tcPr>
          <w:p>
            <w:pPr>
              <w:pStyle w:val="TableParagraph"/>
              <w:spacing w:line="230" w:lineRule="exact"/>
              <w:ind w:left="279"/>
              <w:jc w:val="left"/>
              <w:rPr>
                <w:sz w:val="20"/>
              </w:rPr>
            </w:pPr>
            <w:r>
              <w:rPr>
                <w:sz w:val="20"/>
              </w:rPr>
              <w:t>46.28</w:t>
            </w:r>
          </w:p>
        </w:tc>
        <w:tc>
          <w:tcPr>
            <w:tcW w:w="1245" w:type="dxa"/>
            <w:tcBorders>
              <w:left w:val="nil"/>
            </w:tcBorders>
          </w:tcPr>
          <w:p>
            <w:pPr>
              <w:pStyle w:val="TableParagraph"/>
              <w:spacing w:line="230" w:lineRule="exact"/>
              <w:ind w:left="253" w:right="242"/>
              <w:rPr>
                <w:sz w:val="20"/>
              </w:rPr>
            </w:pPr>
            <w:r>
              <w:rPr>
                <w:sz w:val="20"/>
              </w:rPr>
              <w:t>46.28</w:t>
            </w:r>
          </w:p>
        </w:tc>
      </w:tr>
      <w:tr>
        <w:trPr>
          <w:trHeight w:val="274" w:hRule="exact"/>
        </w:trPr>
        <w:tc>
          <w:tcPr>
            <w:tcW w:w="1641" w:type="dxa"/>
            <w:tcBorders>
              <w:right w:val="nil"/>
            </w:tcBorders>
          </w:tcPr>
          <w:p>
            <w:pPr>
              <w:pStyle w:val="TableParagraph"/>
              <w:spacing w:line="230" w:lineRule="exact"/>
              <w:ind w:right="412"/>
              <w:jc w:val="left"/>
              <w:rPr>
                <w:sz w:val="20"/>
              </w:rPr>
            </w:pPr>
            <w:r>
              <w:rPr>
                <w:sz w:val="20"/>
              </w:rPr>
              <w:t>Texcatitlán</w:t>
            </w:r>
          </w:p>
        </w:tc>
        <w:tc>
          <w:tcPr>
            <w:tcW w:w="1038" w:type="dxa"/>
            <w:tcBorders>
              <w:left w:val="nil"/>
              <w:right w:val="nil"/>
            </w:tcBorders>
          </w:tcPr>
          <w:p>
            <w:pPr>
              <w:pStyle w:val="TableParagraph"/>
              <w:spacing w:line="230" w:lineRule="exact"/>
              <w:ind w:left="234" w:right="217"/>
              <w:rPr>
                <w:sz w:val="20"/>
              </w:rPr>
            </w:pPr>
            <w:r>
              <w:rPr>
                <w:sz w:val="20"/>
              </w:rPr>
              <w:t>51.8</w:t>
            </w:r>
          </w:p>
        </w:tc>
        <w:tc>
          <w:tcPr>
            <w:tcW w:w="1392" w:type="dxa"/>
            <w:tcBorders>
              <w:left w:val="nil"/>
              <w:right w:val="nil"/>
            </w:tcBorders>
          </w:tcPr>
          <w:p>
            <w:pPr>
              <w:pStyle w:val="TableParagraph"/>
              <w:spacing w:line="230" w:lineRule="exact"/>
              <w:ind w:left="508" w:right="453"/>
              <w:rPr>
                <w:sz w:val="20"/>
              </w:rPr>
            </w:pPr>
            <w:r>
              <w:rPr>
                <w:sz w:val="20"/>
              </w:rPr>
              <w:t>0.6</w:t>
            </w:r>
          </w:p>
        </w:tc>
        <w:tc>
          <w:tcPr>
            <w:tcW w:w="1125" w:type="dxa"/>
            <w:tcBorders>
              <w:left w:val="nil"/>
              <w:right w:val="nil"/>
            </w:tcBorders>
          </w:tcPr>
          <w:p>
            <w:pPr>
              <w:pStyle w:val="TableParagraph"/>
              <w:spacing w:line="230" w:lineRule="exact"/>
              <w:ind w:left="147" w:right="146"/>
              <w:rPr>
                <w:sz w:val="20"/>
              </w:rPr>
            </w:pPr>
            <w:r>
              <w:rPr>
                <w:sz w:val="20"/>
              </w:rPr>
              <w:t>0.35</w:t>
            </w:r>
          </w:p>
        </w:tc>
        <w:tc>
          <w:tcPr>
            <w:tcW w:w="1375" w:type="dxa"/>
            <w:tcBorders>
              <w:left w:val="nil"/>
              <w:right w:val="nil"/>
            </w:tcBorders>
          </w:tcPr>
          <w:p>
            <w:pPr>
              <w:pStyle w:val="TableParagraph"/>
              <w:spacing w:line="230" w:lineRule="exact"/>
              <w:ind w:left="176" w:right="205"/>
              <w:rPr>
                <w:sz w:val="20"/>
              </w:rPr>
            </w:pPr>
            <w:r>
              <w:rPr>
                <w:sz w:val="20"/>
              </w:rPr>
              <w:t>1.15</w:t>
            </w:r>
          </w:p>
        </w:tc>
        <w:tc>
          <w:tcPr>
            <w:tcW w:w="1136" w:type="dxa"/>
            <w:tcBorders>
              <w:left w:val="nil"/>
              <w:right w:val="nil"/>
            </w:tcBorders>
          </w:tcPr>
          <w:p>
            <w:pPr>
              <w:pStyle w:val="TableParagraph"/>
              <w:spacing w:line="230" w:lineRule="exact"/>
              <w:ind w:left="279"/>
              <w:jc w:val="left"/>
              <w:rPr>
                <w:sz w:val="20"/>
              </w:rPr>
            </w:pPr>
            <w:r>
              <w:rPr>
                <w:sz w:val="20"/>
              </w:rPr>
              <w:t>51.36</w:t>
            </w:r>
          </w:p>
        </w:tc>
        <w:tc>
          <w:tcPr>
            <w:tcW w:w="1245" w:type="dxa"/>
            <w:tcBorders>
              <w:left w:val="nil"/>
            </w:tcBorders>
          </w:tcPr>
          <w:p>
            <w:pPr>
              <w:pStyle w:val="TableParagraph"/>
              <w:spacing w:line="230" w:lineRule="exact"/>
              <w:ind w:left="255" w:right="242"/>
              <w:rPr>
                <w:sz w:val="20"/>
              </w:rPr>
            </w:pPr>
            <w:r>
              <w:rPr>
                <w:sz w:val="20"/>
              </w:rPr>
              <w:t>52.2</w:t>
            </w:r>
          </w:p>
        </w:tc>
      </w:tr>
      <w:tr>
        <w:trPr>
          <w:trHeight w:val="274" w:hRule="exact"/>
        </w:trPr>
        <w:tc>
          <w:tcPr>
            <w:tcW w:w="1641" w:type="dxa"/>
            <w:tcBorders>
              <w:right w:val="nil"/>
            </w:tcBorders>
          </w:tcPr>
          <w:p>
            <w:pPr>
              <w:pStyle w:val="TableParagraph"/>
              <w:spacing w:line="230" w:lineRule="exact"/>
              <w:ind w:right="412"/>
              <w:jc w:val="left"/>
              <w:rPr>
                <w:sz w:val="20"/>
              </w:rPr>
            </w:pPr>
            <w:r>
              <w:rPr>
                <w:sz w:val="20"/>
              </w:rPr>
              <w:t>Toluca</w:t>
            </w:r>
          </w:p>
        </w:tc>
        <w:tc>
          <w:tcPr>
            <w:tcW w:w="1038" w:type="dxa"/>
            <w:tcBorders>
              <w:left w:val="nil"/>
              <w:right w:val="nil"/>
            </w:tcBorders>
          </w:tcPr>
          <w:p>
            <w:pPr>
              <w:pStyle w:val="TableParagraph"/>
              <w:spacing w:line="230" w:lineRule="exact"/>
              <w:ind w:left="234" w:right="217"/>
              <w:rPr>
                <w:sz w:val="20"/>
              </w:rPr>
            </w:pPr>
            <w:r>
              <w:rPr>
                <w:sz w:val="20"/>
              </w:rPr>
              <w:t>47.5</w:t>
            </w:r>
          </w:p>
        </w:tc>
        <w:tc>
          <w:tcPr>
            <w:tcW w:w="1392" w:type="dxa"/>
            <w:tcBorders>
              <w:left w:val="nil"/>
              <w:right w:val="nil"/>
            </w:tcBorders>
          </w:tcPr>
          <w:p>
            <w:pPr>
              <w:pStyle w:val="TableParagraph"/>
              <w:spacing w:line="230" w:lineRule="exact"/>
              <w:ind w:left="508" w:right="453"/>
              <w:rPr>
                <w:sz w:val="20"/>
              </w:rPr>
            </w:pPr>
            <w:r>
              <w:rPr>
                <w:sz w:val="20"/>
              </w:rPr>
              <w:t>6.3</w:t>
            </w:r>
          </w:p>
        </w:tc>
        <w:tc>
          <w:tcPr>
            <w:tcW w:w="1125" w:type="dxa"/>
            <w:tcBorders>
              <w:left w:val="nil"/>
              <w:right w:val="nil"/>
            </w:tcBorders>
          </w:tcPr>
          <w:p>
            <w:pPr>
              <w:pStyle w:val="TableParagraph"/>
              <w:spacing w:line="230" w:lineRule="exact"/>
              <w:ind w:left="147" w:right="146"/>
              <w:rPr>
                <w:sz w:val="20"/>
              </w:rPr>
            </w:pPr>
            <w:r>
              <w:rPr>
                <w:sz w:val="20"/>
              </w:rPr>
              <w:t>39.6</w:t>
            </w:r>
          </w:p>
        </w:tc>
        <w:tc>
          <w:tcPr>
            <w:tcW w:w="1375" w:type="dxa"/>
            <w:tcBorders>
              <w:left w:val="nil"/>
              <w:right w:val="nil"/>
            </w:tcBorders>
          </w:tcPr>
          <w:p>
            <w:pPr>
              <w:pStyle w:val="TableParagraph"/>
              <w:spacing w:line="230" w:lineRule="exact"/>
              <w:ind w:left="179" w:right="205"/>
              <w:rPr>
                <w:sz w:val="20"/>
              </w:rPr>
            </w:pPr>
            <w:r>
              <w:rPr>
                <w:sz w:val="20"/>
              </w:rPr>
              <w:t>13.24</w:t>
            </w:r>
          </w:p>
        </w:tc>
        <w:tc>
          <w:tcPr>
            <w:tcW w:w="1136" w:type="dxa"/>
            <w:tcBorders>
              <w:left w:val="nil"/>
              <w:right w:val="nil"/>
            </w:tcBorders>
          </w:tcPr>
          <w:p>
            <w:pPr>
              <w:pStyle w:val="TableParagraph"/>
              <w:spacing w:line="230" w:lineRule="exact"/>
              <w:ind w:left="279"/>
              <w:jc w:val="left"/>
              <w:rPr>
                <w:sz w:val="20"/>
              </w:rPr>
            </w:pPr>
            <w:r>
              <w:rPr>
                <w:sz w:val="20"/>
              </w:rPr>
              <w:t>37.81</w:t>
            </w:r>
          </w:p>
        </w:tc>
        <w:tc>
          <w:tcPr>
            <w:tcW w:w="1245" w:type="dxa"/>
            <w:tcBorders>
              <w:left w:val="nil"/>
            </w:tcBorders>
          </w:tcPr>
          <w:p>
            <w:pPr>
              <w:pStyle w:val="TableParagraph"/>
              <w:spacing w:line="230" w:lineRule="exact"/>
              <w:ind w:left="253" w:right="242"/>
              <w:rPr>
                <w:sz w:val="20"/>
              </w:rPr>
            </w:pPr>
            <w:r>
              <w:rPr>
                <w:sz w:val="20"/>
              </w:rPr>
              <w:t>54.31</w:t>
            </w:r>
          </w:p>
        </w:tc>
      </w:tr>
      <w:tr>
        <w:trPr>
          <w:trHeight w:val="276" w:hRule="exact"/>
        </w:trPr>
        <w:tc>
          <w:tcPr>
            <w:tcW w:w="1641" w:type="dxa"/>
            <w:tcBorders>
              <w:right w:val="nil"/>
            </w:tcBorders>
          </w:tcPr>
          <w:p>
            <w:pPr>
              <w:pStyle w:val="TableParagraph"/>
              <w:spacing w:line="230" w:lineRule="exact"/>
              <w:jc w:val="left"/>
              <w:rPr>
                <w:sz w:val="20"/>
              </w:rPr>
            </w:pPr>
            <w:r>
              <w:rPr>
                <w:sz w:val="20"/>
              </w:rPr>
              <w:t>Villa Victoria</w:t>
            </w:r>
          </w:p>
        </w:tc>
        <w:tc>
          <w:tcPr>
            <w:tcW w:w="1038" w:type="dxa"/>
            <w:tcBorders>
              <w:left w:val="nil"/>
              <w:right w:val="nil"/>
            </w:tcBorders>
          </w:tcPr>
          <w:p>
            <w:pPr>
              <w:pStyle w:val="TableParagraph"/>
              <w:spacing w:line="230" w:lineRule="exact"/>
              <w:ind w:left="234" w:right="217"/>
              <w:rPr>
                <w:sz w:val="20"/>
              </w:rPr>
            </w:pPr>
            <w:r>
              <w:rPr>
                <w:sz w:val="20"/>
              </w:rPr>
              <w:t>51.5</w:t>
            </w:r>
          </w:p>
        </w:tc>
        <w:tc>
          <w:tcPr>
            <w:tcW w:w="1392" w:type="dxa"/>
            <w:tcBorders>
              <w:left w:val="nil"/>
              <w:right w:val="nil"/>
            </w:tcBorders>
          </w:tcPr>
          <w:p>
            <w:pPr>
              <w:pStyle w:val="TableParagraph"/>
              <w:spacing w:line="230" w:lineRule="exact"/>
              <w:ind w:left="508" w:right="453"/>
              <w:rPr>
                <w:sz w:val="20"/>
              </w:rPr>
            </w:pPr>
            <w:r>
              <w:rPr>
                <w:sz w:val="20"/>
              </w:rPr>
              <w:t>6.9</w:t>
            </w:r>
          </w:p>
        </w:tc>
        <w:tc>
          <w:tcPr>
            <w:tcW w:w="1125" w:type="dxa"/>
            <w:tcBorders>
              <w:left w:val="nil"/>
              <w:right w:val="nil"/>
            </w:tcBorders>
          </w:tcPr>
          <w:p>
            <w:pPr>
              <w:pStyle w:val="TableParagraph"/>
              <w:spacing w:line="230" w:lineRule="exact"/>
              <w:ind w:left="147" w:right="146"/>
              <w:rPr>
                <w:sz w:val="20"/>
              </w:rPr>
            </w:pPr>
            <w:r>
              <w:rPr>
                <w:sz w:val="20"/>
              </w:rPr>
              <w:t>47.9</w:t>
            </w:r>
          </w:p>
        </w:tc>
        <w:tc>
          <w:tcPr>
            <w:tcW w:w="1375" w:type="dxa"/>
            <w:tcBorders>
              <w:left w:val="nil"/>
              <w:right w:val="nil"/>
            </w:tcBorders>
          </w:tcPr>
          <w:p>
            <w:pPr>
              <w:pStyle w:val="TableParagraph"/>
              <w:spacing w:line="230" w:lineRule="exact"/>
              <w:ind w:left="179" w:right="205"/>
              <w:rPr>
                <w:sz w:val="20"/>
              </w:rPr>
            </w:pPr>
            <w:r>
              <w:rPr>
                <w:sz w:val="20"/>
              </w:rPr>
              <w:t>13.44</w:t>
            </w:r>
          </w:p>
        </w:tc>
        <w:tc>
          <w:tcPr>
            <w:tcW w:w="1136" w:type="dxa"/>
            <w:tcBorders>
              <w:left w:val="nil"/>
              <w:right w:val="nil"/>
            </w:tcBorders>
          </w:tcPr>
          <w:p>
            <w:pPr>
              <w:pStyle w:val="TableParagraph"/>
              <w:spacing w:line="230" w:lineRule="exact"/>
              <w:ind w:left="279"/>
              <w:jc w:val="left"/>
              <w:rPr>
                <w:sz w:val="20"/>
              </w:rPr>
            </w:pPr>
            <w:r>
              <w:rPr>
                <w:sz w:val="20"/>
              </w:rPr>
              <w:t>31.07</w:t>
            </w:r>
          </w:p>
        </w:tc>
        <w:tc>
          <w:tcPr>
            <w:tcW w:w="1245" w:type="dxa"/>
            <w:tcBorders>
              <w:left w:val="nil"/>
            </w:tcBorders>
          </w:tcPr>
          <w:p>
            <w:pPr>
              <w:pStyle w:val="TableParagraph"/>
              <w:spacing w:line="230" w:lineRule="exact"/>
              <w:ind w:left="253" w:right="242"/>
              <w:rPr>
                <w:sz w:val="20"/>
              </w:rPr>
            </w:pPr>
            <w:r>
              <w:rPr>
                <w:sz w:val="20"/>
              </w:rPr>
              <w:t>66.66</w:t>
            </w:r>
          </w:p>
        </w:tc>
      </w:tr>
      <w:tr>
        <w:trPr>
          <w:trHeight w:val="274" w:hRule="exact"/>
        </w:trPr>
        <w:tc>
          <w:tcPr>
            <w:tcW w:w="1641" w:type="dxa"/>
            <w:tcBorders>
              <w:right w:val="nil"/>
            </w:tcBorders>
          </w:tcPr>
          <w:p>
            <w:pPr>
              <w:pStyle w:val="TableParagraph"/>
              <w:spacing w:line="230" w:lineRule="exact"/>
              <w:jc w:val="left"/>
              <w:rPr>
                <w:sz w:val="20"/>
              </w:rPr>
            </w:pPr>
            <w:r>
              <w:rPr>
                <w:sz w:val="20"/>
              </w:rPr>
              <w:t>Zinacantepec</w:t>
            </w:r>
          </w:p>
        </w:tc>
        <w:tc>
          <w:tcPr>
            <w:tcW w:w="1038" w:type="dxa"/>
            <w:tcBorders>
              <w:left w:val="nil"/>
              <w:right w:val="nil"/>
            </w:tcBorders>
          </w:tcPr>
          <w:p>
            <w:pPr>
              <w:pStyle w:val="TableParagraph"/>
              <w:spacing w:line="230" w:lineRule="exact"/>
              <w:ind w:left="234" w:right="217"/>
              <w:rPr>
                <w:sz w:val="20"/>
              </w:rPr>
            </w:pPr>
            <w:r>
              <w:rPr>
                <w:sz w:val="20"/>
              </w:rPr>
              <w:t>49.0</w:t>
            </w:r>
          </w:p>
        </w:tc>
        <w:tc>
          <w:tcPr>
            <w:tcW w:w="1392" w:type="dxa"/>
            <w:tcBorders>
              <w:left w:val="nil"/>
              <w:right w:val="nil"/>
            </w:tcBorders>
          </w:tcPr>
          <w:p>
            <w:pPr>
              <w:pStyle w:val="TableParagraph"/>
              <w:spacing w:line="230" w:lineRule="exact"/>
              <w:ind w:left="508" w:right="453"/>
              <w:rPr>
                <w:sz w:val="20"/>
              </w:rPr>
            </w:pPr>
            <w:r>
              <w:rPr>
                <w:sz w:val="20"/>
              </w:rPr>
              <w:t>0.0</w:t>
            </w:r>
          </w:p>
        </w:tc>
        <w:tc>
          <w:tcPr>
            <w:tcW w:w="1125" w:type="dxa"/>
            <w:tcBorders>
              <w:left w:val="nil"/>
              <w:right w:val="nil"/>
            </w:tcBorders>
          </w:tcPr>
          <w:p>
            <w:pPr>
              <w:pStyle w:val="TableParagraph"/>
              <w:spacing w:line="230" w:lineRule="exact"/>
              <w:ind w:left="147" w:right="146"/>
              <w:rPr>
                <w:sz w:val="20"/>
              </w:rPr>
            </w:pPr>
            <w:r>
              <w:rPr>
                <w:sz w:val="20"/>
              </w:rPr>
              <w:t>0.0</w:t>
            </w:r>
          </w:p>
        </w:tc>
        <w:tc>
          <w:tcPr>
            <w:tcW w:w="1375" w:type="dxa"/>
            <w:tcBorders>
              <w:left w:val="nil"/>
              <w:right w:val="nil"/>
            </w:tcBorders>
          </w:tcPr>
          <w:p>
            <w:pPr>
              <w:pStyle w:val="TableParagraph"/>
              <w:spacing w:line="230" w:lineRule="exact"/>
              <w:ind w:left="0" w:right="26"/>
              <w:rPr>
                <w:sz w:val="20"/>
              </w:rPr>
            </w:pPr>
            <w:r>
              <w:rPr>
                <w:w w:val="99"/>
                <w:sz w:val="20"/>
              </w:rPr>
              <w:t>0</w:t>
            </w:r>
          </w:p>
        </w:tc>
        <w:tc>
          <w:tcPr>
            <w:tcW w:w="1136" w:type="dxa"/>
            <w:tcBorders>
              <w:left w:val="nil"/>
              <w:right w:val="nil"/>
            </w:tcBorders>
          </w:tcPr>
          <w:p>
            <w:pPr>
              <w:pStyle w:val="TableParagraph"/>
              <w:spacing w:line="230" w:lineRule="exact"/>
              <w:ind w:left="181" w:right="256"/>
              <w:rPr>
                <w:sz w:val="20"/>
              </w:rPr>
            </w:pPr>
            <w:r>
              <w:rPr>
                <w:sz w:val="20"/>
              </w:rPr>
              <w:t>49</w:t>
            </w:r>
          </w:p>
        </w:tc>
        <w:tc>
          <w:tcPr>
            <w:tcW w:w="1245" w:type="dxa"/>
            <w:tcBorders>
              <w:left w:val="nil"/>
            </w:tcBorders>
          </w:tcPr>
          <w:p>
            <w:pPr>
              <w:pStyle w:val="TableParagraph"/>
              <w:spacing w:line="230" w:lineRule="exact"/>
              <w:ind w:left="253" w:right="242"/>
              <w:rPr>
                <w:sz w:val="20"/>
              </w:rPr>
            </w:pPr>
            <w:r>
              <w:rPr>
                <w:sz w:val="20"/>
              </w:rPr>
              <w:t>49</w:t>
            </w:r>
          </w:p>
        </w:tc>
      </w:tr>
    </w:tbl>
    <w:p>
      <w:pPr>
        <w:pStyle w:val="BodyText"/>
        <w:spacing w:before="3"/>
      </w:pPr>
    </w:p>
    <w:p>
      <w:pPr>
        <w:pStyle w:val="BodyText"/>
        <w:spacing w:before="69"/>
        <w:ind w:left="142"/>
        <w:jc w:val="both"/>
      </w:pPr>
      <w:r>
        <w:rPr/>
        <w:t>Materia Seca</w:t>
      </w:r>
    </w:p>
    <w:p>
      <w:pPr>
        <w:pStyle w:val="BodyText"/>
        <w:spacing w:line="276" w:lineRule="auto" w:before="161"/>
        <w:ind w:left="142" w:right="236"/>
        <w:jc w:val="both"/>
      </w:pPr>
      <w:r>
        <w:rPr/>
        <w:t>Los quesos frescos que mostraron mayor porcentaje de materia seca fueron aquellos procedentes de Ecatepec con 55.7% seguido de Guadalajara, San Mateo Atenco, de origen desconocido e Ixtlahuaca con 54.4, 53.7, 53 y 52.5%, las muestras procedentes de Aculco, Toluca, Almoloya de Juárez y Zinacantepec mostraron valores similares con 51.9, 51.6, 51.3 y 51%. Los quesos de Texcatitlán y Villa Victoria mostraron el mismo valor con 48.2% como se muestra en el cuadro 15.</w:t>
      </w:r>
    </w:p>
    <w:p>
      <w:pPr>
        <w:spacing w:after="0" w:line="276" w:lineRule="auto"/>
        <w:jc w:val="both"/>
        <w:sectPr>
          <w:pgSz w:w="12240" w:h="15840"/>
          <w:pgMar w:header="728" w:footer="710" w:top="1200" w:bottom="900" w:left="1560" w:right="1460"/>
        </w:sectPr>
      </w:pPr>
    </w:p>
    <w:p>
      <w:pPr>
        <w:pStyle w:val="BodyText"/>
        <w:spacing w:before="7"/>
        <w:rPr>
          <w:sz w:val="12"/>
        </w:rPr>
      </w:pPr>
    </w:p>
    <w:p>
      <w:pPr>
        <w:pStyle w:val="BodyText"/>
        <w:spacing w:before="69"/>
        <w:ind w:left="142"/>
      </w:pPr>
      <w:r>
        <w:rPr/>
        <w:t>Cuadro 15: Valores de materia seca en los quesos frescos mostrados por municipio.</w:t>
      </w:r>
    </w:p>
    <w:p>
      <w:pPr>
        <w:pStyle w:val="BodyText"/>
        <w:spacing w:before="4"/>
        <w:rPr>
          <w:sz w:val="14"/>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6"/>
        <w:gridCol w:w="1060"/>
        <w:gridCol w:w="1378"/>
        <w:gridCol w:w="1132"/>
        <w:gridCol w:w="1603"/>
        <w:gridCol w:w="1139"/>
        <w:gridCol w:w="1245"/>
      </w:tblGrid>
      <w:tr>
        <w:trPr>
          <w:trHeight w:val="247" w:hRule="exact"/>
        </w:trPr>
        <w:tc>
          <w:tcPr>
            <w:tcW w:w="9184" w:type="dxa"/>
            <w:gridSpan w:val="7"/>
            <w:tcBorders>
              <w:right w:val="nil"/>
            </w:tcBorders>
            <w:shd w:val="clear" w:color="auto" w:fill="A6A6A6"/>
          </w:tcPr>
          <w:p>
            <w:pPr>
              <w:pStyle w:val="TableParagraph"/>
              <w:spacing w:line="206" w:lineRule="exact"/>
              <w:ind w:left="4051" w:right="4056"/>
              <w:rPr>
                <w:sz w:val="18"/>
              </w:rPr>
            </w:pPr>
            <w:r>
              <w:rPr>
                <w:color w:val="FFFFFF"/>
                <w:sz w:val="18"/>
              </w:rPr>
              <w:t>Materia seca</w:t>
            </w:r>
          </w:p>
        </w:tc>
      </w:tr>
      <w:tr>
        <w:trPr>
          <w:trHeight w:val="487" w:hRule="exact"/>
        </w:trPr>
        <w:tc>
          <w:tcPr>
            <w:tcW w:w="1626" w:type="dxa"/>
            <w:tcBorders>
              <w:right w:val="nil"/>
            </w:tcBorders>
          </w:tcPr>
          <w:p>
            <w:pPr/>
          </w:p>
        </w:tc>
        <w:tc>
          <w:tcPr>
            <w:tcW w:w="1060" w:type="dxa"/>
            <w:tcBorders>
              <w:left w:val="nil"/>
              <w:right w:val="nil"/>
            </w:tcBorders>
          </w:tcPr>
          <w:p>
            <w:pPr>
              <w:pStyle w:val="TableParagraph"/>
              <w:spacing w:before="1"/>
              <w:ind w:left="0" w:right="271"/>
              <w:jc w:val="right"/>
              <w:rPr>
                <w:sz w:val="18"/>
              </w:rPr>
            </w:pPr>
            <w:r>
              <w:rPr>
                <w:sz w:val="18"/>
              </w:rPr>
              <w:t>Media</w:t>
            </w:r>
          </w:p>
        </w:tc>
        <w:tc>
          <w:tcPr>
            <w:tcW w:w="1378" w:type="dxa"/>
            <w:tcBorders>
              <w:left w:val="nil"/>
              <w:right w:val="nil"/>
            </w:tcBorders>
          </w:tcPr>
          <w:p>
            <w:pPr>
              <w:pStyle w:val="TableParagraph"/>
              <w:spacing w:line="276" w:lineRule="auto" w:before="1"/>
              <w:ind w:left="364" w:right="205" w:hanging="92"/>
              <w:jc w:val="left"/>
              <w:rPr>
                <w:sz w:val="18"/>
              </w:rPr>
            </w:pPr>
            <w:r>
              <w:rPr>
                <w:sz w:val="18"/>
              </w:rPr>
              <w:t>Desviación estándar</w:t>
            </w:r>
          </w:p>
        </w:tc>
        <w:tc>
          <w:tcPr>
            <w:tcW w:w="1132" w:type="dxa"/>
            <w:tcBorders>
              <w:left w:val="nil"/>
              <w:right w:val="nil"/>
            </w:tcBorders>
          </w:tcPr>
          <w:p>
            <w:pPr>
              <w:pStyle w:val="TableParagraph"/>
              <w:spacing w:before="1"/>
              <w:ind w:left="195" w:right="185"/>
              <w:rPr>
                <w:sz w:val="18"/>
              </w:rPr>
            </w:pPr>
            <w:r>
              <w:rPr>
                <w:sz w:val="18"/>
              </w:rPr>
              <w:t>Varianza</w:t>
            </w:r>
          </w:p>
        </w:tc>
        <w:tc>
          <w:tcPr>
            <w:tcW w:w="1603" w:type="dxa"/>
            <w:tcBorders>
              <w:left w:val="nil"/>
              <w:right w:val="nil"/>
            </w:tcBorders>
          </w:tcPr>
          <w:p>
            <w:pPr>
              <w:pStyle w:val="TableParagraph"/>
              <w:spacing w:line="276" w:lineRule="auto" w:before="1"/>
              <w:ind w:left="428" w:right="220" w:hanging="216"/>
              <w:jc w:val="left"/>
              <w:rPr>
                <w:sz w:val="18"/>
              </w:rPr>
            </w:pPr>
            <w:r>
              <w:rPr>
                <w:sz w:val="18"/>
              </w:rPr>
              <w:t>Coeficiente de variación</w:t>
            </w:r>
          </w:p>
        </w:tc>
        <w:tc>
          <w:tcPr>
            <w:tcW w:w="1139" w:type="dxa"/>
            <w:tcBorders>
              <w:left w:val="nil"/>
              <w:right w:val="nil"/>
            </w:tcBorders>
          </w:tcPr>
          <w:p>
            <w:pPr>
              <w:pStyle w:val="TableParagraph"/>
              <w:spacing w:before="1"/>
              <w:ind w:left="219" w:right="290"/>
              <w:rPr>
                <w:sz w:val="18"/>
              </w:rPr>
            </w:pPr>
            <w:r>
              <w:rPr>
                <w:sz w:val="18"/>
              </w:rPr>
              <w:t>Mínimo</w:t>
            </w:r>
          </w:p>
        </w:tc>
        <w:tc>
          <w:tcPr>
            <w:tcW w:w="1245" w:type="dxa"/>
            <w:tcBorders>
              <w:left w:val="nil"/>
            </w:tcBorders>
          </w:tcPr>
          <w:p>
            <w:pPr>
              <w:pStyle w:val="TableParagraph"/>
              <w:spacing w:before="1"/>
              <w:ind w:left="290" w:right="280"/>
              <w:rPr>
                <w:sz w:val="18"/>
              </w:rPr>
            </w:pPr>
            <w:r>
              <w:rPr>
                <w:sz w:val="18"/>
              </w:rPr>
              <w:t>Máximo</w:t>
            </w:r>
          </w:p>
        </w:tc>
      </w:tr>
      <w:tr>
        <w:trPr>
          <w:trHeight w:val="247" w:hRule="exact"/>
        </w:trPr>
        <w:tc>
          <w:tcPr>
            <w:tcW w:w="1626" w:type="dxa"/>
            <w:tcBorders>
              <w:right w:val="nil"/>
            </w:tcBorders>
          </w:tcPr>
          <w:p>
            <w:pPr>
              <w:pStyle w:val="TableParagraph"/>
              <w:spacing w:line="201" w:lineRule="exact"/>
              <w:ind w:right="428"/>
              <w:jc w:val="left"/>
              <w:rPr>
                <w:b/>
                <w:sz w:val="18"/>
              </w:rPr>
            </w:pPr>
            <w:r>
              <w:rPr>
                <w:b/>
                <w:sz w:val="18"/>
              </w:rPr>
              <w:t>Aculco</w:t>
            </w:r>
          </w:p>
        </w:tc>
        <w:tc>
          <w:tcPr>
            <w:tcW w:w="1060" w:type="dxa"/>
            <w:tcBorders>
              <w:left w:val="nil"/>
              <w:right w:val="nil"/>
            </w:tcBorders>
          </w:tcPr>
          <w:p>
            <w:pPr>
              <w:pStyle w:val="TableParagraph"/>
              <w:spacing w:line="206" w:lineRule="exact"/>
              <w:ind w:left="0" w:right="338"/>
              <w:jc w:val="right"/>
              <w:rPr>
                <w:sz w:val="18"/>
              </w:rPr>
            </w:pPr>
            <w:r>
              <w:rPr>
                <w:w w:val="95"/>
                <w:sz w:val="18"/>
              </w:rPr>
              <w:t>51.9</w:t>
            </w:r>
          </w:p>
        </w:tc>
        <w:tc>
          <w:tcPr>
            <w:tcW w:w="1378" w:type="dxa"/>
            <w:tcBorders>
              <w:left w:val="nil"/>
              <w:right w:val="nil"/>
            </w:tcBorders>
          </w:tcPr>
          <w:p>
            <w:pPr>
              <w:pStyle w:val="TableParagraph"/>
              <w:spacing w:line="206" w:lineRule="exact"/>
              <w:ind w:left="569" w:right="516"/>
              <w:rPr>
                <w:sz w:val="18"/>
              </w:rPr>
            </w:pPr>
            <w:r>
              <w:rPr>
                <w:sz w:val="18"/>
              </w:rPr>
              <w:t>3.7</w:t>
            </w:r>
          </w:p>
        </w:tc>
        <w:tc>
          <w:tcPr>
            <w:tcW w:w="1132" w:type="dxa"/>
            <w:tcBorders>
              <w:left w:val="nil"/>
              <w:right w:val="nil"/>
            </w:tcBorders>
          </w:tcPr>
          <w:p>
            <w:pPr>
              <w:pStyle w:val="TableParagraph"/>
              <w:spacing w:line="206" w:lineRule="exact"/>
              <w:ind w:left="195" w:right="185"/>
              <w:rPr>
                <w:sz w:val="18"/>
              </w:rPr>
            </w:pPr>
            <w:r>
              <w:rPr>
                <w:sz w:val="18"/>
              </w:rPr>
              <w:t>13.5</w:t>
            </w:r>
          </w:p>
        </w:tc>
        <w:tc>
          <w:tcPr>
            <w:tcW w:w="1603" w:type="dxa"/>
            <w:tcBorders>
              <w:left w:val="nil"/>
              <w:right w:val="nil"/>
            </w:tcBorders>
          </w:tcPr>
          <w:p>
            <w:pPr>
              <w:pStyle w:val="TableParagraph"/>
              <w:spacing w:line="206" w:lineRule="exact"/>
              <w:ind w:left="593" w:right="616"/>
              <w:rPr>
                <w:sz w:val="18"/>
              </w:rPr>
            </w:pPr>
            <w:r>
              <w:rPr>
                <w:sz w:val="18"/>
              </w:rPr>
              <w:t>7.07</w:t>
            </w:r>
          </w:p>
        </w:tc>
        <w:tc>
          <w:tcPr>
            <w:tcW w:w="1139" w:type="dxa"/>
            <w:tcBorders>
              <w:left w:val="nil"/>
              <w:right w:val="nil"/>
            </w:tcBorders>
          </w:tcPr>
          <w:p>
            <w:pPr>
              <w:pStyle w:val="TableParagraph"/>
              <w:spacing w:line="206" w:lineRule="exact"/>
              <w:ind w:left="219" w:right="289"/>
              <w:rPr>
                <w:sz w:val="18"/>
              </w:rPr>
            </w:pPr>
            <w:r>
              <w:rPr>
                <w:sz w:val="18"/>
              </w:rPr>
              <w:t>47.7</w:t>
            </w:r>
          </w:p>
        </w:tc>
        <w:tc>
          <w:tcPr>
            <w:tcW w:w="1245" w:type="dxa"/>
            <w:tcBorders>
              <w:left w:val="nil"/>
            </w:tcBorders>
          </w:tcPr>
          <w:p>
            <w:pPr>
              <w:pStyle w:val="TableParagraph"/>
              <w:spacing w:line="206" w:lineRule="exact"/>
              <w:ind w:left="290" w:right="273"/>
              <w:rPr>
                <w:sz w:val="18"/>
              </w:rPr>
            </w:pPr>
            <w:r>
              <w:rPr>
                <w:sz w:val="18"/>
              </w:rPr>
              <w:t>56.5</w:t>
            </w:r>
          </w:p>
        </w:tc>
      </w:tr>
      <w:tr>
        <w:trPr>
          <w:trHeight w:val="487" w:hRule="exact"/>
        </w:trPr>
        <w:tc>
          <w:tcPr>
            <w:tcW w:w="1626" w:type="dxa"/>
            <w:tcBorders>
              <w:right w:val="nil"/>
            </w:tcBorders>
          </w:tcPr>
          <w:p>
            <w:pPr>
              <w:pStyle w:val="TableParagraph"/>
              <w:spacing w:line="278" w:lineRule="auto"/>
              <w:ind w:right="428"/>
              <w:jc w:val="left"/>
              <w:rPr>
                <w:b/>
                <w:sz w:val="18"/>
              </w:rPr>
            </w:pPr>
            <w:r>
              <w:rPr>
                <w:b/>
                <w:sz w:val="18"/>
              </w:rPr>
              <w:t>Almoloya de Juárez</w:t>
            </w:r>
          </w:p>
        </w:tc>
        <w:tc>
          <w:tcPr>
            <w:tcW w:w="1060" w:type="dxa"/>
            <w:tcBorders>
              <w:left w:val="nil"/>
              <w:right w:val="nil"/>
            </w:tcBorders>
          </w:tcPr>
          <w:p>
            <w:pPr>
              <w:pStyle w:val="TableParagraph"/>
              <w:spacing w:line="206" w:lineRule="exact"/>
              <w:ind w:left="0" w:right="338"/>
              <w:jc w:val="right"/>
              <w:rPr>
                <w:sz w:val="18"/>
              </w:rPr>
            </w:pPr>
            <w:r>
              <w:rPr>
                <w:w w:val="95"/>
                <w:sz w:val="18"/>
              </w:rPr>
              <w:t>51.3</w:t>
            </w:r>
          </w:p>
        </w:tc>
        <w:tc>
          <w:tcPr>
            <w:tcW w:w="1378" w:type="dxa"/>
            <w:tcBorders>
              <w:left w:val="nil"/>
              <w:right w:val="nil"/>
            </w:tcBorders>
          </w:tcPr>
          <w:p>
            <w:pPr>
              <w:pStyle w:val="TableParagraph"/>
              <w:spacing w:line="206" w:lineRule="exact"/>
              <w:ind w:left="569" w:right="516"/>
              <w:rPr>
                <w:sz w:val="18"/>
              </w:rPr>
            </w:pPr>
            <w:r>
              <w:rPr>
                <w:sz w:val="18"/>
              </w:rPr>
              <w:t>2.5</w:t>
            </w:r>
          </w:p>
        </w:tc>
        <w:tc>
          <w:tcPr>
            <w:tcW w:w="1132" w:type="dxa"/>
            <w:tcBorders>
              <w:left w:val="nil"/>
              <w:right w:val="nil"/>
            </w:tcBorders>
          </w:tcPr>
          <w:p>
            <w:pPr>
              <w:pStyle w:val="TableParagraph"/>
              <w:spacing w:line="206" w:lineRule="exact"/>
              <w:ind w:left="8"/>
              <w:rPr>
                <w:sz w:val="18"/>
              </w:rPr>
            </w:pPr>
            <w:r>
              <w:rPr>
                <w:w w:val="99"/>
                <w:sz w:val="18"/>
              </w:rPr>
              <w:t>6</w:t>
            </w:r>
          </w:p>
        </w:tc>
        <w:tc>
          <w:tcPr>
            <w:tcW w:w="1603" w:type="dxa"/>
            <w:tcBorders>
              <w:left w:val="nil"/>
              <w:right w:val="nil"/>
            </w:tcBorders>
          </w:tcPr>
          <w:p>
            <w:pPr>
              <w:pStyle w:val="TableParagraph"/>
              <w:spacing w:line="206" w:lineRule="exact"/>
              <w:ind w:left="593" w:right="616"/>
              <w:rPr>
                <w:sz w:val="18"/>
              </w:rPr>
            </w:pPr>
            <w:r>
              <w:rPr>
                <w:sz w:val="18"/>
              </w:rPr>
              <w:t>4.8</w:t>
            </w:r>
          </w:p>
        </w:tc>
        <w:tc>
          <w:tcPr>
            <w:tcW w:w="1139" w:type="dxa"/>
            <w:tcBorders>
              <w:left w:val="nil"/>
              <w:right w:val="nil"/>
            </w:tcBorders>
          </w:tcPr>
          <w:p>
            <w:pPr>
              <w:pStyle w:val="TableParagraph"/>
              <w:spacing w:line="206" w:lineRule="exact"/>
              <w:ind w:left="219" w:right="284"/>
              <w:rPr>
                <w:sz w:val="18"/>
              </w:rPr>
            </w:pPr>
            <w:r>
              <w:rPr>
                <w:sz w:val="18"/>
              </w:rPr>
              <w:t>49</w:t>
            </w:r>
          </w:p>
        </w:tc>
        <w:tc>
          <w:tcPr>
            <w:tcW w:w="1245" w:type="dxa"/>
            <w:tcBorders>
              <w:left w:val="nil"/>
            </w:tcBorders>
          </w:tcPr>
          <w:p>
            <w:pPr>
              <w:pStyle w:val="TableParagraph"/>
              <w:spacing w:line="206" w:lineRule="exact"/>
              <w:ind w:left="290" w:right="274"/>
              <w:rPr>
                <w:sz w:val="18"/>
              </w:rPr>
            </w:pPr>
            <w:r>
              <w:rPr>
                <w:sz w:val="18"/>
              </w:rPr>
              <w:t>54</w:t>
            </w:r>
          </w:p>
        </w:tc>
      </w:tr>
      <w:tr>
        <w:trPr>
          <w:trHeight w:val="247" w:hRule="exact"/>
        </w:trPr>
        <w:tc>
          <w:tcPr>
            <w:tcW w:w="1626" w:type="dxa"/>
            <w:tcBorders>
              <w:right w:val="nil"/>
            </w:tcBorders>
          </w:tcPr>
          <w:p>
            <w:pPr>
              <w:pStyle w:val="TableParagraph"/>
              <w:spacing w:line="201" w:lineRule="exact"/>
              <w:ind w:right="428"/>
              <w:jc w:val="left"/>
              <w:rPr>
                <w:b/>
                <w:sz w:val="18"/>
              </w:rPr>
            </w:pPr>
            <w:r>
              <w:rPr>
                <w:b/>
                <w:sz w:val="18"/>
              </w:rPr>
              <w:t>Desconoce</w:t>
            </w:r>
          </w:p>
        </w:tc>
        <w:tc>
          <w:tcPr>
            <w:tcW w:w="1060" w:type="dxa"/>
            <w:tcBorders>
              <w:left w:val="nil"/>
              <w:right w:val="nil"/>
            </w:tcBorders>
          </w:tcPr>
          <w:p>
            <w:pPr>
              <w:pStyle w:val="TableParagraph"/>
              <w:spacing w:line="206" w:lineRule="exact"/>
              <w:ind w:left="425" w:right="394"/>
              <w:rPr>
                <w:sz w:val="18"/>
              </w:rPr>
            </w:pPr>
            <w:r>
              <w:rPr>
                <w:sz w:val="18"/>
              </w:rPr>
              <w:t>53</w:t>
            </w:r>
          </w:p>
        </w:tc>
        <w:tc>
          <w:tcPr>
            <w:tcW w:w="1378" w:type="dxa"/>
            <w:tcBorders>
              <w:left w:val="nil"/>
              <w:right w:val="nil"/>
            </w:tcBorders>
          </w:tcPr>
          <w:p>
            <w:pPr>
              <w:pStyle w:val="TableParagraph"/>
              <w:spacing w:line="206" w:lineRule="exact"/>
              <w:ind w:left="51"/>
              <w:rPr>
                <w:sz w:val="18"/>
              </w:rPr>
            </w:pPr>
            <w:r>
              <w:rPr>
                <w:w w:val="99"/>
                <w:sz w:val="18"/>
              </w:rPr>
              <w:t>7</w:t>
            </w:r>
          </w:p>
        </w:tc>
        <w:tc>
          <w:tcPr>
            <w:tcW w:w="1132" w:type="dxa"/>
            <w:tcBorders>
              <w:left w:val="nil"/>
              <w:right w:val="nil"/>
            </w:tcBorders>
          </w:tcPr>
          <w:p>
            <w:pPr>
              <w:pStyle w:val="TableParagraph"/>
              <w:spacing w:line="206" w:lineRule="exact"/>
              <w:ind w:left="195" w:right="181"/>
              <w:rPr>
                <w:sz w:val="18"/>
              </w:rPr>
            </w:pPr>
            <w:r>
              <w:rPr>
                <w:sz w:val="18"/>
              </w:rPr>
              <w:t>50</w:t>
            </w:r>
          </w:p>
        </w:tc>
        <w:tc>
          <w:tcPr>
            <w:tcW w:w="1603" w:type="dxa"/>
            <w:tcBorders>
              <w:left w:val="nil"/>
              <w:right w:val="nil"/>
            </w:tcBorders>
          </w:tcPr>
          <w:p>
            <w:pPr>
              <w:pStyle w:val="TableParagraph"/>
              <w:spacing w:line="206" w:lineRule="exact"/>
              <w:ind w:left="592" w:right="617"/>
              <w:rPr>
                <w:sz w:val="18"/>
              </w:rPr>
            </w:pPr>
            <w:r>
              <w:rPr>
                <w:sz w:val="18"/>
              </w:rPr>
              <w:t>13.3</w:t>
            </w:r>
          </w:p>
        </w:tc>
        <w:tc>
          <w:tcPr>
            <w:tcW w:w="1139" w:type="dxa"/>
            <w:tcBorders>
              <w:left w:val="nil"/>
              <w:right w:val="nil"/>
            </w:tcBorders>
          </w:tcPr>
          <w:p>
            <w:pPr>
              <w:pStyle w:val="TableParagraph"/>
              <w:spacing w:line="206" w:lineRule="exact"/>
              <w:ind w:left="219" w:right="289"/>
              <w:rPr>
                <w:sz w:val="18"/>
              </w:rPr>
            </w:pPr>
            <w:r>
              <w:rPr>
                <w:sz w:val="18"/>
              </w:rPr>
              <w:t>44.8</w:t>
            </w:r>
          </w:p>
        </w:tc>
        <w:tc>
          <w:tcPr>
            <w:tcW w:w="1245" w:type="dxa"/>
            <w:tcBorders>
              <w:left w:val="nil"/>
            </w:tcBorders>
          </w:tcPr>
          <w:p>
            <w:pPr>
              <w:pStyle w:val="TableParagraph"/>
              <w:spacing w:line="206" w:lineRule="exact"/>
              <w:ind w:left="290" w:right="273"/>
              <w:rPr>
                <w:sz w:val="18"/>
              </w:rPr>
            </w:pPr>
            <w:r>
              <w:rPr>
                <w:sz w:val="18"/>
              </w:rPr>
              <w:t>65.3</w:t>
            </w:r>
          </w:p>
        </w:tc>
      </w:tr>
      <w:tr>
        <w:trPr>
          <w:trHeight w:val="250" w:hRule="exact"/>
        </w:trPr>
        <w:tc>
          <w:tcPr>
            <w:tcW w:w="1626" w:type="dxa"/>
            <w:tcBorders>
              <w:right w:val="nil"/>
            </w:tcBorders>
          </w:tcPr>
          <w:p>
            <w:pPr>
              <w:pStyle w:val="TableParagraph"/>
              <w:spacing w:line="201" w:lineRule="exact"/>
              <w:ind w:right="428"/>
              <w:jc w:val="left"/>
              <w:rPr>
                <w:b/>
                <w:sz w:val="18"/>
              </w:rPr>
            </w:pPr>
            <w:r>
              <w:rPr>
                <w:b/>
                <w:sz w:val="18"/>
              </w:rPr>
              <w:t>Ecatepec</w:t>
            </w:r>
          </w:p>
        </w:tc>
        <w:tc>
          <w:tcPr>
            <w:tcW w:w="1060" w:type="dxa"/>
            <w:tcBorders>
              <w:left w:val="nil"/>
              <w:right w:val="nil"/>
            </w:tcBorders>
          </w:tcPr>
          <w:p>
            <w:pPr>
              <w:pStyle w:val="TableParagraph"/>
              <w:spacing w:line="206" w:lineRule="exact"/>
              <w:ind w:left="0" w:right="338"/>
              <w:jc w:val="right"/>
              <w:rPr>
                <w:sz w:val="18"/>
              </w:rPr>
            </w:pPr>
            <w:r>
              <w:rPr>
                <w:w w:val="95"/>
                <w:sz w:val="18"/>
              </w:rPr>
              <w:t>55.7</w:t>
            </w:r>
          </w:p>
        </w:tc>
        <w:tc>
          <w:tcPr>
            <w:tcW w:w="1378" w:type="dxa"/>
            <w:tcBorders>
              <w:left w:val="nil"/>
              <w:right w:val="nil"/>
            </w:tcBorders>
          </w:tcPr>
          <w:p>
            <w:pPr>
              <w:pStyle w:val="TableParagraph"/>
              <w:spacing w:line="206" w:lineRule="exact"/>
              <w:ind w:left="569" w:right="516"/>
              <w:rPr>
                <w:sz w:val="18"/>
              </w:rPr>
            </w:pPr>
            <w:r>
              <w:rPr>
                <w:sz w:val="18"/>
              </w:rPr>
              <w:t>0.0</w:t>
            </w:r>
          </w:p>
        </w:tc>
        <w:tc>
          <w:tcPr>
            <w:tcW w:w="1132" w:type="dxa"/>
            <w:tcBorders>
              <w:left w:val="nil"/>
              <w:right w:val="nil"/>
            </w:tcBorders>
          </w:tcPr>
          <w:p>
            <w:pPr>
              <w:pStyle w:val="TableParagraph"/>
              <w:spacing w:line="206" w:lineRule="exact"/>
              <w:ind w:left="195" w:right="185"/>
              <w:rPr>
                <w:sz w:val="18"/>
              </w:rPr>
            </w:pPr>
            <w:r>
              <w:rPr>
                <w:sz w:val="18"/>
              </w:rPr>
              <w:t>0.0</w:t>
            </w:r>
          </w:p>
        </w:tc>
        <w:tc>
          <w:tcPr>
            <w:tcW w:w="1603" w:type="dxa"/>
            <w:tcBorders>
              <w:left w:val="nil"/>
              <w:right w:val="nil"/>
            </w:tcBorders>
          </w:tcPr>
          <w:p>
            <w:pPr>
              <w:pStyle w:val="TableParagraph"/>
              <w:spacing w:line="206" w:lineRule="exact"/>
              <w:ind w:left="0" w:right="25"/>
              <w:rPr>
                <w:sz w:val="18"/>
              </w:rPr>
            </w:pPr>
            <w:r>
              <w:rPr>
                <w:w w:val="99"/>
                <w:sz w:val="18"/>
              </w:rPr>
              <w:t>0</w:t>
            </w:r>
          </w:p>
        </w:tc>
        <w:tc>
          <w:tcPr>
            <w:tcW w:w="1139" w:type="dxa"/>
            <w:tcBorders>
              <w:left w:val="nil"/>
              <w:right w:val="nil"/>
            </w:tcBorders>
          </w:tcPr>
          <w:p>
            <w:pPr>
              <w:pStyle w:val="TableParagraph"/>
              <w:spacing w:line="206" w:lineRule="exact"/>
              <w:ind w:left="219" w:right="289"/>
              <w:rPr>
                <w:sz w:val="18"/>
              </w:rPr>
            </w:pPr>
            <w:r>
              <w:rPr>
                <w:sz w:val="18"/>
              </w:rPr>
              <w:t>55.7</w:t>
            </w:r>
          </w:p>
        </w:tc>
        <w:tc>
          <w:tcPr>
            <w:tcW w:w="1245" w:type="dxa"/>
            <w:tcBorders>
              <w:left w:val="nil"/>
            </w:tcBorders>
          </w:tcPr>
          <w:p>
            <w:pPr>
              <w:pStyle w:val="TableParagraph"/>
              <w:spacing w:line="206" w:lineRule="exact"/>
              <w:ind w:left="290" w:right="273"/>
              <w:rPr>
                <w:sz w:val="18"/>
              </w:rPr>
            </w:pPr>
            <w:r>
              <w:rPr>
                <w:sz w:val="18"/>
              </w:rPr>
              <w:t>55.7</w:t>
            </w:r>
          </w:p>
        </w:tc>
      </w:tr>
      <w:tr>
        <w:trPr>
          <w:trHeight w:val="247" w:hRule="exact"/>
        </w:trPr>
        <w:tc>
          <w:tcPr>
            <w:tcW w:w="1626" w:type="dxa"/>
            <w:tcBorders>
              <w:right w:val="nil"/>
            </w:tcBorders>
          </w:tcPr>
          <w:p>
            <w:pPr>
              <w:pStyle w:val="TableParagraph"/>
              <w:spacing w:line="201" w:lineRule="exact"/>
              <w:ind w:right="428"/>
              <w:jc w:val="left"/>
              <w:rPr>
                <w:b/>
                <w:sz w:val="18"/>
              </w:rPr>
            </w:pPr>
            <w:r>
              <w:rPr>
                <w:b/>
                <w:sz w:val="18"/>
              </w:rPr>
              <w:t>Guadalajara</w:t>
            </w:r>
          </w:p>
        </w:tc>
        <w:tc>
          <w:tcPr>
            <w:tcW w:w="1060" w:type="dxa"/>
            <w:tcBorders>
              <w:left w:val="nil"/>
              <w:right w:val="nil"/>
            </w:tcBorders>
          </w:tcPr>
          <w:p>
            <w:pPr>
              <w:pStyle w:val="TableParagraph"/>
              <w:spacing w:line="206" w:lineRule="exact"/>
              <w:ind w:left="0" w:right="338"/>
              <w:jc w:val="right"/>
              <w:rPr>
                <w:sz w:val="18"/>
              </w:rPr>
            </w:pPr>
            <w:r>
              <w:rPr>
                <w:w w:val="95"/>
                <w:sz w:val="18"/>
              </w:rPr>
              <w:t>54.4</w:t>
            </w:r>
          </w:p>
        </w:tc>
        <w:tc>
          <w:tcPr>
            <w:tcW w:w="1378" w:type="dxa"/>
            <w:tcBorders>
              <w:left w:val="nil"/>
              <w:right w:val="nil"/>
            </w:tcBorders>
          </w:tcPr>
          <w:p>
            <w:pPr>
              <w:pStyle w:val="TableParagraph"/>
              <w:spacing w:line="206" w:lineRule="exact"/>
              <w:ind w:left="569" w:right="516"/>
              <w:rPr>
                <w:sz w:val="18"/>
              </w:rPr>
            </w:pPr>
            <w:r>
              <w:rPr>
                <w:sz w:val="18"/>
              </w:rPr>
              <w:t>0.0</w:t>
            </w:r>
          </w:p>
        </w:tc>
        <w:tc>
          <w:tcPr>
            <w:tcW w:w="1132" w:type="dxa"/>
            <w:tcBorders>
              <w:left w:val="nil"/>
              <w:right w:val="nil"/>
            </w:tcBorders>
          </w:tcPr>
          <w:p>
            <w:pPr>
              <w:pStyle w:val="TableParagraph"/>
              <w:spacing w:line="206" w:lineRule="exact"/>
              <w:ind w:left="195" w:right="185"/>
              <w:rPr>
                <w:sz w:val="18"/>
              </w:rPr>
            </w:pPr>
            <w:r>
              <w:rPr>
                <w:sz w:val="18"/>
              </w:rPr>
              <w:t>0.0</w:t>
            </w:r>
          </w:p>
        </w:tc>
        <w:tc>
          <w:tcPr>
            <w:tcW w:w="1603" w:type="dxa"/>
            <w:tcBorders>
              <w:left w:val="nil"/>
              <w:right w:val="nil"/>
            </w:tcBorders>
          </w:tcPr>
          <w:p>
            <w:pPr>
              <w:pStyle w:val="TableParagraph"/>
              <w:spacing w:line="206" w:lineRule="exact"/>
              <w:ind w:left="0" w:right="25"/>
              <w:rPr>
                <w:sz w:val="18"/>
              </w:rPr>
            </w:pPr>
            <w:r>
              <w:rPr>
                <w:w w:val="99"/>
                <w:sz w:val="18"/>
              </w:rPr>
              <w:t>0</w:t>
            </w:r>
          </w:p>
        </w:tc>
        <w:tc>
          <w:tcPr>
            <w:tcW w:w="1139" w:type="dxa"/>
            <w:tcBorders>
              <w:left w:val="nil"/>
              <w:right w:val="nil"/>
            </w:tcBorders>
          </w:tcPr>
          <w:p>
            <w:pPr>
              <w:pStyle w:val="TableParagraph"/>
              <w:spacing w:line="206" w:lineRule="exact"/>
              <w:ind w:left="219" w:right="289"/>
              <w:rPr>
                <w:sz w:val="18"/>
              </w:rPr>
            </w:pPr>
            <w:r>
              <w:rPr>
                <w:sz w:val="18"/>
              </w:rPr>
              <w:t>54.4</w:t>
            </w:r>
          </w:p>
        </w:tc>
        <w:tc>
          <w:tcPr>
            <w:tcW w:w="1245" w:type="dxa"/>
            <w:tcBorders>
              <w:left w:val="nil"/>
            </w:tcBorders>
          </w:tcPr>
          <w:p>
            <w:pPr>
              <w:pStyle w:val="TableParagraph"/>
              <w:spacing w:line="206" w:lineRule="exact"/>
              <w:ind w:left="290" w:right="273"/>
              <w:rPr>
                <w:sz w:val="18"/>
              </w:rPr>
            </w:pPr>
            <w:r>
              <w:rPr>
                <w:sz w:val="18"/>
              </w:rPr>
              <w:t>54.4</w:t>
            </w:r>
          </w:p>
        </w:tc>
      </w:tr>
      <w:tr>
        <w:trPr>
          <w:trHeight w:val="247" w:hRule="exact"/>
        </w:trPr>
        <w:tc>
          <w:tcPr>
            <w:tcW w:w="1626" w:type="dxa"/>
            <w:tcBorders>
              <w:right w:val="nil"/>
            </w:tcBorders>
          </w:tcPr>
          <w:p>
            <w:pPr>
              <w:pStyle w:val="TableParagraph"/>
              <w:spacing w:line="201" w:lineRule="exact"/>
              <w:ind w:right="428"/>
              <w:jc w:val="left"/>
              <w:rPr>
                <w:b/>
                <w:sz w:val="18"/>
              </w:rPr>
            </w:pPr>
            <w:r>
              <w:rPr>
                <w:b/>
                <w:sz w:val="18"/>
              </w:rPr>
              <w:t>Ixtlahuaca</w:t>
            </w:r>
          </w:p>
        </w:tc>
        <w:tc>
          <w:tcPr>
            <w:tcW w:w="1060" w:type="dxa"/>
            <w:tcBorders>
              <w:left w:val="nil"/>
              <w:right w:val="nil"/>
            </w:tcBorders>
          </w:tcPr>
          <w:p>
            <w:pPr>
              <w:pStyle w:val="TableParagraph"/>
              <w:spacing w:line="206" w:lineRule="exact"/>
              <w:ind w:left="0" w:right="338"/>
              <w:jc w:val="right"/>
              <w:rPr>
                <w:sz w:val="18"/>
              </w:rPr>
            </w:pPr>
            <w:r>
              <w:rPr>
                <w:w w:val="95"/>
                <w:sz w:val="18"/>
              </w:rPr>
              <w:t>52.5</w:t>
            </w:r>
          </w:p>
        </w:tc>
        <w:tc>
          <w:tcPr>
            <w:tcW w:w="1378" w:type="dxa"/>
            <w:tcBorders>
              <w:left w:val="nil"/>
              <w:right w:val="nil"/>
            </w:tcBorders>
          </w:tcPr>
          <w:p>
            <w:pPr>
              <w:pStyle w:val="TableParagraph"/>
              <w:spacing w:line="206" w:lineRule="exact"/>
              <w:ind w:left="569" w:right="516"/>
              <w:rPr>
                <w:sz w:val="18"/>
              </w:rPr>
            </w:pPr>
            <w:r>
              <w:rPr>
                <w:sz w:val="18"/>
              </w:rPr>
              <w:t>8.6</w:t>
            </w:r>
          </w:p>
        </w:tc>
        <w:tc>
          <w:tcPr>
            <w:tcW w:w="1132" w:type="dxa"/>
            <w:tcBorders>
              <w:left w:val="nil"/>
              <w:right w:val="nil"/>
            </w:tcBorders>
          </w:tcPr>
          <w:p>
            <w:pPr>
              <w:pStyle w:val="TableParagraph"/>
              <w:spacing w:line="206" w:lineRule="exact"/>
              <w:ind w:left="195" w:right="185"/>
              <w:rPr>
                <w:sz w:val="18"/>
              </w:rPr>
            </w:pPr>
            <w:r>
              <w:rPr>
                <w:sz w:val="18"/>
              </w:rPr>
              <w:t>73.23</w:t>
            </w:r>
          </w:p>
        </w:tc>
        <w:tc>
          <w:tcPr>
            <w:tcW w:w="1603" w:type="dxa"/>
            <w:tcBorders>
              <w:left w:val="nil"/>
              <w:right w:val="nil"/>
            </w:tcBorders>
          </w:tcPr>
          <w:p>
            <w:pPr>
              <w:pStyle w:val="TableParagraph"/>
              <w:spacing w:line="206" w:lineRule="exact"/>
              <w:ind w:left="592" w:right="617"/>
              <w:rPr>
                <w:sz w:val="18"/>
              </w:rPr>
            </w:pPr>
            <w:r>
              <w:rPr>
                <w:sz w:val="18"/>
              </w:rPr>
              <w:t>16.3</w:t>
            </w:r>
          </w:p>
        </w:tc>
        <w:tc>
          <w:tcPr>
            <w:tcW w:w="1139" w:type="dxa"/>
            <w:tcBorders>
              <w:left w:val="nil"/>
              <w:right w:val="nil"/>
            </w:tcBorders>
          </w:tcPr>
          <w:p>
            <w:pPr>
              <w:pStyle w:val="TableParagraph"/>
              <w:spacing w:line="206" w:lineRule="exact"/>
              <w:ind w:left="219" w:right="289"/>
              <w:rPr>
                <w:sz w:val="18"/>
              </w:rPr>
            </w:pPr>
            <w:r>
              <w:rPr>
                <w:sz w:val="18"/>
              </w:rPr>
              <w:t>43.2</w:t>
            </w:r>
          </w:p>
        </w:tc>
        <w:tc>
          <w:tcPr>
            <w:tcW w:w="1245" w:type="dxa"/>
            <w:tcBorders>
              <w:left w:val="nil"/>
            </w:tcBorders>
          </w:tcPr>
          <w:p>
            <w:pPr>
              <w:pStyle w:val="TableParagraph"/>
              <w:spacing w:line="206" w:lineRule="exact"/>
              <w:ind w:left="290" w:right="274"/>
              <w:rPr>
                <w:sz w:val="18"/>
              </w:rPr>
            </w:pPr>
            <w:r>
              <w:rPr>
                <w:sz w:val="18"/>
              </w:rPr>
              <w:t>68</w:t>
            </w:r>
          </w:p>
        </w:tc>
      </w:tr>
      <w:tr>
        <w:trPr>
          <w:trHeight w:val="250" w:hRule="exact"/>
        </w:trPr>
        <w:tc>
          <w:tcPr>
            <w:tcW w:w="1626" w:type="dxa"/>
            <w:tcBorders>
              <w:right w:val="nil"/>
            </w:tcBorders>
          </w:tcPr>
          <w:p>
            <w:pPr>
              <w:pStyle w:val="TableParagraph"/>
              <w:spacing w:line="201" w:lineRule="exact"/>
              <w:ind w:right="428"/>
              <w:jc w:val="left"/>
              <w:rPr>
                <w:b/>
                <w:sz w:val="18"/>
              </w:rPr>
            </w:pPr>
            <w:r>
              <w:rPr>
                <w:b/>
                <w:sz w:val="18"/>
              </w:rPr>
              <w:t>Metepec</w:t>
            </w:r>
          </w:p>
        </w:tc>
        <w:tc>
          <w:tcPr>
            <w:tcW w:w="1060" w:type="dxa"/>
            <w:tcBorders>
              <w:left w:val="nil"/>
              <w:right w:val="nil"/>
            </w:tcBorders>
          </w:tcPr>
          <w:p>
            <w:pPr>
              <w:pStyle w:val="TableParagraph"/>
              <w:spacing w:line="206" w:lineRule="exact"/>
              <w:ind w:left="425" w:right="394"/>
              <w:rPr>
                <w:sz w:val="18"/>
              </w:rPr>
            </w:pPr>
            <w:r>
              <w:rPr>
                <w:sz w:val="18"/>
              </w:rPr>
              <w:t>50</w:t>
            </w:r>
          </w:p>
        </w:tc>
        <w:tc>
          <w:tcPr>
            <w:tcW w:w="1378" w:type="dxa"/>
            <w:tcBorders>
              <w:left w:val="nil"/>
              <w:right w:val="nil"/>
            </w:tcBorders>
          </w:tcPr>
          <w:p>
            <w:pPr>
              <w:pStyle w:val="TableParagraph"/>
              <w:spacing w:line="206" w:lineRule="exact"/>
              <w:ind w:left="569" w:right="516"/>
              <w:rPr>
                <w:sz w:val="18"/>
              </w:rPr>
            </w:pPr>
            <w:r>
              <w:rPr>
                <w:sz w:val="18"/>
              </w:rPr>
              <w:t>0.0</w:t>
            </w:r>
          </w:p>
        </w:tc>
        <w:tc>
          <w:tcPr>
            <w:tcW w:w="1132" w:type="dxa"/>
            <w:tcBorders>
              <w:left w:val="nil"/>
              <w:right w:val="nil"/>
            </w:tcBorders>
          </w:tcPr>
          <w:p>
            <w:pPr>
              <w:pStyle w:val="TableParagraph"/>
              <w:spacing w:line="206" w:lineRule="exact"/>
              <w:ind w:left="195" w:right="185"/>
              <w:rPr>
                <w:sz w:val="18"/>
              </w:rPr>
            </w:pPr>
            <w:r>
              <w:rPr>
                <w:sz w:val="18"/>
              </w:rPr>
              <w:t>0.0</w:t>
            </w:r>
          </w:p>
        </w:tc>
        <w:tc>
          <w:tcPr>
            <w:tcW w:w="1603" w:type="dxa"/>
            <w:tcBorders>
              <w:left w:val="nil"/>
              <w:right w:val="nil"/>
            </w:tcBorders>
          </w:tcPr>
          <w:p>
            <w:pPr>
              <w:pStyle w:val="TableParagraph"/>
              <w:spacing w:line="206" w:lineRule="exact"/>
              <w:ind w:left="0" w:right="25"/>
              <w:rPr>
                <w:sz w:val="18"/>
              </w:rPr>
            </w:pPr>
            <w:r>
              <w:rPr>
                <w:w w:val="99"/>
                <w:sz w:val="18"/>
              </w:rPr>
              <w:t>0</w:t>
            </w:r>
          </w:p>
        </w:tc>
        <w:tc>
          <w:tcPr>
            <w:tcW w:w="1139" w:type="dxa"/>
            <w:tcBorders>
              <w:left w:val="nil"/>
              <w:right w:val="nil"/>
            </w:tcBorders>
          </w:tcPr>
          <w:p>
            <w:pPr>
              <w:pStyle w:val="TableParagraph"/>
              <w:spacing w:line="206" w:lineRule="exact"/>
              <w:ind w:left="219" w:right="284"/>
              <w:rPr>
                <w:sz w:val="18"/>
              </w:rPr>
            </w:pPr>
            <w:r>
              <w:rPr>
                <w:sz w:val="18"/>
              </w:rPr>
              <w:t>50</w:t>
            </w:r>
          </w:p>
        </w:tc>
        <w:tc>
          <w:tcPr>
            <w:tcW w:w="1245" w:type="dxa"/>
            <w:tcBorders>
              <w:left w:val="nil"/>
            </w:tcBorders>
          </w:tcPr>
          <w:p>
            <w:pPr>
              <w:pStyle w:val="TableParagraph"/>
              <w:spacing w:line="206" w:lineRule="exact"/>
              <w:ind w:left="290" w:right="274"/>
              <w:rPr>
                <w:sz w:val="18"/>
              </w:rPr>
            </w:pPr>
            <w:r>
              <w:rPr>
                <w:sz w:val="18"/>
              </w:rPr>
              <w:t>50</w:t>
            </w:r>
          </w:p>
        </w:tc>
      </w:tr>
      <w:tr>
        <w:trPr>
          <w:trHeight w:val="485" w:hRule="exact"/>
        </w:trPr>
        <w:tc>
          <w:tcPr>
            <w:tcW w:w="1626" w:type="dxa"/>
            <w:tcBorders>
              <w:right w:val="nil"/>
            </w:tcBorders>
          </w:tcPr>
          <w:p>
            <w:pPr>
              <w:pStyle w:val="TableParagraph"/>
              <w:spacing w:line="276" w:lineRule="auto"/>
              <w:ind w:right="598"/>
              <w:jc w:val="left"/>
              <w:rPr>
                <w:b/>
                <w:sz w:val="18"/>
              </w:rPr>
            </w:pPr>
            <w:r>
              <w:rPr>
                <w:b/>
                <w:sz w:val="18"/>
              </w:rPr>
              <w:t>San Mateo Atenco</w:t>
            </w:r>
          </w:p>
        </w:tc>
        <w:tc>
          <w:tcPr>
            <w:tcW w:w="1060" w:type="dxa"/>
            <w:tcBorders>
              <w:left w:val="nil"/>
              <w:right w:val="nil"/>
            </w:tcBorders>
          </w:tcPr>
          <w:p>
            <w:pPr>
              <w:pStyle w:val="TableParagraph"/>
              <w:spacing w:line="207" w:lineRule="exact"/>
              <w:ind w:left="0" w:right="338"/>
              <w:jc w:val="right"/>
              <w:rPr>
                <w:sz w:val="18"/>
              </w:rPr>
            </w:pPr>
            <w:r>
              <w:rPr>
                <w:w w:val="95"/>
                <w:sz w:val="18"/>
              </w:rPr>
              <w:t>53.7</w:t>
            </w:r>
          </w:p>
        </w:tc>
        <w:tc>
          <w:tcPr>
            <w:tcW w:w="1378" w:type="dxa"/>
            <w:tcBorders>
              <w:left w:val="nil"/>
              <w:right w:val="nil"/>
            </w:tcBorders>
          </w:tcPr>
          <w:p>
            <w:pPr>
              <w:pStyle w:val="TableParagraph"/>
              <w:spacing w:line="207" w:lineRule="exact"/>
              <w:ind w:left="569" w:right="516"/>
              <w:rPr>
                <w:sz w:val="18"/>
              </w:rPr>
            </w:pPr>
            <w:r>
              <w:rPr>
                <w:sz w:val="18"/>
              </w:rPr>
              <w:t>0.0</w:t>
            </w:r>
          </w:p>
        </w:tc>
        <w:tc>
          <w:tcPr>
            <w:tcW w:w="1132" w:type="dxa"/>
            <w:tcBorders>
              <w:left w:val="nil"/>
              <w:right w:val="nil"/>
            </w:tcBorders>
          </w:tcPr>
          <w:p>
            <w:pPr>
              <w:pStyle w:val="TableParagraph"/>
              <w:spacing w:line="207" w:lineRule="exact"/>
              <w:ind w:left="195" w:right="185"/>
              <w:rPr>
                <w:sz w:val="18"/>
              </w:rPr>
            </w:pPr>
            <w:r>
              <w:rPr>
                <w:sz w:val="18"/>
              </w:rPr>
              <w:t>0.0</w:t>
            </w:r>
          </w:p>
        </w:tc>
        <w:tc>
          <w:tcPr>
            <w:tcW w:w="1603" w:type="dxa"/>
            <w:tcBorders>
              <w:left w:val="nil"/>
              <w:right w:val="nil"/>
            </w:tcBorders>
          </w:tcPr>
          <w:p>
            <w:pPr>
              <w:pStyle w:val="TableParagraph"/>
              <w:spacing w:line="207" w:lineRule="exact"/>
              <w:ind w:left="0" w:right="25"/>
              <w:rPr>
                <w:sz w:val="18"/>
              </w:rPr>
            </w:pPr>
            <w:r>
              <w:rPr>
                <w:w w:val="99"/>
                <w:sz w:val="18"/>
              </w:rPr>
              <w:t>0</w:t>
            </w:r>
          </w:p>
        </w:tc>
        <w:tc>
          <w:tcPr>
            <w:tcW w:w="1139" w:type="dxa"/>
            <w:tcBorders>
              <w:left w:val="nil"/>
              <w:right w:val="nil"/>
            </w:tcBorders>
          </w:tcPr>
          <w:p>
            <w:pPr>
              <w:pStyle w:val="TableParagraph"/>
              <w:spacing w:line="207" w:lineRule="exact"/>
              <w:ind w:left="219" w:right="289"/>
              <w:rPr>
                <w:sz w:val="18"/>
              </w:rPr>
            </w:pPr>
            <w:r>
              <w:rPr>
                <w:sz w:val="18"/>
              </w:rPr>
              <w:t>53.7</w:t>
            </w:r>
          </w:p>
        </w:tc>
        <w:tc>
          <w:tcPr>
            <w:tcW w:w="1245" w:type="dxa"/>
            <w:tcBorders>
              <w:left w:val="nil"/>
            </w:tcBorders>
          </w:tcPr>
          <w:p>
            <w:pPr>
              <w:pStyle w:val="TableParagraph"/>
              <w:spacing w:line="207" w:lineRule="exact"/>
              <w:ind w:left="290" w:right="273"/>
              <w:rPr>
                <w:sz w:val="18"/>
              </w:rPr>
            </w:pPr>
            <w:r>
              <w:rPr>
                <w:sz w:val="18"/>
              </w:rPr>
              <w:t>53.7</w:t>
            </w:r>
          </w:p>
        </w:tc>
      </w:tr>
      <w:tr>
        <w:trPr>
          <w:trHeight w:val="247" w:hRule="exact"/>
        </w:trPr>
        <w:tc>
          <w:tcPr>
            <w:tcW w:w="1626" w:type="dxa"/>
            <w:tcBorders>
              <w:right w:val="nil"/>
            </w:tcBorders>
          </w:tcPr>
          <w:p>
            <w:pPr>
              <w:pStyle w:val="TableParagraph"/>
              <w:spacing w:line="201" w:lineRule="exact"/>
              <w:ind w:right="428"/>
              <w:jc w:val="left"/>
              <w:rPr>
                <w:b/>
                <w:sz w:val="18"/>
              </w:rPr>
            </w:pPr>
            <w:r>
              <w:rPr>
                <w:b/>
                <w:sz w:val="18"/>
              </w:rPr>
              <w:t>Texcatitlán</w:t>
            </w:r>
          </w:p>
        </w:tc>
        <w:tc>
          <w:tcPr>
            <w:tcW w:w="1060" w:type="dxa"/>
            <w:tcBorders>
              <w:left w:val="nil"/>
              <w:right w:val="nil"/>
            </w:tcBorders>
          </w:tcPr>
          <w:p>
            <w:pPr>
              <w:pStyle w:val="TableParagraph"/>
              <w:spacing w:line="206" w:lineRule="exact"/>
              <w:ind w:left="0" w:right="338"/>
              <w:jc w:val="right"/>
              <w:rPr>
                <w:sz w:val="18"/>
              </w:rPr>
            </w:pPr>
            <w:r>
              <w:rPr>
                <w:w w:val="95"/>
                <w:sz w:val="18"/>
              </w:rPr>
              <w:t>48.2</w:t>
            </w:r>
          </w:p>
        </w:tc>
        <w:tc>
          <w:tcPr>
            <w:tcW w:w="1378" w:type="dxa"/>
            <w:tcBorders>
              <w:left w:val="nil"/>
              <w:right w:val="nil"/>
            </w:tcBorders>
          </w:tcPr>
          <w:p>
            <w:pPr>
              <w:pStyle w:val="TableParagraph"/>
              <w:spacing w:line="206" w:lineRule="exact"/>
              <w:ind w:left="569" w:right="516"/>
              <w:rPr>
                <w:sz w:val="18"/>
              </w:rPr>
            </w:pPr>
            <w:r>
              <w:rPr>
                <w:sz w:val="18"/>
              </w:rPr>
              <w:t>0.6</w:t>
            </w:r>
          </w:p>
        </w:tc>
        <w:tc>
          <w:tcPr>
            <w:tcW w:w="1132" w:type="dxa"/>
            <w:tcBorders>
              <w:left w:val="nil"/>
              <w:right w:val="nil"/>
            </w:tcBorders>
          </w:tcPr>
          <w:p>
            <w:pPr>
              <w:pStyle w:val="TableParagraph"/>
              <w:spacing w:line="206" w:lineRule="exact"/>
              <w:ind w:left="195" w:right="184"/>
              <w:rPr>
                <w:sz w:val="18"/>
              </w:rPr>
            </w:pPr>
            <w:r>
              <w:rPr>
                <w:sz w:val="18"/>
              </w:rPr>
              <w:t>0.35</w:t>
            </w:r>
          </w:p>
        </w:tc>
        <w:tc>
          <w:tcPr>
            <w:tcW w:w="1603" w:type="dxa"/>
            <w:tcBorders>
              <w:left w:val="nil"/>
              <w:right w:val="nil"/>
            </w:tcBorders>
          </w:tcPr>
          <w:p>
            <w:pPr>
              <w:pStyle w:val="TableParagraph"/>
              <w:spacing w:line="206" w:lineRule="exact"/>
              <w:ind w:left="593" w:right="616"/>
              <w:rPr>
                <w:sz w:val="18"/>
              </w:rPr>
            </w:pPr>
            <w:r>
              <w:rPr>
                <w:sz w:val="18"/>
              </w:rPr>
              <w:t>1.23</w:t>
            </w:r>
          </w:p>
        </w:tc>
        <w:tc>
          <w:tcPr>
            <w:tcW w:w="1139" w:type="dxa"/>
            <w:tcBorders>
              <w:left w:val="nil"/>
              <w:right w:val="nil"/>
            </w:tcBorders>
          </w:tcPr>
          <w:p>
            <w:pPr>
              <w:pStyle w:val="TableParagraph"/>
              <w:spacing w:line="206" w:lineRule="exact"/>
              <w:ind w:left="219" w:right="289"/>
              <w:rPr>
                <w:sz w:val="18"/>
              </w:rPr>
            </w:pPr>
            <w:r>
              <w:rPr>
                <w:sz w:val="18"/>
              </w:rPr>
              <w:t>47.8</w:t>
            </w:r>
          </w:p>
        </w:tc>
        <w:tc>
          <w:tcPr>
            <w:tcW w:w="1245" w:type="dxa"/>
            <w:tcBorders>
              <w:left w:val="nil"/>
            </w:tcBorders>
          </w:tcPr>
          <w:p>
            <w:pPr>
              <w:pStyle w:val="TableParagraph"/>
              <w:spacing w:line="206" w:lineRule="exact"/>
              <w:ind w:left="290" w:right="273"/>
              <w:rPr>
                <w:sz w:val="18"/>
              </w:rPr>
            </w:pPr>
            <w:r>
              <w:rPr>
                <w:sz w:val="18"/>
              </w:rPr>
              <w:t>48.6</w:t>
            </w:r>
          </w:p>
        </w:tc>
      </w:tr>
      <w:tr>
        <w:trPr>
          <w:trHeight w:val="250" w:hRule="exact"/>
        </w:trPr>
        <w:tc>
          <w:tcPr>
            <w:tcW w:w="1626" w:type="dxa"/>
            <w:tcBorders>
              <w:right w:val="nil"/>
            </w:tcBorders>
          </w:tcPr>
          <w:p>
            <w:pPr>
              <w:pStyle w:val="TableParagraph"/>
              <w:spacing w:line="204" w:lineRule="exact"/>
              <w:ind w:right="428"/>
              <w:jc w:val="left"/>
              <w:rPr>
                <w:b/>
                <w:sz w:val="18"/>
              </w:rPr>
            </w:pPr>
            <w:r>
              <w:rPr>
                <w:b/>
                <w:sz w:val="18"/>
              </w:rPr>
              <w:t>Toluca</w:t>
            </w:r>
          </w:p>
        </w:tc>
        <w:tc>
          <w:tcPr>
            <w:tcW w:w="1060" w:type="dxa"/>
            <w:tcBorders>
              <w:left w:val="nil"/>
              <w:right w:val="nil"/>
            </w:tcBorders>
          </w:tcPr>
          <w:p>
            <w:pPr>
              <w:pStyle w:val="TableParagraph"/>
              <w:spacing w:before="1"/>
              <w:ind w:left="0" w:right="338"/>
              <w:jc w:val="right"/>
              <w:rPr>
                <w:sz w:val="18"/>
              </w:rPr>
            </w:pPr>
            <w:r>
              <w:rPr>
                <w:w w:val="95"/>
                <w:sz w:val="18"/>
              </w:rPr>
              <w:t>51.6</w:t>
            </w:r>
          </w:p>
        </w:tc>
        <w:tc>
          <w:tcPr>
            <w:tcW w:w="1378" w:type="dxa"/>
            <w:tcBorders>
              <w:left w:val="nil"/>
              <w:right w:val="nil"/>
            </w:tcBorders>
          </w:tcPr>
          <w:p>
            <w:pPr>
              <w:pStyle w:val="TableParagraph"/>
              <w:spacing w:before="1"/>
              <w:ind w:left="569" w:right="516"/>
              <w:rPr>
                <w:sz w:val="18"/>
              </w:rPr>
            </w:pPr>
            <w:r>
              <w:rPr>
                <w:sz w:val="18"/>
              </w:rPr>
              <w:t>6.2</w:t>
            </w:r>
          </w:p>
        </w:tc>
        <w:tc>
          <w:tcPr>
            <w:tcW w:w="1132" w:type="dxa"/>
            <w:tcBorders>
              <w:left w:val="nil"/>
              <w:right w:val="nil"/>
            </w:tcBorders>
          </w:tcPr>
          <w:p>
            <w:pPr>
              <w:pStyle w:val="TableParagraph"/>
              <w:spacing w:before="1"/>
              <w:ind w:left="195" w:right="185"/>
              <w:rPr>
                <w:sz w:val="18"/>
              </w:rPr>
            </w:pPr>
            <w:r>
              <w:rPr>
                <w:sz w:val="18"/>
              </w:rPr>
              <w:t>38.81</w:t>
            </w:r>
          </w:p>
        </w:tc>
        <w:tc>
          <w:tcPr>
            <w:tcW w:w="1603" w:type="dxa"/>
            <w:tcBorders>
              <w:left w:val="nil"/>
              <w:right w:val="nil"/>
            </w:tcBorders>
          </w:tcPr>
          <w:p>
            <w:pPr>
              <w:pStyle w:val="TableParagraph"/>
              <w:spacing w:before="1"/>
              <w:ind w:left="593" w:right="613"/>
              <w:rPr>
                <w:sz w:val="18"/>
              </w:rPr>
            </w:pPr>
            <w:r>
              <w:rPr>
                <w:sz w:val="18"/>
              </w:rPr>
              <w:t>12</w:t>
            </w:r>
          </w:p>
        </w:tc>
        <w:tc>
          <w:tcPr>
            <w:tcW w:w="1139" w:type="dxa"/>
            <w:tcBorders>
              <w:left w:val="nil"/>
              <w:right w:val="nil"/>
            </w:tcBorders>
          </w:tcPr>
          <w:p>
            <w:pPr>
              <w:pStyle w:val="TableParagraph"/>
              <w:spacing w:before="1"/>
              <w:ind w:left="219" w:right="289"/>
              <w:rPr>
                <w:sz w:val="18"/>
              </w:rPr>
            </w:pPr>
            <w:r>
              <w:rPr>
                <w:sz w:val="18"/>
              </w:rPr>
              <w:t>45.7</w:t>
            </w:r>
          </w:p>
        </w:tc>
        <w:tc>
          <w:tcPr>
            <w:tcW w:w="1245" w:type="dxa"/>
            <w:tcBorders>
              <w:left w:val="nil"/>
            </w:tcBorders>
          </w:tcPr>
          <w:p>
            <w:pPr>
              <w:pStyle w:val="TableParagraph"/>
              <w:spacing w:before="1"/>
              <w:ind w:left="290" w:right="273"/>
              <w:rPr>
                <w:sz w:val="18"/>
              </w:rPr>
            </w:pPr>
            <w:r>
              <w:rPr>
                <w:sz w:val="18"/>
              </w:rPr>
              <w:t>62.2</w:t>
            </w:r>
          </w:p>
        </w:tc>
      </w:tr>
      <w:tr>
        <w:trPr>
          <w:trHeight w:val="247" w:hRule="exact"/>
        </w:trPr>
        <w:tc>
          <w:tcPr>
            <w:tcW w:w="1626" w:type="dxa"/>
            <w:tcBorders>
              <w:right w:val="nil"/>
            </w:tcBorders>
          </w:tcPr>
          <w:p>
            <w:pPr>
              <w:pStyle w:val="TableParagraph"/>
              <w:spacing w:line="201" w:lineRule="exact"/>
              <w:jc w:val="left"/>
              <w:rPr>
                <w:b/>
                <w:sz w:val="18"/>
              </w:rPr>
            </w:pPr>
            <w:r>
              <w:rPr>
                <w:b/>
                <w:sz w:val="18"/>
              </w:rPr>
              <w:t>Villa Victoria</w:t>
            </w:r>
          </w:p>
        </w:tc>
        <w:tc>
          <w:tcPr>
            <w:tcW w:w="1060" w:type="dxa"/>
            <w:tcBorders>
              <w:left w:val="nil"/>
              <w:right w:val="nil"/>
            </w:tcBorders>
          </w:tcPr>
          <w:p>
            <w:pPr>
              <w:pStyle w:val="TableParagraph"/>
              <w:spacing w:line="206" w:lineRule="exact"/>
              <w:ind w:left="0" w:right="338"/>
              <w:jc w:val="right"/>
              <w:rPr>
                <w:sz w:val="18"/>
              </w:rPr>
            </w:pPr>
            <w:r>
              <w:rPr>
                <w:w w:val="95"/>
                <w:sz w:val="18"/>
              </w:rPr>
              <w:t>48.2</w:t>
            </w:r>
          </w:p>
        </w:tc>
        <w:tc>
          <w:tcPr>
            <w:tcW w:w="1378" w:type="dxa"/>
            <w:tcBorders>
              <w:left w:val="nil"/>
              <w:right w:val="nil"/>
            </w:tcBorders>
          </w:tcPr>
          <w:p>
            <w:pPr>
              <w:pStyle w:val="TableParagraph"/>
              <w:spacing w:line="206" w:lineRule="exact"/>
              <w:ind w:left="569" w:right="516"/>
              <w:rPr>
                <w:sz w:val="18"/>
              </w:rPr>
            </w:pPr>
            <w:r>
              <w:rPr>
                <w:sz w:val="18"/>
              </w:rPr>
              <w:t>6.9</w:t>
            </w:r>
          </w:p>
        </w:tc>
        <w:tc>
          <w:tcPr>
            <w:tcW w:w="1132" w:type="dxa"/>
            <w:tcBorders>
              <w:left w:val="nil"/>
              <w:right w:val="nil"/>
            </w:tcBorders>
          </w:tcPr>
          <w:p>
            <w:pPr>
              <w:pStyle w:val="TableParagraph"/>
              <w:spacing w:line="206" w:lineRule="exact"/>
              <w:ind w:left="195" w:right="181"/>
              <w:rPr>
                <w:sz w:val="18"/>
              </w:rPr>
            </w:pPr>
            <w:r>
              <w:rPr>
                <w:sz w:val="18"/>
              </w:rPr>
              <w:t>47</w:t>
            </w:r>
          </w:p>
        </w:tc>
        <w:tc>
          <w:tcPr>
            <w:tcW w:w="1603" w:type="dxa"/>
            <w:tcBorders>
              <w:left w:val="nil"/>
              <w:right w:val="nil"/>
            </w:tcBorders>
          </w:tcPr>
          <w:p>
            <w:pPr>
              <w:pStyle w:val="TableParagraph"/>
              <w:spacing w:line="206" w:lineRule="exact"/>
              <w:ind w:left="592" w:right="617"/>
              <w:rPr>
                <w:sz w:val="18"/>
              </w:rPr>
            </w:pPr>
            <w:r>
              <w:rPr>
                <w:sz w:val="18"/>
              </w:rPr>
              <w:t>14.3</w:t>
            </w:r>
          </w:p>
        </w:tc>
        <w:tc>
          <w:tcPr>
            <w:tcW w:w="1139" w:type="dxa"/>
            <w:tcBorders>
              <w:left w:val="nil"/>
              <w:right w:val="nil"/>
            </w:tcBorders>
          </w:tcPr>
          <w:p>
            <w:pPr>
              <w:pStyle w:val="TableParagraph"/>
              <w:spacing w:line="206" w:lineRule="exact"/>
              <w:ind w:left="219" w:right="289"/>
              <w:rPr>
                <w:sz w:val="18"/>
              </w:rPr>
            </w:pPr>
            <w:r>
              <w:rPr>
                <w:sz w:val="18"/>
              </w:rPr>
              <w:t>33.3</w:t>
            </w:r>
          </w:p>
        </w:tc>
        <w:tc>
          <w:tcPr>
            <w:tcW w:w="1245" w:type="dxa"/>
            <w:tcBorders>
              <w:left w:val="nil"/>
            </w:tcBorders>
          </w:tcPr>
          <w:p>
            <w:pPr>
              <w:pStyle w:val="TableParagraph"/>
              <w:spacing w:line="206" w:lineRule="exact"/>
              <w:ind w:left="290" w:right="274"/>
              <w:rPr>
                <w:sz w:val="18"/>
              </w:rPr>
            </w:pPr>
            <w:r>
              <w:rPr>
                <w:sz w:val="18"/>
              </w:rPr>
              <w:t>69</w:t>
            </w:r>
          </w:p>
        </w:tc>
      </w:tr>
      <w:tr>
        <w:trPr>
          <w:trHeight w:val="250" w:hRule="exact"/>
        </w:trPr>
        <w:tc>
          <w:tcPr>
            <w:tcW w:w="1626" w:type="dxa"/>
            <w:tcBorders>
              <w:right w:val="nil"/>
            </w:tcBorders>
          </w:tcPr>
          <w:p>
            <w:pPr>
              <w:pStyle w:val="TableParagraph"/>
              <w:spacing w:line="201" w:lineRule="exact"/>
              <w:jc w:val="left"/>
              <w:rPr>
                <w:b/>
                <w:sz w:val="18"/>
              </w:rPr>
            </w:pPr>
            <w:r>
              <w:rPr>
                <w:b/>
                <w:sz w:val="18"/>
              </w:rPr>
              <w:t>Zinacantepec</w:t>
            </w:r>
          </w:p>
        </w:tc>
        <w:tc>
          <w:tcPr>
            <w:tcW w:w="1060" w:type="dxa"/>
            <w:tcBorders>
              <w:left w:val="nil"/>
              <w:right w:val="nil"/>
            </w:tcBorders>
          </w:tcPr>
          <w:p>
            <w:pPr>
              <w:pStyle w:val="TableParagraph"/>
              <w:spacing w:line="206" w:lineRule="exact"/>
              <w:ind w:left="425" w:right="394"/>
              <w:rPr>
                <w:sz w:val="18"/>
              </w:rPr>
            </w:pPr>
            <w:r>
              <w:rPr>
                <w:sz w:val="18"/>
              </w:rPr>
              <w:t>51</w:t>
            </w:r>
          </w:p>
        </w:tc>
        <w:tc>
          <w:tcPr>
            <w:tcW w:w="1378" w:type="dxa"/>
            <w:tcBorders>
              <w:left w:val="nil"/>
              <w:right w:val="nil"/>
            </w:tcBorders>
          </w:tcPr>
          <w:p>
            <w:pPr>
              <w:pStyle w:val="TableParagraph"/>
              <w:spacing w:line="206" w:lineRule="exact"/>
              <w:ind w:left="569" w:right="516"/>
              <w:rPr>
                <w:sz w:val="18"/>
              </w:rPr>
            </w:pPr>
            <w:r>
              <w:rPr>
                <w:sz w:val="18"/>
              </w:rPr>
              <w:t>0.0</w:t>
            </w:r>
          </w:p>
        </w:tc>
        <w:tc>
          <w:tcPr>
            <w:tcW w:w="1132" w:type="dxa"/>
            <w:tcBorders>
              <w:left w:val="nil"/>
              <w:right w:val="nil"/>
            </w:tcBorders>
          </w:tcPr>
          <w:p>
            <w:pPr>
              <w:pStyle w:val="TableParagraph"/>
              <w:spacing w:line="206" w:lineRule="exact"/>
              <w:ind w:left="195" w:right="185"/>
              <w:rPr>
                <w:sz w:val="18"/>
              </w:rPr>
            </w:pPr>
            <w:r>
              <w:rPr>
                <w:sz w:val="18"/>
              </w:rPr>
              <w:t>0.0</w:t>
            </w:r>
          </w:p>
        </w:tc>
        <w:tc>
          <w:tcPr>
            <w:tcW w:w="1603" w:type="dxa"/>
            <w:tcBorders>
              <w:left w:val="nil"/>
              <w:right w:val="nil"/>
            </w:tcBorders>
          </w:tcPr>
          <w:p>
            <w:pPr>
              <w:pStyle w:val="TableParagraph"/>
              <w:spacing w:line="206" w:lineRule="exact"/>
              <w:ind w:left="0" w:right="25"/>
              <w:rPr>
                <w:sz w:val="18"/>
              </w:rPr>
            </w:pPr>
            <w:r>
              <w:rPr>
                <w:w w:val="99"/>
                <w:sz w:val="18"/>
              </w:rPr>
              <w:t>0</w:t>
            </w:r>
          </w:p>
        </w:tc>
        <w:tc>
          <w:tcPr>
            <w:tcW w:w="1139" w:type="dxa"/>
            <w:tcBorders>
              <w:left w:val="nil"/>
              <w:right w:val="nil"/>
            </w:tcBorders>
          </w:tcPr>
          <w:p>
            <w:pPr>
              <w:pStyle w:val="TableParagraph"/>
              <w:spacing w:line="206" w:lineRule="exact"/>
              <w:ind w:left="219" w:right="284"/>
              <w:rPr>
                <w:sz w:val="18"/>
              </w:rPr>
            </w:pPr>
            <w:r>
              <w:rPr>
                <w:sz w:val="18"/>
              </w:rPr>
              <w:t>51</w:t>
            </w:r>
          </w:p>
        </w:tc>
        <w:tc>
          <w:tcPr>
            <w:tcW w:w="1245" w:type="dxa"/>
            <w:tcBorders>
              <w:left w:val="nil"/>
            </w:tcBorders>
          </w:tcPr>
          <w:p>
            <w:pPr>
              <w:pStyle w:val="TableParagraph"/>
              <w:spacing w:line="206" w:lineRule="exact"/>
              <w:ind w:left="290" w:right="274"/>
              <w:rPr>
                <w:sz w:val="18"/>
              </w:rPr>
            </w:pPr>
            <w:r>
              <w:rPr>
                <w:sz w:val="18"/>
              </w:rPr>
              <w:t>51</w:t>
            </w:r>
          </w:p>
        </w:tc>
      </w:tr>
    </w:tbl>
    <w:p>
      <w:pPr>
        <w:pStyle w:val="BodyText"/>
        <w:rPr>
          <w:sz w:val="20"/>
        </w:rPr>
      </w:pPr>
    </w:p>
    <w:p>
      <w:pPr>
        <w:pStyle w:val="BodyText"/>
        <w:spacing w:before="11"/>
        <w:rPr>
          <w:sz w:val="20"/>
        </w:rPr>
      </w:pPr>
    </w:p>
    <w:p>
      <w:pPr>
        <w:pStyle w:val="BodyText"/>
        <w:spacing w:before="69"/>
        <w:ind w:left="142"/>
        <w:jc w:val="both"/>
      </w:pPr>
      <w:r>
        <w:rPr/>
        <w:t>Cenizas</w:t>
      </w:r>
    </w:p>
    <w:p>
      <w:pPr>
        <w:pStyle w:val="BodyText"/>
        <w:spacing w:before="4"/>
      </w:pPr>
    </w:p>
    <w:p>
      <w:pPr>
        <w:pStyle w:val="BodyText"/>
        <w:spacing w:line="276" w:lineRule="auto" w:before="1"/>
        <w:ind w:left="142" w:right="479"/>
        <w:jc w:val="both"/>
      </w:pPr>
      <w:r>
        <w:rPr/>
        <w:t>El mayor contenido de cenizas fue de los quesos procedentes de Ixtlahuaca con 4.3%, seguido de Texcatitlán con 3.7%, Zinacantepec con 3.6%, Metepec y Almoloya</w:t>
      </w:r>
      <w:r>
        <w:rPr>
          <w:spacing w:val="-9"/>
        </w:rPr>
        <w:t> </w:t>
      </w:r>
      <w:r>
        <w:rPr/>
        <w:t>de</w:t>
      </w:r>
      <w:r>
        <w:rPr>
          <w:spacing w:val="-9"/>
        </w:rPr>
        <w:t> </w:t>
      </w:r>
      <w:r>
        <w:rPr/>
        <w:t>Juárez</w:t>
      </w:r>
      <w:r>
        <w:rPr>
          <w:spacing w:val="-11"/>
        </w:rPr>
        <w:t> </w:t>
      </w:r>
      <w:r>
        <w:rPr/>
        <w:t>con</w:t>
      </w:r>
      <w:r>
        <w:rPr>
          <w:spacing w:val="-9"/>
        </w:rPr>
        <w:t> </w:t>
      </w:r>
      <w:r>
        <w:rPr/>
        <w:t>3.4%,</w:t>
      </w:r>
      <w:r>
        <w:rPr>
          <w:spacing w:val="-11"/>
        </w:rPr>
        <w:t> </w:t>
      </w:r>
      <w:r>
        <w:rPr/>
        <w:t>Aculco</w:t>
      </w:r>
      <w:r>
        <w:rPr>
          <w:spacing w:val="-11"/>
        </w:rPr>
        <w:t> </w:t>
      </w:r>
      <w:r>
        <w:rPr/>
        <w:t>con</w:t>
      </w:r>
      <w:r>
        <w:rPr>
          <w:spacing w:val="-11"/>
        </w:rPr>
        <w:t> </w:t>
      </w:r>
      <w:r>
        <w:rPr/>
        <w:t>3.3%,</w:t>
      </w:r>
      <w:r>
        <w:rPr>
          <w:spacing w:val="-5"/>
        </w:rPr>
        <w:t> </w:t>
      </w:r>
      <w:r>
        <w:rPr/>
        <w:t>Villa</w:t>
      </w:r>
      <w:r>
        <w:rPr>
          <w:spacing w:val="-10"/>
        </w:rPr>
        <w:t> </w:t>
      </w:r>
      <w:r>
        <w:rPr/>
        <w:t>Victoria</w:t>
      </w:r>
      <w:r>
        <w:rPr>
          <w:spacing w:val="-9"/>
        </w:rPr>
        <w:t> </w:t>
      </w:r>
      <w:r>
        <w:rPr/>
        <w:t>y</w:t>
      </w:r>
      <w:r>
        <w:rPr>
          <w:spacing w:val="-12"/>
        </w:rPr>
        <w:t> </w:t>
      </w:r>
      <w:r>
        <w:rPr/>
        <w:t>Ecatepec</w:t>
      </w:r>
      <w:r>
        <w:rPr>
          <w:spacing w:val="-12"/>
        </w:rPr>
        <w:t> </w:t>
      </w:r>
      <w:r>
        <w:rPr/>
        <w:t>con</w:t>
      </w:r>
      <w:r>
        <w:rPr>
          <w:spacing w:val="-11"/>
        </w:rPr>
        <w:t> </w:t>
      </w:r>
      <w:r>
        <w:rPr/>
        <w:t>3.2%, Toluca con 3.1% y Guadalajara y San Mateo Atenco con 3 % como se muestra en el cuadro</w:t>
      </w:r>
      <w:r>
        <w:rPr>
          <w:spacing w:val="-4"/>
        </w:rPr>
        <w:t> </w:t>
      </w:r>
      <w:r>
        <w:rPr/>
        <w:t>16.</w:t>
      </w:r>
    </w:p>
    <w:p>
      <w:pPr>
        <w:pStyle w:val="BodyText"/>
        <w:spacing w:before="1"/>
        <w:rPr>
          <w:sz w:val="21"/>
        </w:rPr>
      </w:pPr>
    </w:p>
    <w:p>
      <w:pPr>
        <w:pStyle w:val="BodyText"/>
        <w:ind w:left="142"/>
        <w:jc w:val="both"/>
      </w:pPr>
      <w:r>
        <w:rPr/>
        <w:t>Cuadro 16: Valores de cenizas en los quesos frescos mostrados por municipio.</w:t>
      </w:r>
    </w:p>
    <w:p>
      <w:pPr>
        <w:pStyle w:val="BodyText"/>
        <w:spacing w:before="1"/>
        <w:rPr>
          <w:sz w:val="14"/>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52"/>
        <w:gridCol w:w="1036"/>
        <w:gridCol w:w="1378"/>
        <w:gridCol w:w="1119"/>
        <w:gridCol w:w="1396"/>
        <w:gridCol w:w="1126"/>
        <w:gridCol w:w="1245"/>
      </w:tblGrid>
      <w:tr>
        <w:trPr>
          <w:trHeight w:val="247" w:hRule="exact"/>
        </w:trPr>
        <w:tc>
          <w:tcPr>
            <w:tcW w:w="8951" w:type="dxa"/>
            <w:gridSpan w:val="7"/>
            <w:tcBorders>
              <w:right w:val="nil"/>
            </w:tcBorders>
            <w:shd w:val="clear" w:color="auto" w:fill="A6A6A6"/>
          </w:tcPr>
          <w:p>
            <w:pPr>
              <w:pStyle w:val="TableParagraph"/>
              <w:spacing w:line="206" w:lineRule="exact"/>
              <w:ind w:left="4018" w:right="4020"/>
              <w:rPr>
                <w:sz w:val="18"/>
              </w:rPr>
            </w:pPr>
            <w:r>
              <w:rPr>
                <w:color w:val="FFFFFF"/>
                <w:sz w:val="18"/>
              </w:rPr>
              <w:t>Cenizas</w:t>
            </w:r>
          </w:p>
        </w:tc>
      </w:tr>
      <w:tr>
        <w:trPr>
          <w:trHeight w:val="487" w:hRule="exact"/>
        </w:trPr>
        <w:tc>
          <w:tcPr>
            <w:tcW w:w="1652" w:type="dxa"/>
            <w:tcBorders>
              <w:right w:val="nil"/>
            </w:tcBorders>
          </w:tcPr>
          <w:p>
            <w:pPr/>
          </w:p>
        </w:tc>
        <w:tc>
          <w:tcPr>
            <w:tcW w:w="1036" w:type="dxa"/>
            <w:tcBorders>
              <w:left w:val="nil"/>
              <w:right w:val="nil"/>
            </w:tcBorders>
          </w:tcPr>
          <w:p>
            <w:pPr>
              <w:pStyle w:val="TableParagraph"/>
              <w:spacing w:line="206" w:lineRule="exact"/>
              <w:ind w:left="252" w:right="253"/>
              <w:rPr>
                <w:sz w:val="18"/>
              </w:rPr>
            </w:pPr>
            <w:r>
              <w:rPr>
                <w:sz w:val="18"/>
              </w:rPr>
              <w:t>Media</w:t>
            </w:r>
          </w:p>
        </w:tc>
        <w:tc>
          <w:tcPr>
            <w:tcW w:w="1378" w:type="dxa"/>
            <w:tcBorders>
              <w:left w:val="nil"/>
              <w:right w:val="nil"/>
            </w:tcBorders>
          </w:tcPr>
          <w:p>
            <w:pPr>
              <w:pStyle w:val="TableParagraph"/>
              <w:spacing w:line="276" w:lineRule="auto"/>
              <w:ind w:left="365" w:right="204" w:hanging="92"/>
              <w:jc w:val="left"/>
              <w:rPr>
                <w:sz w:val="18"/>
              </w:rPr>
            </w:pPr>
            <w:r>
              <w:rPr>
                <w:sz w:val="18"/>
              </w:rPr>
              <w:t>Desviación estándar</w:t>
            </w:r>
          </w:p>
        </w:tc>
        <w:tc>
          <w:tcPr>
            <w:tcW w:w="1119" w:type="dxa"/>
            <w:tcBorders>
              <w:left w:val="nil"/>
              <w:right w:val="nil"/>
            </w:tcBorders>
          </w:tcPr>
          <w:p>
            <w:pPr>
              <w:pStyle w:val="TableParagraph"/>
              <w:spacing w:line="206" w:lineRule="exact"/>
              <w:ind w:left="194" w:right="173"/>
              <w:rPr>
                <w:sz w:val="18"/>
              </w:rPr>
            </w:pPr>
            <w:r>
              <w:rPr>
                <w:sz w:val="18"/>
              </w:rPr>
              <w:t>Varianza</w:t>
            </w:r>
          </w:p>
        </w:tc>
        <w:tc>
          <w:tcPr>
            <w:tcW w:w="1396" w:type="dxa"/>
            <w:tcBorders>
              <w:left w:val="nil"/>
              <w:right w:val="nil"/>
            </w:tcBorders>
          </w:tcPr>
          <w:p>
            <w:pPr>
              <w:pStyle w:val="TableParagraph"/>
              <w:spacing w:line="276" w:lineRule="auto"/>
              <w:ind w:left="200" w:right="205" w:firstLine="33"/>
              <w:jc w:val="left"/>
              <w:rPr>
                <w:sz w:val="18"/>
              </w:rPr>
            </w:pPr>
            <w:r>
              <w:rPr>
                <w:sz w:val="18"/>
              </w:rPr>
              <w:t>Coeficiente de variación</w:t>
            </w:r>
          </w:p>
        </w:tc>
        <w:tc>
          <w:tcPr>
            <w:tcW w:w="1126" w:type="dxa"/>
            <w:tcBorders>
              <w:left w:val="nil"/>
              <w:right w:val="nil"/>
            </w:tcBorders>
          </w:tcPr>
          <w:p>
            <w:pPr>
              <w:pStyle w:val="TableParagraph"/>
              <w:spacing w:line="206" w:lineRule="exact"/>
              <w:ind w:left="206" w:right="290"/>
              <w:rPr>
                <w:sz w:val="18"/>
              </w:rPr>
            </w:pPr>
            <w:r>
              <w:rPr>
                <w:sz w:val="18"/>
              </w:rPr>
              <w:t>Mínimo</w:t>
            </w:r>
          </w:p>
        </w:tc>
        <w:tc>
          <w:tcPr>
            <w:tcW w:w="1245" w:type="dxa"/>
            <w:tcBorders>
              <w:left w:val="nil"/>
            </w:tcBorders>
          </w:tcPr>
          <w:p>
            <w:pPr>
              <w:pStyle w:val="TableParagraph"/>
              <w:spacing w:line="206" w:lineRule="exact"/>
              <w:ind w:left="290" w:right="280"/>
              <w:rPr>
                <w:sz w:val="18"/>
              </w:rPr>
            </w:pPr>
            <w:r>
              <w:rPr>
                <w:sz w:val="18"/>
              </w:rPr>
              <w:t>Máximo</w:t>
            </w:r>
          </w:p>
        </w:tc>
      </w:tr>
      <w:tr>
        <w:trPr>
          <w:trHeight w:val="247" w:hRule="exact"/>
        </w:trPr>
        <w:tc>
          <w:tcPr>
            <w:tcW w:w="1652" w:type="dxa"/>
            <w:tcBorders>
              <w:right w:val="nil"/>
            </w:tcBorders>
          </w:tcPr>
          <w:p>
            <w:pPr>
              <w:pStyle w:val="TableParagraph"/>
              <w:spacing w:line="201" w:lineRule="exact"/>
              <w:ind w:right="453"/>
              <w:jc w:val="left"/>
              <w:rPr>
                <w:b/>
                <w:sz w:val="18"/>
              </w:rPr>
            </w:pPr>
            <w:r>
              <w:rPr>
                <w:b/>
                <w:sz w:val="18"/>
              </w:rPr>
              <w:t>Aculco</w:t>
            </w:r>
          </w:p>
        </w:tc>
        <w:tc>
          <w:tcPr>
            <w:tcW w:w="1036" w:type="dxa"/>
            <w:tcBorders>
              <w:left w:val="nil"/>
              <w:right w:val="nil"/>
            </w:tcBorders>
          </w:tcPr>
          <w:p>
            <w:pPr>
              <w:pStyle w:val="TableParagraph"/>
              <w:spacing w:line="206" w:lineRule="exact"/>
              <w:ind w:left="252" w:right="252"/>
              <w:rPr>
                <w:sz w:val="18"/>
              </w:rPr>
            </w:pPr>
            <w:r>
              <w:rPr>
                <w:sz w:val="18"/>
              </w:rPr>
              <w:t>3.3</w:t>
            </w:r>
          </w:p>
        </w:tc>
        <w:tc>
          <w:tcPr>
            <w:tcW w:w="1378" w:type="dxa"/>
            <w:tcBorders>
              <w:left w:val="nil"/>
              <w:right w:val="nil"/>
            </w:tcBorders>
          </w:tcPr>
          <w:p>
            <w:pPr>
              <w:pStyle w:val="TableParagraph"/>
              <w:spacing w:line="206" w:lineRule="exact"/>
              <w:ind w:left="570" w:right="515"/>
              <w:rPr>
                <w:sz w:val="18"/>
              </w:rPr>
            </w:pPr>
            <w:r>
              <w:rPr>
                <w:sz w:val="18"/>
              </w:rPr>
              <w:t>0.4</w:t>
            </w:r>
          </w:p>
        </w:tc>
        <w:tc>
          <w:tcPr>
            <w:tcW w:w="1119" w:type="dxa"/>
            <w:tcBorders>
              <w:left w:val="nil"/>
              <w:right w:val="nil"/>
            </w:tcBorders>
          </w:tcPr>
          <w:p>
            <w:pPr>
              <w:pStyle w:val="TableParagraph"/>
              <w:spacing w:line="206" w:lineRule="exact"/>
              <w:ind w:left="194" w:right="173"/>
              <w:rPr>
                <w:sz w:val="18"/>
              </w:rPr>
            </w:pPr>
            <w:r>
              <w:rPr>
                <w:sz w:val="18"/>
              </w:rPr>
              <w:t>0.2</w:t>
            </w:r>
          </w:p>
        </w:tc>
        <w:tc>
          <w:tcPr>
            <w:tcW w:w="1396" w:type="dxa"/>
            <w:tcBorders>
              <w:left w:val="nil"/>
              <w:right w:val="nil"/>
            </w:tcBorders>
          </w:tcPr>
          <w:p>
            <w:pPr>
              <w:pStyle w:val="TableParagraph"/>
              <w:spacing w:line="206" w:lineRule="exact"/>
              <w:ind w:left="441" w:right="463"/>
              <w:rPr>
                <w:sz w:val="18"/>
              </w:rPr>
            </w:pPr>
            <w:r>
              <w:rPr>
                <w:sz w:val="18"/>
              </w:rPr>
              <w:t>13.92</w:t>
            </w:r>
          </w:p>
        </w:tc>
        <w:tc>
          <w:tcPr>
            <w:tcW w:w="1126" w:type="dxa"/>
            <w:tcBorders>
              <w:left w:val="nil"/>
              <w:right w:val="nil"/>
            </w:tcBorders>
          </w:tcPr>
          <w:p>
            <w:pPr>
              <w:pStyle w:val="TableParagraph"/>
              <w:spacing w:line="206" w:lineRule="exact"/>
              <w:ind w:left="206" w:right="287"/>
              <w:rPr>
                <w:sz w:val="18"/>
              </w:rPr>
            </w:pPr>
            <w:r>
              <w:rPr>
                <w:sz w:val="18"/>
              </w:rPr>
              <w:t>2.83</w:t>
            </w:r>
          </w:p>
        </w:tc>
        <w:tc>
          <w:tcPr>
            <w:tcW w:w="1245" w:type="dxa"/>
            <w:tcBorders>
              <w:left w:val="nil"/>
            </w:tcBorders>
          </w:tcPr>
          <w:p>
            <w:pPr>
              <w:pStyle w:val="TableParagraph"/>
              <w:spacing w:line="206" w:lineRule="exact"/>
              <w:ind w:left="290" w:right="273"/>
              <w:rPr>
                <w:sz w:val="18"/>
              </w:rPr>
            </w:pPr>
            <w:r>
              <w:rPr>
                <w:sz w:val="18"/>
              </w:rPr>
              <w:t>3.99</w:t>
            </w:r>
          </w:p>
        </w:tc>
      </w:tr>
      <w:tr>
        <w:trPr>
          <w:trHeight w:val="487" w:hRule="exact"/>
        </w:trPr>
        <w:tc>
          <w:tcPr>
            <w:tcW w:w="1652" w:type="dxa"/>
            <w:tcBorders>
              <w:right w:val="nil"/>
            </w:tcBorders>
          </w:tcPr>
          <w:p>
            <w:pPr>
              <w:pStyle w:val="TableParagraph"/>
              <w:spacing w:line="276" w:lineRule="auto"/>
              <w:ind w:right="453"/>
              <w:jc w:val="left"/>
              <w:rPr>
                <w:b/>
                <w:sz w:val="18"/>
              </w:rPr>
            </w:pPr>
            <w:r>
              <w:rPr>
                <w:b/>
                <w:sz w:val="18"/>
              </w:rPr>
              <w:t>Almoloya de Juárez</w:t>
            </w:r>
          </w:p>
        </w:tc>
        <w:tc>
          <w:tcPr>
            <w:tcW w:w="1036" w:type="dxa"/>
            <w:tcBorders>
              <w:left w:val="nil"/>
              <w:right w:val="nil"/>
            </w:tcBorders>
          </w:tcPr>
          <w:p>
            <w:pPr>
              <w:pStyle w:val="TableParagraph"/>
              <w:spacing w:line="206" w:lineRule="exact"/>
              <w:ind w:left="252" w:right="252"/>
              <w:rPr>
                <w:sz w:val="18"/>
              </w:rPr>
            </w:pPr>
            <w:r>
              <w:rPr>
                <w:sz w:val="18"/>
              </w:rPr>
              <w:t>3.4</w:t>
            </w:r>
          </w:p>
        </w:tc>
        <w:tc>
          <w:tcPr>
            <w:tcW w:w="1378" w:type="dxa"/>
            <w:tcBorders>
              <w:left w:val="nil"/>
              <w:right w:val="nil"/>
            </w:tcBorders>
          </w:tcPr>
          <w:p>
            <w:pPr>
              <w:pStyle w:val="TableParagraph"/>
              <w:spacing w:line="206" w:lineRule="exact"/>
              <w:ind w:left="570" w:right="515"/>
              <w:rPr>
                <w:sz w:val="18"/>
              </w:rPr>
            </w:pPr>
            <w:r>
              <w:rPr>
                <w:sz w:val="18"/>
              </w:rPr>
              <w:t>0.0</w:t>
            </w:r>
          </w:p>
        </w:tc>
        <w:tc>
          <w:tcPr>
            <w:tcW w:w="1119" w:type="dxa"/>
            <w:tcBorders>
              <w:left w:val="nil"/>
              <w:right w:val="nil"/>
            </w:tcBorders>
          </w:tcPr>
          <w:p>
            <w:pPr>
              <w:pStyle w:val="TableParagraph"/>
              <w:spacing w:line="206" w:lineRule="exact"/>
              <w:ind w:left="194" w:right="173"/>
              <w:rPr>
                <w:sz w:val="18"/>
              </w:rPr>
            </w:pPr>
            <w:r>
              <w:rPr>
                <w:sz w:val="18"/>
              </w:rPr>
              <w:t>0.0</w:t>
            </w:r>
          </w:p>
        </w:tc>
        <w:tc>
          <w:tcPr>
            <w:tcW w:w="1396" w:type="dxa"/>
            <w:tcBorders>
              <w:left w:val="nil"/>
              <w:right w:val="nil"/>
            </w:tcBorders>
          </w:tcPr>
          <w:p>
            <w:pPr>
              <w:pStyle w:val="TableParagraph"/>
              <w:spacing w:line="206" w:lineRule="exact"/>
              <w:ind w:left="441" w:right="463"/>
              <w:rPr>
                <w:sz w:val="18"/>
              </w:rPr>
            </w:pPr>
            <w:r>
              <w:rPr>
                <w:sz w:val="18"/>
              </w:rPr>
              <w:t>1.6</w:t>
            </w:r>
          </w:p>
        </w:tc>
        <w:tc>
          <w:tcPr>
            <w:tcW w:w="1126" w:type="dxa"/>
            <w:tcBorders>
              <w:left w:val="nil"/>
              <w:right w:val="nil"/>
            </w:tcBorders>
          </w:tcPr>
          <w:p>
            <w:pPr>
              <w:pStyle w:val="TableParagraph"/>
              <w:spacing w:line="206" w:lineRule="exact"/>
              <w:ind w:left="206" w:right="287"/>
              <w:rPr>
                <w:sz w:val="18"/>
              </w:rPr>
            </w:pPr>
            <w:r>
              <w:rPr>
                <w:sz w:val="18"/>
              </w:rPr>
              <w:t>3.37</w:t>
            </w:r>
          </w:p>
        </w:tc>
        <w:tc>
          <w:tcPr>
            <w:tcW w:w="1245" w:type="dxa"/>
            <w:tcBorders>
              <w:left w:val="nil"/>
            </w:tcBorders>
          </w:tcPr>
          <w:p>
            <w:pPr>
              <w:pStyle w:val="TableParagraph"/>
              <w:spacing w:line="206" w:lineRule="exact"/>
              <w:ind w:left="290" w:right="273"/>
              <w:rPr>
                <w:sz w:val="18"/>
              </w:rPr>
            </w:pPr>
            <w:r>
              <w:rPr>
                <w:sz w:val="18"/>
              </w:rPr>
              <w:t>3.48</w:t>
            </w:r>
          </w:p>
        </w:tc>
      </w:tr>
      <w:tr>
        <w:trPr>
          <w:trHeight w:val="247" w:hRule="exact"/>
        </w:trPr>
        <w:tc>
          <w:tcPr>
            <w:tcW w:w="1652" w:type="dxa"/>
            <w:tcBorders>
              <w:right w:val="nil"/>
            </w:tcBorders>
          </w:tcPr>
          <w:p>
            <w:pPr>
              <w:pStyle w:val="TableParagraph"/>
              <w:spacing w:line="201" w:lineRule="exact"/>
              <w:ind w:right="453"/>
              <w:jc w:val="left"/>
              <w:rPr>
                <w:b/>
                <w:sz w:val="18"/>
              </w:rPr>
            </w:pPr>
            <w:r>
              <w:rPr>
                <w:b/>
                <w:sz w:val="18"/>
              </w:rPr>
              <w:t>Desconoce</w:t>
            </w:r>
          </w:p>
        </w:tc>
        <w:tc>
          <w:tcPr>
            <w:tcW w:w="1036" w:type="dxa"/>
            <w:tcBorders>
              <w:left w:val="nil"/>
              <w:right w:val="nil"/>
            </w:tcBorders>
          </w:tcPr>
          <w:p>
            <w:pPr>
              <w:pStyle w:val="TableParagraph"/>
              <w:spacing w:line="206" w:lineRule="exact"/>
              <w:ind w:left="252" w:right="252"/>
              <w:rPr>
                <w:sz w:val="18"/>
              </w:rPr>
            </w:pPr>
            <w:r>
              <w:rPr>
                <w:sz w:val="18"/>
              </w:rPr>
              <w:t>3.2</w:t>
            </w:r>
          </w:p>
        </w:tc>
        <w:tc>
          <w:tcPr>
            <w:tcW w:w="1378" w:type="dxa"/>
            <w:tcBorders>
              <w:left w:val="nil"/>
              <w:right w:val="nil"/>
            </w:tcBorders>
          </w:tcPr>
          <w:p>
            <w:pPr>
              <w:pStyle w:val="TableParagraph"/>
              <w:spacing w:line="206" w:lineRule="exact"/>
              <w:ind w:left="570" w:right="515"/>
              <w:rPr>
                <w:sz w:val="18"/>
              </w:rPr>
            </w:pPr>
            <w:r>
              <w:rPr>
                <w:sz w:val="18"/>
              </w:rPr>
              <w:t>0.6</w:t>
            </w:r>
          </w:p>
        </w:tc>
        <w:tc>
          <w:tcPr>
            <w:tcW w:w="1119" w:type="dxa"/>
            <w:tcBorders>
              <w:left w:val="nil"/>
              <w:right w:val="nil"/>
            </w:tcBorders>
          </w:tcPr>
          <w:p>
            <w:pPr>
              <w:pStyle w:val="TableParagraph"/>
              <w:spacing w:line="206" w:lineRule="exact"/>
              <w:ind w:left="194" w:right="173"/>
              <w:rPr>
                <w:sz w:val="18"/>
              </w:rPr>
            </w:pPr>
            <w:r>
              <w:rPr>
                <w:sz w:val="18"/>
              </w:rPr>
              <w:t>0.3</w:t>
            </w:r>
          </w:p>
        </w:tc>
        <w:tc>
          <w:tcPr>
            <w:tcW w:w="1396" w:type="dxa"/>
            <w:tcBorders>
              <w:left w:val="nil"/>
              <w:right w:val="nil"/>
            </w:tcBorders>
          </w:tcPr>
          <w:p>
            <w:pPr>
              <w:pStyle w:val="TableParagraph"/>
              <w:spacing w:line="206" w:lineRule="exact"/>
              <w:ind w:left="441" w:right="460"/>
              <w:rPr>
                <w:sz w:val="18"/>
              </w:rPr>
            </w:pPr>
            <w:r>
              <w:rPr>
                <w:sz w:val="18"/>
              </w:rPr>
              <w:t>18</w:t>
            </w:r>
          </w:p>
        </w:tc>
        <w:tc>
          <w:tcPr>
            <w:tcW w:w="1126" w:type="dxa"/>
            <w:tcBorders>
              <w:left w:val="nil"/>
              <w:right w:val="nil"/>
            </w:tcBorders>
          </w:tcPr>
          <w:p>
            <w:pPr>
              <w:pStyle w:val="TableParagraph"/>
              <w:spacing w:line="206" w:lineRule="exact"/>
              <w:ind w:left="206" w:right="287"/>
              <w:rPr>
                <w:sz w:val="18"/>
              </w:rPr>
            </w:pPr>
            <w:r>
              <w:rPr>
                <w:sz w:val="18"/>
              </w:rPr>
              <w:t>2.72</w:t>
            </w:r>
          </w:p>
        </w:tc>
        <w:tc>
          <w:tcPr>
            <w:tcW w:w="1245" w:type="dxa"/>
            <w:tcBorders>
              <w:left w:val="nil"/>
            </w:tcBorders>
          </w:tcPr>
          <w:p>
            <w:pPr>
              <w:pStyle w:val="TableParagraph"/>
              <w:spacing w:line="206" w:lineRule="exact"/>
              <w:ind w:left="290" w:right="273"/>
              <w:rPr>
                <w:sz w:val="18"/>
              </w:rPr>
            </w:pPr>
            <w:r>
              <w:rPr>
                <w:sz w:val="18"/>
              </w:rPr>
              <w:t>4.33</w:t>
            </w:r>
          </w:p>
        </w:tc>
      </w:tr>
      <w:tr>
        <w:trPr>
          <w:trHeight w:val="248" w:hRule="exact"/>
        </w:trPr>
        <w:tc>
          <w:tcPr>
            <w:tcW w:w="1652" w:type="dxa"/>
            <w:tcBorders>
              <w:right w:val="nil"/>
            </w:tcBorders>
          </w:tcPr>
          <w:p>
            <w:pPr>
              <w:pStyle w:val="TableParagraph"/>
              <w:spacing w:line="202" w:lineRule="exact"/>
              <w:ind w:right="453"/>
              <w:jc w:val="left"/>
              <w:rPr>
                <w:b/>
                <w:sz w:val="18"/>
              </w:rPr>
            </w:pPr>
            <w:r>
              <w:rPr>
                <w:b/>
                <w:sz w:val="18"/>
              </w:rPr>
              <w:t>Ecatepec</w:t>
            </w:r>
          </w:p>
        </w:tc>
        <w:tc>
          <w:tcPr>
            <w:tcW w:w="1036" w:type="dxa"/>
            <w:tcBorders>
              <w:left w:val="nil"/>
              <w:right w:val="nil"/>
            </w:tcBorders>
          </w:tcPr>
          <w:p>
            <w:pPr>
              <w:pStyle w:val="TableParagraph"/>
              <w:spacing w:line="207" w:lineRule="exact"/>
              <w:ind w:left="252" w:right="252"/>
              <w:rPr>
                <w:sz w:val="18"/>
              </w:rPr>
            </w:pPr>
            <w:r>
              <w:rPr>
                <w:sz w:val="18"/>
              </w:rPr>
              <w:t>3.2</w:t>
            </w:r>
          </w:p>
        </w:tc>
        <w:tc>
          <w:tcPr>
            <w:tcW w:w="1378" w:type="dxa"/>
            <w:tcBorders>
              <w:left w:val="nil"/>
              <w:right w:val="nil"/>
            </w:tcBorders>
          </w:tcPr>
          <w:p>
            <w:pPr>
              <w:pStyle w:val="TableParagraph"/>
              <w:spacing w:line="207" w:lineRule="exact"/>
              <w:ind w:left="570" w:right="515"/>
              <w:rPr>
                <w:sz w:val="18"/>
              </w:rPr>
            </w:pPr>
            <w:r>
              <w:rPr>
                <w:sz w:val="18"/>
              </w:rPr>
              <w:t>0.0</w:t>
            </w:r>
          </w:p>
        </w:tc>
        <w:tc>
          <w:tcPr>
            <w:tcW w:w="1119" w:type="dxa"/>
            <w:tcBorders>
              <w:left w:val="nil"/>
              <w:right w:val="nil"/>
            </w:tcBorders>
          </w:tcPr>
          <w:p>
            <w:pPr>
              <w:pStyle w:val="TableParagraph"/>
              <w:spacing w:line="207" w:lineRule="exact"/>
              <w:ind w:left="194" w:right="173"/>
              <w:rPr>
                <w:sz w:val="18"/>
              </w:rPr>
            </w:pPr>
            <w:r>
              <w:rPr>
                <w:sz w:val="18"/>
              </w:rPr>
              <w:t>0.0</w:t>
            </w:r>
          </w:p>
        </w:tc>
        <w:tc>
          <w:tcPr>
            <w:tcW w:w="1396" w:type="dxa"/>
            <w:tcBorders>
              <w:left w:val="nil"/>
              <w:right w:val="nil"/>
            </w:tcBorders>
          </w:tcPr>
          <w:p>
            <w:pPr>
              <w:pStyle w:val="TableParagraph"/>
              <w:spacing w:line="207" w:lineRule="exact"/>
              <w:ind w:left="0" w:right="24"/>
              <w:rPr>
                <w:sz w:val="18"/>
              </w:rPr>
            </w:pPr>
            <w:r>
              <w:rPr>
                <w:w w:val="99"/>
                <w:sz w:val="18"/>
              </w:rPr>
              <w:t>0</w:t>
            </w:r>
          </w:p>
        </w:tc>
        <w:tc>
          <w:tcPr>
            <w:tcW w:w="1126" w:type="dxa"/>
            <w:tcBorders>
              <w:left w:val="nil"/>
              <w:right w:val="nil"/>
            </w:tcBorders>
          </w:tcPr>
          <w:p>
            <w:pPr>
              <w:pStyle w:val="TableParagraph"/>
              <w:spacing w:line="207" w:lineRule="exact"/>
              <w:ind w:left="206" w:right="288"/>
              <w:rPr>
                <w:sz w:val="18"/>
              </w:rPr>
            </w:pPr>
            <w:r>
              <w:rPr>
                <w:sz w:val="18"/>
              </w:rPr>
              <w:t>3.2</w:t>
            </w:r>
          </w:p>
        </w:tc>
        <w:tc>
          <w:tcPr>
            <w:tcW w:w="1245" w:type="dxa"/>
            <w:tcBorders>
              <w:left w:val="nil"/>
            </w:tcBorders>
          </w:tcPr>
          <w:p>
            <w:pPr>
              <w:pStyle w:val="TableParagraph"/>
              <w:spacing w:line="207" w:lineRule="exact"/>
              <w:ind w:left="290" w:right="273"/>
              <w:rPr>
                <w:sz w:val="18"/>
              </w:rPr>
            </w:pPr>
            <w:r>
              <w:rPr>
                <w:sz w:val="18"/>
              </w:rPr>
              <w:t>3.2</w:t>
            </w:r>
          </w:p>
        </w:tc>
      </w:tr>
      <w:tr>
        <w:trPr>
          <w:trHeight w:val="250" w:hRule="exact"/>
        </w:trPr>
        <w:tc>
          <w:tcPr>
            <w:tcW w:w="1652" w:type="dxa"/>
            <w:tcBorders>
              <w:right w:val="nil"/>
            </w:tcBorders>
          </w:tcPr>
          <w:p>
            <w:pPr>
              <w:pStyle w:val="TableParagraph"/>
              <w:spacing w:line="201" w:lineRule="exact"/>
              <w:ind w:right="453"/>
              <w:jc w:val="left"/>
              <w:rPr>
                <w:b/>
                <w:sz w:val="18"/>
              </w:rPr>
            </w:pPr>
            <w:r>
              <w:rPr>
                <w:b/>
                <w:sz w:val="18"/>
              </w:rPr>
              <w:t>Guadalajara</w:t>
            </w:r>
          </w:p>
        </w:tc>
        <w:tc>
          <w:tcPr>
            <w:tcW w:w="1036" w:type="dxa"/>
            <w:tcBorders>
              <w:left w:val="nil"/>
              <w:right w:val="nil"/>
            </w:tcBorders>
          </w:tcPr>
          <w:p>
            <w:pPr>
              <w:pStyle w:val="TableParagraph"/>
              <w:spacing w:line="206" w:lineRule="exact"/>
              <w:ind w:left="252" w:right="252"/>
              <w:rPr>
                <w:sz w:val="18"/>
              </w:rPr>
            </w:pPr>
            <w:r>
              <w:rPr>
                <w:sz w:val="18"/>
              </w:rPr>
              <w:t>3.0</w:t>
            </w:r>
          </w:p>
        </w:tc>
        <w:tc>
          <w:tcPr>
            <w:tcW w:w="1378" w:type="dxa"/>
            <w:tcBorders>
              <w:left w:val="nil"/>
              <w:right w:val="nil"/>
            </w:tcBorders>
          </w:tcPr>
          <w:p>
            <w:pPr>
              <w:pStyle w:val="TableParagraph"/>
              <w:spacing w:line="206" w:lineRule="exact"/>
              <w:ind w:left="570" w:right="515"/>
              <w:rPr>
                <w:sz w:val="18"/>
              </w:rPr>
            </w:pPr>
            <w:r>
              <w:rPr>
                <w:sz w:val="18"/>
              </w:rPr>
              <w:t>0.0</w:t>
            </w:r>
          </w:p>
        </w:tc>
        <w:tc>
          <w:tcPr>
            <w:tcW w:w="1119" w:type="dxa"/>
            <w:tcBorders>
              <w:left w:val="nil"/>
              <w:right w:val="nil"/>
            </w:tcBorders>
          </w:tcPr>
          <w:p>
            <w:pPr>
              <w:pStyle w:val="TableParagraph"/>
              <w:spacing w:line="206" w:lineRule="exact"/>
              <w:ind w:left="194" w:right="173"/>
              <w:rPr>
                <w:sz w:val="18"/>
              </w:rPr>
            </w:pPr>
            <w:r>
              <w:rPr>
                <w:sz w:val="18"/>
              </w:rPr>
              <w:t>0.0</w:t>
            </w:r>
          </w:p>
        </w:tc>
        <w:tc>
          <w:tcPr>
            <w:tcW w:w="1396" w:type="dxa"/>
            <w:tcBorders>
              <w:left w:val="nil"/>
              <w:right w:val="nil"/>
            </w:tcBorders>
          </w:tcPr>
          <w:p>
            <w:pPr>
              <w:pStyle w:val="TableParagraph"/>
              <w:spacing w:line="206" w:lineRule="exact"/>
              <w:ind w:left="0" w:right="24"/>
              <w:rPr>
                <w:sz w:val="18"/>
              </w:rPr>
            </w:pPr>
            <w:r>
              <w:rPr>
                <w:w w:val="99"/>
                <w:sz w:val="18"/>
              </w:rPr>
              <w:t>0</w:t>
            </w:r>
          </w:p>
        </w:tc>
        <w:tc>
          <w:tcPr>
            <w:tcW w:w="1126" w:type="dxa"/>
            <w:tcBorders>
              <w:left w:val="nil"/>
              <w:right w:val="nil"/>
            </w:tcBorders>
          </w:tcPr>
          <w:p>
            <w:pPr>
              <w:pStyle w:val="TableParagraph"/>
              <w:spacing w:line="206" w:lineRule="exact"/>
              <w:ind w:left="206" w:right="287"/>
              <w:rPr>
                <w:sz w:val="18"/>
              </w:rPr>
            </w:pPr>
            <w:r>
              <w:rPr>
                <w:sz w:val="18"/>
              </w:rPr>
              <w:t>3.01</w:t>
            </w:r>
          </w:p>
        </w:tc>
        <w:tc>
          <w:tcPr>
            <w:tcW w:w="1245" w:type="dxa"/>
            <w:tcBorders>
              <w:left w:val="nil"/>
            </w:tcBorders>
          </w:tcPr>
          <w:p>
            <w:pPr>
              <w:pStyle w:val="TableParagraph"/>
              <w:spacing w:line="206" w:lineRule="exact"/>
              <w:ind w:left="290" w:right="273"/>
              <w:rPr>
                <w:sz w:val="18"/>
              </w:rPr>
            </w:pPr>
            <w:r>
              <w:rPr>
                <w:sz w:val="18"/>
              </w:rPr>
              <w:t>3.01</w:t>
            </w:r>
          </w:p>
        </w:tc>
      </w:tr>
      <w:tr>
        <w:trPr>
          <w:trHeight w:val="247" w:hRule="exact"/>
        </w:trPr>
        <w:tc>
          <w:tcPr>
            <w:tcW w:w="1652" w:type="dxa"/>
            <w:tcBorders>
              <w:right w:val="nil"/>
            </w:tcBorders>
          </w:tcPr>
          <w:p>
            <w:pPr>
              <w:pStyle w:val="TableParagraph"/>
              <w:spacing w:line="201" w:lineRule="exact"/>
              <w:ind w:right="453"/>
              <w:jc w:val="left"/>
              <w:rPr>
                <w:b/>
                <w:sz w:val="18"/>
              </w:rPr>
            </w:pPr>
            <w:r>
              <w:rPr>
                <w:b/>
                <w:sz w:val="18"/>
              </w:rPr>
              <w:t>Ixtlahuaca</w:t>
            </w:r>
          </w:p>
        </w:tc>
        <w:tc>
          <w:tcPr>
            <w:tcW w:w="1036" w:type="dxa"/>
            <w:tcBorders>
              <w:left w:val="nil"/>
              <w:right w:val="nil"/>
            </w:tcBorders>
          </w:tcPr>
          <w:p>
            <w:pPr>
              <w:pStyle w:val="TableParagraph"/>
              <w:spacing w:line="206" w:lineRule="exact"/>
              <w:ind w:left="252" w:right="252"/>
              <w:rPr>
                <w:sz w:val="18"/>
              </w:rPr>
            </w:pPr>
            <w:r>
              <w:rPr>
                <w:sz w:val="18"/>
              </w:rPr>
              <w:t>4.3</w:t>
            </w:r>
          </w:p>
        </w:tc>
        <w:tc>
          <w:tcPr>
            <w:tcW w:w="1378" w:type="dxa"/>
            <w:tcBorders>
              <w:left w:val="nil"/>
              <w:right w:val="nil"/>
            </w:tcBorders>
          </w:tcPr>
          <w:p>
            <w:pPr>
              <w:pStyle w:val="TableParagraph"/>
              <w:spacing w:line="206" w:lineRule="exact"/>
              <w:ind w:left="570" w:right="515"/>
              <w:rPr>
                <w:sz w:val="18"/>
              </w:rPr>
            </w:pPr>
            <w:r>
              <w:rPr>
                <w:sz w:val="18"/>
              </w:rPr>
              <w:t>2.0</w:t>
            </w:r>
          </w:p>
        </w:tc>
        <w:tc>
          <w:tcPr>
            <w:tcW w:w="1119" w:type="dxa"/>
            <w:tcBorders>
              <w:left w:val="nil"/>
              <w:right w:val="nil"/>
            </w:tcBorders>
          </w:tcPr>
          <w:p>
            <w:pPr>
              <w:pStyle w:val="TableParagraph"/>
              <w:spacing w:line="206" w:lineRule="exact"/>
              <w:ind w:left="194" w:right="173"/>
              <w:rPr>
                <w:sz w:val="18"/>
              </w:rPr>
            </w:pPr>
            <w:r>
              <w:rPr>
                <w:sz w:val="18"/>
              </w:rPr>
              <w:t>4.2</w:t>
            </w:r>
          </w:p>
        </w:tc>
        <w:tc>
          <w:tcPr>
            <w:tcW w:w="1396" w:type="dxa"/>
            <w:tcBorders>
              <w:left w:val="nil"/>
              <w:right w:val="nil"/>
            </w:tcBorders>
          </w:tcPr>
          <w:p>
            <w:pPr>
              <w:pStyle w:val="TableParagraph"/>
              <w:spacing w:line="206" w:lineRule="exact"/>
              <w:ind w:left="441" w:right="460"/>
              <w:rPr>
                <w:sz w:val="18"/>
              </w:rPr>
            </w:pPr>
            <w:r>
              <w:rPr>
                <w:sz w:val="18"/>
              </w:rPr>
              <w:t>48</w:t>
            </w:r>
          </w:p>
        </w:tc>
        <w:tc>
          <w:tcPr>
            <w:tcW w:w="1126" w:type="dxa"/>
            <w:tcBorders>
              <w:left w:val="nil"/>
              <w:right w:val="nil"/>
            </w:tcBorders>
          </w:tcPr>
          <w:p>
            <w:pPr>
              <w:pStyle w:val="TableParagraph"/>
              <w:spacing w:line="206" w:lineRule="exact"/>
              <w:ind w:left="206" w:right="287"/>
              <w:rPr>
                <w:sz w:val="18"/>
              </w:rPr>
            </w:pPr>
            <w:r>
              <w:rPr>
                <w:sz w:val="18"/>
              </w:rPr>
              <w:t>2.98</w:t>
            </w:r>
          </w:p>
        </w:tc>
        <w:tc>
          <w:tcPr>
            <w:tcW w:w="1245" w:type="dxa"/>
            <w:tcBorders>
              <w:left w:val="nil"/>
            </w:tcBorders>
          </w:tcPr>
          <w:p>
            <w:pPr>
              <w:pStyle w:val="TableParagraph"/>
              <w:spacing w:line="206" w:lineRule="exact"/>
              <w:ind w:left="290" w:right="273"/>
              <w:rPr>
                <w:sz w:val="18"/>
              </w:rPr>
            </w:pPr>
            <w:r>
              <w:rPr>
                <w:sz w:val="18"/>
              </w:rPr>
              <w:t>2.98</w:t>
            </w:r>
          </w:p>
        </w:tc>
      </w:tr>
      <w:tr>
        <w:trPr>
          <w:trHeight w:val="247" w:hRule="exact"/>
        </w:trPr>
        <w:tc>
          <w:tcPr>
            <w:tcW w:w="1652" w:type="dxa"/>
            <w:tcBorders>
              <w:right w:val="nil"/>
            </w:tcBorders>
          </w:tcPr>
          <w:p>
            <w:pPr>
              <w:pStyle w:val="TableParagraph"/>
              <w:spacing w:line="201" w:lineRule="exact"/>
              <w:ind w:right="453"/>
              <w:jc w:val="left"/>
              <w:rPr>
                <w:b/>
                <w:sz w:val="18"/>
              </w:rPr>
            </w:pPr>
            <w:r>
              <w:rPr>
                <w:b/>
                <w:sz w:val="18"/>
              </w:rPr>
              <w:t>Metepec</w:t>
            </w:r>
          </w:p>
        </w:tc>
        <w:tc>
          <w:tcPr>
            <w:tcW w:w="1036" w:type="dxa"/>
            <w:tcBorders>
              <w:left w:val="nil"/>
              <w:right w:val="nil"/>
            </w:tcBorders>
          </w:tcPr>
          <w:p>
            <w:pPr>
              <w:pStyle w:val="TableParagraph"/>
              <w:spacing w:line="206" w:lineRule="exact"/>
              <w:ind w:left="252" w:right="252"/>
              <w:rPr>
                <w:sz w:val="18"/>
              </w:rPr>
            </w:pPr>
            <w:r>
              <w:rPr>
                <w:sz w:val="18"/>
              </w:rPr>
              <w:t>3.4</w:t>
            </w:r>
          </w:p>
        </w:tc>
        <w:tc>
          <w:tcPr>
            <w:tcW w:w="1378" w:type="dxa"/>
            <w:tcBorders>
              <w:left w:val="nil"/>
              <w:right w:val="nil"/>
            </w:tcBorders>
          </w:tcPr>
          <w:p>
            <w:pPr>
              <w:pStyle w:val="TableParagraph"/>
              <w:spacing w:line="206" w:lineRule="exact"/>
              <w:ind w:left="570" w:right="515"/>
              <w:rPr>
                <w:sz w:val="18"/>
              </w:rPr>
            </w:pPr>
            <w:r>
              <w:rPr>
                <w:sz w:val="18"/>
              </w:rPr>
              <w:t>0.0</w:t>
            </w:r>
          </w:p>
        </w:tc>
        <w:tc>
          <w:tcPr>
            <w:tcW w:w="1119" w:type="dxa"/>
            <w:tcBorders>
              <w:left w:val="nil"/>
              <w:right w:val="nil"/>
            </w:tcBorders>
          </w:tcPr>
          <w:p>
            <w:pPr>
              <w:pStyle w:val="TableParagraph"/>
              <w:spacing w:line="206" w:lineRule="exact"/>
              <w:ind w:left="194" w:right="173"/>
              <w:rPr>
                <w:sz w:val="18"/>
              </w:rPr>
            </w:pPr>
            <w:r>
              <w:rPr>
                <w:sz w:val="18"/>
              </w:rPr>
              <w:t>0.0</w:t>
            </w:r>
          </w:p>
        </w:tc>
        <w:tc>
          <w:tcPr>
            <w:tcW w:w="1396" w:type="dxa"/>
            <w:tcBorders>
              <w:left w:val="nil"/>
              <w:right w:val="nil"/>
            </w:tcBorders>
          </w:tcPr>
          <w:p>
            <w:pPr>
              <w:pStyle w:val="TableParagraph"/>
              <w:spacing w:line="206" w:lineRule="exact"/>
              <w:ind w:left="0" w:right="24"/>
              <w:rPr>
                <w:sz w:val="18"/>
              </w:rPr>
            </w:pPr>
            <w:r>
              <w:rPr>
                <w:w w:val="99"/>
                <w:sz w:val="18"/>
              </w:rPr>
              <w:t>0</w:t>
            </w:r>
          </w:p>
        </w:tc>
        <w:tc>
          <w:tcPr>
            <w:tcW w:w="1126" w:type="dxa"/>
            <w:tcBorders>
              <w:left w:val="nil"/>
              <w:right w:val="nil"/>
            </w:tcBorders>
          </w:tcPr>
          <w:p>
            <w:pPr>
              <w:pStyle w:val="TableParagraph"/>
              <w:spacing w:line="206" w:lineRule="exact"/>
              <w:ind w:left="206" w:right="287"/>
              <w:rPr>
                <w:sz w:val="18"/>
              </w:rPr>
            </w:pPr>
            <w:r>
              <w:rPr>
                <w:sz w:val="18"/>
              </w:rPr>
              <w:t>3.38</w:t>
            </w:r>
          </w:p>
        </w:tc>
        <w:tc>
          <w:tcPr>
            <w:tcW w:w="1245" w:type="dxa"/>
            <w:tcBorders>
              <w:left w:val="nil"/>
            </w:tcBorders>
          </w:tcPr>
          <w:p>
            <w:pPr>
              <w:pStyle w:val="TableParagraph"/>
              <w:spacing w:line="206" w:lineRule="exact"/>
              <w:ind w:left="290" w:right="273"/>
              <w:rPr>
                <w:sz w:val="18"/>
              </w:rPr>
            </w:pPr>
            <w:r>
              <w:rPr>
                <w:sz w:val="18"/>
              </w:rPr>
              <w:t>3.38</w:t>
            </w:r>
          </w:p>
        </w:tc>
      </w:tr>
      <w:tr>
        <w:trPr>
          <w:trHeight w:val="487" w:hRule="exact"/>
        </w:trPr>
        <w:tc>
          <w:tcPr>
            <w:tcW w:w="1652" w:type="dxa"/>
            <w:tcBorders>
              <w:right w:val="nil"/>
            </w:tcBorders>
          </w:tcPr>
          <w:p>
            <w:pPr>
              <w:pStyle w:val="TableParagraph"/>
              <w:spacing w:line="278" w:lineRule="auto"/>
              <w:ind w:right="623"/>
              <w:jc w:val="left"/>
              <w:rPr>
                <w:b/>
                <w:sz w:val="18"/>
              </w:rPr>
            </w:pPr>
            <w:r>
              <w:rPr>
                <w:b/>
                <w:sz w:val="18"/>
              </w:rPr>
              <w:t>San Mateo Atenco</w:t>
            </w:r>
          </w:p>
        </w:tc>
        <w:tc>
          <w:tcPr>
            <w:tcW w:w="1036" w:type="dxa"/>
            <w:tcBorders>
              <w:left w:val="nil"/>
              <w:right w:val="nil"/>
            </w:tcBorders>
          </w:tcPr>
          <w:p>
            <w:pPr>
              <w:pStyle w:val="TableParagraph"/>
              <w:spacing w:line="206" w:lineRule="exact"/>
              <w:ind w:left="252" w:right="252"/>
              <w:rPr>
                <w:sz w:val="18"/>
              </w:rPr>
            </w:pPr>
            <w:r>
              <w:rPr>
                <w:sz w:val="18"/>
              </w:rPr>
              <w:t>3.0</w:t>
            </w:r>
          </w:p>
        </w:tc>
        <w:tc>
          <w:tcPr>
            <w:tcW w:w="1378" w:type="dxa"/>
            <w:tcBorders>
              <w:left w:val="nil"/>
              <w:right w:val="nil"/>
            </w:tcBorders>
          </w:tcPr>
          <w:p>
            <w:pPr>
              <w:pStyle w:val="TableParagraph"/>
              <w:spacing w:line="206" w:lineRule="exact"/>
              <w:ind w:left="570" w:right="515"/>
              <w:rPr>
                <w:sz w:val="18"/>
              </w:rPr>
            </w:pPr>
            <w:r>
              <w:rPr>
                <w:sz w:val="18"/>
              </w:rPr>
              <w:t>0.0</w:t>
            </w:r>
          </w:p>
        </w:tc>
        <w:tc>
          <w:tcPr>
            <w:tcW w:w="1119" w:type="dxa"/>
            <w:tcBorders>
              <w:left w:val="nil"/>
              <w:right w:val="nil"/>
            </w:tcBorders>
          </w:tcPr>
          <w:p>
            <w:pPr>
              <w:pStyle w:val="TableParagraph"/>
              <w:spacing w:line="206" w:lineRule="exact"/>
              <w:ind w:left="194" w:right="173"/>
              <w:rPr>
                <w:sz w:val="18"/>
              </w:rPr>
            </w:pPr>
            <w:r>
              <w:rPr>
                <w:sz w:val="18"/>
              </w:rPr>
              <w:t>0.0</w:t>
            </w:r>
          </w:p>
        </w:tc>
        <w:tc>
          <w:tcPr>
            <w:tcW w:w="1396" w:type="dxa"/>
            <w:tcBorders>
              <w:left w:val="nil"/>
              <w:right w:val="nil"/>
            </w:tcBorders>
          </w:tcPr>
          <w:p>
            <w:pPr>
              <w:pStyle w:val="TableParagraph"/>
              <w:spacing w:line="206" w:lineRule="exact"/>
              <w:ind w:left="0" w:right="24"/>
              <w:rPr>
                <w:sz w:val="18"/>
              </w:rPr>
            </w:pPr>
            <w:r>
              <w:rPr>
                <w:w w:val="99"/>
                <w:sz w:val="18"/>
              </w:rPr>
              <w:t>0</w:t>
            </w:r>
          </w:p>
        </w:tc>
        <w:tc>
          <w:tcPr>
            <w:tcW w:w="1126" w:type="dxa"/>
            <w:tcBorders>
              <w:left w:val="nil"/>
              <w:right w:val="nil"/>
            </w:tcBorders>
          </w:tcPr>
          <w:p>
            <w:pPr>
              <w:pStyle w:val="TableParagraph"/>
              <w:spacing w:line="206" w:lineRule="exact"/>
              <w:ind w:left="206" w:right="287"/>
              <w:rPr>
                <w:sz w:val="18"/>
              </w:rPr>
            </w:pPr>
            <w:r>
              <w:rPr>
                <w:sz w:val="18"/>
              </w:rPr>
              <w:t>3.03</w:t>
            </w:r>
          </w:p>
        </w:tc>
        <w:tc>
          <w:tcPr>
            <w:tcW w:w="1245" w:type="dxa"/>
            <w:tcBorders>
              <w:left w:val="nil"/>
            </w:tcBorders>
          </w:tcPr>
          <w:p>
            <w:pPr>
              <w:pStyle w:val="TableParagraph"/>
              <w:spacing w:line="206" w:lineRule="exact"/>
              <w:ind w:left="290" w:right="273"/>
              <w:rPr>
                <w:sz w:val="18"/>
              </w:rPr>
            </w:pPr>
            <w:r>
              <w:rPr>
                <w:sz w:val="18"/>
              </w:rPr>
              <w:t>3.03</w:t>
            </w:r>
          </w:p>
        </w:tc>
      </w:tr>
      <w:tr>
        <w:trPr>
          <w:trHeight w:val="247" w:hRule="exact"/>
        </w:trPr>
        <w:tc>
          <w:tcPr>
            <w:tcW w:w="1652" w:type="dxa"/>
            <w:tcBorders>
              <w:right w:val="nil"/>
            </w:tcBorders>
          </w:tcPr>
          <w:p>
            <w:pPr>
              <w:pStyle w:val="TableParagraph"/>
              <w:spacing w:line="201" w:lineRule="exact"/>
              <w:ind w:right="453"/>
              <w:jc w:val="left"/>
              <w:rPr>
                <w:b/>
                <w:sz w:val="18"/>
              </w:rPr>
            </w:pPr>
            <w:r>
              <w:rPr>
                <w:b/>
                <w:sz w:val="18"/>
              </w:rPr>
              <w:t>Texcatitlán</w:t>
            </w:r>
          </w:p>
        </w:tc>
        <w:tc>
          <w:tcPr>
            <w:tcW w:w="1036" w:type="dxa"/>
            <w:tcBorders>
              <w:left w:val="nil"/>
              <w:right w:val="nil"/>
            </w:tcBorders>
          </w:tcPr>
          <w:p>
            <w:pPr>
              <w:pStyle w:val="TableParagraph"/>
              <w:spacing w:line="206" w:lineRule="exact"/>
              <w:ind w:left="252" w:right="252"/>
              <w:rPr>
                <w:sz w:val="18"/>
              </w:rPr>
            </w:pPr>
            <w:r>
              <w:rPr>
                <w:sz w:val="18"/>
              </w:rPr>
              <w:t>3.7</w:t>
            </w:r>
          </w:p>
        </w:tc>
        <w:tc>
          <w:tcPr>
            <w:tcW w:w="1378" w:type="dxa"/>
            <w:tcBorders>
              <w:left w:val="nil"/>
              <w:right w:val="nil"/>
            </w:tcBorders>
          </w:tcPr>
          <w:p>
            <w:pPr>
              <w:pStyle w:val="TableParagraph"/>
              <w:spacing w:line="206" w:lineRule="exact"/>
              <w:ind w:left="570" w:right="515"/>
              <w:rPr>
                <w:sz w:val="18"/>
              </w:rPr>
            </w:pPr>
            <w:r>
              <w:rPr>
                <w:sz w:val="18"/>
              </w:rPr>
              <w:t>0.2</w:t>
            </w:r>
          </w:p>
        </w:tc>
        <w:tc>
          <w:tcPr>
            <w:tcW w:w="1119" w:type="dxa"/>
            <w:tcBorders>
              <w:left w:val="nil"/>
              <w:right w:val="nil"/>
            </w:tcBorders>
          </w:tcPr>
          <w:p>
            <w:pPr>
              <w:pStyle w:val="TableParagraph"/>
              <w:spacing w:line="206" w:lineRule="exact"/>
              <w:ind w:left="194" w:right="173"/>
              <w:rPr>
                <w:sz w:val="18"/>
              </w:rPr>
            </w:pPr>
            <w:r>
              <w:rPr>
                <w:sz w:val="18"/>
              </w:rPr>
              <w:t>0.0</w:t>
            </w:r>
          </w:p>
        </w:tc>
        <w:tc>
          <w:tcPr>
            <w:tcW w:w="1396" w:type="dxa"/>
            <w:tcBorders>
              <w:left w:val="nil"/>
              <w:right w:val="nil"/>
            </w:tcBorders>
          </w:tcPr>
          <w:p>
            <w:pPr>
              <w:pStyle w:val="TableParagraph"/>
              <w:spacing w:line="206" w:lineRule="exact"/>
              <w:ind w:left="441" w:right="463"/>
              <w:rPr>
                <w:sz w:val="18"/>
              </w:rPr>
            </w:pPr>
            <w:r>
              <w:rPr>
                <w:sz w:val="18"/>
              </w:rPr>
              <w:t>5.9</w:t>
            </w:r>
          </w:p>
        </w:tc>
        <w:tc>
          <w:tcPr>
            <w:tcW w:w="1126" w:type="dxa"/>
            <w:tcBorders>
              <w:left w:val="nil"/>
              <w:right w:val="nil"/>
            </w:tcBorders>
          </w:tcPr>
          <w:p>
            <w:pPr>
              <w:pStyle w:val="TableParagraph"/>
              <w:spacing w:line="206" w:lineRule="exact"/>
              <w:ind w:left="206" w:right="287"/>
              <w:rPr>
                <w:sz w:val="18"/>
              </w:rPr>
            </w:pPr>
            <w:r>
              <w:rPr>
                <w:sz w:val="18"/>
              </w:rPr>
              <w:t>3.56</w:t>
            </w:r>
          </w:p>
        </w:tc>
        <w:tc>
          <w:tcPr>
            <w:tcW w:w="1245" w:type="dxa"/>
            <w:tcBorders>
              <w:left w:val="nil"/>
            </w:tcBorders>
          </w:tcPr>
          <w:p>
            <w:pPr>
              <w:pStyle w:val="TableParagraph"/>
              <w:spacing w:line="206" w:lineRule="exact"/>
              <w:ind w:left="290" w:right="273"/>
              <w:rPr>
                <w:sz w:val="18"/>
              </w:rPr>
            </w:pPr>
            <w:r>
              <w:rPr>
                <w:sz w:val="18"/>
              </w:rPr>
              <w:t>3.56</w:t>
            </w:r>
          </w:p>
        </w:tc>
      </w:tr>
      <w:tr>
        <w:trPr>
          <w:trHeight w:val="247" w:hRule="exact"/>
        </w:trPr>
        <w:tc>
          <w:tcPr>
            <w:tcW w:w="1652" w:type="dxa"/>
            <w:tcBorders>
              <w:right w:val="nil"/>
            </w:tcBorders>
          </w:tcPr>
          <w:p>
            <w:pPr>
              <w:pStyle w:val="TableParagraph"/>
              <w:spacing w:line="201" w:lineRule="exact"/>
              <w:ind w:right="453"/>
              <w:jc w:val="left"/>
              <w:rPr>
                <w:b/>
                <w:sz w:val="18"/>
              </w:rPr>
            </w:pPr>
            <w:r>
              <w:rPr>
                <w:b/>
                <w:sz w:val="18"/>
              </w:rPr>
              <w:t>Toluca</w:t>
            </w:r>
          </w:p>
        </w:tc>
        <w:tc>
          <w:tcPr>
            <w:tcW w:w="1036" w:type="dxa"/>
            <w:tcBorders>
              <w:left w:val="nil"/>
              <w:right w:val="nil"/>
            </w:tcBorders>
          </w:tcPr>
          <w:p>
            <w:pPr>
              <w:pStyle w:val="TableParagraph"/>
              <w:spacing w:line="206" w:lineRule="exact"/>
              <w:ind w:left="252" w:right="252"/>
              <w:rPr>
                <w:sz w:val="18"/>
              </w:rPr>
            </w:pPr>
            <w:r>
              <w:rPr>
                <w:sz w:val="18"/>
              </w:rPr>
              <w:t>3.1</w:t>
            </w:r>
          </w:p>
        </w:tc>
        <w:tc>
          <w:tcPr>
            <w:tcW w:w="1378" w:type="dxa"/>
            <w:tcBorders>
              <w:left w:val="nil"/>
              <w:right w:val="nil"/>
            </w:tcBorders>
          </w:tcPr>
          <w:p>
            <w:pPr>
              <w:pStyle w:val="TableParagraph"/>
              <w:spacing w:line="206" w:lineRule="exact"/>
              <w:ind w:left="570" w:right="515"/>
              <w:rPr>
                <w:sz w:val="18"/>
              </w:rPr>
            </w:pPr>
            <w:r>
              <w:rPr>
                <w:sz w:val="18"/>
              </w:rPr>
              <w:t>0.5</w:t>
            </w:r>
          </w:p>
        </w:tc>
        <w:tc>
          <w:tcPr>
            <w:tcW w:w="1119" w:type="dxa"/>
            <w:tcBorders>
              <w:left w:val="nil"/>
              <w:right w:val="nil"/>
            </w:tcBorders>
          </w:tcPr>
          <w:p>
            <w:pPr>
              <w:pStyle w:val="TableParagraph"/>
              <w:spacing w:line="206" w:lineRule="exact"/>
              <w:ind w:left="194" w:right="173"/>
              <w:rPr>
                <w:sz w:val="18"/>
              </w:rPr>
            </w:pPr>
            <w:r>
              <w:rPr>
                <w:sz w:val="18"/>
              </w:rPr>
              <w:t>0.2</w:t>
            </w:r>
          </w:p>
        </w:tc>
        <w:tc>
          <w:tcPr>
            <w:tcW w:w="1396" w:type="dxa"/>
            <w:tcBorders>
              <w:left w:val="nil"/>
              <w:right w:val="nil"/>
            </w:tcBorders>
          </w:tcPr>
          <w:p>
            <w:pPr>
              <w:pStyle w:val="TableParagraph"/>
              <w:spacing w:line="206" w:lineRule="exact"/>
              <w:ind w:left="441" w:right="463"/>
              <w:rPr>
                <w:sz w:val="18"/>
              </w:rPr>
            </w:pPr>
            <w:r>
              <w:rPr>
                <w:sz w:val="18"/>
              </w:rPr>
              <w:t>14.8</w:t>
            </w:r>
          </w:p>
        </w:tc>
        <w:tc>
          <w:tcPr>
            <w:tcW w:w="1126" w:type="dxa"/>
            <w:tcBorders>
              <w:left w:val="nil"/>
              <w:right w:val="nil"/>
            </w:tcBorders>
          </w:tcPr>
          <w:p>
            <w:pPr>
              <w:pStyle w:val="TableParagraph"/>
              <w:spacing w:line="206" w:lineRule="exact"/>
              <w:ind w:left="206" w:right="287"/>
              <w:rPr>
                <w:sz w:val="18"/>
              </w:rPr>
            </w:pPr>
            <w:r>
              <w:rPr>
                <w:sz w:val="18"/>
              </w:rPr>
              <w:t>2.65</w:t>
            </w:r>
          </w:p>
        </w:tc>
        <w:tc>
          <w:tcPr>
            <w:tcW w:w="1245" w:type="dxa"/>
            <w:tcBorders>
              <w:left w:val="nil"/>
            </w:tcBorders>
          </w:tcPr>
          <w:p>
            <w:pPr>
              <w:pStyle w:val="TableParagraph"/>
              <w:spacing w:line="206" w:lineRule="exact"/>
              <w:ind w:left="290" w:right="273"/>
              <w:rPr>
                <w:sz w:val="18"/>
              </w:rPr>
            </w:pPr>
            <w:r>
              <w:rPr>
                <w:sz w:val="18"/>
              </w:rPr>
              <w:t>2.65</w:t>
            </w:r>
          </w:p>
        </w:tc>
      </w:tr>
      <w:tr>
        <w:trPr>
          <w:trHeight w:val="250" w:hRule="exact"/>
        </w:trPr>
        <w:tc>
          <w:tcPr>
            <w:tcW w:w="1652" w:type="dxa"/>
            <w:tcBorders>
              <w:right w:val="nil"/>
            </w:tcBorders>
          </w:tcPr>
          <w:p>
            <w:pPr>
              <w:pStyle w:val="TableParagraph"/>
              <w:spacing w:line="204" w:lineRule="exact"/>
              <w:jc w:val="left"/>
              <w:rPr>
                <w:b/>
                <w:sz w:val="18"/>
              </w:rPr>
            </w:pPr>
            <w:r>
              <w:rPr>
                <w:b/>
                <w:sz w:val="18"/>
              </w:rPr>
              <w:t>Villa Victoria</w:t>
            </w:r>
          </w:p>
        </w:tc>
        <w:tc>
          <w:tcPr>
            <w:tcW w:w="1036" w:type="dxa"/>
            <w:tcBorders>
              <w:left w:val="nil"/>
              <w:right w:val="nil"/>
            </w:tcBorders>
          </w:tcPr>
          <w:p>
            <w:pPr>
              <w:pStyle w:val="TableParagraph"/>
              <w:spacing w:before="1"/>
              <w:ind w:left="252" w:right="252"/>
              <w:rPr>
                <w:sz w:val="18"/>
              </w:rPr>
            </w:pPr>
            <w:r>
              <w:rPr>
                <w:sz w:val="18"/>
              </w:rPr>
              <w:t>3.2</w:t>
            </w:r>
          </w:p>
        </w:tc>
        <w:tc>
          <w:tcPr>
            <w:tcW w:w="1378" w:type="dxa"/>
            <w:tcBorders>
              <w:left w:val="nil"/>
              <w:right w:val="nil"/>
            </w:tcBorders>
          </w:tcPr>
          <w:p>
            <w:pPr>
              <w:pStyle w:val="TableParagraph"/>
              <w:spacing w:before="1"/>
              <w:ind w:left="570" w:right="515"/>
              <w:rPr>
                <w:sz w:val="18"/>
              </w:rPr>
            </w:pPr>
            <w:r>
              <w:rPr>
                <w:sz w:val="18"/>
              </w:rPr>
              <w:t>0.3</w:t>
            </w:r>
          </w:p>
        </w:tc>
        <w:tc>
          <w:tcPr>
            <w:tcW w:w="1119" w:type="dxa"/>
            <w:tcBorders>
              <w:left w:val="nil"/>
              <w:right w:val="nil"/>
            </w:tcBorders>
          </w:tcPr>
          <w:p>
            <w:pPr>
              <w:pStyle w:val="TableParagraph"/>
              <w:spacing w:before="1"/>
              <w:ind w:left="194" w:right="173"/>
              <w:rPr>
                <w:sz w:val="18"/>
              </w:rPr>
            </w:pPr>
            <w:r>
              <w:rPr>
                <w:sz w:val="18"/>
              </w:rPr>
              <w:t>0.1</w:t>
            </w:r>
          </w:p>
        </w:tc>
        <w:tc>
          <w:tcPr>
            <w:tcW w:w="1396" w:type="dxa"/>
            <w:tcBorders>
              <w:left w:val="nil"/>
              <w:right w:val="nil"/>
            </w:tcBorders>
          </w:tcPr>
          <w:p>
            <w:pPr>
              <w:pStyle w:val="TableParagraph"/>
              <w:spacing w:before="1"/>
              <w:ind w:left="441" w:right="463"/>
              <w:rPr>
                <w:sz w:val="18"/>
              </w:rPr>
            </w:pPr>
            <w:r>
              <w:rPr>
                <w:sz w:val="18"/>
              </w:rPr>
              <w:t>10.45</w:t>
            </w:r>
          </w:p>
        </w:tc>
        <w:tc>
          <w:tcPr>
            <w:tcW w:w="1126" w:type="dxa"/>
            <w:tcBorders>
              <w:left w:val="nil"/>
              <w:right w:val="nil"/>
            </w:tcBorders>
          </w:tcPr>
          <w:p>
            <w:pPr>
              <w:pStyle w:val="TableParagraph"/>
              <w:spacing w:before="1"/>
              <w:ind w:left="206" w:right="287"/>
              <w:rPr>
                <w:sz w:val="18"/>
              </w:rPr>
            </w:pPr>
            <w:r>
              <w:rPr>
                <w:sz w:val="18"/>
              </w:rPr>
              <w:t>2.62</w:t>
            </w:r>
          </w:p>
        </w:tc>
        <w:tc>
          <w:tcPr>
            <w:tcW w:w="1245" w:type="dxa"/>
            <w:tcBorders>
              <w:left w:val="nil"/>
            </w:tcBorders>
          </w:tcPr>
          <w:p>
            <w:pPr>
              <w:pStyle w:val="TableParagraph"/>
              <w:spacing w:before="1"/>
              <w:ind w:left="290" w:right="273"/>
              <w:rPr>
                <w:sz w:val="18"/>
              </w:rPr>
            </w:pPr>
            <w:r>
              <w:rPr>
                <w:sz w:val="18"/>
              </w:rPr>
              <w:t>2.62</w:t>
            </w:r>
          </w:p>
        </w:tc>
      </w:tr>
      <w:tr>
        <w:trPr>
          <w:trHeight w:val="247" w:hRule="exact"/>
        </w:trPr>
        <w:tc>
          <w:tcPr>
            <w:tcW w:w="1652" w:type="dxa"/>
            <w:tcBorders>
              <w:right w:val="nil"/>
            </w:tcBorders>
          </w:tcPr>
          <w:p>
            <w:pPr>
              <w:pStyle w:val="TableParagraph"/>
              <w:spacing w:line="201" w:lineRule="exact"/>
              <w:jc w:val="left"/>
              <w:rPr>
                <w:b/>
                <w:sz w:val="18"/>
              </w:rPr>
            </w:pPr>
            <w:r>
              <w:rPr>
                <w:b/>
                <w:sz w:val="18"/>
              </w:rPr>
              <w:t>Zinacantepec</w:t>
            </w:r>
          </w:p>
        </w:tc>
        <w:tc>
          <w:tcPr>
            <w:tcW w:w="1036" w:type="dxa"/>
            <w:tcBorders>
              <w:left w:val="nil"/>
              <w:right w:val="nil"/>
            </w:tcBorders>
          </w:tcPr>
          <w:p>
            <w:pPr>
              <w:pStyle w:val="TableParagraph"/>
              <w:spacing w:line="206" w:lineRule="exact"/>
              <w:ind w:left="252" w:right="252"/>
              <w:rPr>
                <w:sz w:val="18"/>
              </w:rPr>
            </w:pPr>
            <w:r>
              <w:rPr>
                <w:sz w:val="18"/>
              </w:rPr>
              <w:t>3.6</w:t>
            </w:r>
          </w:p>
        </w:tc>
        <w:tc>
          <w:tcPr>
            <w:tcW w:w="1378" w:type="dxa"/>
            <w:tcBorders>
              <w:left w:val="nil"/>
              <w:right w:val="nil"/>
            </w:tcBorders>
          </w:tcPr>
          <w:p>
            <w:pPr>
              <w:pStyle w:val="TableParagraph"/>
              <w:spacing w:line="206" w:lineRule="exact"/>
              <w:ind w:left="570" w:right="515"/>
              <w:rPr>
                <w:sz w:val="18"/>
              </w:rPr>
            </w:pPr>
            <w:r>
              <w:rPr>
                <w:sz w:val="18"/>
              </w:rPr>
              <w:t>0.0</w:t>
            </w:r>
          </w:p>
        </w:tc>
        <w:tc>
          <w:tcPr>
            <w:tcW w:w="1119" w:type="dxa"/>
            <w:tcBorders>
              <w:left w:val="nil"/>
              <w:right w:val="nil"/>
            </w:tcBorders>
          </w:tcPr>
          <w:p>
            <w:pPr>
              <w:pStyle w:val="TableParagraph"/>
              <w:spacing w:line="206" w:lineRule="exact"/>
              <w:ind w:left="194" w:right="173"/>
              <w:rPr>
                <w:sz w:val="18"/>
              </w:rPr>
            </w:pPr>
            <w:r>
              <w:rPr>
                <w:sz w:val="18"/>
              </w:rPr>
              <w:t>0.0</w:t>
            </w:r>
          </w:p>
        </w:tc>
        <w:tc>
          <w:tcPr>
            <w:tcW w:w="1396" w:type="dxa"/>
            <w:tcBorders>
              <w:left w:val="nil"/>
              <w:right w:val="nil"/>
            </w:tcBorders>
          </w:tcPr>
          <w:p>
            <w:pPr>
              <w:pStyle w:val="TableParagraph"/>
              <w:spacing w:line="206" w:lineRule="exact"/>
              <w:ind w:left="0" w:right="24"/>
              <w:rPr>
                <w:sz w:val="18"/>
              </w:rPr>
            </w:pPr>
            <w:r>
              <w:rPr>
                <w:w w:val="99"/>
                <w:sz w:val="18"/>
              </w:rPr>
              <w:t>0</w:t>
            </w:r>
          </w:p>
        </w:tc>
        <w:tc>
          <w:tcPr>
            <w:tcW w:w="1126" w:type="dxa"/>
            <w:tcBorders>
              <w:left w:val="nil"/>
              <w:right w:val="nil"/>
            </w:tcBorders>
          </w:tcPr>
          <w:p>
            <w:pPr>
              <w:pStyle w:val="TableParagraph"/>
              <w:spacing w:line="206" w:lineRule="exact"/>
              <w:ind w:left="206" w:right="287"/>
              <w:rPr>
                <w:sz w:val="18"/>
              </w:rPr>
            </w:pPr>
            <w:r>
              <w:rPr>
                <w:sz w:val="18"/>
              </w:rPr>
              <w:t>3.63</w:t>
            </w:r>
          </w:p>
        </w:tc>
        <w:tc>
          <w:tcPr>
            <w:tcW w:w="1245" w:type="dxa"/>
            <w:tcBorders>
              <w:left w:val="nil"/>
            </w:tcBorders>
          </w:tcPr>
          <w:p>
            <w:pPr>
              <w:pStyle w:val="TableParagraph"/>
              <w:spacing w:line="206" w:lineRule="exact"/>
              <w:ind w:left="290" w:right="273"/>
              <w:rPr>
                <w:sz w:val="18"/>
              </w:rPr>
            </w:pPr>
            <w:r>
              <w:rPr>
                <w:sz w:val="18"/>
              </w:rPr>
              <w:t>3.63</w:t>
            </w:r>
          </w:p>
        </w:tc>
      </w:tr>
    </w:tbl>
    <w:p>
      <w:pPr>
        <w:spacing w:after="0" w:line="206" w:lineRule="exact"/>
        <w:rPr>
          <w:sz w:val="18"/>
        </w:rPr>
        <w:sectPr>
          <w:pgSz w:w="12240" w:h="15840"/>
          <w:pgMar w:header="728" w:footer="710" w:top="1200" w:bottom="900" w:left="1560" w:right="1220"/>
        </w:sectPr>
      </w:pPr>
    </w:p>
    <w:p>
      <w:pPr>
        <w:pStyle w:val="BodyText"/>
        <w:spacing w:before="7"/>
        <w:rPr>
          <w:sz w:val="12"/>
        </w:rPr>
      </w:pPr>
    </w:p>
    <w:p>
      <w:pPr>
        <w:pStyle w:val="BodyText"/>
        <w:spacing w:before="69"/>
        <w:ind w:left="142"/>
        <w:jc w:val="both"/>
      </w:pPr>
      <w:r>
        <w:rPr/>
        <w:t>Cloruro de Sodio (NaCl)</w:t>
      </w:r>
    </w:p>
    <w:p>
      <w:pPr>
        <w:pStyle w:val="BodyText"/>
        <w:spacing w:before="7"/>
      </w:pPr>
    </w:p>
    <w:p>
      <w:pPr>
        <w:pStyle w:val="BodyText"/>
        <w:spacing w:line="276" w:lineRule="auto"/>
        <w:ind w:left="142" w:right="243"/>
        <w:jc w:val="both"/>
      </w:pPr>
      <w:r>
        <w:rPr/>
        <w:t>El</w:t>
      </w:r>
      <w:r>
        <w:rPr>
          <w:spacing w:val="-14"/>
        </w:rPr>
        <w:t> </w:t>
      </w:r>
      <w:r>
        <w:rPr/>
        <w:t>mayor</w:t>
      </w:r>
      <w:r>
        <w:rPr>
          <w:spacing w:val="-15"/>
        </w:rPr>
        <w:t> </w:t>
      </w:r>
      <w:r>
        <w:rPr/>
        <w:t>porcentaje</w:t>
      </w:r>
      <w:r>
        <w:rPr>
          <w:spacing w:val="-13"/>
        </w:rPr>
        <w:t> </w:t>
      </w:r>
      <w:r>
        <w:rPr/>
        <w:t>de</w:t>
      </w:r>
      <w:r>
        <w:rPr>
          <w:spacing w:val="-15"/>
        </w:rPr>
        <w:t> </w:t>
      </w:r>
      <w:r>
        <w:rPr/>
        <w:t>NaCl</w:t>
      </w:r>
      <w:r>
        <w:rPr>
          <w:spacing w:val="-14"/>
        </w:rPr>
        <w:t> </w:t>
      </w:r>
      <w:r>
        <w:rPr/>
        <w:t>se</w:t>
      </w:r>
      <w:r>
        <w:rPr>
          <w:spacing w:val="-13"/>
        </w:rPr>
        <w:t> </w:t>
      </w:r>
      <w:r>
        <w:rPr/>
        <w:t>encontró</w:t>
      </w:r>
      <w:r>
        <w:rPr>
          <w:spacing w:val="-13"/>
        </w:rPr>
        <w:t> </w:t>
      </w:r>
      <w:r>
        <w:rPr/>
        <w:t>en</w:t>
      </w:r>
      <w:r>
        <w:rPr>
          <w:spacing w:val="-13"/>
        </w:rPr>
        <w:t> </w:t>
      </w:r>
      <w:r>
        <w:rPr/>
        <w:t>el</w:t>
      </w:r>
      <w:r>
        <w:rPr>
          <w:spacing w:val="-14"/>
        </w:rPr>
        <w:t> </w:t>
      </w:r>
      <w:r>
        <w:rPr/>
        <w:t>queso</w:t>
      </w:r>
      <w:r>
        <w:rPr>
          <w:spacing w:val="-13"/>
        </w:rPr>
        <w:t> </w:t>
      </w:r>
      <w:r>
        <w:rPr/>
        <w:t>procedente</w:t>
      </w:r>
      <w:r>
        <w:rPr>
          <w:spacing w:val="-13"/>
        </w:rPr>
        <w:t> </w:t>
      </w:r>
      <w:r>
        <w:rPr/>
        <w:t>de</w:t>
      </w:r>
      <w:r>
        <w:rPr>
          <w:spacing w:val="-16"/>
        </w:rPr>
        <w:t> </w:t>
      </w:r>
      <w:r>
        <w:rPr/>
        <w:t>Texcatitlán</w:t>
      </w:r>
      <w:r>
        <w:rPr>
          <w:spacing w:val="-13"/>
        </w:rPr>
        <w:t> </w:t>
      </w:r>
      <w:r>
        <w:rPr/>
        <w:t>con 1.1%, seguido de Villa Victoria con 1%, en los municipios de Zinacantepec, Metepec, Ecatepec y Almoloya de Juárez se encontró un porcentaje de 0.8%, mientras que en los municipios de Toluca, San Mateo Atenco, Ixtlahuaca, Guadalajara y Aculco el valor fue de 0.7% como se muestra en el cuadro</w:t>
      </w:r>
      <w:r>
        <w:rPr>
          <w:spacing w:val="-27"/>
        </w:rPr>
        <w:t> </w:t>
      </w:r>
      <w:r>
        <w:rPr/>
        <w:t>17.</w:t>
      </w:r>
    </w:p>
    <w:p>
      <w:pPr>
        <w:pStyle w:val="BodyText"/>
        <w:spacing w:before="10"/>
        <w:rPr>
          <w:sz w:val="20"/>
        </w:rPr>
      </w:pPr>
    </w:p>
    <w:p>
      <w:pPr>
        <w:pStyle w:val="BodyText"/>
        <w:ind w:left="142"/>
        <w:jc w:val="both"/>
      </w:pPr>
      <w:r>
        <w:rPr/>
        <w:t>Cuadro 17: Valores de NaCl en los quesos frescos mostrados por municipio.</w:t>
      </w:r>
    </w:p>
    <w:p>
      <w:pPr>
        <w:pStyle w:val="BodyText"/>
        <w:spacing w:before="4"/>
        <w:rPr>
          <w:sz w:val="14"/>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4"/>
        <w:gridCol w:w="1073"/>
        <w:gridCol w:w="1365"/>
        <w:gridCol w:w="1113"/>
        <w:gridCol w:w="1394"/>
        <w:gridCol w:w="1137"/>
        <w:gridCol w:w="1248"/>
      </w:tblGrid>
      <w:tr>
        <w:trPr>
          <w:trHeight w:val="290" w:hRule="exact"/>
        </w:trPr>
        <w:tc>
          <w:tcPr>
            <w:tcW w:w="8954" w:type="dxa"/>
            <w:gridSpan w:val="7"/>
            <w:tcBorders>
              <w:right w:val="nil"/>
            </w:tcBorders>
            <w:shd w:val="clear" w:color="auto" w:fill="A6A6A6"/>
          </w:tcPr>
          <w:p>
            <w:pPr>
              <w:pStyle w:val="TableParagraph"/>
              <w:spacing w:line="243" w:lineRule="exact"/>
              <w:ind w:left="4179" w:right="4184"/>
              <w:rPr>
                <w:rFonts w:ascii="Calibri"/>
                <w:sz w:val="20"/>
              </w:rPr>
            </w:pPr>
            <w:r>
              <w:rPr>
                <w:rFonts w:ascii="Calibri"/>
                <w:color w:val="FFFFFF"/>
                <w:sz w:val="20"/>
              </w:rPr>
              <w:t>NaCl</w:t>
            </w:r>
          </w:p>
        </w:tc>
      </w:tr>
      <w:tr>
        <w:trPr>
          <w:trHeight w:val="572" w:hRule="exact"/>
        </w:trPr>
        <w:tc>
          <w:tcPr>
            <w:tcW w:w="1624" w:type="dxa"/>
            <w:tcBorders>
              <w:right w:val="nil"/>
            </w:tcBorders>
          </w:tcPr>
          <w:p>
            <w:pPr/>
          </w:p>
        </w:tc>
        <w:tc>
          <w:tcPr>
            <w:tcW w:w="1073" w:type="dxa"/>
            <w:tcBorders>
              <w:left w:val="nil"/>
              <w:right w:val="nil"/>
            </w:tcBorders>
          </w:tcPr>
          <w:p>
            <w:pPr>
              <w:pStyle w:val="TableParagraph"/>
              <w:spacing w:line="243" w:lineRule="exact"/>
              <w:ind w:left="265" w:right="250"/>
              <w:rPr>
                <w:rFonts w:ascii="Calibri"/>
                <w:sz w:val="20"/>
              </w:rPr>
            </w:pPr>
            <w:r>
              <w:rPr>
                <w:rFonts w:ascii="Calibri"/>
                <w:sz w:val="20"/>
              </w:rPr>
              <w:t>Media</w:t>
            </w:r>
          </w:p>
        </w:tc>
        <w:tc>
          <w:tcPr>
            <w:tcW w:w="1365" w:type="dxa"/>
            <w:tcBorders>
              <w:left w:val="nil"/>
              <w:right w:val="nil"/>
            </w:tcBorders>
          </w:tcPr>
          <w:p>
            <w:pPr>
              <w:pStyle w:val="TableParagraph"/>
              <w:spacing w:line="276" w:lineRule="auto"/>
              <w:ind w:left="349" w:hanging="80"/>
              <w:jc w:val="left"/>
              <w:rPr>
                <w:rFonts w:ascii="Calibri" w:hAnsi="Calibri"/>
                <w:sz w:val="20"/>
              </w:rPr>
            </w:pPr>
            <w:r>
              <w:rPr>
                <w:rFonts w:ascii="Calibri" w:hAnsi="Calibri"/>
                <w:sz w:val="20"/>
              </w:rPr>
              <w:t>Desviación estándar</w:t>
            </w:r>
          </w:p>
        </w:tc>
        <w:tc>
          <w:tcPr>
            <w:tcW w:w="1113" w:type="dxa"/>
            <w:tcBorders>
              <w:left w:val="nil"/>
              <w:right w:val="nil"/>
            </w:tcBorders>
          </w:tcPr>
          <w:p>
            <w:pPr>
              <w:pStyle w:val="TableParagraph"/>
              <w:spacing w:line="243" w:lineRule="exact"/>
              <w:ind w:left="199" w:right="172"/>
              <w:rPr>
                <w:rFonts w:ascii="Calibri"/>
                <w:sz w:val="20"/>
              </w:rPr>
            </w:pPr>
            <w:r>
              <w:rPr>
                <w:rFonts w:ascii="Calibri"/>
                <w:sz w:val="20"/>
              </w:rPr>
              <w:t>Varianza</w:t>
            </w:r>
          </w:p>
        </w:tc>
        <w:tc>
          <w:tcPr>
            <w:tcW w:w="1394" w:type="dxa"/>
            <w:tcBorders>
              <w:left w:val="nil"/>
              <w:right w:val="nil"/>
            </w:tcBorders>
          </w:tcPr>
          <w:p>
            <w:pPr>
              <w:pStyle w:val="TableParagraph"/>
              <w:spacing w:line="276" w:lineRule="auto"/>
              <w:ind w:left="199" w:right="54" w:firstLine="36"/>
              <w:jc w:val="left"/>
              <w:rPr>
                <w:rFonts w:ascii="Calibri" w:hAnsi="Calibri"/>
                <w:sz w:val="20"/>
              </w:rPr>
            </w:pPr>
            <w:r>
              <w:rPr>
                <w:rFonts w:ascii="Calibri" w:hAnsi="Calibri"/>
                <w:sz w:val="20"/>
              </w:rPr>
              <w:t>Coeficiente de variación</w:t>
            </w:r>
          </w:p>
        </w:tc>
        <w:tc>
          <w:tcPr>
            <w:tcW w:w="1137" w:type="dxa"/>
            <w:tcBorders>
              <w:left w:val="nil"/>
              <w:right w:val="nil"/>
            </w:tcBorders>
          </w:tcPr>
          <w:p>
            <w:pPr>
              <w:pStyle w:val="TableParagraph"/>
              <w:spacing w:line="243" w:lineRule="exact"/>
              <w:ind w:left="192" w:right="272"/>
              <w:rPr>
                <w:rFonts w:ascii="Calibri" w:hAnsi="Calibri"/>
                <w:sz w:val="20"/>
              </w:rPr>
            </w:pPr>
            <w:r>
              <w:rPr>
                <w:rFonts w:ascii="Calibri" w:hAnsi="Calibri"/>
                <w:sz w:val="20"/>
              </w:rPr>
              <w:t>Mínimo</w:t>
            </w:r>
          </w:p>
        </w:tc>
        <w:tc>
          <w:tcPr>
            <w:tcW w:w="1248" w:type="dxa"/>
            <w:tcBorders>
              <w:left w:val="nil"/>
            </w:tcBorders>
          </w:tcPr>
          <w:p>
            <w:pPr>
              <w:pStyle w:val="TableParagraph"/>
              <w:spacing w:line="243" w:lineRule="exact"/>
              <w:ind w:left="272" w:right="266"/>
              <w:rPr>
                <w:rFonts w:ascii="Calibri" w:hAnsi="Calibri"/>
                <w:sz w:val="20"/>
              </w:rPr>
            </w:pPr>
            <w:r>
              <w:rPr>
                <w:rFonts w:ascii="Calibri" w:hAnsi="Calibri"/>
                <w:sz w:val="20"/>
              </w:rPr>
              <w:t>Máximo</w:t>
            </w:r>
          </w:p>
        </w:tc>
      </w:tr>
      <w:tr>
        <w:trPr>
          <w:trHeight w:val="290" w:hRule="exact"/>
        </w:trPr>
        <w:tc>
          <w:tcPr>
            <w:tcW w:w="1624" w:type="dxa"/>
            <w:tcBorders>
              <w:right w:val="nil"/>
            </w:tcBorders>
          </w:tcPr>
          <w:p>
            <w:pPr>
              <w:pStyle w:val="TableParagraph"/>
              <w:spacing w:line="243" w:lineRule="exact"/>
              <w:ind w:right="49"/>
              <w:jc w:val="left"/>
              <w:rPr>
                <w:rFonts w:ascii="Calibri"/>
                <w:b/>
                <w:sz w:val="20"/>
              </w:rPr>
            </w:pPr>
            <w:r>
              <w:rPr>
                <w:rFonts w:ascii="Calibri"/>
                <w:b/>
                <w:sz w:val="20"/>
              </w:rPr>
              <w:t>Aculco</w:t>
            </w:r>
          </w:p>
        </w:tc>
        <w:tc>
          <w:tcPr>
            <w:tcW w:w="1073" w:type="dxa"/>
            <w:tcBorders>
              <w:left w:val="nil"/>
              <w:right w:val="nil"/>
            </w:tcBorders>
          </w:tcPr>
          <w:p>
            <w:pPr>
              <w:pStyle w:val="TableParagraph"/>
              <w:spacing w:line="243" w:lineRule="exact"/>
              <w:ind w:left="265" w:right="249"/>
              <w:rPr>
                <w:rFonts w:ascii="Calibri"/>
                <w:sz w:val="20"/>
              </w:rPr>
            </w:pPr>
            <w:r>
              <w:rPr>
                <w:rFonts w:ascii="Calibri"/>
                <w:sz w:val="20"/>
              </w:rPr>
              <w:t>0.7</w:t>
            </w:r>
          </w:p>
        </w:tc>
        <w:tc>
          <w:tcPr>
            <w:tcW w:w="1365" w:type="dxa"/>
            <w:tcBorders>
              <w:left w:val="nil"/>
              <w:right w:val="nil"/>
            </w:tcBorders>
          </w:tcPr>
          <w:p>
            <w:pPr>
              <w:pStyle w:val="TableParagraph"/>
              <w:spacing w:line="243" w:lineRule="exact"/>
              <w:ind w:left="577"/>
              <w:jc w:val="left"/>
              <w:rPr>
                <w:rFonts w:ascii="Calibri"/>
                <w:sz w:val="20"/>
              </w:rPr>
            </w:pPr>
            <w:r>
              <w:rPr>
                <w:rFonts w:ascii="Calibri"/>
                <w:sz w:val="20"/>
              </w:rPr>
              <w:t>0.1</w:t>
            </w:r>
          </w:p>
        </w:tc>
        <w:tc>
          <w:tcPr>
            <w:tcW w:w="1113" w:type="dxa"/>
            <w:tcBorders>
              <w:left w:val="nil"/>
              <w:right w:val="nil"/>
            </w:tcBorders>
          </w:tcPr>
          <w:p>
            <w:pPr>
              <w:pStyle w:val="TableParagraph"/>
              <w:spacing w:line="243" w:lineRule="exact"/>
              <w:ind w:left="198" w:right="172"/>
              <w:rPr>
                <w:rFonts w:ascii="Calibri"/>
                <w:sz w:val="20"/>
              </w:rPr>
            </w:pPr>
            <w:r>
              <w:rPr>
                <w:rFonts w:ascii="Calibri"/>
                <w:sz w:val="20"/>
              </w:rPr>
              <w:t>0.0</w:t>
            </w:r>
          </w:p>
        </w:tc>
        <w:tc>
          <w:tcPr>
            <w:tcW w:w="1394" w:type="dxa"/>
            <w:tcBorders>
              <w:left w:val="nil"/>
              <w:right w:val="nil"/>
            </w:tcBorders>
          </w:tcPr>
          <w:p>
            <w:pPr>
              <w:pStyle w:val="TableParagraph"/>
              <w:spacing w:line="243" w:lineRule="exact"/>
              <w:ind w:left="444" w:right="454"/>
              <w:rPr>
                <w:rFonts w:ascii="Calibri"/>
                <w:sz w:val="20"/>
              </w:rPr>
            </w:pPr>
            <w:r>
              <w:rPr>
                <w:rFonts w:ascii="Calibri"/>
                <w:sz w:val="20"/>
              </w:rPr>
              <w:t>11.12</w:t>
            </w:r>
          </w:p>
        </w:tc>
        <w:tc>
          <w:tcPr>
            <w:tcW w:w="1137" w:type="dxa"/>
            <w:tcBorders>
              <w:left w:val="nil"/>
              <w:right w:val="nil"/>
            </w:tcBorders>
          </w:tcPr>
          <w:p>
            <w:pPr>
              <w:pStyle w:val="TableParagraph"/>
              <w:spacing w:line="243" w:lineRule="exact"/>
              <w:ind w:left="192" w:right="271"/>
              <w:rPr>
                <w:rFonts w:ascii="Calibri"/>
                <w:sz w:val="20"/>
              </w:rPr>
            </w:pPr>
            <w:r>
              <w:rPr>
                <w:rFonts w:ascii="Calibri"/>
                <w:sz w:val="20"/>
              </w:rPr>
              <w:t>0.63</w:t>
            </w:r>
          </w:p>
        </w:tc>
        <w:tc>
          <w:tcPr>
            <w:tcW w:w="1248" w:type="dxa"/>
            <w:tcBorders>
              <w:left w:val="nil"/>
            </w:tcBorders>
          </w:tcPr>
          <w:p>
            <w:pPr>
              <w:pStyle w:val="TableParagraph"/>
              <w:spacing w:line="243" w:lineRule="exact"/>
              <w:ind w:left="272" w:right="265"/>
              <w:rPr>
                <w:rFonts w:ascii="Calibri"/>
                <w:sz w:val="20"/>
              </w:rPr>
            </w:pPr>
            <w:r>
              <w:rPr>
                <w:rFonts w:ascii="Calibri"/>
                <w:sz w:val="20"/>
              </w:rPr>
              <w:t>0.84</w:t>
            </w:r>
          </w:p>
        </w:tc>
      </w:tr>
      <w:tr>
        <w:trPr>
          <w:trHeight w:val="571" w:hRule="exact"/>
        </w:trPr>
        <w:tc>
          <w:tcPr>
            <w:tcW w:w="1624" w:type="dxa"/>
            <w:tcBorders>
              <w:right w:val="nil"/>
            </w:tcBorders>
          </w:tcPr>
          <w:p>
            <w:pPr>
              <w:pStyle w:val="TableParagraph"/>
              <w:spacing w:line="276" w:lineRule="auto"/>
              <w:ind w:right="49"/>
              <w:jc w:val="left"/>
              <w:rPr>
                <w:rFonts w:ascii="Calibri" w:hAnsi="Calibri"/>
                <w:b/>
                <w:sz w:val="20"/>
              </w:rPr>
            </w:pPr>
            <w:r>
              <w:rPr>
                <w:rFonts w:ascii="Calibri" w:hAnsi="Calibri"/>
                <w:b/>
                <w:sz w:val="20"/>
              </w:rPr>
              <w:t>Almoloya de Juárez</w:t>
            </w:r>
          </w:p>
        </w:tc>
        <w:tc>
          <w:tcPr>
            <w:tcW w:w="1073" w:type="dxa"/>
            <w:tcBorders>
              <w:left w:val="nil"/>
              <w:right w:val="nil"/>
            </w:tcBorders>
          </w:tcPr>
          <w:p>
            <w:pPr>
              <w:pStyle w:val="TableParagraph"/>
              <w:spacing w:line="243" w:lineRule="exact"/>
              <w:ind w:left="265" w:right="249"/>
              <w:rPr>
                <w:rFonts w:ascii="Calibri"/>
                <w:sz w:val="20"/>
              </w:rPr>
            </w:pPr>
            <w:r>
              <w:rPr>
                <w:rFonts w:ascii="Calibri"/>
                <w:sz w:val="20"/>
              </w:rPr>
              <w:t>0.8</w:t>
            </w:r>
          </w:p>
        </w:tc>
        <w:tc>
          <w:tcPr>
            <w:tcW w:w="1365" w:type="dxa"/>
            <w:tcBorders>
              <w:left w:val="nil"/>
              <w:right w:val="nil"/>
            </w:tcBorders>
          </w:tcPr>
          <w:p>
            <w:pPr>
              <w:pStyle w:val="TableParagraph"/>
              <w:spacing w:line="243" w:lineRule="exact"/>
              <w:ind w:left="577"/>
              <w:jc w:val="left"/>
              <w:rPr>
                <w:rFonts w:ascii="Calibri"/>
                <w:sz w:val="20"/>
              </w:rPr>
            </w:pPr>
            <w:r>
              <w:rPr>
                <w:rFonts w:ascii="Calibri"/>
                <w:sz w:val="20"/>
              </w:rPr>
              <w:t>0.1</w:t>
            </w:r>
          </w:p>
        </w:tc>
        <w:tc>
          <w:tcPr>
            <w:tcW w:w="1113" w:type="dxa"/>
            <w:tcBorders>
              <w:left w:val="nil"/>
              <w:right w:val="nil"/>
            </w:tcBorders>
          </w:tcPr>
          <w:p>
            <w:pPr>
              <w:pStyle w:val="TableParagraph"/>
              <w:spacing w:line="243" w:lineRule="exact"/>
              <w:ind w:left="198" w:right="172"/>
              <w:rPr>
                <w:rFonts w:ascii="Calibri"/>
                <w:sz w:val="20"/>
              </w:rPr>
            </w:pPr>
            <w:r>
              <w:rPr>
                <w:rFonts w:ascii="Calibri"/>
                <w:sz w:val="20"/>
              </w:rPr>
              <w:t>0.0</w:t>
            </w:r>
          </w:p>
        </w:tc>
        <w:tc>
          <w:tcPr>
            <w:tcW w:w="1394" w:type="dxa"/>
            <w:tcBorders>
              <w:left w:val="nil"/>
              <w:right w:val="nil"/>
            </w:tcBorders>
          </w:tcPr>
          <w:p>
            <w:pPr>
              <w:pStyle w:val="TableParagraph"/>
              <w:spacing w:line="243" w:lineRule="exact"/>
              <w:ind w:left="444" w:right="454"/>
              <w:rPr>
                <w:rFonts w:ascii="Calibri"/>
                <w:sz w:val="20"/>
              </w:rPr>
            </w:pPr>
            <w:r>
              <w:rPr>
                <w:rFonts w:ascii="Calibri"/>
                <w:sz w:val="20"/>
              </w:rPr>
              <w:t>11.8</w:t>
            </w:r>
          </w:p>
        </w:tc>
        <w:tc>
          <w:tcPr>
            <w:tcW w:w="1137" w:type="dxa"/>
            <w:tcBorders>
              <w:left w:val="nil"/>
              <w:right w:val="nil"/>
            </w:tcBorders>
          </w:tcPr>
          <w:p>
            <w:pPr>
              <w:pStyle w:val="TableParagraph"/>
              <w:spacing w:line="243" w:lineRule="exact"/>
              <w:ind w:left="192" w:right="271"/>
              <w:rPr>
                <w:rFonts w:ascii="Calibri"/>
                <w:sz w:val="20"/>
              </w:rPr>
            </w:pPr>
            <w:r>
              <w:rPr>
                <w:rFonts w:ascii="Calibri"/>
                <w:sz w:val="20"/>
              </w:rPr>
              <w:t>0.73</w:t>
            </w:r>
          </w:p>
        </w:tc>
        <w:tc>
          <w:tcPr>
            <w:tcW w:w="1248" w:type="dxa"/>
            <w:tcBorders>
              <w:left w:val="nil"/>
            </w:tcBorders>
          </w:tcPr>
          <w:p>
            <w:pPr>
              <w:pStyle w:val="TableParagraph"/>
              <w:spacing w:line="243" w:lineRule="exact"/>
              <w:ind w:left="272" w:right="265"/>
              <w:rPr>
                <w:rFonts w:ascii="Calibri"/>
                <w:sz w:val="20"/>
              </w:rPr>
            </w:pPr>
            <w:r>
              <w:rPr>
                <w:rFonts w:ascii="Calibri"/>
                <w:sz w:val="20"/>
              </w:rPr>
              <w:t>0.92</w:t>
            </w:r>
          </w:p>
        </w:tc>
      </w:tr>
      <w:tr>
        <w:trPr>
          <w:trHeight w:val="290" w:hRule="exact"/>
        </w:trPr>
        <w:tc>
          <w:tcPr>
            <w:tcW w:w="1624" w:type="dxa"/>
            <w:tcBorders>
              <w:right w:val="nil"/>
            </w:tcBorders>
          </w:tcPr>
          <w:p>
            <w:pPr>
              <w:pStyle w:val="TableParagraph"/>
              <w:spacing w:line="243" w:lineRule="exact"/>
              <w:ind w:right="49"/>
              <w:jc w:val="left"/>
              <w:rPr>
                <w:rFonts w:ascii="Calibri"/>
                <w:b/>
                <w:sz w:val="20"/>
              </w:rPr>
            </w:pPr>
            <w:r>
              <w:rPr>
                <w:rFonts w:ascii="Calibri"/>
                <w:b/>
                <w:sz w:val="20"/>
              </w:rPr>
              <w:t>Desconoce</w:t>
            </w:r>
          </w:p>
        </w:tc>
        <w:tc>
          <w:tcPr>
            <w:tcW w:w="1073" w:type="dxa"/>
            <w:tcBorders>
              <w:left w:val="nil"/>
              <w:right w:val="nil"/>
            </w:tcBorders>
          </w:tcPr>
          <w:p>
            <w:pPr>
              <w:pStyle w:val="TableParagraph"/>
              <w:spacing w:line="243" w:lineRule="exact"/>
              <w:ind w:left="265" w:right="249"/>
              <w:rPr>
                <w:rFonts w:ascii="Calibri"/>
                <w:sz w:val="20"/>
              </w:rPr>
            </w:pPr>
            <w:r>
              <w:rPr>
                <w:rFonts w:ascii="Calibri"/>
                <w:sz w:val="20"/>
              </w:rPr>
              <w:t>0.8</w:t>
            </w:r>
          </w:p>
        </w:tc>
        <w:tc>
          <w:tcPr>
            <w:tcW w:w="1365" w:type="dxa"/>
            <w:tcBorders>
              <w:left w:val="nil"/>
              <w:right w:val="nil"/>
            </w:tcBorders>
          </w:tcPr>
          <w:p>
            <w:pPr>
              <w:pStyle w:val="TableParagraph"/>
              <w:spacing w:line="243" w:lineRule="exact"/>
              <w:ind w:left="577"/>
              <w:jc w:val="left"/>
              <w:rPr>
                <w:rFonts w:ascii="Calibri"/>
                <w:sz w:val="20"/>
              </w:rPr>
            </w:pPr>
            <w:r>
              <w:rPr>
                <w:rFonts w:ascii="Calibri"/>
                <w:sz w:val="20"/>
              </w:rPr>
              <w:t>0.2</w:t>
            </w:r>
          </w:p>
        </w:tc>
        <w:tc>
          <w:tcPr>
            <w:tcW w:w="1113" w:type="dxa"/>
            <w:tcBorders>
              <w:left w:val="nil"/>
              <w:right w:val="nil"/>
            </w:tcBorders>
          </w:tcPr>
          <w:p>
            <w:pPr>
              <w:pStyle w:val="TableParagraph"/>
              <w:spacing w:line="243" w:lineRule="exact"/>
              <w:ind w:left="198" w:right="172"/>
              <w:rPr>
                <w:rFonts w:ascii="Calibri"/>
                <w:sz w:val="20"/>
              </w:rPr>
            </w:pPr>
            <w:r>
              <w:rPr>
                <w:rFonts w:ascii="Calibri"/>
                <w:sz w:val="20"/>
              </w:rPr>
              <w:t>0.0</w:t>
            </w:r>
          </w:p>
        </w:tc>
        <w:tc>
          <w:tcPr>
            <w:tcW w:w="1394" w:type="dxa"/>
            <w:tcBorders>
              <w:left w:val="nil"/>
              <w:right w:val="nil"/>
            </w:tcBorders>
          </w:tcPr>
          <w:p>
            <w:pPr>
              <w:pStyle w:val="TableParagraph"/>
              <w:spacing w:line="243" w:lineRule="exact"/>
              <w:ind w:left="444" w:right="454"/>
              <w:rPr>
                <w:rFonts w:ascii="Calibri"/>
                <w:sz w:val="20"/>
              </w:rPr>
            </w:pPr>
            <w:r>
              <w:rPr>
                <w:rFonts w:ascii="Calibri"/>
                <w:sz w:val="20"/>
              </w:rPr>
              <w:t>26.27</w:t>
            </w:r>
          </w:p>
        </w:tc>
        <w:tc>
          <w:tcPr>
            <w:tcW w:w="1137" w:type="dxa"/>
            <w:tcBorders>
              <w:left w:val="nil"/>
              <w:right w:val="nil"/>
            </w:tcBorders>
          </w:tcPr>
          <w:p>
            <w:pPr>
              <w:pStyle w:val="TableParagraph"/>
              <w:spacing w:line="243" w:lineRule="exact"/>
              <w:ind w:left="192" w:right="271"/>
              <w:rPr>
                <w:rFonts w:ascii="Calibri"/>
                <w:sz w:val="20"/>
              </w:rPr>
            </w:pPr>
            <w:r>
              <w:rPr>
                <w:rFonts w:ascii="Calibri"/>
                <w:sz w:val="20"/>
              </w:rPr>
              <w:t>0.62</w:t>
            </w:r>
          </w:p>
        </w:tc>
        <w:tc>
          <w:tcPr>
            <w:tcW w:w="1248" w:type="dxa"/>
            <w:tcBorders>
              <w:left w:val="nil"/>
            </w:tcBorders>
          </w:tcPr>
          <w:p>
            <w:pPr>
              <w:pStyle w:val="TableParagraph"/>
              <w:spacing w:line="243" w:lineRule="exact"/>
              <w:ind w:left="272" w:right="266"/>
              <w:rPr>
                <w:rFonts w:ascii="Calibri"/>
                <w:sz w:val="20"/>
              </w:rPr>
            </w:pPr>
            <w:r>
              <w:rPr>
                <w:rFonts w:ascii="Calibri"/>
                <w:sz w:val="20"/>
              </w:rPr>
              <w:t>1.2</w:t>
            </w:r>
          </w:p>
        </w:tc>
      </w:tr>
      <w:tr>
        <w:trPr>
          <w:trHeight w:val="290" w:hRule="exact"/>
        </w:trPr>
        <w:tc>
          <w:tcPr>
            <w:tcW w:w="1624" w:type="dxa"/>
            <w:tcBorders>
              <w:right w:val="nil"/>
            </w:tcBorders>
          </w:tcPr>
          <w:p>
            <w:pPr>
              <w:pStyle w:val="TableParagraph"/>
              <w:spacing w:line="243" w:lineRule="exact"/>
              <w:ind w:right="49"/>
              <w:jc w:val="left"/>
              <w:rPr>
                <w:rFonts w:ascii="Calibri"/>
                <w:b/>
                <w:sz w:val="20"/>
              </w:rPr>
            </w:pPr>
            <w:r>
              <w:rPr>
                <w:rFonts w:ascii="Calibri"/>
                <w:b/>
                <w:sz w:val="20"/>
              </w:rPr>
              <w:t>Ecatepec</w:t>
            </w:r>
          </w:p>
        </w:tc>
        <w:tc>
          <w:tcPr>
            <w:tcW w:w="1073" w:type="dxa"/>
            <w:tcBorders>
              <w:left w:val="nil"/>
              <w:right w:val="nil"/>
            </w:tcBorders>
          </w:tcPr>
          <w:p>
            <w:pPr>
              <w:pStyle w:val="TableParagraph"/>
              <w:spacing w:line="243" w:lineRule="exact"/>
              <w:ind w:left="265" w:right="249"/>
              <w:rPr>
                <w:rFonts w:ascii="Calibri"/>
                <w:sz w:val="20"/>
              </w:rPr>
            </w:pPr>
            <w:r>
              <w:rPr>
                <w:rFonts w:ascii="Calibri"/>
                <w:sz w:val="20"/>
              </w:rPr>
              <w:t>0.8</w:t>
            </w:r>
          </w:p>
        </w:tc>
        <w:tc>
          <w:tcPr>
            <w:tcW w:w="1365" w:type="dxa"/>
            <w:tcBorders>
              <w:left w:val="nil"/>
              <w:right w:val="nil"/>
            </w:tcBorders>
          </w:tcPr>
          <w:p>
            <w:pPr>
              <w:pStyle w:val="TableParagraph"/>
              <w:spacing w:line="243" w:lineRule="exact"/>
              <w:ind w:left="577"/>
              <w:jc w:val="left"/>
              <w:rPr>
                <w:rFonts w:ascii="Calibri"/>
                <w:sz w:val="20"/>
              </w:rPr>
            </w:pPr>
            <w:r>
              <w:rPr>
                <w:rFonts w:ascii="Calibri"/>
                <w:sz w:val="20"/>
              </w:rPr>
              <w:t>0.0</w:t>
            </w:r>
          </w:p>
        </w:tc>
        <w:tc>
          <w:tcPr>
            <w:tcW w:w="1113" w:type="dxa"/>
            <w:tcBorders>
              <w:left w:val="nil"/>
              <w:right w:val="nil"/>
            </w:tcBorders>
          </w:tcPr>
          <w:p>
            <w:pPr>
              <w:pStyle w:val="TableParagraph"/>
              <w:spacing w:line="243" w:lineRule="exact"/>
              <w:ind w:left="198" w:right="172"/>
              <w:rPr>
                <w:rFonts w:ascii="Calibri"/>
                <w:sz w:val="20"/>
              </w:rPr>
            </w:pPr>
            <w:r>
              <w:rPr>
                <w:rFonts w:ascii="Calibri"/>
                <w:sz w:val="20"/>
              </w:rPr>
              <w:t>0.0</w:t>
            </w:r>
          </w:p>
        </w:tc>
        <w:tc>
          <w:tcPr>
            <w:tcW w:w="1394" w:type="dxa"/>
            <w:tcBorders>
              <w:left w:val="nil"/>
              <w:right w:val="nil"/>
            </w:tcBorders>
          </w:tcPr>
          <w:p>
            <w:pPr>
              <w:pStyle w:val="TableParagraph"/>
              <w:spacing w:line="243" w:lineRule="exact"/>
              <w:ind w:left="0" w:right="8"/>
              <w:rPr>
                <w:rFonts w:ascii="Calibri"/>
                <w:sz w:val="20"/>
              </w:rPr>
            </w:pPr>
            <w:r>
              <w:rPr>
                <w:rFonts w:ascii="Calibri"/>
                <w:w w:val="99"/>
                <w:sz w:val="20"/>
              </w:rPr>
              <w:t>0</w:t>
            </w:r>
          </w:p>
        </w:tc>
        <w:tc>
          <w:tcPr>
            <w:tcW w:w="1137" w:type="dxa"/>
            <w:tcBorders>
              <w:left w:val="nil"/>
              <w:right w:val="nil"/>
            </w:tcBorders>
          </w:tcPr>
          <w:p>
            <w:pPr>
              <w:pStyle w:val="TableParagraph"/>
              <w:spacing w:line="243" w:lineRule="exact"/>
              <w:ind w:left="192" w:right="271"/>
              <w:rPr>
                <w:rFonts w:ascii="Calibri"/>
                <w:sz w:val="20"/>
              </w:rPr>
            </w:pPr>
            <w:r>
              <w:rPr>
                <w:rFonts w:ascii="Calibri"/>
                <w:sz w:val="20"/>
              </w:rPr>
              <w:t>0.8</w:t>
            </w:r>
          </w:p>
        </w:tc>
        <w:tc>
          <w:tcPr>
            <w:tcW w:w="1248" w:type="dxa"/>
            <w:tcBorders>
              <w:left w:val="nil"/>
            </w:tcBorders>
          </w:tcPr>
          <w:p>
            <w:pPr>
              <w:pStyle w:val="TableParagraph"/>
              <w:spacing w:line="243" w:lineRule="exact"/>
              <w:ind w:left="272" w:right="266"/>
              <w:rPr>
                <w:rFonts w:ascii="Calibri"/>
                <w:sz w:val="20"/>
              </w:rPr>
            </w:pPr>
            <w:r>
              <w:rPr>
                <w:rFonts w:ascii="Calibri"/>
                <w:sz w:val="20"/>
              </w:rPr>
              <w:t>0.8</w:t>
            </w:r>
          </w:p>
        </w:tc>
      </w:tr>
      <w:tr>
        <w:trPr>
          <w:trHeight w:val="293" w:hRule="exact"/>
        </w:trPr>
        <w:tc>
          <w:tcPr>
            <w:tcW w:w="1624" w:type="dxa"/>
            <w:tcBorders>
              <w:right w:val="nil"/>
            </w:tcBorders>
          </w:tcPr>
          <w:p>
            <w:pPr>
              <w:pStyle w:val="TableParagraph"/>
              <w:spacing w:before="1"/>
              <w:ind w:right="49"/>
              <w:jc w:val="left"/>
              <w:rPr>
                <w:rFonts w:ascii="Calibri"/>
                <w:b/>
                <w:sz w:val="20"/>
              </w:rPr>
            </w:pPr>
            <w:r>
              <w:rPr>
                <w:rFonts w:ascii="Calibri"/>
                <w:b/>
                <w:sz w:val="20"/>
              </w:rPr>
              <w:t>Guadalajara</w:t>
            </w:r>
          </w:p>
        </w:tc>
        <w:tc>
          <w:tcPr>
            <w:tcW w:w="1073" w:type="dxa"/>
            <w:tcBorders>
              <w:left w:val="nil"/>
              <w:right w:val="nil"/>
            </w:tcBorders>
          </w:tcPr>
          <w:p>
            <w:pPr>
              <w:pStyle w:val="TableParagraph"/>
              <w:spacing w:before="1"/>
              <w:ind w:left="265" w:right="249"/>
              <w:rPr>
                <w:rFonts w:ascii="Calibri"/>
                <w:sz w:val="20"/>
              </w:rPr>
            </w:pPr>
            <w:r>
              <w:rPr>
                <w:rFonts w:ascii="Calibri"/>
                <w:sz w:val="20"/>
              </w:rPr>
              <w:t>0.7</w:t>
            </w:r>
          </w:p>
        </w:tc>
        <w:tc>
          <w:tcPr>
            <w:tcW w:w="1365" w:type="dxa"/>
            <w:tcBorders>
              <w:left w:val="nil"/>
              <w:right w:val="nil"/>
            </w:tcBorders>
          </w:tcPr>
          <w:p>
            <w:pPr>
              <w:pStyle w:val="TableParagraph"/>
              <w:spacing w:before="1"/>
              <w:ind w:left="577"/>
              <w:jc w:val="left"/>
              <w:rPr>
                <w:rFonts w:ascii="Calibri"/>
                <w:sz w:val="20"/>
              </w:rPr>
            </w:pPr>
            <w:r>
              <w:rPr>
                <w:rFonts w:ascii="Calibri"/>
                <w:sz w:val="20"/>
              </w:rPr>
              <w:t>0.0</w:t>
            </w:r>
          </w:p>
        </w:tc>
        <w:tc>
          <w:tcPr>
            <w:tcW w:w="1113" w:type="dxa"/>
            <w:tcBorders>
              <w:left w:val="nil"/>
              <w:right w:val="nil"/>
            </w:tcBorders>
          </w:tcPr>
          <w:p>
            <w:pPr>
              <w:pStyle w:val="TableParagraph"/>
              <w:spacing w:before="1"/>
              <w:ind w:left="198" w:right="172"/>
              <w:rPr>
                <w:rFonts w:ascii="Calibri"/>
                <w:sz w:val="20"/>
              </w:rPr>
            </w:pPr>
            <w:r>
              <w:rPr>
                <w:rFonts w:ascii="Calibri"/>
                <w:sz w:val="20"/>
              </w:rPr>
              <w:t>0.0</w:t>
            </w:r>
          </w:p>
        </w:tc>
        <w:tc>
          <w:tcPr>
            <w:tcW w:w="1394" w:type="dxa"/>
            <w:tcBorders>
              <w:left w:val="nil"/>
              <w:right w:val="nil"/>
            </w:tcBorders>
          </w:tcPr>
          <w:p>
            <w:pPr>
              <w:pStyle w:val="TableParagraph"/>
              <w:spacing w:before="1"/>
              <w:ind w:left="0" w:right="8"/>
              <w:rPr>
                <w:rFonts w:ascii="Calibri"/>
                <w:sz w:val="20"/>
              </w:rPr>
            </w:pPr>
            <w:r>
              <w:rPr>
                <w:rFonts w:ascii="Calibri"/>
                <w:w w:val="99"/>
                <w:sz w:val="20"/>
              </w:rPr>
              <w:t>0</w:t>
            </w:r>
          </w:p>
        </w:tc>
        <w:tc>
          <w:tcPr>
            <w:tcW w:w="1137" w:type="dxa"/>
            <w:tcBorders>
              <w:left w:val="nil"/>
              <w:right w:val="nil"/>
            </w:tcBorders>
          </w:tcPr>
          <w:p>
            <w:pPr>
              <w:pStyle w:val="TableParagraph"/>
              <w:spacing w:before="1"/>
              <w:ind w:left="192" w:right="271"/>
              <w:rPr>
                <w:rFonts w:ascii="Calibri"/>
                <w:sz w:val="20"/>
              </w:rPr>
            </w:pPr>
            <w:r>
              <w:rPr>
                <w:rFonts w:ascii="Calibri"/>
                <w:sz w:val="20"/>
              </w:rPr>
              <w:t>0.71</w:t>
            </w:r>
          </w:p>
        </w:tc>
        <w:tc>
          <w:tcPr>
            <w:tcW w:w="1248" w:type="dxa"/>
            <w:tcBorders>
              <w:left w:val="nil"/>
            </w:tcBorders>
          </w:tcPr>
          <w:p>
            <w:pPr>
              <w:pStyle w:val="TableParagraph"/>
              <w:spacing w:before="1"/>
              <w:ind w:left="272" w:right="265"/>
              <w:rPr>
                <w:rFonts w:ascii="Calibri"/>
                <w:sz w:val="20"/>
              </w:rPr>
            </w:pPr>
            <w:r>
              <w:rPr>
                <w:rFonts w:ascii="Calibri"/>
                <w:sz w:val="20"/>
              </w:rPr>
              <w:t>0.71</w:t>
            </w:r>
          </w:p>
        </w:tc>
      </w:tr>
      <w:tr>
        <w:trPr>
          <w:trHeight w:val="290" w:hRule="exact"/>
        </w:trPr>
        <w:tc>
          <w:tcPr>
            <w:tcW w:w="1624" w:type="dxa"/>
            <w:tcBorders>
              <w:right w:val="nil"/>
            </w:tcBorders>
          </w:tcPr>
          <w:p>
            <w:pPr>
              <w:pStyle w:val="TableParagraph"/>
              <w:spacing w:line="243" w:lineRule="exact"/>
              <w:ind w:right="49"/>
              <w:jc w:val="left"/>
              <w:rPr>
                <w:rFonts w:ascii="Calibri"/>
                <w:b/>
                <w:sz w:val="20"/>
              </w:rPr>
            </w:pPr>
            <w:r>
              <w:rPr>
                <w:rFonts w:ascii="Calibri"/>
                <w:b/>
                <w:sz w:val="20"/>
              </w:rPr>
              <w:t>Ixtlahuaca</w:t>
            </w:r>
          </w:p>
        </w:tc>
        <w:tc>
          <w:tcPr>
            <w:tcW w:w="1073" w:type="dxa"/>
            <w:tcBorders>
              <w:left w:val="nil"/>
              <w:right w:val="nil"/>
            </w:tcBorders>
          </w:tcPr>
          <w:p>
            <w:pPr>
              <w:pStyle w:val="TableParagraph"/>
              <w:spacing w:line="243" w:lineRule="exact"/>
              <w:ind w:left="265" w:right="249"/>
              <w:rPr>
                <w:rFonts w:ascii="Calibri"/>
                <w:sz w:val="20"/>
              </w:rPr>
            </w:pPr>
            <w:r>
              <w:rPr>
                <w:rFonts w:ascii="Calibri"/>
                <w:sz w:val="20"/>
              </w:rPr>
              <w:t>0.7</w:t>
            </w:r>
          </w:p>
        </w:tc>
        <w:tc>
          <w:tcPr>
            <w:tcW w:w="1365" w:type="dxa"/>
            <w:tcBorders>
              <w:left w:val="nil"/>
              <w:right w:val="nil"/>
            </w:tcBorders>
          </w:tcPr>
          <w:p>
            <w:pPr>
              <w:pStyle w:val="TableParagraph"/>
              <w:spacing w:line="243" w:lineRule="exact"/>
              <w:ind w:left="527"/>
              <w:jc w:val="left"/>
              <w:rPr>
                <w:rFonts w:ascii="Calibri"/>
                <w:sz w:val="20"/>
              </w:rPr>
            </w:pPr>
            <w:r>
              <w:rPr>
                <w:rFonts w:ascii="Calibri"/>
                <w:sz w:val="20"/>
              </w:rPr>
              <w:t>0.18</w:t>
            </w:r>
          </w:p>
        </w:tc>
        <w:tc>
          <w:tcPr>
            <w:tcW w:w="1113" w:type="dxa"/>
            <w:tcBorders>
              <w:left w:val="nil"/>
              <w:right w:val="nil"/>
            </w:tcBorders>
          </w:tcPr>
          <w:p>
            <w:pPr>
              <w:pStyle w:val="TableParagraph"/>
              <w:spacing w:line="243" w:lineRule="exact"/>
              <w:ind w:left="198" w:right="172"/>
              <w:rPr>
                <w:rFonts w:ascii="Calibri"/>
                <w:sz w:val="20"/>
              </w:rPr>
            </w:pPr>
            <w:r>
              <w:rPr>
                <w:rFonts w:ascii="Calibri"/>
                <w:sz w:val="20"/>
              </w:rPr>
              <w:t>0.0</w:t>
            </w:r>
          </w:p>
        </w:tc>
        <w:tc>
          <w:tcPr>
            <w:tcW w:w="1394" w:type="dxa"/>
            <w:tcBorders>
              <w:left w:val="nil"/>
              <w:right w:val="nil"/>
            </w:tcBorders>
          </w:tcPr>
          <w:p>
            <w:pPr>
              <w:pStyle w:val="TableParagraph"/>
              <w:spacing w:line="243" w:lineRule="exact"/>
              <w:ind w:left="444" w:right="454"/>
              <w:rPr>
                <w:rFonts w:ascii="Calibri"/>
                <w:sz w:val="20"/>
              </w:rPr>
            </w:pPr>
            <w:r>
              <w:rPr>
                <w:rFonts w:ascii="Calibri"/>
                <w:sz w:val="20"/>
              </w:rPr>
              <w:t>24.5</w:t>
            </w:r>
          </w:p>
        </w:tc>
        <w:tc>
          <w:tcPr>
            <w:tcW w:w="1137" w:type="dxa"/>
            <w:tcBorders>
              <w:left w:val="nil"/>
              <w:right w:val="nil"/>
            </w:tcBorders>
          </w:tcPr>
          <w:p>
            <w:pPr>
              <w:pStyle w:val="TableParagraph"/>
              <w:spacing w:line="243" w:lineRule="exact"/>
              <w:ind w:left="192" w:right="271"/>
              <w:rPr>
                <w:rFonts w:ascii="Calibri"/>
                <w:sz w:val="20"/>
              </w:rPr>
            </w:pPr>
            <w:r>
              <w:rPr>
                <w:rFonts w:ascii="Calibri"/>
                <w:sz w:val="20"/>
              </w:rPr>
              <w:t>0.53</w:t>
            </w:r>
          </w:p>
        </w:tc>
        <w:tc>
          <w:tcPr>
            <w:tcW w:w="1248" w:type="dxa"/>
            <w:tcBorders>
              <w:left w:val="nil"/>
            </w:tcBorders>
          </w:tcPr>
          <w:p>
            <w:pPr>
              <w:pStyle w:val="TableParagraph"/>
              <w:spacing w:line="243" w:lineRule="exact"/>
              <w:ind w:left="272" w:right="265"/>
              <w:rPr>
                <w:rFonts w:ascii="Calibri"/>
                <w:sz w:val="20"/>
              </w:rPr>
            </w:pPr>
            <w:r>
              <w:rPr>
                <w:rFonts w:ascii="Calibri"/>
                <w:sz w:val="20"/>
              </w:rPr>
              <w:t>1.05</w:t>
            </w:r>
          </w:p>
        </w:tc>
      </w:tr>
      <w:tr>
        <w:trPr>
          <w:trHeight w:val="290" w:hRule="exact"/>
        </w:trPr>
        <w:tc>
          <w:tcPr>
            <w:tcW w:w="1624" w:type="dxa"/>
            <w:tcBorders>
              <w:right w:val="nil"/>
            </w:tcBorders>
          </w:tcPr>
          <w:p>
            <w:pPr>
              <w:pStyle w:val="TableParagraph"/>
              <w:spacing w:line="243" w:lineRule="exact"/>
              <w:ind w:right="49"/>
              <w:jc w:val="left"/>
              <w:rPr>
                <w:rFonts w:ascii="Calibri"/>
                <w:b/>
                <w:sz w:val="20"/>
              </w:rPr>
            </w:pPr>
            <w:r>
              <w:rPr>
                <w:rFonts w:ascii="Calibri"/>
                <w:b/>
                <w:sz w:val="20"/>
              </w:rPr>
              <w:t>Metepec</w:t>
            </w:r>
          </w:p>
        </w:tc>
        <w:tc>
          <w:tcPr>
            <w:tcW w:w="1073" w:type="dxa"/>
            <w:tcBorders>
              <w:left w:val="nil"/>
              <w:right w:val="nil"/>
            </w:tcBorders>
          </w:tcPr>
          <w:p>
            <w:pPr>
              <w:pStyle w:val="TableParagraph"/>
              <w:spacing w:line="243" w:lineRule="exact"/>
              <w:ind w:left="265" w:right="249"/>
              <w:rPr>
                <w:rFonts w:ascii="Calibri"/>
                <w:sz w:val="20"/>
              </w:rPr>
            </w:pPr>
            <w:r>
              <w:rPr>
                <w:rFonts w:ascii="Calibri"/>
                <w:sz w:val="20"/>
              </w:rPr>
              <w:t>0.8</w:t>
            </w:r>
          </w:p>
        </w:tc>
        <w:tc>
          <w:tcPr>
            <w:tcW w:w="1365" w:type="dxa"/>
            <w:tcBorders>
              <w:left w:val="nil"/>
              <w:right w:val="nil"/>
            </w:tcBorders>
          </w:tcPr>
          <w:p>
            <w:pPr>
              <w:pStyle w:val="TableParagraph"/>
              <w:spacing w:line="243" w:lineRule="exact"/>
              <w:ind w:left="577"/>
              <w:jc w:val="left"/>
              <w:rPr>
                <w:rFonts w:ascii="Calibri"/>
                <w:sz w:val="20"/>
              </w:rPr>
            </w:pPr>
            <w:r>
              <w:rPr>
                <w:rFonts w:ascii="Calibri"/>
                <w:sz w:val="20"/>
              </w:rPr>
              <w:t>0.0</w:t>
            </w:r>
          </w:p>
        </w:tc>
        <w:tc>
          <w:tcPr>
            <w:tcW w:w="1113" w:type="dxa"/>
            <w:tcBorders>
              <w:left w:val="nil"/>
              <w:right w:val="nil"/>
            </w:tcBorders>
          </w:tcPr>
          <w:p>
            <w:pPr>
              <w:pStyle w:val="TableParagraph"/>
              <w:spacing w:line="243" w:lineRule="exact"/>
              <w:ind w:left="198" w:right="172"/>
              <w:rPr>
                <w:rFonts w:ascii="Calibri"/>
                <w:sz w:val="20"/>
              </w:rPr>
            </w:pPr>
            <w:r>
              <w:rPr>
                <w:rFonts w:ascii="Calibri"/>
                <w:sz w:val="20"/>
              </w:rPr>
              <w:t>0.0</w:t>
            </w:r>
          </w:p>
        </w:tc>
        <w:tc>
          <w:tcPr>
            <w:tcW w:w="1394" w:type="dxa"/>
            <w:tcBorders>
              <w:left w:val="nil"/>
              <w:right w:val="nil"/>
            </w:tcBorders>
          </w:tcPr>
          <w:p>
            <w:pPr>
              <w:pStyle w:val="TableParagraph"/>
              <w:spacing w:line="243" w:lineRule="exact"/>
              <w:ind w:left="0" w:right="8"/>
              <w:rPr>
                <w:rFonts w:ascii="Calibri"/>
                <w:sz w:val="20"/>
              </w:rPr>
            </w:pPr>
            <w:r>
              <w:rPr>
                <w:rFonts w:ascii="Calibri"/>
                <w:w w:val="99"/>
                <w:sz w:val="20"/>
              </w:rPr>
              <w:t>0</w:t>
            </w:r>
          </w:p>
        </w:tc>
        <w:tc>
          <w:tcPr>
            <w:tcW w:w="1137" w:type="dxa"/>
            <w:tcBorders>
              <w:left w:val="nil"/>
              <w:right w:val="nil"/>
            </w:tcBorders>
          </w:tcPr>
          <w:p>
            <w:pPr>
              <w:pStyle w:val="TableParagraph"/>
              <w:spacing w:line="243" w:lineRule="exact"/>
              <w:ind w:left="192" w:right="271"/>
              <w:rPr>
                <w:rFonts w:ascii="Calibri"/>
                <w:sz w:val="20"/>
              </w:rPr>
            </w:pPr>
            <w:r>
              <w:rPr>
                <w:rFonts w:ascii="Calibri"/>
                <w:sz w:val="20"/>
              </w:rPr>
              <w:t>0.79</w:t>
            </w:r>
          </w:p>
        </w:tc>
        <w:tc>
          <w:tcPr>
            <w:tcW w:w="1248" w:type="dxa"/>
            <w:tcBorders>
              <w:left w:val="nil"/>
            </w:tcBorders>
          </w:tcPr>
          <w:p>
            <w:pPr>
              <w:pStyle w:val="TableParagraph"/>
              <w:spacing w:line="243" w:lineRule="exact"/>
              <w:ind w:left="272" w:right="265"/>
              <w:rPr>
                <w:rFonts w:ascii="Calibri"/>
                <w:sz w:val="20"/>
              </w:rPr>
            </w:pPr>
            <w:r>
              <w:rPr>
                <w:rFonts w:ascii="Calibri"/>
                <w:sz w:val="20"/>
              </w:rPr>
              <w:t>0.79</w:t>
            </w:r>
          </w:p>
        </w:tc>
      </w:tr>
      <w:tr>
        <w:trPr>
          <w:trHeight w:val="572" w:hRule="exact"/>
        </w:trPr>
        <w:tc>
          <w:tcPr>
            <w:tcW w:w="1624" w:type="dxa"/>
            <w:tcBorders>
              <w:right w:val="nil"/>
            </w:tcBorders>
          </w:tcPr>
          <w:p>
            <w:pPr>
              <w:pStyle w:val="TableParagraph"/>
              <w:spacing w:line="276" w:lineRule="auto"/>
              <w:ind w:right="49"/>
              <w:jc w:val="left"/>
              <w:rPr>
                <w:rFonts w:ascii="Calibri"/>
                <w:b/>
                <w:sz w:val="20"/>
              </w:rPr>
            </w:pPr>
            <w:r>
              <w:rPr>
                <w:rFonts w:ascii="Calibri"/>
                <w:b/>
                <w:sz w:val="20"/>
              </w:rPr>
              <w:t>San Mateo Atenco</w:t>
            </w:r>
          </w:p>
        </w:tc>
        <w:tc>
          <w:tcPr>
            <w:tcW w:w="1073" w:type="dxa"/>
            <w:tcBorders>
              <w:left w:val="nil"/>
              <w:right w:val="nil"/>
            </w:tcBorders>
          </w:tcPr>
          <w:p>
            <w:pPr>
              <w:pStyle w:val="TableParagraph"/>
              <w:spacing w:line="243" w:lineRule="exact"/>
              <w:ind w:left="265" w:right="249"/>
              <w:rPr>
                <w:rFonts w:ascii="Calibri"/>
                <w:sz w:val="20"/>
              </w:rPr>
            </w:pPr>
            <w:r>
              <w:rPr>
                <w:rFonts w:ascii="Calibri"/>
                <w:sz w:val="20"/>
              </w:rPr>
              <w:t>0.7</w:t>
            </w:r>
          </w:p>
        </w:tc>
        <w:tc>
          <w:tcPr>
            <w:tcW w:w="1365" w:type="dxa"/>
            <w:tcBorders>
              <w:left w:val="nil"/>
              <w:right w:val="nil"/>
            </w:tcBorders>
          </w:tcPr>
          <w:p>
            <w:pPr>
              <w:pStyle w:val="TableParagraph"/>
              <w:spacing w:line="243" w:lineRule="exact"/>
              <w:ind w:left="577"/>
              <w:jc w:val="left"/>
              <w:rPr>
                <w:rFonts w:ascii="Calibri"/>
                <w:sz w:val="20"/>
              </w:rPr>
            </w:pPr>
            <w:r>
              <w:rPr>
                <w:rFonts w:ascii="Calibri"/>
                <w:sz w:val="20"/>
              </w:rPr>
              <w:t>0.0</w:t>
            </w:r>
          </w:p>
        </w:tc>
        <w:tc>
          <w:tcPr>
            <w:tcW w:w="1113" w:type="dxa"/>
            <w:tcBorders>
              <w:left w:val="nil"/>
              <w:right w:val="nil"/>
            </w:tcBorders>
          </w:tcPr>
          <w:p>
            <w:pPr>
              <w:pStyle w:val="TableParagraph"/>
              <w:spacing w:line="243" w:lineRule="exact"/>
              <w:ind w:left="198" w:right="172"/>
              <w:rPr>
                <w:rFonts w:ascii="Calibri"/>
                <w:sz w:val="20"/>
              </w:rPr>
            </w:pPr>
            <w:r>
              <w:rPr>
                <w:rFonts w:ascii="Calibri"/>
                <w:sz w:val="20"/>
              </w:rPr>
              <w:t>0.0</w:t>
            </w:r>
          </w:p>
        </w:tc>
        <w:tc>
          <w:tcPr>
            <w:tcW w:w="1394" w:type="dxa"/>
            <w:tcBorders>
              <w:left w:val="nil"/>
              <w:right w:val="nil"/>
            </w:tcBorders>
          </w:tcPr>
          <w:p>
            <w:pPr>
              <w:pStyle w:val="TableParagraph"/>
              <w:spacing w:line="243" w:lineRule="exact"/>
              <w:ind w:left="0" w:right="8"/>
              <w:rPr>
                <w:rFonts w:ascii="Calibri"/>
                <w:sz w:val="20"/>
              </w:rPr>
            </w:pPr>
            <w:r>
              <w:rPr>
                <w:rFonts w:ascii="Calibri"/>
                <w:w w:val="99"/>
                <w:sz w:val="20"/>
              </w:rPr>
              <w:t>0</w:t>
            </w:r>
          </w:p>
        </w:tc>
        <w:tc>
          <w:tcPr>
            <w:tcW w:w="1137" w:type="dxa"/>
            <w:tcBorders>
              <w:left w:val="nil"/>
              <w:right w:val="nil"/>
            </w:tcBorders>
          </w:tcPr>
          <w:p>
            <w:pPr>
              <w:pStyle w:val="TableParagraph"/>
              <w:spacing w:line="243" w:lineRule="exact"/>
              <w:ind w:left="192" w:right="271"/>
              <w:rPr>
                <w:rFonts w:ascii="Calibri"/>
                <w:sz w:val="20"/>
              </w:rPr>
            </w:pPr>
            <w:r>
              <w:rPr>
                <w:rFonts w:ascii="Calibri"/>
                <w:sz w:val="20"/>
              </w:rPr>
              <w:t>0.7</w:t>
            </w:r>
          </w:p>
        </w:tc>
        <w:tc>
          <w:tcPr>
            <w:tcW w:w="1248" w:type="dxa"/>
            <w:tcBorders>
              <w:left w:val="nil"/>
            </w:tcBorders>
          </w:tcPr>
          <w:p>
            <w:pPr>
              <w:pStyle w:val="TableParagraph"/>
              <w:spacing w:line="243" w:lineRule="exact"/>
              <w:ind w:left="272" w:right="266"/>
              <w:rPr>
                <w:rFonts w:ascii="Calibri"/>
                <w:sz w:val="20"/>
              </w:rPr>
            </w:pPr>
            <w:r>
              <w:rPr>
                <w:rFonts w:ascii="Calibri"/>
                <w:sz w:val="20"/>
              </w:rPr>
              <w:t>0.7</w:t>
            </w:r>
          </w:p>
        </w:tc>
      </w:tr>
      <w:tr>
        <w:trPr>
          <w:trHeight w:val="290" w:hRule="exact"/>
        </w:trPr>
        <w:tc>
          <w:tcPr>
            <w:tcW w:w="1624" w:type="dxa"/>
            <w:tcBorders>
              <w:right w:val="nil"/>
            </w:tcBorders>
          </w:tcPr>
          <w:p>
            <w:pPr>
              <w:pStyle w:val="TableParagraph"/>
              <w:spacing w:line="243" w:lineRule="exact"/>
              <w:ind w:right="49"/>
              <w:jc w:val="left"/>
              <w:rPr>
                <w:rFonts w:ascii="Calibri" w:hAnsi="Calibri"/>
                <w:b/>
                <w:sz w:val="20"/>
              </w:rPr>
            </w:pPr>
            <w:r>
              <w:rPr>
                <w:rFonts w:ascii="Calibri" w:hAnsi="Calibri"/>
                <w:b/>
                <w:sz w:val="20"/>
              </w:rPr>
              <w:t>Texcatitlán</w:t>
            </w:r>
          </w:p>
        </w:tc>
        <w:tc>
          <w:tcPr>
            <w:tcW w:w="1073" w:type="dxa"/>
            <w:tcBorders>
              <w:left w:val="nil"/>
              <w:right w:val="nil"/>
            </w:tcBorders>
          </w:tcPr>
          <w:p>
            <w:pPr>
              <w:pStyle w:val="TableParagraph"/>
              <w:spacing w:line="243" w:lineRule="exact"/>
              <w:ind w:left="265" w:right="249"/>
              <w:rPr>
                <w:rFonts w:ascii="Calibri"/>
                <w:sz w:val="20"/>
              </w:rPr>
            </w:pPr>
            <w:r>
              <w:rPr>
                <w:rFonts w:ascii="Calibri"/>
                <w:sz w:val="20"/>
              </w:rPr>
              <w:t>1.1</w:t>
            </w:r>
          </w:p>
        </w:tc>
        <w:tc>
          <w:tcPr>
            <w:tcW w:w="1365" w:type="dxa"/>
            <w:tcBorders>
              <w:left w:val="nil"/>
              <w:right w:val="nil"/>
            </w:tcBorders>
          </w:tcPr>
          <w:p>
            <w:pPr>
              <w:pStyle w:val="TableParagraph"/>
              <w:spacing w:line="243" w:lineRule="exact"/>
              <w:ind w:left="577"/>
              <w:jc w:val="left"/>
              <w:rPr>
                <w:rFonts w:ascii="Calibri"/>
                <w:sz w:val="20"/>
              </w:rPr>
            </w:pPr>
            <w:r>
              <w:rPr>
                <w:rFonts w:ascii="Calibri"/>
                <w:sz w:val="20"/>
              </w:rPr>
              <w:t>0.0</w:t>
            </w:r>
          </w:p>
        </w:tc>
        <w:tc>
          <w:tcPr>
            <w:tcW w:w="1113" w:type="dxa"/>
            <w:tcBorders>
              <w:left w:val="nil"/>
              <w:right w:val="nil"/>
            </w:tcBorders>
          </w:tcPr>
          <w:p>
            <w:pPr>
              <w:pStyle w:val="TableParagraph"/>
              <w:spacing w:line="243" w:lineRule="exact"/>
              <w:ind w:left="198" w:right="172"/>
              <w:rPr>
                <w:rFonts w:ascii="Calibri"/>
                <w:sz w:val="20"/>
              </w:rPr>
            </w:pPr>
            <w:r>
              <w:rPr>
                <w:rFonts w:ascii="Calibri"/>
                <w:sz w:val="20"/>
              </w:rPr>
              <w:t>0.0</w:t>
            </w:r>
          </w:p>
        </w:tc>
        <w:tc>
          <w:tcPr>
            <w:tcW w:w="1394" w:type="dxa"/>
            <w:tcBorders>
              <w:left w:val="nil"/>
              <w:right w:val="nil"/>
            </w:tcBorders>
          </w:tcPr>
          <w:p>
            <w:pPr>
              <w:pStyle w:val="TableParagraph"/>
              <w:spacing w:line="243" w:lineRule="exact"/>
              <w:ind w:left="0" w:right="8"/>
              <w:rPr>
                <w:rFonts w:ascii="Calibri"/>
                <w:sz w:val="20"/>
              </w:rPr>
            </w:pPr>
            <w:r>
              <w:rPr>
                <w:rFonts w:ascii="Calibri"/>
                <w:w w:val="99"/>
                <w:sz w:val="20"/>
              </w:rPr>
              <w:t>0</w:t>
            </w:r>
          </w:p>
        </w:tc>
        <w:tc>
          <w:tcPr>
            <w:tcW w:w="1137" w:type="dxa"/>
            <w:tcBorders>
              <w:left w:val="nil"/>
              <w:right w:val="nil"/>
            </w:tcBorders>
          </w:tcPr>
          <w:p>
            <w:pPr>
              <w:pStyle w:val="TableParagraph"/>
              <w:spacing w:line="243" w:lineRule="exact"/>
              <w:ind w:left="192" w:right="271"/>
              <w:rPr>
                <w:rFonts w:ascii="Calibri"/>
                <w:sz w:val="20"/>
              </w:rPr>
            </w:pPr>
            <w:r>
              <w:rPr>
                <w:rFonts w:ascii="Calibri"/>
                <w:sz w:val="20"/>
              </w:rPr>
              <w:t>1.06</w:t>
            </w:r>
          </w:p>
        </w:tc>
        <w:tc>
          <w:tcPr>
            <w:tcW w:w="1248" w:type="dxa"/>
            <w:tcBorders>
              <w:left w:val="nil"/>
            </w:tcBorders>
          </w:tcPr>
          <w:p>
            <w:pPr>
              <w:pStyle w:val="TableParagraph"/>
              <w:spacing w:line="243" w:lineRule="exact"/>
              <w:ind w:left="272" w:right="265"/>
              <w:rPr>
                <w:rFonts w:ascii="Calibri"/>
                <w:sz w:val="20"/>
              </w:rPr>
            </w:pPr>
            <w:r>
              <w:rPr>
                <w:rFonts w:ascii="Calibri"/>
                <w:sz w:val="20"/>
              </w:rPr>
              <w:t>1.06</w:t>
            </w:r>
          </w:p>
        </w:tc>
      </w:tr>
      <w:tr>
        <w:trPr>
          <w:trHeight w:val="290" w:hRule="exact"/>
        </w:trPr>
        <w:tc>
          <w:tcPr>
            <w:tcW w:w="1624" w:type="dxa"/>
            <w:tcBorders>
              <w:right w:val="nil"/>
            </w:tcBorders>
          </w:tcPr>
          <w:p>
            <w:pPr>
              <w:pStyle w:val="TableParagraph"/>
              <w:spacing w:line="243" w:lineRule="exact"/>
              <w:ind w:right="49"/>
              <w:jc w:val="left"/>
              <w:rPr>
                <w:rFonts w:ascii="Calibri"/>
                <w:b/>
                <w:sz w:val="20"/>
              </w:rPr>
            </w:pPr>
            <w:r>
              <w:rPr>
                <w:rFonts w:ascii="Calibri"/>
                <w:b/>
                <w:sz w:val="20"/>
              </w:rPr>
              <w:t>Toluca</w:t>
            </w:r>
          </w:p>
        </w:tc>
        <w:tc>
          <w:tcPr>
            <w:tcW w:w="1073" w:type="dxa"/>
            <w:tcBorders>
              <w:left w:val="nil"/>
              <w:right w:val="nil"/>
            </w:tcBorders>
          </w:tcPr>
          <w:p>
            <w:pPr>
              <w:pStyle w:val="TableParagraph"/>
              <w:spacing w:line="243" w:lineRule="exact"/>
              <w:ind w:left="265" w:right="249"/>
              <w:rPr>
                <w:rFonts w:ascii="Calibri"/>
                <w:sz w:val="20"/>
              </w:rPr>
            </w:pPr>
            <w:r>
              <w:rPr>
                <w:rFonts w:ascii="Calibri"/>
                <w:sz w:val="20"/>
              </w:rPr>
              <w:t>0.7</w:t>
            </w:r>
          </w:p>
        </w:tc>
        <w:tc>
          <w:tcPr>
            <w:tcW w:w="1365" w:type="dxa"/>
            <w:tcBorders>
              <w:left w:val="nil"/>
              <w:right w:val="nil"/>
            </w:tcBorders>
          </w:tcPr>
          <w:p>
            <w:pPr>
              <w:pStyle w:val="TableParagraph"/>
              <w:spacing w:line="243" w:lineRule="exact"/>
              <w:ind w:left="577"/>
              <w:jc w:val="left"/>
              <w:rPr>
                <w:rFonts w:ascii="Calibri"/>
                <w:sz w:val="20"/>
              </w:rPr>
            </w:pPr>
            <w:r>
              <w:rPr>
                <w:rFonts w:ascii="Calibri"/>
                <w:sz w:val="20"/>
              </w:rPr>
              <w:t>0.1</w:t>
            </w:r>
          </w:p>
        </w:tc>
        <w:tc>
          <w:tcPr>
            <w:tcW w:w="1113" w:type="dxa"/>
            <w:tcBorders>
              <w:left w:val="nil"/>
              <w:right w:val="nil"/>
            </w:tcBorders>
          </w:tcPr>
          <w:p>
            <w:pPr>
              <w:pStyle w:val="TableParagraph"/>
              <w:spacing w:line="243" w:lineRule="exact"/>
              <w:ind w:left="198" w:right="172"/>
              <w:rPr>
                <w:rFonts w:ascii="Calibri"/>
                <w:sz w:val="20"/>
              </w:rPr>
            </w:pPr>
            <w:r>
              <w:rPr>
                <w:rFonts w:ascii="Calibri"/>
                <w:sz w:val="20"/>
              </w:rPr>
              <w:t>0.0</w:t>
            </w:r>
          </w:p>
        </w:tc>
        <w:tc>
          <w:tcPr>
            <w:tcW w:w="1394" w:type="dxa"/>
            <w:tcBorders>
              <w:left w:val="nil"/>
              <w:right w:val="nil"/>
            </w:tcBorders>
          </w:tcPr>
          <w:p>
            <w:pPr>
              <w:pStyle w:val="TableParagraph"/>
              <w:spacing w:line="243" w:lineRule="exact"/>
              <w:ind w:left="0" w:right="8"/>
              <w:rPr>
                <w:rFonts w:ascii="Calibri"/>
                <w:sz w:val="20"/>
              </w:rPr>
            </w:pPr>
            <w:r>
              <w:rPr>
                <w:rFonts w:ascii="Calibri"/>
                <w:w w:val="99"/>
                <w:sz w:val="20"/>
              </w:rPr>
              <w:t>9</w:t>
            </w:r>
          </w:p>
        </w:tc>
        <w:tc>
          <w:tcPr>
            <w:tcW w:w="1137" w:type="dxa"/>
            <w:tcBorders>
              <w:left w:val="nil"/>
              <w:right w:val="nil"/>
            </w:tcBorders>
          </w:tcPr>
          <w:p>
            <w:pPr>
              <w:pStyle w:val="TableParagraph"/>
              <w:spacing w:line="243" w:lineRule="exact"/>
              <w:ind w:left="192" w:right="271"/>
              <w:rPr>
                <w:rFonts w:ascii="Calibri"/>
                <w:sz w:val="20"/>
              </w:rPr>
            </w:pPr>
            <w:r>
              <w:rPr>
                <w:rFonts w:ascii="Calibri"/>
                <w:sz w:val="20"/>
              </w:rPr>
              <w:t>0.64</w:t>
            </w:r>
          </w:p>
        </w:tc>
        <w:tc>
          <w:tcPr>
            <w:tcW w:w="1248" w:type="dxa"/>
            <w:tcBorders>
              <w:left w:val="nil"/>
            </w:tcBorders>
          </w:tcPr>
          <w:p>
            <w:pPr>
              <w:pStyle w:val="TableParagraph"/>
              <w:spacing w:line="243" w:lineRule="exact"/>
              <w:ind w:left="272" w:right="265"/>
              <w:rPr>
                <w:rFonts w:ascii="Calibri"/>
                <w:sz w:val="20"/>
              </w:rPr>
            </w:pPr>
            <w:r>
              <w:rPr>
                <w:rFonts w:ascii="Calibri"/>
                <w:sz w:val="20"/>
              </w:rPr>
              <w:t>0.81</w:t>
            </w:r>
          </w:p>
        </w:tc>
      </w:tr>
      <w:tr>
        <w:trPr>
          <w:trHeight w:val="290" w:hRule="exact"/>
        </w:trPr>
        <w:tc>
          <w:tcPr>
            <w:tcW w:w="1624" w:type="dxa"/>
            <w:tcBorders>
              <w:right w:val="nil"/>
            </w:tcBorders>
          </w:tcPr>
          <w:p>
            <w:pPr>
              <w:pStyle w:val="TableParagraph"/>
              <w:spacing w:line="243" w:lineRule="exact"/>
              <w:ind w:right="49"/>
              <w:jc w:val="left"/>
              <w:rPr>
                <w:rFonts w:ascii="Calibri"/>
                <w:b/>
                <w:sz w:val="20"/>
              </w:rPr>
            </w:pPr>
            <w:r>
              <w:rPr>
                <w:rFonts w:ascii="Calibri"/>
                <w:b/>
                <w:sz w:val="20"/>
              </w:rPr>
              <w:t>Villa Victoria</w:t>
            </w:r>
          </w:p>
        </w:tc>
        <w:tc>
          <w:tcPr>
            <w:tcW w:w="1073" w:type="dxa"/>
            <w:tcBorders>
              <w:left w:val="nil"/>
              <w:right w:val="nil"/>
            </w:tcBorders>
          </w:tcPr>
          <w:p>
            <w:pPr>
              <w:pStyle w:val="TableParagraph"/>
              <w:spacing w:line="243" w:lineRule="exact"/>
              <w:ind w:left="265" w:right="249"/>
              <w:rPr>
                <w:rFonts w:ascii="Calibri"/>
                <w:sz w:val="20"/>
              </w:rPr>
            </w:pPr>
            <w:r>
              <w:rPr>
                <w:rFonts w:ascii="Calibri"/>
                <w:sz w:val="20"/>
              </w:rPr>
              <w:t>1.0</w:t>
            </w:r>
          </w:p>
        </w:tc>
        <w:tc>
          <w:tcPr>
            <w:tcW w:w="1365" w:type="dxa"/>
            <w:tcBorders>
              <w:left w:val="nil"/>
              <w:right w:val="nil"/>
            </w:tcBorders>
          </w:tcPr>
          <w:p>
            <w:pPr>
              <w:pStyle w:val="TableParagraph"/>
              <w:spacing w:line="243" w:lineRule="exact"/>
              <w:ind w:left="577"/>
              <w:jc w:val="left"/>
              <w:rPr>
                <w:rFonts w:ascii="Calibri"/>
                <w:sz w:val="20"/>
              </w:rPr>
            </w:pPr>
            <w:r>
              <w:rPr>
                <w:rFonts w:ascii="Calibri"/>
                <w:sz w:val="20"/>
              </w:rPr>
              <w:t>0.5</w:t>
            </w:r>
          </w:p>
        </w:tc>
        <w:tc>
          <w:tcPr>
            <w:tcW w:w="1113" w:type="dxa"/>
            <w:tcBorders>
              <w:left w:val="nil"/>
              <w:right w:val="nil"/>
            </w:tcBorders>
          </w:tcPr>
          <w:p>
            <w:pPr>
              <w:pStyle w:val="TableParagraph"/>
              <w:spacing w:line="243" w:lineRule="exact"/>
              <w:ind w:left="198" w:right="172"/>
              <w:rPr>
                <w:rFonts w:ascii="Calibri"/>
                <w:sz w:val="20"/>
              </w:rPr>
            </w:pPr>
            <w:r>
              <w:rPr>
                <w:rFonts w:ascii="Calibri"/>
                <w:sz w:val="20"/>
              </w:rPr>
              <w:t>0.3</w:t>
            </w:r>
          </w:p>
        </w:tc>
        <w:tc>
          <w:tcPr>
            <w:tcW w:w="1394" w:type="dxa"/>
            <w:tcBorders>
              <w:left w:val="nil"/>
              <w:right w:val="nil"/>
            </w:tcBorders>
          </w:tcPr>
          <w:p>
            <w:pPr>
              <w:pStyle w:val="TableParagraph"/>
              <w:spacing w:line="243" w:lineRule="exact"/>
              <w:ind w:left="444" w:right="454"/>
              <w:rPr>
                <w:rFonts w:ascii="Calibri"/>
                <w:sz w:val="20"/>
              </w:rPr>
            </w:pPr>
            <w:r>
              <w:rPr>
                <w:rFonts w:ascii="Calibri"/>
                <w:sz w:val="20"/>
              </w:rPr>
              <w:t>52.6</w:t>
            </w:r>
          </w:p>
        </w:tc>
        <w:tc>
          <w:tcPr>
            <w:tcW w:w="1137" w:type="dxa"/>
            <w:tcBorders>
              <w:left w:val="nil"/>
              <w:right w:val="nil"/>
            </w:tcBorders>
          </w:tcPr>
          <w:p>
            <w:pPr>
              <w:pStyle w:val="TableParagraph"/>
              <w:spacing w:line="243" w:lineRule="exact"/>
              <w:ind w:left="192" w:right="271"/>
              <w:rPr>
                <w:rFonts w:ascii="Calibri"/>
                <w:sz w:val="20"/>
              </w:rPr>
            </w:pPr>
            <w:r>
              <w:rPr>
                <w:rFonts w:ascii="Calibri"/>
                <w:sz w:val="20"/>
              </w:rPr>
              <w:t>0.35</w:t>
            </w:r>
          </w:p>
        </w:tc>
        <w:tc>
          <w:tcPr>
            <w:tcW w:w="1248" w:type="dxa"/>
            <w:tcBorders>
              <w:left w:val="nil"/>
            </w:tcBorders>
          </w:tcPr>
          <w:p>
            <w:pPr>
              <w:pStyle w:val="TableParagraph"/>
              <w:spacing w:line="243" w:lineRule="exact"/>
              <w:ind w:left="272" w:right="265"/>
              <w:rPr>
                <w:rFonts w:ascii="Calibri"/>
                <w:sz w:val="20"/>
              </w:rPr>
            </w:pPr>
            <w:r>
              <w:rPr>
                <w:rFonts w:ascii="Calibri"/>
                <w:sz w:val="20"/>
              </w:rPr>
              <w:t>3.35</w:t>
            </w:r>
          </w:p>
        </w:tc>
      </w:tr>
      <w:tr>
        <w:trPr>
          <w:trHeight w:val="293" w:hRule="exact"/>
        </w:trPr>
        <w:tc>
          <w:tcPr>
            <w:tcW w:w="1624" w:type="dxa"/>
            <w:tcBorders>
              <w:right w:val="nil"/>
            </w:tcBorders>
          </w:tcPr>
          <w:p>
            <w:pPr>
              <w:pStyle w:val="TableParagraph"/>
              <w:spacing w:before="1"/>
              <w:ind w:right="49"/>
              <w:jc w:val="left"/>
              <w:rPr>
                <w:rFonts w:ascii="Calibri"/>
                <w:b/>
                <w:sz w:val="20"/>
              </w:rPr>
            </w:pPr>
            <w:r>
              <w:rPr>
                <w:rFonts w:ascii="Calibri"/>
                <w:b/>
                <w:sz w:val="20"/>
              </w:rPr>
              <w:t>Zinacantepec</w:t>
            </w:r>
          </w:p>
        </w:tc>
        <w:tc>
          <w:tcPr>
            <w:tcW w:w="1073" w:type="dxa"/>
            <w:tcBorders>
              <w:left w:val="nil"/>
              <w:right w:val="nil"/>
            </w:tcBorders>
          </w:tcPr>
          <w:p>
            <w:pPr>
              <w:pStyle w:val="TableParagraph"/>
              <w:spacing w:before="1"/>
              <w:ind w:left="265" w:right="249"/>
              <w:rPr>
                <w:rFonts w:ascii="Calibri"/>
                <w:sz w:val="20"/>
              </w:rPr>
            </w:pPr>
            <w:r>
              <w:rPr>
                <w:rFonts w:ascii="Calibri"/>
                <w:sz w:val="20"/>
              </w:rPr>
              <w:t>0.8</w:t>
            </w:r>
          </w:p>
        </w:tc>
        <w:tc>
          <w:tcPr>
            <w:tcW w:w="1365" w:type="dxa"/>
            <w:tcBorders>
              <w:left w:val="nil"/>
              <w:right w:val="nil"/>
            </w:tcBorders>
          </w:tcPr>
          <w:p>
            <w:pPr>
              <w:pStyle w:val="TableParagraph"/>
              <w:spacing w:before="1"/>
              <w:ind w:left="577"/>
              <w:jc w:val="left"/>
              <w:rPr>
                <w:rFonts w:ascii="Calibri"/>
                <w:sz w:val="20"/>
              </w:rPr>
            </w:pPr>
            <w:r>
              <w:rPr>
                <w:rFonts w:ascii="Calibri"/>
                <w:sz w:val="20"/>
              </w:rPr>
              <w:t>0.0</w:t>
            </w:r>
          </w:p>
        </w:tc>
        <w:tc>
          <w:tcPr>
            <w:tcW w:w="1113" w:type="dxa"/>
            <w:tcBorders>
              <w:left w:val="nil"/>
              <w:right w:val="nil"/>
            </w:tcBorders>
          </w:tcPr>
          <w:p>
            <w:pPr>
              <w:pStyle w:val="TableParagraph"/>
              <w:spacing w:before="1"/>
              <w:ind w:left="198" w:right="172"/>
              <w:rPr>
                <w:rFonts w:ascii="Calibri"/>
                <w:sz w:val="20"/>
              </w:rPr>
            </w:pPr>
            <w:r>
              <w:rPr>
                <w:rFonts w:ascii="Calibri"/>
                <w:sz w:val="20"/>
              </w:rPr>
              <w:t>0.0</w:t>
            </w:r>
          </w:p>
        </w:tc>
        <w:tc>
          <w:tcPr>
            <w:tcW w:w="1394" w:type="dxa"/>
            <w:tcBorders>
              <w:left w:val="nil"/>
              <w:right w:val="nil"/>
            </w:tcBorders>
          </w:tcPr>
          <w:p>
            <w:pPr>
              <w:pStyle w:val="TableParagraph"/>
              <w:spacing w:before="1"/>
              <w:ind w:left="0" w:right="8"/>
              <w:rPr>
                <w:rFonts w:ascii="Calibri"/>
                <w:sz w:val="20"/>
              </w:rPr>
            </w:pPr>
            <w:r>
              <w:rPr>
                <w:rFonts w:ascii="Calibri"/>
                <w:w w:val="99"/>
                <w:sz w:val="20"/>
              </w:rPr>
              <w:t>0</w:t>
            </w:r>
          </w:p>
        </w:tc>
        <w:tc>
          <w:tcPr>
            <w:tcW w:w="1137" w:type="dxa"/>
            <w:tcBorders>
              <w:left w:val="nil"/>
              <w:right w:val="nil"/>
            </w:tcBorders>
          </w:tcPr>
          <w:p>
            <w:pPr>
              <w:pStyle w:val="TableParagraph"/>
              <w:spacing w:before="1"/>
              <w:ind w:left="192" w:right="271"/>
              <w:rPr>
                <w:rFonts w:ascii="Calibri"/>
                <w:sz w:val="20"/>
              </w:rPr>
            </w:pPr>
            <w:r>
              <w:rPr>
                <w:rFonts w:ascii="Calibri"/>
                <w:sz w:val="20"/>
              </w:rPr>
              <w:t>0.83</w:t>
            </w:r>
          </w:p>
        </w:tc>
        <w:tc>
          <w:tcPr>
            <w:tcW w:w="1248" w:type="dxa"/>
            <w:tcBorders>
              <w:left w:val="nil"/>
            </w:tcBorders>
          </w:tcPr>
          <w:p>
            <w:pPr>
              <w:pStyle w:val="TableParagraph"/>
              <w:spacing w:before="1"/>
              <w:ind w:left="272" w:right="265"/>
              <w:rPr>
                <w:rFonts w:ascii="Calibri"/>
                <w:sz w:val="20"/>
              </w:rPr>
            </w:pPr>
            <w:r>
              <w:rPr>
                <w:rFonts w:ascii="Calibri"/>
                <w:sz w:val="20"/>
              </w:rPr>
              <w:t>0.83</w:t>
            </w:r>
          </w:p>
        </w:tc>
      </w:tr>
    </w:tbl>
    <w:p>
      <w:pPr>
        <w:pStyle w:val="BodyText"/>
        <w:rPr>
          <w:sz w:val="20"/>
        </w:rPr>
      </w:pPr>
    </w:p>
    <w:p>
      <w:pPr>
        <w:pStyle w:val="BodyText"/>
        <w:spacing w:before="11"/>
        <w:rPr>
          <w:sz w:val="20"/>
        </w:rPr>
      </w:pPr>
    </w:p>
    <w:p>
      <w:pPr>
        <w:pStyle w:val="BodyText"/>
        <w:spacing w:before="69"/>
        <w:ind w:left="142"/>
        <w:jc w:val="both"/>
      </w:pPr>
      <w:r>
        <w:rPr/>
        <w:t>Proteína</w:t>
      </w:r>
    </w:p>
    <w:p>
      <w:pPr>
        <w:pStyle w:val="BodyText"/>
        <w:spacing w:before="4"/>
      </w:pPr>
    </w:p>
    <w:p>
      <w:pPr>
        <w:pStyle w:val="BodyText"/>
        <w:spacing w:line="276" w:lineRule="auto" w:before="1"/>
        <w:ind w:left="142" w:right="241"/>
        <w:jc w:val="both"/>
      </w:pPr>
      <w:r>
        <w:rPr/>
        <w:t>El</w:t>
      </w:r>
      <w:r>
        <w:rPr>
          <w:spacing w:val="-14"/>
        </w:rPr>
        <w:t> </w:t>
      </w:r>
      <w:r>
        <w:rPr/>
        <w:t>mayor</w:t>
      </w:r>
      <w:r>
        <w:rPr>
          <w:spacing w:val="-15"/>
        </w:rPr>
        <w:t> </w:t>
      </w:r>
      <w:r>
        <w:rPr/>
        <w:t>contenido</w:t>
      </w:r>
      <w:r>
        <w:rPr>
          <w:spacing w:val="-13"/>
        </w:rPr>
        <w:t> </w:t>
      </w:r>
      <w:r>
        <w:rPr/>
        <w:t>de</w:t>
      </w:r>
      <w:r>
        <w:rPr>
          <w:spacing w:val="-16"/>
        </w:rPr>
        <w:t> </w:t>
      </w:r>
      <w:r>
        <w:rPr/>
        <w:t>proteína</w:t>
      </w:r>
      <w:r>
        <w:rPr>
          <w:spacing w:val="-16"/>
        </w:rPr>
        <w:t> </w:t>
      </w:r>
      <w:r>
        <w:rPr/>
        <w:t>por</w:t>
      </w:r>
      <w:r>
        <w:rPr>
          <w:spacing w:val="-15"/>
        </w:rPr>
        <w:t> </w:t>
      </w:r>
      <w:r>
        <w:rPr/>
        <w:t>gramo</w:t>
      </w:r>
      <w:r>
        <w:rPr>
          <w:spacing w:val="-16"/>
        </w:rPr>
        <w:t> </w:t>
      </w:r>
      <w:r>
        <w:rPr/>
        <w:t>fue</w:t>
      </w:r>
      <w:r>
        <w:rPr>
          <w:spacing w:val="-15"/>
        </w:rPr>
        <w:t> </w:t>
      </w:r>
      <w:r>
        <w:rPr/>
        <w:t>del</w:t>
      </w:r>
      <w:r>
        <w:rPr>
          <w:spacing w:val="-14"/>
        </w:rPr>
        <w:t> </w:t>
      </w:r>
      <w:r>
        <w:rPr/>
        <w:t>queso</w:t>
      </w:r>
      <w:r>
        <w:rPr>
          <w:spacing w:val="-16"/>
        </w:rPr>
        <w:t> </w:t>
      </w:r>
      <w:r>
        <w:rPr/>
        <w:t>procedente</w:t>
      </w:r>
      <w:r>
        <w:rPr>
          <w:spacing w:val="-15"/>
        </w:rPr>
        <w:t> </w:t>
      </w:r>
      <w:r>
        <w:rPr/>
        <w:t>de</w:t>
      </w:r>
      <w:r>
        <w:rPr>
          <w:spacing w:val="-13"/>
        </w:rPr>
        <w:t> </w:t>
      </w:r>
      <w:r>
        <w:rPr/>
        <w:t>Guadalajara con</w:t>
      </w:r>
      <w:r>
        <w:rPr>
          <w:spacing w:val="-18"/>
        </w:rPr>
        <w:t> </w:t>
      </w:r>
      <w:r>
        <w:rPr/>
        <w:t>24.2%,</w:t>
      </w:r>
      <w:r>
        <w:rPr>
          <w:spacing w:val="-16"/>
        </w:rPr>
        <w:t> </w:t>
      </w:r>
      <w:r>
        <w:rPr/>
        <w:t>seguido</w:t>
      </w:r>
      <w:r>
        <w:rPr>
          <w:spacing w:val="-18"/>
        </w:rPr>
        <w:t> </w:t>
      </w:r>
      <w:r>
        <w:rPr/>
        <w:t>de</w:t>
      </w:r>
      <w:r>
        <w:rPr>
          <w:spacing w:val="-20"/>
        </w:rPr>
        <w:t> </w:t>
      </w:r>
      <w:r>
        <w:rPr/>
        <w:t>Ecatepec</w:t>
      </w:r>
      <w:r>
        <w:rPr>
          <w:spacing w:val="-19"/>
        </w:rPr>
        <w:t> </w:t>
      </w:r>
      <w:r>
        <w:rPr/>
        <w:t>e</w:t>
      </w:r>
      <w:r>
        <w:rPr>
          <w:spacing w:val="-18"/>
        </w:rPr>
        <w:t> </w:t>
      </w:r>
      <w:r>
        <w:rPr/>
        <w:t>Ixtlahuaca</w:t>
      </w:r>
      <w:r>
        <w:rPr>
          <w:spacing w:val="-20"/>
        </w:rPr>
        <w:t> </w:t>
      </w:r>
      <w:r>
        <w:rPr/>
        <w:t>con</w:t>
      </w:r>
      <w:r>
        <w:rPr>
          <w:spacing w:val="-18"/>
        </w:rPr>
        <w:t> </w:t>
      </w:r>
      <w:r>
        <w:rPr/>
        <w:t>22.8</w:t>
      </w:r>
      <w:r>
        <w:rPr>
          <w:spacing w:val="-16"/>
        </w:rPr>
        <w:t> </w:t>
      </w:r>
      <w:r>
        <w:rPr/>
        <w:t>y</w:t>
      </w:r>
      <w:r>
        <w:rPr>
          <w:spacing w:val="-19"/>
        </w:rPr>
        <w:t> </w:t>
      </w:r>
      <w:r>
        <w:rPr/>
        <w:t>22.4%,</w:t>
      </w:r>
      <w:r>
        <w:rPr>
          <w:spacing w:val="-18"/>
        </w:rPr>
        <w:t> </w:t>
      </w:r>
      <w:r>
        <w:rPr/>
        <w:t>Almoloya</w:t>
      </w:r>
      <w:r>
        <w:rPr>
          <w:spacing w:val="-16"/>
        </w:rPr>
        <w:t> </w:t>
      </w:r>
      <w:r>
        <w:rPr/>
        <w:t>de</w:t>
      </w:r>
      <w:r>
        <w:rPr>
          <w:spacing w:val="-18"/>
        </w:rPr>
        <w:t> </w:t>
      </w:r>
      <w:r>
        <w:rPr/>
        <w:t>Juárez con 21.5%, Villa Victoria con 20.2%, Zinacantepec con 19.2% para Texcatitlán, Aculco, Metepec, y Toluca los valores fueron 19.6, 19.3 y 19 respectivamente y finalmente San Mateo Atenco con 18.9% como se muestra en el cuadro</w:t>
      </w:r>
      <w:r>
        <w:rPr>
          <w:spacing w:val="-28"/>
        </w:rPr>
        <w:t> </w:t>
      </w:r>
      <w:r>
        <w:rPr/>
        <w:t>18.</w:t>
      </w:r>
    </w:p>
    <w:p>
      <w:pPr>
        <w:spacing w:after="0" w:line="276" w:lineRule="auto"/>
        <w:jc w:val="both"/>
        <w:sectPr>
          <w:pgSz w:w="12240" w:h="15840"/>
          <w:pgMar w:header="728" w:footer="710" w:top="1200" w:bottom="900" w:left="1560" w:right="1460"/>
        </w:sectPr>
      </w:pPr>
    </w:p>
    <w:p>
      <w:pPr>
        <w:pStyle w:val="BodyText"/>
        <w:spacing w:before="7"/>
        <w:rPr>
          <w:sz w:val="12"/>
        </w:rPr>
      </w:pPr>
    </w:p>
    <w:p>
      <w:pPr>
        <w:pStyle w:val="BodyText"/>
        <w:spacing w:before="69"/>
        <w:ind w:left="142" w:right="63"/>
      </w:pPr>
      <w:r>
        <w:rPr/>
        <w:t>Cuadro 18: Valores de proteína en los quesos frescos mostrados por municipio.</w:t>
      </w:r>
    </w:p>
    <w:p>
      <w:pPr>
        <w:pStyle w:val="BodyText"/>
        <w:spacing w:before="4"/>
        <w:rPr>
          <w:sz w:val="14"/>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7"/>
        <w:gridCol w:w="961"/>
        <w:gridCol w:w="1380"/>
        <w:gridCol w:w="1113"/>
        <w:gridCol w:w="1365"/>
        <w:gridCol w:w="1125"/>
        <w:gridCol w:w="1234"/>
      </w:tblGrid>
      <w:tr>
        <w:trPr>
          <w:trHeight w:val="274" w:hRule="exact"/>
        </w:trPr>
        <w:tc>
          <w:tcPr>
            <w:tcW w:w="8824" w:type="dxa"/>
            <w:gridSpan w:val="7"/>
            <w:tcBorders>
              <w:right w:val="nil"/>
            </w:tcBorders>
            <w:shd w:val="clear" w:color="auto" w:fill="A6A6A6"/>
          </w:tcPr>
          <w:p>
            <w:pPr>
              <w:pStyle w:val="TableParagraph"/>
              <w:spacing w:line="230" w:lineRule="exact"/>
              <w:ind w:left="4008" w:right="4015"/>
              <w:rPr>
                <w:sz w:val="20"/>
              </w:rPr>
            </w:pPr>
            <w:r>
              <w:rPr>
                <w:color w:val="FFFFFF"/>
                <w:sz w:val="20"/>
              </w:rPr>
              <w:t>Proteína</w:t>
            </w:r>
          </w:p>
        </w:tc>
      </w:tr>
      <w:tr>
        <w:trPr>
          <w:trHeight w:val="804" w:hRule="exact"/>
        </w:trPr>
        <w:tc>
          <w:tcPr>
            <w:tcW w:w="1647" w:type="dxa"/>
            <w:tcBorders>
              <w:right w:val="nil"/>
            </w:tcBorders>
          </w:tcPr>
          <w:p>
            <w:pPr/>
          </w:p>
        </w:tc>
        <w:tc>
          <w:tcPr>
            <w:tcW w:w="961" w:type="dxa"/>
            <w:tcBorders>
              <w:left w:val="nil"/>
              <w:right w:val="nil"/>
            </w:tcBorders>
          </w:tcPr>
          <w:p>
            <w:pPr>
              <w:pStyle w:val="TableParagraph"/>
              <w:spacing w:before="2"/>
              <w:ind w:left="166" w:right="209"/>
              <w:rPr>
                <w:sz w:val="20"/>
              </w:rPr>
            </w:pPr>
            <w:r>
              <w:rPr>
                <w:sz w:val="20"/>
              </w:rPr>
              <w:t>Media</w:t>
            </w:r>
          </w:p>
        </w:tc>
        <w:tc>
          <w:tcPr>
            <w:tcW w:w="1380" w:type="dxa"/>
            <w:tcBorders>
              <w:left w:val="nil"/>
              <w:right w:val="nil"/>
            </w:tcBorders>
          </w:tcPr>
          <w:p>
            <w:pPr>
              <w:pStyle w:val="TableParagraph"/>
              <w:spacing w:line="276" w:lineRule="auto" w:before="2"/>
              <w:ind w:left="330" w:hanging="99"/>
              <w:jc w:val="left"/>
              <w:rPr>
                <w:sz w:val="20"/>
              </w:rPr>
            </w:pPr>
            <w:r>
              <w:rPr>
                <w:w w:val="95"/>
                <w:sz w:val="20"/>
              </w:rPr>
              <w:t>Desviación </w:t>
            </w:r>
            <w:r>
              <w:rPr>
                <w:sz w:val="20"/>
              </w:rPr>
              <w:t>estándar</w:t>
            </w:r>
          </w:p>
        </w:tc>
        <w:tc>
          <w:tcPr>
            <w:tcW w:w="1113" w:type="dxa"/>
            <w:tcBorders>
              <w:left w:val="nil"/>
              <w:right w:val="nil"/>
            </w:tcBorders>
          </w:tcPr>
          <w:p>
            <w:pPr>
              <w:pStyle w:val="TableParagraph"/>
              <w:spacing w:before="2"/>
              <w:ind w:left="143" w:right="140"/>
              <w:rPr>
                <w:sz w:val="20"/>
              </w:rPr>
            </w:pPr>
            <w:r>
              <w:rPr>
                <w:sz w:val="20"/>
              </w:rPr>
              <w:t>Varianza</w:t>
            </w:r>
          </w:p>
        </w:tc>
        <w:tc>
          <w:tcPr>
            <w:tcW w:w="1365" w:type="dxa"/>
            <w:tcBorders>
              <w:left w:val="nil"/>
              <w:right w:val="nil"/>
            </w:tcBorders>
          </w:tcPr>
          <w:p>
            <w:pPr>
              <w:pStyle w:val="TableParagraph"/>
              <w:spacing w:line="276" w:lineRule="auto" w:before="2"/>
              <w:ind w:left="173" w:right="201"/>
              <w:rPr>
                <w:sz w:val="20"/>
              </w:rPr>
            </w:pPr>
            <w:r>
              <w:rPr>
                <w:w w:val="95"/>
                <w:sz w:val="20"/>
              </w:rPr>
              <w:t>Coeficiente </w:t>
            </w:r>
            <w:r>
              <w:rPr>
                <w:sz w:val="20"/>
              </w:rPr>
              <w:t>de    variación</w:t>
            </w:r>
          </w:p>
        </w:tc>
        <w:tc>
          <w:tcPr>
            <w:tcW w:w="1125" w:type="dxa"/>
            <w:tcBorders>
              <w:left w:val="nil"/>
              <w:right w:val="nil"/>
            </w:tcBorders>
          </w:tcPr>
          <w:p>
            <w:pPr>
              <w:pStyle w:val="TableParagraph"/>
              <w:spacing w:before="2"/>
              <w:ind w:left="178" w:right="249"/>
              <w:rPr>
                <w:sz w:val="20"/>
              </w:rPr>
            </w:pPr>
            <w:r>
              <w:rPr>
                <w:sz w:val="20"/>
              </w:rPr>
              <w:t>Mínimo</w:t>
            </w:r>
          </w:p>
        </w:tc>
        <w:tc>
          <w:tcPr>
            <w:tcW w:w="1234" w:type="dxa"/>
            <w:tcBorders>
              <w:left w:val="nil"/>
            </w:tcBorders>
          </w:tcPr>
          <w:p>
            <w:pPr>
              <w:pStyle w:val="TableParagraph"/>
              <w:spacing w:before="2"/>
              <w:ind w:left="251" w:right="238"/>
              <w:rPr>
                <w:sz w:val="20"/>
              </w:rPr>
            </w:pPr>
            <w:r>
              <w:rPr>
                <w:sz w:val="20"/>
              </w:rPr>
              <w:t>Máximo</w:t>
            </w:r>
          </w:p>
        </w:tc>
      </w:tr>
      <w:tr>
        <w:trPr>
          <w:trHeight w:val="276" w:hRule="exact"/>
        </w:trPr>
        <w:tc>
          <w:tcPr>
            <w:tcW w:w="1647" w:type="dxa"/>
            <w:tcBorders>
              <w:right w:val="nil"/>
            </w:tcBorders>
          </w:tcPr>
          <w:p>
            <w:pPr>
              <w:pStyle w:val="TableParagraph"/>
              <w:spacing w:line="227" w:lineRule="exact"/>
              <w:ind w:right="330"/>
              <w:jc w:val="left"/>
              <w:rPr>
                <w:b/>
                <w:sz w:val="20"/>
              </w:rPr>
            </w:pPr>
            <w:r>
              <w:rPr>
                <w:b/>
                <w:sz w:val="20"/>
              </w:rPr>
              <w:t>Aculco</w:t>
            </w:r>
          </w:p>
        </w:tc>
        <w:tc>
          <w:tcPr>
            <w:tcW w:w="961" w:type="dxa"/>
            <w:tcBorders>
              <w:left w:val="nil"/>
              <w:right w:val="nil"/>
            </w:tcBorders>
          </w:tcPr>
          <w:p>
            <w:pPr>
              <w:pStyle w:val="TableParagraph"/>
              <w:spacing w:line="230" w:lineRule="exact"/>
              <w:ind w:left="163" w:right="209"/>
              <w:rPr>
                <w:sz w:val="20"/>
              </w:rPr>
            </w:pPr>
            <w:r>
              <w:rPr>
                <w:sz w:val="20"/>
              </w:rPr>
              <w:t>19.3</w:t>
            </w:r>
          </w:p>
        </w:tc>
        <w:tc>
          <w:tcPr>
            <w:tcW w:w="1380" w:type="dxa"/>
            <w:tcBorders>
              <w:left w:val="nil"/>
              <w:right w:val="nil"/>
            </w:tcBorders>
          </w:tcPr>
          <w:p>
            <w:pPr>
              <w:pStyle w:val="TableParagraph"/>
              <w:spacing w:line="230" w:lineRule="exact"/>
              <w:ind w:left="0" w:right="522"/>
              <w:jc w:val="right"/>
              <w:rPr>
                <w:sz w:val="20"/>
              </w:rPr>
            </w:pPr>
            <w:r>
              <w:rPr>
                <w:sz w:val="20"/>
              </w:rPr>
              <w:t>1.3</w:t>
            </w:r>
          </w:p>
        </w:tc>
        <w:tc>
          <w:tcPr>
            <w:tcW w:w="1113" w:type="dxa"/>
            <w:tcBorders>
              <w:left w:val="nil"/>
              <w:right w:val="nil"/>
            </w:tcBorders>
          </w:tcPr>
          <w:p>
            <w:pPr>
              <w:pStyle w:val="TableParagraph"/>
              <w:spacing w:line="230" w:lineRule="exact"/>
              <w:ind w:left="141" w:right="140"/>
              <w:rPr>
                <w:sz w:val="20"/>
              </w:rPr>
            </w:pPr>
            <w:r>
              <w:rPr>
                <w:sz w:val="20"/>
              </w:rPr>
              <w:t>1.7</w:t>
            </w:r>
          </w:p>
        </w:tc>
        <w:tc>
          <w:tcPr>
            <w:tcW w:w="1365" w:type="dxa"/>
            <w:tcBorders>
              <w:left w:val="nil"/>
              <w:right w:val="nil"/>
            </w:tcBorders>
          </w:tcPr>
          <w:p>
            <w:pPr>
              <w:pStyle w:val="TableParagraph"/>
              <w:spacing w:line="230" w:lineRule="exact"/>
              <w:ind w:left="171" w:right="201"/>
              <w:rPr>
                <w:sz w:val="20"/>
              </w:rPr>
            </w:pPr>
            <w:r>
              <w:rPr>
                <w:sz w:val="20"/>
              </w:rPr>
              <w:t>6.82</w:t>
            </w:r>
          </w:p>
        </w:tc>
        <w:tc>
          <w:tcPr>
            <w:tcW w:w="1125" w:type="dxa"/>
            <w:tcBorders>
              <w:left w:val="nil"/>
              <w:right w:val="nil"/>
            </w:tcBorders>
          </w:tcPr>
          <w:p>
            <w:pPr>
              <w:pStyle w:val="TableParagraph"/>
              <w:spacing w:line="230" w:lineRule="exact"/>
              <w:ind w:left="176" w:right="249"/>
              <w:rPr>
                <w:sz w:val="20"/>
              </w:rPr>
            </w:pPr>
            <w:r>
              <w:rPr>
                <w:sz w:val="20"/>
              </w:rPr>
              <w:t>17.86</w:t>
            </w:r>
          </w:p>
        </w:tc>
        <w:tc>
          <w:tcPr>
            <w:tcW w:w="1234" w:type="dxa"/>
            <w:tcBorders>
              <w:left w:val="nil"/>
            </w:tcBorders>
          </w:tcPr>
          <w:p>
            <w:pPr>
              <w:pStyle w:val="TableParagraph"/>
              <w:spacing w:line="230" w:lineRule="exact"/>
              <w:ind w:left="248" w:right="238"/>
              <w:rPr>
                <w:sz w:val="20"/>
              </w:rPr>
            </w:pPr>
            <w:r>
              <w:rPr>
                <w:sz w:val="20"/>
              </w:rPr>
              <w:t>21.37</w:t>
            </w:r>
          </w:p>
        </w:tc>
      </w:tr>
      <w:tr>
        <w:trPr>
          <w:trHeight w:val="538" w:hRule="exact"/>
        </w:trPr>
        <w:tc>
          <w:tcPr>
            <w:tcW w:w="1647" w:type="dxa"/>
            <w:tcBorders>
              <w:right w:val="nil"/>
            </w:tcBorders>
          </w:tcPr>
          <w:p>
            <w:pPr>
              <w:pStyle w:val="TableParagraph"/>
              <w:spacing w:line="276" w:lineRule="auto"/>
              <w:ind w:right="330"/>
              <w:jc w:val="left"/>
              <w:rPr>
                <w:b/>
                <w:sz w:val="20"/>
              </w:rPr>
            </w:pPr>
            <w:r>
              <w:rPr>
                <w:b/>
                <w:sz w:val="20"/>
              </w:rPr>
              <w:t>Almoloya de Juárez</w:t>
            </w:r>
          </w:p>
        </w:tc>
        <w:tc>
          <w:tcPr>
            <w:tcW w:w="961" w:type="dxa"/>
            <w:tcBorders>
              <w:left w:val="nil"/>
              <w:right w:val="nil"/>
            </w:tcBorders>
          </w:tcPr>
          <w:p>
            <w:pPr>
              <w:pStyle w:val="TableParagraph"/>
              <w:spacing w:line="230" w:lineRule="exact"/>
              <w:ind w:left="163" w:right="209"/>
              <w:rPr>
                <w:sz w:val="20"/>
              </w:rPr>
            </w:pPr>
            <w:r>
              <w:rPr>
                <w:sz w:val="20"/>
              </w:rPr>
              <w:t>21.5</w:t>
            </w:r>
          </w:p>
        </w:tc>
        <w:tc>
          <w:tcPr>
            <w:tcW w:w="1380" w:type="dxa"/>
            <w:tcBorders>
              <w:left w:val="nil"/>
              <w:right w:val="nil"/>
            </w:tcBorders>
          </w:tcPr>
          <w:p>
            <w:pPr>
              <w:pStyle w:val="TableParagraph"/>
              <w:spacing w:line="230" w:lineRule="exact"/>
              <w:ind w:left="0" w:right="522"/>
              <w:jc w:val="right"/>
              <w:rPr>
                <w:sz w:val="20"/>
              </w:rPr>
            </w:pPr>
            <w:r>
              <w:rPr>
                <w:sz w:val="20"/>
              </w:rPr>
              <w:t>1.4</w:t>
            </w:r>
          </w:p>
        </w:tc>
        <w:tc>
          <w:tcPr>
            <w:tcW w:w="1113" w:type="dxa"/>
            <w:tcBorders>
              <w:left w:val="nil"/>
              <w:right w:val="nil"/>
            </w:tcBorders>
          </w:tcPr>
          <w:p>
            <w:pPr>
              <w:pStyle w:val="TableParagraph"/>
              <w:spacing w:line="230" w:lineRule="exact"/>
              <w:ind w:left="4"/>
              <w:rPr>
                <w:sz w:val="20"/>
              </w:rPr>
            </w:pPr>
            <w:r>
              <w:rPr>
                <w:w w:val="99"/>
                <w:sz w:val="20"/>
              </w:rPr>
              <w:t>2</w:t>
            </w:r>
          </w:p>
        </w:tc>
        <w:tc>
          <w:tcPr>
            <w:tcW w:w="1365" w:type="dxa"/>
            <w:tcBorders>
              <w:left w:val="nil"/>
              <w:right w:val="nil"/>
            </w:tcBorders>
          </w:tcPr>
          <w:p>
            <w:pPr>
              <w:pStyle w:val="TableParagraph"/>
              <w:spacing w:line="230" w:lineRule="exact"/>
              <w:ind w:left="171" w:right="201"/>
              <w:rPr>
                <w:sz w:val="20"/>
              </w:rPr>
            </w:pPr>
            <w:r>
              <w:rPr>
                <w:sz w:val="20"/>
              </w:rPr>
              <w:t>6.61</w:t>
            </w:r>
          </w:p>
        </w:tc>
        <w:tc>
          <w:tcPr>
            <w:tcW w:w="1125" w:type="dxa"/>
            <w:tcBorders>
              <w:left w:val="nil"/>
              <w:right w:val="nil"/>
            </w:tcBorders>
          </w:tcPr>
          <w:p>
            <w:pPr>
              <w:pStyle w:val="TableParagraph"/>
              <w:spacing w:line="230" w:lineRule="exact"/>
              <w:ind w:left="176" w:right="249"/>
              <w:rPr>
                <w:sz w:val="20"/>
              </w:rPr>
            </w:pPr>
            <w:r>
              <w:rPr>
                <w:sz w:val="20"/>
              </w:rPr>
              <w:t>20.66</w:t>
            </w:r>
          </w:p>
        </w:tc>
        <w:tc>
          <w:tcPr>
            <w:tcW w:w="1234" w:type="dxa"/>
            <w:tcBorders>
              <w:left w:val="nil"/>
            </w:tcBorders>
          </w:tcPr>
          <w:p>
            <w:pPr>
              <w:pStyle w:val="TableParagraph"/>
              <w:spacing w:line="230" w:lineRule="exact"/>
              <w:ind w:left="248" w:right="238"/>
              <w:rPr>
                <w:sz w:val="20"/>
              </w:rPr>
            </w:pPr>
            <w:r>
              <w:rPr>
                <w:sz w:val="20"/>
              </w:rPr>
              <w:t>23.12</w:t>
            </w:r>
          </w:p>
        </w:tc>
      </w:tr>
      <w:tr>
        <w:trPr>
          <w:trHeight w:val="274" w:hRule="exact"/>
        </w:trPr>
        <w:tc>
          <w:tcPr>
            <w:tcW w:w="1647" w:type="dxa"/>
            <w:tcBorders>
              <w:right w:val="nil"/>
            </w:tcBorders>
          </w:tcPr>
          <w:p>
            <w:pPr>
              <w:pStyle w:val="TableParagraph"/>
              <w:spacing w:line="227" w:lineRule="exact"/>
              <w:ind w:right="330"/>
              <w:jc w:val="left"/>
              <w:rPr>
                <w:b/>
                <w:sz w:val="20"/>
              </w:rPr>
            </w:pPr>
            <w:r>
              <w:rPr>
                <w:b/>
                <w:sz w:val="20"/>
              </w:rPr>
              <w:t>Desconoce</w:t>
            </w:r>
          </w:p>
        </w:tc>
        <w:tc>
          <w:tcPr>
            <w:tcW w:w="961" w:type="dxa"/>
            <w:tcBorders>
              <w:left w:val="nil"/>
              <w:right w:val="nil"/>
            </w:tcBorders>
          </w:tcPr>
          <w:p>
            <w:pPr>
              <w:pStyle w:val="TableParagraph"/>
              <w:spacing w:line="230" w:lineRule="exact"/>
              <w:ind w:left="163" w:right="209"/>
              <w:rPr>
                <w:sz w:val="20"/>
              </w:rPr>
            </w:pPr>
            <w:r>
              <w:rPr>
                <w:sz w:val="20"/>
              </w:rPr>
              <w:t>22.0</w:t>
            </w:r>
          </w:p>
        </w:tc>
        <w:tc>
          <w:tcPr>
            <w:tcW w:w="1380" w:type="dxa"/>
            <w:tcBorders>
              <w:left w:val="nil"/>
              <w:right w:val="nil"/>
            </w:tcBorders>
          </w:tcPr>
          <w:p>
            <w:pPr>
              <w:pStyle w:val="TableParagraph"/>
              <w:spacing w:line="230" w:lineRule="exact"/>
              <w:ind w:left="0" w:right="522"/>
              <w:jc w:val="right"/>
              <w:rPr>
                <w:sz w:val="20"/>
              </w:rPr>
            </w:pPr>
            <w:r>
              <w:rPr>
                <w:sz w:val="20"/>
              </w:rPr>
              <w:t>2.3</w:t>
            </w:r>
          </w:p>
        </w:tc>
        <w:tc>
          <w:tcPr>
            <w:tcW w:w="1113" w:type="dxa"/>
            <w:tcBorders>
              <w:left w:val="nil"/>
              <w:right w:val="nil"/>
            </w:tcBorders>
          </w:tcPr>
          <w:p>
            <w:pPr>
              <w:pStyle w:val="TableParagraph"/>
              <w:spacing w:line="230" w:lineRule="exact"/>
              <w:ind w:left="141" w:right="140"/>
              <w:rPr>
                <w:sz w:val="20"/>
              </w:rPr>
            </w:pPr>
            <w:r>
              <w:rPr>
                <w:sz w:val="20"/>
              </w:rPr>
              <w:t>5.5</w:t>
            </w:r>
          </w:p>
        </w:tc>
        <w:tc>
          <w:tcPr>
            <w:tcW w:w="1365" w:type="dxa"/>
            <w:tcBorders>
              <w:left w:val="nil"/>
              <w:right w:val="nil"/>
            </w:tcBorders>
          </w:tcPr>
          <w:p>
            <w:pPr>
              <w:pStyle w:val="TableParagraph"/>
              <w:spacing w:line="230" w:lineRule="exact"/>
              <w:ind w:left="171" w:right="201"/>
              <w:rPr>
                <w:sz w:val="20"/>
              </w:rPr>
            </w:pPr>
            <w:r>
              <w:rPr>
                <w:sz w:val="20"/>
              </w:rPr>
              <w:t>10.6</w:t>
            </w:r>
          </w:p>
        </w:tc>
        <w:tc>
          <w:tcPr>
            <w:tcW w:w="1125" w:type="dxa"/>
            <w:tcBorders>
              <w:left w:val="nil"/>
              <w:right w:val="nil"/>
            </w:tcBorders>
          </w:tcPr>
          <w:p>
            <w:pPr>
              <w:pStyle w:val="TableParagraph"/>
              <w:spacing w:line="230" w:lineRule="exact"/>
              <w:ind w:left="176" w:right="249"/>
              <w:rPr>
                <w:sz w:val="20"/>
              </w:rPr>
            </w:pPr>
            <w:r>
              <w:rPr>
                <w:sz w:val="20"/>
              </w:rPr>
              <w:t>18.56</w:t>
            </w:r>
          </w:p>
        </w:tc>
        <w:tc>
          <w:tcPr>
            <w:tcW w:w="1234" w:type="dxa"/>
            <w:tcBorders>
              <w:left w:val="nil"/>
            </w:tcBorders>
          </w:tcPr>
          <w:p>
            <w:pPr>
              <w:pStyle w:val="TableParagraph"/>
              <w:spacing w:line="230" w:lineRule="exact"/>
              <w:ind w:left="248" w:right="238"/>
              <w:rPr>
                <w:sz w:val="20"/>
              </w:rPr>
            </w:pPr>
            <w:r>
              <w:rPr>
                <w:sz w:val="20"/>
              </w:rPr>
              <w:t>25.13</w:t>
            </w:r>
          </w:p>
        </w:tc>
      </w:tr>
      <w:tr>
        <w:trPr>
          <w:trHeight w:val="276" w:hRule="exact"/>
        </w:trPr>
        <w:tc>
          <w:tcPr>
            <w:tcW w:w="1647" w:type="dxa"/>
            <w:tcBorders>
              <w:right w:val="nil"/>
            </w:tcBorders>
          </w:tcPr>
          <w:p>
            <w:pPr>
              <w:pStyle w:val="TableParagraph"/>
              <w:spacing w:line="230" w:lineRule="exact"/>
              <w:ind w:right="330"/>
              <w:jc w:val="left"/>
              <w:rPr>
                <w:b/>
                <w:sz w:val="20"/>
              </w:rPr>
            </w:pPr>
            <w:r>
              <w:rPr>
                <w:b/>
                <w:sz w:val="20"/>
              </w:rPr>
              <w:t>Ecatepec</w:t>
            </w:r>
          </w:p>
        </w:tc>
        <w:tc>
          <w:tcPr>
            <w:tcW w:w="961" w:type="dxa"/>
            <w:tcBorders>
              <w:left w:val="nil"/>
              <w:right w:val="nil"/>
            </w:tcBorders>
          </w:tcPr>
          <w:p>
            <w:pPr>
              <w:pStyle w:val="TableParagraph"/>
              <w:spacing w:before="2"/>
              <w:ind w:left="163" w:right="209"/>
              <w:rPr>
                <w:sz w:val="20"/>
              </w:rPr>
            </w:pPr>
            <w:r>
              <w:rPr>
                <w:sz w:val="20"/>
              </w:rPr>
              <w:t>22.8</w:t>
            </w:r>
          </w:p>
        </w:tc>
        <w:tc>
          <w:tcPr>
            <w:tcW w:w="1380" w:type="dxa"/>
            <w:tcBorders>
              <w:left w:val="nil"/>
              <w:right w:val="nil"/>
            </w:tcBorders>
          </w:tcPr>
          <w:p>
            <w:pPr>
              <w:pStyle w:val="TableParagraph"/>
              <w:spacing w:before="2"/>
              <w:ind w:left="0" w:right="522"/>
              <w:jc w:val="right"/>
              <w:rPr>
                <w:sz w:val="20"/>
              </w:rPr>
            </w:pPr>
            <w:r>
              <w:rPr>
                <w:sz w:val="20"/>
              </w:rPr>
              <w:t>0.2</w:t>
            </w:r>
          </w:p>
        </w:tc>
        <w:tc>
          <w:tcPr>
            <w:tcW w:w="1113" w:type="dxa"/>
            <w:tcBorders>
              <w:left w:val="nil"/>
              <w:right w:val="nil"/>
            </w:tcBorders>
          </w:tcPr>
          <w:p>
            <w:pPr>
              <w:pStyle w:val="TableParagraph"/>
              <w:spacing w:before="2"/>
              <w:ind w:left="141" w:right="140"/>
              <w:rPr>
                <w:sz w:val="20"/>
              </w:rPr>
            </w:pPr>
            <w:r>
              <w:rPr>
                <w:sz w:val="20"/>
              </w:rPr>
              <w:t>0.1</w:t>
            </w:r>
          </w:p>
        </w:tc>
        <w:tc>
          <w:tcPr>
            <w:tcW w:w="1365" w:type="dxa"/>
            <w:tcBorders>
              <w:left w:val="nil"/>
              <w:right w:val="nil"/>
            </w:tcBorders>
          </w:tcPr>
          <w:p>
            <w:pPr>
              <w:pStyle w:val="TableParagraph"/>
              <w:spacing w:before="2"/>
              <w:ind w:left="171" w:right="201"/>
              <w:rPr>
                <w:sz w:val="20"/>
              </w:rPr>
            </w:pPr>
            <w:r>
              <w:rPr>
                <w:sz w:val="20"/>
              </w:rPr>
              <w:t>1.06</w:t>
            </w:r>
          </w:p>
        </w:tc>
        <w:tc>
          <w:tcPr>
            <w:tcW w:w="1125" w:type="dxa"/>
            <w:tcBorders>
              <w:left w:val="nil"/>
              <w:right w:val="nil"/>
            </w:tcBorders>
          </w:tcPr>
          <w:p>
            <w:pPr>
              <w:pStyle w:val="TableParagraph"/>
              <w:spacing w:before="2"/>
              <w:ind w:left="176" w:right="249"/>
              <w:rPr>
                <w:sz w:val="20"/>
              </w:rPr>
            </w:pPr>
            <w:r>
              <w:rPr>
                <w:sz w:val="20"/>
              </w:rPr>
              <w:t>22.42</w:t>
            </w:r>
          </w:p>
        </w:tc>
        <w:tc>
          <w:tcPr>
            <w:tcW w:w="1234" w:type="dxa"/>
            <w:tcBorders>
              <w:left w:val="nil"/>
            </w:tcBorders>
          </w:tcPr>
          <w:p>
            <w:pPr>
              <w:pStyle w:val="TableParagraph"/>
              <w:spacing w:before="2"/>
              <w:ind w:left="248" w:right="238"/>
              <w:rPr>
                <w:sz w:val="20"/>
              </w:rPr>
            </w:pPr>
            <w:r>
              <w:rPr>
                <w:sz w:val="20"/>
              </w:rPr>
              <w:t>22.76</w:t>
            </w:r>
          </w:p>
        </w:tc>
      </w:tr>
      <w:tr>
        <w:trPr>
          <w:trHeight w:val="274" w:hRule="exact"/>
        </w:trPr>
        <w:tc>
          <w:tcPr>
            <w:tcW w:w="1647" w:type="dxa"/>
            <w:tcBorders>
              <w:right w:val="nil"/>
            </w:tcBorders>
          </w:tcPr>
          <w:p>
            <w:pPr>
              <w:pStyle w:val="TableParagraph"/>
              <w:spacing w:line="227" w:lineRule="exact"/>
              <w:ind w:right="330"/>
              <w:jc w:val="left"/>
              <w:rPr>
                <w:b/>
                <w:sz w:val="20"/>
              </w:rPr>
            </w:pPr>
            <w:r>
              <w:rPr>
                <w:b/>
                <w:sz w:val="20"/>
              </w:rPr>
              <w:t>Guadalajara</w:t>
            </w:r>
          </w:p>
        </w:tc>
        <w:tc>
          <w:tcPr>
            <w:tcW w:w="961" w:type="dxa"/>
            <w:tcBorders>
              <w:left w:val="nil"/>
              <w:right w:val="nil"/>
            </w:tcBorders>
          </w:tcPr>
          <w:p>
            <w:pPr>
              <w:pStyle w:val="TableParagraph"/>
              <w:spacing w:line="230" w:lineRule="exact"/>
              <w:ind w:left="163" w:right="209"/>
              <w:rPr>
                <w:sz w:val="20"/>
              </w:rPr>
            </w:pPr>
            <w:r>
              <w:rPr>
                <w:sz w:val="20"/>
              </w:rPr>
              <w:t>24.2</w:t>
            </w:r>
          </w:p>
        </w:tc>
        <w:tc>
          <w:tcPr>
            <w:tcW w:w="1380" w:type="dxa"/>
            <w:tcBorders>
              <w:left w:val="nil"/>
              <w:right w:val="nil"/>
            </w:tcBorders>
          </w:tcPr>
          <w:p>
            <w:pPr>
              <w:pStyle w:val="TableParagraph"/>
              <w:spacing w:line="230" w:lineRule="exact"/>
              <w:ind w:left="0" w:right="522"/>
              <w:jc w:val="right"/>
              <w:rPr>
                <w:sz w:val="20"/>
              </w:rPr>
            </w:pPr>
            <w:r>
              <w:rPr>
                <w:sz w:val="20"/>
              </w:rPr>
              <w:t>0.5</w:t>
            </w:r>
          </w:p>
        </w:tc>
        <w:tc>
          <w:tcPr>
            <w:tcW w:w="1113" w:type="dxa"/>
            <w:tcBorders>
              <w:left w:val="nil"/>
              <w:right w:val="nil"/>
            </w:tcBorders>
          </w:tcPr>
          <w:p>
            <w:pPr>
              <w:pStyle w:val="TableParagraph"/>
              <w:spacing w:line="230" w:lineRule="exact"/>
              <w:ind w:left="141" w:right="140"/>
              <w:rPr>
                <w:sz w:val="20"/>
              </w:rPr>
            </w:pPr>
            <w:r>
              <w:rPr>
                <w:sz w:val="20"/>
              </w:rPr>
              <w:t>0.2</w:t>
            </w:r>
          </w:p>
        </w:tc>
        <w:tc>
          <w:tcPr>
            <w:tcW w:w="1365" w:type="dxa"/>
            <w:tcBorders>
              <w:left w:val="nil"/>
              <w:right w:val="nil"/>
            </w:tcBorders>
          </w:tcPr>
          <w:p>
            <w:pPr>
              <w:pStyle w:val="TableParagraph"/>
              <w:spacing w:line="230" w:lineRule="exact"/>
              <w:ind w:left="171" w:right="201"/>
              <w:rPr>
                <w:sz w:val="20"/>
              </w:rPr>
            </w:pPr>
            <w:r>
              <w:rPr>
                <w:sz w:val="20"/>
              </w:rPr>
              <w:t>2.02</w:t>
            </w:r>
          </w:p>
        </w:tc>
        <w:tc>
          <w:tcPr>
            <w:tcW w:w="1125" w:type="dxa"/>
            <w:tcBorders>
              <w:left w:val="nil"/>
              <w:right w:val="nil"/>
            </w:tcBorders>
          </w:tcPr>
          <w:p>
            <w:pPr>
              <w:pStyle w:val="TableParagraph"/>
              <w:spacing w:line="230" w:lineRule="exact"/>
              <w:ind w:left="176" w:right="249"/>
              <w:rPr>
                <w:sz w:val="20"/>
              </w:rPr>
            </w:pPr>
            <w:r>
              <w:rPr>
                <w:sz w:val="20"/>
              </w:rPr>
              <w:t>24.17</w:t>
            </w:r>
          </w:p>
        </w:tc>
        <w:tc>
          <w:tcPr>
            <w:tcW w:w="1234" w:type="dxa"/>
            <w:tcBorders>
              <w:left w:val="nil"/>
            </w:tcBorders>
          </w:tcPr>
          <w:p>
            <w:pPr>
              <w:pStyle w:val="TableParagraph"/>
              <w:spacing w:line="230" w:lineRule="exact"/>
              <w:ind w:left="248" w:right="238"/>
              <w:rPr>
                <w:sz w:val="20"/>
              </w:rPr>
            </w:pPr>
            <w:r>
              <w:rPr>
                <w:sz w:val="20"/>
              </w:rPr>
              <w:t>24.87</w:t>
            </w:r>
          </w:p>
        </w:tc>
      </w:tr>
      <w:tr>
        <w:trPr>
          <w:trHeight w:val="277" w:hRule="exact"/>
        </w:trPr>
        <w:tc>
          <w:tcPr>
            <w:tcW w:w="1647" w:type="dxa"/>
            <w:tcBorders>
              <w:right w:val="nil"/>
            </w:tcBorders>
          </w:tcPr>
          <w:p>
            <w:pPr>
              <w:pStyle w:val="TableParagraph"/>
              <w:spacing w:line="228" w:lineRule="exact"/>
              <w:ind w:right="330"/>
              <w:jc w:val="left"/>
              <w:rPr>
                <w:b/>
                <w:sz w:val="20"/>
              </w:rPr>
            </w:pPr>
            <w:r>
              <w:rPr>
                <w:b/>
                <w:sz w:val="20"/>
              </w:rPr>
              <w:t>Ixtlahuaca</w:t>
            </w:r>
          </w:p>
        </w:tc>
        <w:tc>
          <w:tcPr>
            <w:tcW w:w="961" w:type="dxa"/>
            <w:tcBorders>
              <w:left w:val="nil"/>
              <w:right w:val="nil"/>
            </w:tcBorders>
          </w:tcPr>
          <w:p>
            <w:pPr>
              <w:pStyle w:val="TableParagraph"/>
              <w:ind w:left="163" w:right="209"/>
              <w:rPr>
                <w:sz w:val="20"/>
              </w:rPr>
            </w:pPr>
            <w:r>
              <w:rPr>
                <w:sz w:val="20"/>
              </w:rPr>
              <w:t>22.4</w:t>
            </w:r>
          </w:p>
        </w:tc>
        <w:tc>
          <w:tcPr>
            <w:tcW w:w="1380" w:type="dxa"/>
            <w:tcBorders>
              <w:left w:val="nil"/>
              <w:right w:val="nil"/>
            </w:tcBorders>
          </w:tcPr>
          <w:p>
            <w:pPr>
              <w:pStyle w:val="TableParagraph"/>
              <w:ind w:left="0" w:right="522"/>
              <w:jc w:val="right"/>
              <w:rPr>
                <w:sz w:val="20"/>
              </w:rPr>
            </w:pPr>
            <w:r>
              <w:rPr>
                <w:sz w:val="20"/>
              </w:rPr>
              <w:t>2.7</w:t>
            </w:r>
          </w:p>
        </w:tc>
        <w:tc>
          <w:tcPr>
            <w:tcW w:w="1113" w:type="dxa"/>
            <w:tcBorders>
              <w:left w:val="nil"/>
              <w:right w:val="nil"/>
            </w:tcBorders>
          </w:tcPr>
          <w:p>
            <w:pPr>
              <w:pStyle w:val="TableParagraph"/>
              <w:ind w:left="141" w:right="140"/>
              <w:rPr>
                <w:sz w:val="20"/>
              </w:rPr>
            </w:pPr>
            <w:r>
              <w:rPr>
                <w:sz w:val="20"/>
              </w:rPr>
              <w:t>7.4</w:t>
            </w:r>
          </w:p>
        </w:tc>
        <w:tc>
          <w:tcPr>
            <w:tcW w:w="1365" w:type="dxa"/>
            <w:tcBorders>
              <w:left w:val="nil"/>
              <w:right w:val="nil"/>
            </w:tcBorders>
          </w:tcPr>
          <w:p>
            <w:pPr>
              <w:pStyle w:val="TableParagraph"/>
              <w:ind w:left="171" w:right="201"/>
              <w:rPr>
                <w:sz w:val="20"/>
              </w:rPr>
            </w:pPr>
            <w:r>
              <w:rPr>
                <w:sz w:val="20"/>
              </w:rPr>
              <w:t>12.2</w:t>
            </w:r>
          </w:p>
        </w:tc>
        <w:tc>
          <w:tcPr>
            <w:tcW w:w="1125" w:type="dxa"/>
            <w:tcBorders>
              <w:left w:val="nil"/>
              <w:right w:val="nil"/>
            </w:tcBorders>
          </w:tcPr>
          <w:p>
            <w:pPr>
              <w:pStyle w:val="TableParagraph"/>
              <w:ind w:left="176" w:right="249"/>
              <w:rPr>
                <w:sz w:val="20"/>
              </w:rPr>
            </w:pPr>
            <w:r>
              <w:rPr>
                <w:sz w:val="20"/>
              </w:rPr>
              <w:t>19.26</w:t>
            </w:r>
          </w:p>
        </w:tc>
        <w:tc>
          <w:tcPr>
            <w:tcW w:w="1234" w:type="dxa"/>
            <w:tcBorders>
              <w:left w:val="nil"/>
            </w:tcBorders>
          </w:tcPr>
          <w:p>
            <w:pPr>
              <w:pStyle w:val="TableParagraph"/>
              <w:ind w:left="248" w:right="238"/>
              <w:rPr>
                <w:sz w:val="20"/>
              </w:rPr>
            </w:pPr>
            <w:r>
              <w:rPr>
                <w:sz w:val="20"/>
              </w:rPr>
              <w:t>26.62</w:t>
            </w:r>
          </w:p>
        </w:tc>
      </w:tr>
      <w:tr>
        <w:trPr>
          <w:trHeight w:val="274" w:hRule="exact"/>
        </w:trPr>
        <w:tc>
          <w:tcPr>
            <w:tcW w:w="1647" w:type="dxa"/>
            <w:tcBorders>
              <w:right w:val="nil"/>
            </w:tcBorders>
          </w:tcPr>
          <w:p>
            <w:pPr>
              <w:pStyle w:val="TableParagraph"/>
              <w:spacing w:line="227" w:lineRule="exact"/>
              <w:ind w:right="330"/>
              <w:jc w:val="left"/>
              <w:rPr>
                <w:b/>
                <w:sz w:val="20"/>
              </w:rPr>
            </w:pPr>
            <w:r>
              <w:rPr>
                <w:b/>
                <w:sz w:val="20"/>
              </w:rPr>
              <w:t>Metepec</w:t>
            </w:r>
          </w:p>
        </w:tc>
        <w:tc>
          <w:tcPr>
            <w:tcW w:w="961" w:type="dxa"/>
            <w:tcBorders>
              <w:left w:val="nil"/>
              <w:right w:val="nil"/>
            </w:tcBorders>
          </w:tcPr>
          <w:p>
            <w:pPr>
              <w:pStyle w:val="TableParagraph"/>
              <w:spacing w:line="230" w:lineRule="exact"/>
              <w:ind w:left="166" w:right="209"/>
              <w:rPr>
                <w:sz w:val="20"/>
              </w:rPr>
            </w:pPr>
            <w:r>
              <w:rPr>
                <w:sz w:val="20"/>
              </w:rPr>
              <w:t>19</w:t>
            </w:r>
          </w:p>
        </w:tc>
        <w:tc>
          <w:tcPr>
            <w:tcW w:w="1380" w:type="dxa"/>
            <w:tcBorders>
              <w:left w:val="nil"/>
              <w:right w:val="nil"/>
            </w:tcBorders>
          </w:tcPr>
          <w:p>
            <w:pPr>
              <w:pStyle w:val="TableParagraph"/>
              <w:spacing w:line="230" w:lineRule="exact"/>
              <w:ind w:left="0" w:right="522"/>
              <w:jc w:val="right"/>
              <w:rPr>
                <w:sz w:val="20"/>
              </w:rPr>
            </w:pPr>
            <w:r>
              <w:rPr>
                <w:sz w:val="20"/>
              </w:rPr>
              <w:t>0.2</w:t>
            </w:r>
          </w:p>
        </w:tc>
        <w:tc>
          <w:tcPr>
            <w:tcW w:w="1113" w:type="dxa"/>
            <w:tcBorders>
              <w:left w:val="nil"/>
              <w:right w:val="nil"/>
            </w:tcBorders>
          </w:tcPr>
          <w:p>
            <w:pPr>
              <w:pStyle w:val="TableParagraph"/>
              <w:spacing w:line="230" w:lineRule="exact"/>
              <w:ind w:left="141" w:right="140"/>
              <w:rPr>
                <w:sz w:val="20"/>
              </w:rPr>
            </w:pPr>
            <w:r>
              <w:rPr>
                <w:sz w:val="20"/>
              </w:rPr>
              <w:t>0.1</w:t>
            </w:r>
          </w:p>
        </w:tc>
        <w:tc>
          <w:tcPr>
            <w:tcW w:w="1365" w:type="dxa"/>
            <w:tcBorders>
              <w:left w:val="nil"/>
              <w:right w:val="nil"/>
            </w:tcBorders>
          </w:tcPr>
          <w:p>
            <w:pPr>
              <w:pStyle w:val="TableParagraph"/>
              <w:spacing w:line="230" w:lineRule="exact"/>
              <w:ind w:left="171" w:right="201"/>
              <w:rPr>
                <w:sz w:val="20"/>
              </w:rPr>
            </w:pPr>
            <w:r>
              <w:rPr>
                <w:sz w:val="20"/>
              </w:rPr>
              <w:t>1.3</w:t>
            </w:r>
          </w:p>
        </w:tc>
        <w:tc>
          <w:tcPr>
            <w:tcW w:w="1125" w:type="dxa"/>
            <w:tcBorders>
              <w:left w:val="nil"/>
              <w:right w:val="nil"/>
            </w:tcBorders>
          </w:tcPr>
          <w:p>
            <w:pPr>
              <w:pStyle w:val="TableParagraph"/>
              <w:spacing w:line="230" w:lineRule="exact"/>
              <w:ind w:left="176" w:right="249"/>
              <w:rPr>
                <w:sz w:val="20"/>
              </w:rPr>
            </w:pPr>
            <w:r>
              <w:rPr>
                <w:sz w:val="20"/>
              </w:rPr>
              <w:t>18.91</w:t>
            </w:r>
          </w:p>
        </w:tc>
        <w:tc>
          <w:tcPr>
            <w:tcW w:w="1234" w:type="dxa"/>
            <w:tcBorders>
              <w:left w:val="nil"/>
            </w:tcBorders>
          </w:tcPr>
          <w:p>
            <w:pPr>
              <w:pStyle w:val="TableParagraph"/>
              <w:spacing w:line="230" w:lineRule="exact"/>
              <w:ind w:left="248" w:right="238"/>
              <w:rPr>
                <w:sz w:val="20"/>
              </w:rPr>
            </w:pPr>
            <w:r>
              <w:rPr>
                <w:sz w:val="20"/>
              </w:rPr>
              <w:t>19.26</w:t>
            </w:r>
          </w:p>
        </w:tc>
      </w:tr>
      <w:tr>
        <w:trPr>
          <w:trHeight w:val="540" w:hRule="exact"/>
        </w:trPr>
        <w:tc>
          <w:tcPr>
            <w:tcW w:w="1647" w:type="dxa"/>
            <w:tcBorders>
              <w:right w:val="nil"/>
            </w:tcBorders>
          </w:tcPr>
          <w:p>
            <w:pPr>
              <w:pStyle w:val="TableParagraph"/>
              <w:spacing w:line="276" w:lineRule="auto"/>
              <w:ind w:right="519"/>
              <w:jc w:val="left"/>
              <w:rPr>
                <w:b/>
                <w:sz w:val="20"/>
              </w:rPr>
            </w:pPr>
            <w:r>
              <w:rPr>
                <w:b/>
                <w:sz w:val="20"/>
              </w:rPr>
              <w:t>San Mateo Atenco</w:t>
            </w:r>
          </w:p>
        </w:tc>
        <w:tc>
          <w:tcPr>
            <w:tcW w:w="961" w:type="dxa"/>
            <w:tcBorders>
              <w:left w:val="nil"/>
              <w:right w:val="nil"/>
            </w:tcBorders>
          </w:tcPr>
          <w:p>
            <w:pPr>
              <w:pStyle w:val="TableParagraph"/>
              <w:spacing w:line="230" w:lineRule="exact"/>
              <w:ind w:left="163" w:right="209"/>
              <w:rPr>
                <w:sz w:val="20"/>
              </w:rPr>
            </w:pPr>
            <w:r>
              <w:rPr>
                <w:sz w:val="20"/>
              </w:rPr>
              <w:t>19.3</w:t>
            </w:r>
          </w:p>
        </w:tc>
        <w:tc>
          <w:tcPr>
            <w:tcW w:w="1380" w:type="dxa"/>
            <w:tcBorders>
              <w:left w:val="nil"/>
              <w:right w:val="nil"/>
            </w:tcBorders>
          </w:tcPr>
          <w:p>
            <w:pPr>
              <w:pStyle w:val="TableParagraph"/>
              <w:spacing w:line="230" w:lineRule="exact"/>
              <w:ind w:left="0" w:right="522"/>
              <w:jc w:val="right"/>
              <w:rPr>
                <w:sz w:val="20"/>
              </w:rPr>
            </w:pPr>
            <w:r>
              <w:rPr>
                <w:sz w:val="20"/>
              </w:rPr>
              <w:t>0.5</w:t>
            </w:r>
          </w:p>
        </w:tc>
        <w:tc>
          <w:tcPr>
            <w:tcW w:w="1113" w:type="dxa"/>
            <w:tcBorders>
              <w:left w:val="nil"/>
              <w:right w:val="nil"/>
            </w:tcBorders>
          </w:tcPr>
          <w:p>
            <w:pPr>
              <w:pStyle w:val="TableParagraph"/>
              <w:spacing w:line="230" w:lineRule="exact"/>
              <w:ind w:left="141" w:right="140"/>
              <w:rPr>
                <w:sz w:val="20"/>
              </w:rPr>
            </w:pPr>
            <w:r>
              <w:rPr>
                <w:sz w:val="20"/>
              </w:rPr>
              <w:t>0.2</w:t>
            </w:r>
          </w:p>
        </w:tc>
        <w:tc>
          <w:tcPr>
            <w:tcW w:w="1365" w:type="dxa"/>
            <w:tcBorders>
              <w:left w:val="nil"/>
              <w:right w:val="nil"/>
            </w:tcBorders>
          </w:tcPr>
          <w:p>
            <w:pPr>
              <w:pStyle w:val="TableParagraph"/>
              <w:spacing w:line="230" w:lineRule="exact"/>
              <w:ind w:left="171" w:right="201"/>
              <w:rPr>
                <w:sz w:val="20"/>
              </w:rPr>
            </w:pPr>
            <w:r>
              <w:rPr>
                <w:sz w:val="20"/>
              </w:rPr>
              <w:t>2.62</w:t>
            </w:r>
          </w:p>
        </w:tc>
        <w:tc>
          <w:tcPr>
            <w:tcW w:w="1125" w:type="dxa"/>
            <w:tcBorders>
              <w:left w:val="nil"/>
              <w:right w:val="nil"/>
            </w:tcBorders>
          </w:tcPr>
          <w:p>
            <w:pPr>
              <w:pStyle w:val="TableParagraph"/>
              <w:spacing w:line="230" w:lineRule="exact"/>
              <w:ind w:left="176" w:right="249"/>
              <w:rPr>
                <w:sz w:val="20"/>
              </w:rPr>
            </w:pPr>
            <w:r>
              <w:rPr>
                <w:sz w:val="20"/>
              </w:rPr>
              <w:t>18.56</w:t>
            </w:r>
          </w:p>
        </w:tc>
        <w:tc>
          <w:tcPr>
            <w:tcW w:w="1234" w:type="dxa"/>
            <w:tcBorders>
              <w:left w:val="nil"/>
            </w:tcBorders>
          </w:tcPr>
          <w:p>
            <w:pPr>
              <w:pStyle w:val="TableParagraph"/>
              <w:spacing w:line="230" w:lineRule="exact"/>
              <w:ind w:left="248" w:right="238"/>
              <w:rPr>
                <w:sz w:val="20"/>
              </w:rPr>
            </w:pPr>
            <w:r>
              <w:rPr>
                <w:sz w:val="20"/>
              </w:rPr>
              <w:t>19.26</w:t>
            </w:r>
          </w:p>
        </w:tc>
      </w:tr>
      <w:tr>
        <w:trPr>
          <w:trHeight w:val="274" w:hRule="exact"/>
        </w:trPr>
        <w:tc>
          <w:tcPr>
            <w:tcW w:w="1647" w:type="dxa"/>
            <w:tcBorders>
              <w:right w:val="nil"/>
            </w:tcBorders>
          </w:tcPr>
          <w:p>
            <w:pPr>
              <w:pStyle w:val="TableParagraph"/>
              <w:spacing w:line="227" w:lineRule="exact"/>
              <w:ind w:right="330"/>
              <w:jc w:val="left"/>
              <w:rPr>
                <w:b/>
                <w:sz w:val="20"/>
              </w:rPr>
            </w:pPr>
            <w:r>
              <w:rPr>
                <w:b/>
                <w:sz w:val="20"/>
              </w:rPr>
              <w:t>Texcatitlán</w:t>
            </w:r>
          </w:p>
        </w:tc>
        <w:tc>
          <w:tcPr>
            <w:tcW w:w="961" w:type="dxa"/>
            <w:tcBorders>
              <w:left w:val="nil"/>
              <w:right w:val="nil"/>
            </w:tcBorders>
          </w:tcPr>
          <w:p>
            <w:pPr>
              <w:pStyle w:val="TableParagraph"/>
              <w:spacing w:line="230" w:lineRule="exact"/>
              <w:ind w:left="163" w:right="209"/>
              <w:rPr>
                <w:sz w:val="20"/>
              </w:rPr>
            </w:pPr>
            <w:r>
              <w:rPr>
                <w:sz w:val="20"/>
              </w:rPr>
              <w:t>19.6</w:t>
            </w:r>
          </w:p>
        </w:tc>
        <w:tc>
          <w:tcPr>
            <w:tcW w:w="1380" w:type="dxa"/>
            <w:tcBorders>
              <w:left w:val="nil"/>
              <w:right w:val="nil"/>
            </w:tcBorders>
          </w:tcPr>
          <w:p>
            <w:pPr>
              <w:pStyle w:val="TableParagraph"/>
              <w:spacing w:line="230" w:lineRule="exact"/>
              <w:ind w:left="0" w:right="522"/>
              <w:jc w:val="right"/>
              <w:rPr>
                <w:sz w:val="20"/>
              </w:rPr>
            </w:pPr>
            <w:r>
              <w:rPr>
                <w:sz w:val="20"/>
              </w:rPr>
              <w:t>2.4</w:t>
            </w:r>
          </w:p>
        </w:tc>
        <w:tc>
          <w:tcPr>
            <w:tcW w:w="1113" w:type="dxa"/>
            <w:tcBorders>
              <w:left w:val="nil"/>
              <w:right w:val="nil"/>
            </w:tcBorders>
          </w:tcPr>
          <w:p>
            <w:pPr>
              <w:pStyle w:val="TableParagraph"/>
              <w:spacing w:line="230" w:lineRule="exact"/>
              <w:ind w:left="141" w:right="140"/>
              <w:rPr>
                <w:sz w:val="20"/>
              </w:rPr>
            </w:pPr>
            <w:r>
              <w:rPr>
                <w:sz w:val="20"/>
              </w:rPr>
              <w:t>6.1</w:t>
            </w:r>
          </w:p>
        </w:tc>
        <w:tc>
          <w:tcPr>
            <w:tcW w:w="1365" w:type="dxa"/>
            <w:tcBorders>
              <w:left w:val="nil"/>
              <w:right w:val="nil"/>
            </w:tcBorders>
          </w:tcPr>
          <w:p>
            <w:pPr>
              <w:pStyle w:val="TableParagraph"/>
              <w:spacing w:line="230" w:lineRule="exact"/>
              <w:ind w:left="173" w:right="200"/>
              <w:rPr>
                <w:sz w:val="20"/>
              </w:rPr>
            </w:pPr>
            <w:r>
              <w:rPr>
                <w:sz w:val="20"/>
              </w:rPr>
              <w:t>12.65</w:t>
            </w:r>
          </w:p>
        </w:tc>
        <w:tc>
          <w:tcPr>
            <w:tcW w:w="1125" w:type="dxa"/>
            <w:tcBorders>
              <w:left w:val="nil"/>
              <w:right w:val="nil"/>
            </w:tcBorders>
          </w:tcPr>
          <w:p>
            <w:pPr>
              <w:pStyle w:val="TableParagraph"/>
              <w:spacing w:line="230" w:lineRule="exact"/>
              <w:ind w:left="176" w:right="249"/>
              <w:rPr>
                <w:sz w:val="20"/>
              </w:rPr>
            </w:pPr>
            <w:r>
              <w:rPr>
                <w:sz w:val="20"/>
              </w:rPr>
              <w:t>17.86</w:t>
            </w:r>
          </w:p>
        </w:tc>
        <w:tc>
          <w:tcPr>
            <w:tcW w:w="1234" w:type="dxa"/>
            <w:tcBorders>
              <w:left w:val="nil"/>
            </w:tcBorders>
          </w:tcPr>
          <w:p>
            <w:pPr>
              <w:pStyle w:val="TableParagraph"/>
              <w:spacing w:line="230" w:lineRule="exact"/>
              <w:ind w:left="248" w:right="238"/>
              <w:rPr>
                <w:sz w:val="20"/>
              </w:rPr>
            </w:pPr>
            <w:r>
              <w:rPr>
                <w:sz w:val="20"/>
              </w:rPr>
              <w:t>21.37</w:t>
            </w:r>
          </w:p>
        </w:tc>
      </w:tr>
      <w:tr>
        <w:trPr>
          <w:trHeight w:val="274" w:hRule="exact"/>
        </w:trPr>
        <w:tc>
          <w:tcPr>
            <w:tcW w:w="1647" w:type="dxa"/>
            <w:tcBorders>
              <w:right w:val="nil"/>
            </w:tcBorders>
          </w:tcPr>
          <w:p>
            <w:pPr>
              <w:pStyle w:val="TableParagraph"/>
              <w:spacing w:line="227" w:lineRule="exact"/>
              <w:ind w:right="330"/>
              <w:jc w:val="left"/>
              <w:rPr>
                <w:b/>
                <w:sz w:val="20"/>
              </w:rPr>
            </w:pPr>
            <w:r>
              <w:rPr>
                <w:b/>
                <w:sz w:val="20"/>
              </w:rPr>
              <w:t>Toluca</w:t>
            </w:r>
          </w:p>
        </w:tc>
        <w:tc>
          <w:tcPr>
            <w:tcW w:w="961" w:type="dxa"/>
            <w:tcBorders>
              <w:left w:val="nil"/>
              <w:right w:val="nil"/>
            </w:tcBorders>
          </w:tcPr>
          <w:p>
            <w:pPr>
              <w:pStyle w:val="TableParagraph"/>
              <w:spacing w:line="230" w:lineRule="exact"/>
              <w:ind w:left="166" w:right="209"/>
              <w:rPr>
                <w:sz w:val="20"/>
              </w:rPr>
            </w:pPr>
            <w:r>
              <w:rPr>
                <w:sz w:val="20"/>
              </w:rPr>
              <w:t>19</w:t>
            </w:r>
          </w:p>
        </w:tc>
        <w:tc>
          <w:tcPr>
            <w:tcW w:w="1380" w:type="dxa"/>
            <w:tcBorders>
              <w:left w:val="nil"/>
              <w:right w:val="nil"/>
            </w:tcBorders>
          </w:tcPr>
          <w:p>
            <w:pPr>
              <w:pStyle w:val="TableParagraph"/>
              <w:spacing w:line="230" w:lineRule="exact"/>
              <w:ind w:left="0" w:right="522"/>
              <w:jc w:val="right"/>
              <w:rPr>
                <w:sz w:val="20"/>
              </w:rPr>
            </w:pPr>
            <w:r>
              <w:rPr>
                <w:sz w:val="20"/>
              </w:rPr>
              <w:t>1.3</w:t>
            </w:r>
          </w:p>
        </w:tc>
        <w:tc>
          <w:tcPr>
            <w:tcW w:w="1113" w:type="dxa"/>
            <w:tcBorders>
              <w:left w:val="nil"/>
              <w:right w:val="nil"/>
            </w:tcBorders>
          </w:tcPr>
          <w:p>
            <w:pPr>
              <w:pStyle w:val="TableParagraph"/>
              <w:spacing w:line="230" w:lineRule="exact"/>
              <w:ind w:left="141" w:right="140"/>
              <w:rPr>
                <w:sz w:val="20"/>
              </w:rPr>
            </w:pPr>
            <w:r>
              <w:rPr>
                <w:sz w:val="20"/>
              </w:rPr>
              <w:t>1.7</w:t>
            </w:r>
          </w:p>
        </w:tc>
        <w:tc>
          <w:tcPr>
            <w:tcW w:w="1365" w:type="dxa"/>
            <w:tcBorders>
              <w:left w:val="nil"/>
              <w:right w:val="nil"/>
            </w:tcBorders>
          </w:tcPr>
          <w:p>
            <w:pPr>
              <w:pStyle w:val="TableParagraph"/>
              <w:spacing w:line="230" w:lineRule="exact"/>
              <w:ind w:left="171" w:right="201"/>
              <w:rPr>
                <w:sz w:val="20"/>
              </w:rPr>
            </w:pPr>
            <w:r>
              <w:rPr>
                <w:sz w:val="20"/>
              </w:rPr>
              <w:t>6.8</w:t>
            </w:r>
          </w:p>
        </w:tc>
        <w:tc>
          <w:tcPr>
            <w:tcW w:w="1125" w:type="dxa"/>
            <w:tcBorders>
              <w:left w:val="nil"/>
              <w:right w:val="nil"/>
            </w:tcBorders>
          </w:tcPr>
          <w:p>
            <w:pPr>
              <w:pStyle w:val="TableParagraph"/>
              <w:spacing w:line="230" w:lineRule="exact"/>
              <w:ind w:left="176" w:right="249"/>
              <w:rPr>
                <w:sz w:val="20"/>
              </w:rPr>
            </w:pPr>
            <w:r>
              <w:rPr>
                <w:sz w:val="20"/>
              </w:rPr>
              <w:t>17.86</w:t>
            </w:r>
          </w:p>
        </w:tc>
        <w:tc>
          <w:tcPr>
            <w:tcW w:w="1234" w:type="dxa"/>
            <w:tcBorders>
              <w:left w:val="nil"/>
            </w:tcBorders>
          </w:tcPr>
          <w:p>
            <w:pPr>
              <w:pStyle w:val="TableParagraph"/>
              <w:spacing w:line="230" w:lineRule="exact"/>
              <w:ind w:left="248" w:right="238"/>
              <w:rPr>
                <w:sz w:val="20"/>
              </w:rPr>
            </w:pPr>
            <w:r>
              <w:rPr>
                <w:sz w:val="20"/>
              </w:rPr>
              <w:t>21.02</w:t>
            </w:r>
          </w:p>
        </w:tc>
      </w:tr>
      <w:tr>
        <w:trPr>
          <w:trHeight w:val="276" w:hRule="exact"/>
        </w:trPr>
        <w:tc>
          <w:tcPr>
            <w:tcW w:w="1647" w:type="dxa"/>
            <w:tcBorders>
              <w:right w:val="nil"/>
            </w:tcBorders>
          </w:tcPr>
          <w:p>
            <w:pPr>
              <w:pStyle w:val="TableParagraph"/>
              <w:spacing w:line="227" w:lineRule="exact"/>
              <w:jc w:val="left"/>
              <w:rPr>
                <w:b/>
                <w:sz w:val="20"/>
              </w:rPr>
            </w:pPr>
            <w:r>
              <w:rPr>
                <w:b/>
                <w:sz w:val="20"/>
              </w:rPr>
              <w:t>Villa Victoria</w:t>
            </w:r>
          </w:p>
        </w:tc>
        <w:tc>
          <w:tcPr>
            <w:tcW w:w="961" w:type="dxa"/>
            <w:tcBorders>
              <w:left w:val="nil"/>
              <w:right w:val="nil"/>
            </w:tcBorders>
          </w:tcPr>
          <w:p>
            <w:pPr>
              <w:pStyle w:val="TableParagraph"/>
              <w:spacing w:line="230" w:lineRule="exact"/>
              <w:ind w:left="166" w:right="209"/>
              <w:rPr>
                <w:sz w:val="20"/>
              </w:rPr>
            </w:pPr>
            <w:r>
              <w:rPr>
                <w:sz w:val="20"/>
              </w:rPr>
              <w:t>20</w:t>
            </w:r>
          </w:p>
        </w:tc>
        <w:tc>
          <w:tcPr>
            <w:tcW w:w="1380" w:type="dxa"/>
            <w:tcBorders>
              <w:left w:val="nil"/>
              <w:right w:val="nil"/>
            </w:tcBorders>
          </w:tcPr>
          <w:p>
            <w:pPr>
              <w:pStyle w:val="TableParagraph"/>
              <w:spacing w:line="230" w:lineRule="exact"/>
              <w:ind w:left="0" w:right="522"/>
              <w:jc w:val="right"/>
              <w:rPr>
                <w:sz w:val="20"/>
              </w:rPr>
            </w:pPr>
            <w:r>
              <w:rPr>
                <w:sz w:val="20"/>
              </w:rPr>
              <w:t>1.8</w:t>
            </w:r>
          </w:p>
        </w:tc>
        <w:tc>
          <w:tcPr>
            <w:tcW w:w="1113" w:type="dxa"/>
            <w:tcBorders>
              <w:left w:val="nil"/>
              <w:right w:val="nil"/>
            </w:tcBorders>
          </w:tcPr>
          <w:p>
            <w:pPr>
              <w:pStyle w:val="TableParagraph"/>
              <w:spacing w:line="230" w:lineRule="exact"/>
              <w:ind w:left="141" w:right="140"/>
              <w:rPr>
                <w:sz w:val="20"/>
              </w:rPr>
            </w:pPr>
            <w:r>
              <w:rPr>
                <w:sz w:val="20"/>
              </w:rPr>
              <w:t>3.4</w:t>
            </w:r>
          </w:p>
        </w:tc>
        <w:tc>
          <w:tcPr>
            <w:tcW w:w="1365" w:type="dxa"/>
            <w:tcBorders>
              <w:left w:val="nil"/>
              <w:right w:val="nil"/>
            </w:tcBorders>
          </w:tcPr>
          <w:p>
            <w:pPr>
              <w:pStyle w:val="TableParagraph"/>
              <w:spacing w:line="230" w:lineRule="exact"/>
              <w:ind w:left="171" w:right="201"/>
              <w:rPr>
                <w:sz w:val="20"/>
              </w:rPr>
            </w:pPr>
            <w:r>
              <w:rPr>
                <w:sz w:val="20"/>
              </w:rPr>
              <w:t>9.1</w:t>
            </w:r>
          </w:p>
        </w:tc>
        <w:tc>
          <w:tcPr>
            <w:tcW w:w="1125" w:type="dxa"/>
            <w:tcBorders>
              <w:left w:val="nil"/>
              <w:right w:val="nil"/>
            </w:tcBorders>
          </w:tcPr>
          <w:p>
            <w:pPr>
              <w:pStyle w:val="TableParagraph"/>
              <w:spacing w:line="230" w:lineRule="exact"/>
              <w:ind w:left="173" w:right="249"/>
              <w:rPr>
                <w:sz w:val="20"/>
              </w:rPr>
            </w:pPr>
            <w:r>
              <w:rPr>
                <w:sz w:val="20"/>
              </w:rPr>
              <w:t>16.8</w:t>
            </w:r>
          </w:p>
        </w:tc>
        <w:tc>
          <w:tcPr>
            <w:tcW w:w="1234" w:type="dxa"/>
            <w:tcBorders>
              <w:left w:val="nil"/>
            </w:tcBorders>
          </w:tcPr>
          <w:p>
            <w:pPr>
              <w:pStyle w:val="TableParagraph"/>
              <w:spacing w:line="230" w:lineRule="exact"/>
              <w:ind w:left="248" w:right="238"/>
              <w:rPr>
                <w:sz w:val="20"/>
              </w:rPr>
            </w:pPr>
            <w:r>
              <w:rPr>
                <w:sz w:val="20"/>
              </w:rPr>
              <w:t>23.47</w:t>
            </w:r>
          </w:p>
        </w:tc>
      </w:tr>
      <w:tr>
        <w:trPr>
          <w:trHeight w:val="274" w:hRule="exact"/>
        </w:trPr>
        <w:tc>
          <w:tcPr>
            <w:tcW w:w="1647" w:type="dxa"/>
            <w:tcBorders>
              <w:right w:val="nil"/>
            </w:tcBorders>
          </w:tcPr>
          <w:p>
            <w:pPr>
              <w:pStyle w:val="TableParagraph"/>
              <w:spacing w:line="227" w:lineRule="exact"/>
              <w:jc w:val="left"/>
              <w:rPr>
                <w:b/>
                <w:sz w:val="20"/>
              </w:rPr>
            </w:pPr>
            <w:r>
              <w:rPr>
                <w:b/>
                <w:sz w:val="20"/>
              </w:rPr>
              <w:t>Zinacantepec</w:t>
            </w:r>
          </w:p>
        </w:tc>
        <w:tc>
          <w:tcPr>
            <w:tcW w:w="961" w:type="dxa"/>
            <w:tcBorders>
              <w:left w:val="nil"/>
              <w:right w:val="nil"/>
            </w:tcBorders>
          </w:tcPr>
          <w:p>
            <w:pPr>
              <w:pStyle w:val="TableParagraph"/>
              <w:spacing w:line="230" w:lineRule="exact"/>
              <w:ind w:left="163" w:right="209"/>
              <w:rPr>
                <w:sz w:val="20"/>
              </w:rPr>
            </w:pPr>
            <w:r>
              <w:rPr>
                <w:sz w:val="20"/>
              </w:rPr>
              <w:t>19.2</w:t>
            </w:r>
          </w:p>
        </w:tc>
        <w:tc>
          <w:tcPr>
            <w:tcW w:w="1380" w:type="dxa"/>
            <w:tcBorders>
              <w:left w:val="nil"/>
              <w:right w:val="nil"/>
            </w:tcBorders>
          </w:tcPr>
          <w:p>
            <w:pPr>
              <w:pStyle w:val="TableParagraph"/>
              <w:spacing w:line="230" w:lineRule="exact"/>
              <w:ind w:left="0" w:right="522"/>
              <w:jc w:val="right"/>
              <w:rPr>
                <w:sz w:val="20"/>
              </w:rPr>
            </w:pPr>
            <w:r>
              <w:rPr>
                <w:sz w:val="20"/>
              </w:rPr>
              <w:t>0.2</w:t>
            </w:r>
          </w:p>
        </w:tc>
        <w:tc>
          <w:tcPr>
            <w:tcW w:w="1113" w:type="dxa"/>
            <w:tcBorders>
              <w:left w:val="nil"/>
              <w:right w:val="nil"/>
            </w:tcBorders>
          </w:tcPr>
          <w:p>
            <w:pPr>
              <w:pStyle w:val="TableParagraph"/>
              <w:spacing w:line="230" w:lineRule="exact"/>
              <w:ind w:left="141" w:right="140"/>
              <w:rPr>
                <w:sz w:val="20"/>
              </w:rPr>
            </w:pPr>
            <w:r>
              <w:rPr>
                <w:sz w:val="20"/>
              </w:rPr>
              <w:t>0.1</w:t>
            </w:r>
          </w:p>
        </w:tc>
        <w:tc>
          <w:tcPr>
            <w:tcW w:w="1365" w:type="dxa"/>
            <w:tcBorders>
              <w:left w:val="nil"/>
              <w:right w:val="nil"/>
            </w:tcBorders>
          </w:tcPr>
          <w:p>
            <w:pPr>
              <w:pStyle w:val="TableParagraph"/>
              <w:spacing w:line="230" w:lineRule="exact"/>
              <w:ind w:left="171" w:right="201"/>
              <w:rPr>
                <w:sz w:val="20"/>
              </w:rPr>
            </w:pPr>
            <w:r>
              <w:rPr>
                <w:sz w:val="20"/>
              </w:rPr>
              <w:t>1.3</w:t>
            </w:r>
          </w:p>
        </w:tc>
        <w:tc>
          <w:tcPr>
            <w:tcW w:w="1125" w:type="dxa"/>
            <w:tcBorders>
              <w:left w:val="nil"/>
              <w:right w:val="nil"/>
            </w:tcBorders>
          </w:tcPr>
          <w:p>
            <w:pPr>
              <w:pStyle w:val="TableParagraph"/>
              <w:spacing w:line="230" w:lineRule="exact"/>
              <w:ind w:left="176" w:right="249"/>
              <w:rPr>
                <w:sz w:val="20"/>
              </w:rPr>
            </w:pPr>
            <w:r>
              <w:rPr>
                <w:sz w:val="20"/>
              </w:rPr>
              <w:t>18.91</w:t>
            </w:r>
          </w:p>
        </w:tc>
        <w:tc>
          <w:tcPr>
            <w:tcW w:w="1234" w:type="dxa"/>
            <w:tcBorders>
              <w:left w:val="nil"/>
            </w:tcBorders>
          </w:tcPr>
          <w:p>
            <w:pPr>
              <w:pStyle w:val="TableParagraph"/>
              <w:spacing w:line="230" w:lineRule="exact"/>
              <w:ind w:left="248" w:right="238"/>
              <w:rPr>
                <w:sz w:val="20"/>
              </w:rPr>
            </w:pPr>
            <w:r>
              <w:rPr>
                <w:sz w:val="20"/>
              </w:rPr>
              <w:t>19.26</w:t>
            </w:r>
          </w:p>
        </w:tc>
      </w:tr>
    </w:tbl>
    <w:p>
      <w:pPr>
        <w:pStyle w:val="BodyText"/>
        <w:rPr>
          <w:sz w:val="20"/>
        </w:rPr>
      </w:pPr>
    </w:p>
    <w:p>
      <w:pPr>
        <w:pStyle w:val="BodyText"/>
        <w:spacing w:before="2"/>
        <w:rPr>
          <w:sz w:val="21"/>
        </w:rPr>
      </w:pPr>
    </w:p>
    <w:p>
      <w:pPr>
        <w:pStyle w:val="BodyText"/>
        <w:spacing w:before="69"/>
        <w:ind w:left="142"/>
        <w:jc w:val="both"/>
      </w:pPr>
      <w:r>
        <w:rPr/>
        <w:t>Grasa</w:t>
      </w:r>
    </w:p>
    <w:p>
      <w:pPr>
        <w:pStyle w:val="BodyText"/>
        <w:spacing w:before="5"/>
      </w:pPr>
    </w:p>
    <w:p>
      <w:pPr>
        <w:pStyle w:val="BodyText"/>
        <w:spacing w:line="276" w:lineRule="auto"/>
        <w:ind w:left="142" w:right="137"/>
        <w:jc w:val="both"/>
      </w:pPr>
      <w:r>
        <w:rPr/>
        <w:t>El</w:t>
      </w:r>
      <w:r>
        <w:rPr>
          <w:spacing w:val="-18"/>
        </w:rPr>
        <w:t> </w:t>
      </w:r>
      <w:r>
        <w:rPr/>
        <w:t>mayor</w:t>
      </w:r>
      <w:r>
        <w:rPr>
          <w:spacing w:val="-18"/>
        </w:rPr>
        <w:t> </w:t>
      </w:r>
      <w:r>
        <w:rPr/>
        <w:t>porcentaje</w:t>
      </w:r>
      <w:r>
        <w:rPr>
          <w:spacing w:val="-19"/>
        </w:rPr>
        <w:t> </w:t>
      </w:r>
      <w:r>
        <w:rPr/>
        <w:t>de</w:t>
      </w:r>
      <w:r>
        <w:rPr>
          <w:spacing w:val="-19"/>
        </w:rPr>
        <w:t> </w:t>
      </w:r>
      <w:r>
        <w:rPr/>
        <w:t>grasa</w:t>
      </w:r>
      <w:r>
        <w:rPr>
          <w:spacing w:val="-16"/>
        </w:rPr>
        <w:t> </w:t>
      </w:r>
      <w:r>
        <w:rPr/>
        <w:t>por</w:t>
      </w:r>
      <w:r>
        <w:rPr>
          <w:spacing w:val="-20"/>
        </w:rPr>
        <w:t> </w:t>
      </w:r>
      <w:r>
        <w:rPr/>
        <w:t>gramo</w:t>
      </w:r>
      <w:r>
        <w:rPr>
          <w:spacing w:val="-20"/>
        </w:rPr>
        <w:t> </w:t>
      </w:r>
      <w:r>
        <w:rPr/>
        <w:t>fue</w:t>
      </w:r>
      <w:r>
        <w:rPr>
          <w:spacing w:val="-17"/>
        </w:rPr>
        <w:t> </w:t>
      </w:r>
      <w:r>
        <w:rPr/>
        <w:t>de</w:t>
      </w:r>
      <w:r>
        <w:rPr>
          <w:spacing w:val="-17"/>
        </w:rPr>
        <w:t> </w:t>
      </w:r>
      <w:r>
        <w:rPr/>
        <w:t>los</w:t>
      </w:r>
      <w:r>
        <w:rPr>
          <w:spacing w:val="-17"/>
        </w:rPr>
        <w:t> </w:t>
      </w:r>
      <w:r>
        <w:rPr/>
        <w:t>quesos</w:t>
      </w:r>
      <w:r>
        <w:rPr>
          <w:spacing w:val="-20"/>
        </w:rPr>
        <w:t> </w:t>
      </w:r>
      <w:r>
        <w:rPr/>
        <w:t>procedentes</w:t>
      </w:r>
      <w:r>
        <w:rPr>
          <w:spacing w:val="-17"/>
        </w:rPr>
        <w:t> </w:t>
      </w:r>
      <w:r>
        <w:rPr/>
        <w:t>de</w:t>
      </w:r>
      <w:r>
        <w:rPr>
          <w:spacing w:val="-17"/>
        </w:rPr>
        <w:t> </w:t>
      </w:r>
      <w:r>
        <w:rPr/>
        <w:t>Ecatepec con un 26%, seguido de Guadalajara con 24%, San Mateo Atenco con 23%, los municipios de Aculco, Metepec y Almoloya de Juárez mostraron valores similares con 22, 22 y 21 respectivamente, en Zinacantepec el valor fue de 21%; Toluca, Ixtlahuaca con 20% y Villa Victoria con19%, el valor más bajo en este estudio fue en los quesos procedentes de Texcatitlán con 17% como se muestra en el cuadro 19.</w:t>
      </w:r>
    </w:p>
    <w:p>
      <w:pPr>
        <w:spacing w:after="0" w:line="276" w:lineRule="auto"/>
        <w:jc w:val="both"/>
        <w:sectPr>
          <w:pgSz w:w="12240" w:h="15840"/>
          <w:pgMar w:header="728" w:footer="710" w:top="1200" w:bottom="900" w:left="1560" w:right="1560"/>
        </w:sectPr>
      </w:pPr>
    </w:p>
    <w:p>
      <w:pPr>
        <w:pStyle w:val="BodyText"/>
        <w:spacing w:before="7"/>
        <w:rPr>
          <w:sz w:val="12"/>
        </w:rPr>
      </w:pPr>
    </w:p>
    <w:p>
      <w:pPr>
        <w:pStyle w:val="BodyText"/>
        <w:spacing w:before="69"/>
        <w:ind w:left="142"/>
      </w:pPr>
      <w:r>
        <w:rPr/>
        <w:t>Cuadro 19: Valores de grasa en los quesos frescos mostrados por municipio.</w:t>
      </w:r>
    </w:p>
    <w:p>
      <w:pPr>
        <w:pStyle w:val="BodyText"/>
        <w:spacing w:before="4"/>
        <w:rPr>
          <w:sz w:val="14"/>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21"/>
        <w:gridCol w:w="956"/>
        <w:gridCol w:w="1392"/>
        <w:gridCol w:w="1125"/>
        <w:gridCol w:w="1375"/>
        <w:gridCol w:w="1136"/>
        <w:gridCol w:w="1249"/>
      </w:tblGrid>
      <w:tr>
        <w:trPr>
          <w:trHeight w:val="274" w:hRule="exact"/>
        </w:trPr>
        <w:tc>
          <w:tcPr>
            <w:tcW w:w="8954" w:type="dxa"/>
            <w:gridSpan w:val="7"/>
            <w:tcBorders>
              <w:right w:val="nil"/>
            </w:tcBorders>
            <w:shd w:val="clear" w:color="auto" w:fill="A6A6A6"/>
          </w:tcPr>
          <w:p>
            <w:pPr>
              <w:pStyle w:val="TableParagraph"/>
              <w:spacing w:line="230" w:lineRule="exact"/>
              <w:ind w:left="4179" w:right="4185"/>
              <w:rPr>
                <w:sz w:val="20"/>
              </w:rPr>
            </w:pPr>
            <w:r>
              <w:rPr>
                <w:color w:val="FFFFFF"/>
                <w:sz w:val="20"/>
              </w:rPr>
              <w:t>Grasa</w:t>
            </w:r>
          </w:p>
        </w:tc>
      </w:tr>
      <w:tr>
        <w:trPr>
          <w:trHeight w:val="804" w:hRule="exact"/>
        </w:trPr>
        <w:tc>
          <w:tcPr>
            <w:tcW w:w="1721" w:type="dxa"/>
            <w:tcBorders>
              <w:right w:val="nil"/>
            </w:tcBorders>
          </w:tcPr>
          <w:p>
            <w:pPr/>
          </w:p>
        </w:tc>
        <w:tc>
          <w:tcPr>
            <w:tcW w:w="956" w:type="dxa"/>
            <w:tcBorders>
              <w:left w:val="nil"/>
              <w:right w:val="nil"/>
            </w:tcBorders>
          </w:tcPr>
          <w:p>
            <w:pPr>
              <w:pStyle w:val="TableParagraph"/>
              <w:spacing w:before="2"/>
              <w:ind w:left="155" w:right="215"/>
              <w:rPr>
                <w:sz w:val="20"/>
              </w:rPr>
            </w:pPr>
            <w:r>
              <w:rPr>
                <w:sz w:val="20"/>
              </w:rPr>
              <w:t>Media</w:t>
            </w:r>
          </w:p>
        </w:tc>
        <w:tc>
          <w:tcPr>
            <w:tcW w:w="1392" w:type="dxa"/>
            <w:tcBorders>
              <w:left w:val="nil"/>
              <w:right w:val="nil"/>
            </w:tcBorders>
          </w:tcPr>
          <w:p>
            <w:pPr>
              <w:pStyle w:val="TableParagraph"/>
              <w:spacing w:line="276" w:lineRule="auto" w:before="2"/>
              <w:ind w:left="336" w:hanging="99"/>
              <w:jc w:val="left"/>
              <w:rPr>
                <w:sz w:val="20"/>
              </w:rPr>
            </w:pPr>
            <w:r>
              <w:rPr>
                <w:w w:val="95"/>
                <w:sz w:val="20"/>
              </w:rPr>
              <w:t>Desviación </w:t>
            </w:r>
            <w:r>
              <w:rPr>
                <w:sz w:val="20"/>
              </w:rPr>
              <w:t>estándar</w:t>
            </w:r>
          </w:p>
        </w:tc>
        <w:tc>
          <w:tcPr>
            <w:tcW w:w="1125" w:type="dxa"/>
            <w:tcBorders>
              <w:left w:val="nil"/>
              <w:right w:val="nil"/>
            </w:tcBorders>
          </w:tcPr>
          <w:p>
            <w:pPr>
              <w:pStyle w:val="TableParagraph"/>
              <w:spacing w:before="2"/>
              <w:ind w:left="149" w:right="146"/>
              <w:rPr>
                <w:sz w:val="20"/>
              </w:rPr>
            </w:pPr>
            <w:r>
              <w:rPr>
                <w:sz w:val="20"/>
              </w:rPr>
              <w:t>Varianza</w:t>
            </w:r>
          </w:p>
        </w:tc>
        <w:tc>
          <w:tcPr>
            <w:tcW w:w="1375" w:type="dxa"/>
            <w:tcBorders>
              <w:left w:val="nil"/>
              <w:right w:val="nil"/>
            </w:tcBorders>
          </w:tcPr>
          <w:p>
            <w:pPr>
              <w:pStyle w:val="TableParagraph"/>
              <w:spacing w:line="276" w:lineRule="auto" w:before="2"/>
              <w:ind w:left="179" w:right="205"/>
              <w:rPr>
                <w:sz w:val="20"/>
              </w:rPr>
            </w:pPr>
            <w:r>
              <w:rPr>
                <w:w w:val="95"/>
                <w:sz w:val="20"/>
              </w:rPr>
              <w:t>Coeficiente </w:t>
            </w:r>
            <w:r>
              <w:rPr>
                <w:sz w:val="20"/>
              </w:rPr>
              <w:t>de    variación</w:t>
            </w:r>
          </w:p>
        </w:tc>
        <w:tc>
          <w:tcPr>
            <w:tcW w:w="1136" w:type="dxa"/>
            <w:tcBorders>
              <w:left w:val="nil"/>
              <w:right w:val="nil"/>
            </w:tcBorders>
          </w:tcPr>
          <w:p>
            <w:pPr>
              <w:pStyle w:val="TableParagraph"/>
              <w:spacing w:before="2"/>
              <w:ind w:left="184" w:right="256"/>
              <w:rPr>
                <w:sz w:val="20"/>
              </w:rPr>
            </w:pPr>
            <w:r>
              <w:rPr>
                <w:sz w:val="20"/>
              </w:rPr>
              <w:t>Mínimo</w:t>
            </w:r>
          </w:p>
        </w:tc>
        <w:tc>
          <w:tcPr>
            <w:tcW w:w="1249" w:type="dxa"/>
            <w:tcBorders>
              <w:left w:val="nil"/>
            </w:tcBorders>
          </w:tcPr>
          <w:p>
            <w:pPr>
              <w:pStyle w:val="TableParagraph"/>
              <w:spacing w:before="2"/>
              <w:ind w:left="257" w:right="246"/>
              <w:rPr>
                <w:sz w:val="20"/>
              </w:rPr>
            </w:pPr>
            <w:r>
              <w:rPr>
                <w:sz w:val="20"/>
              </w:rPr>
              <w:t>Máximo</w:t>
            </w:r>
          </w:p>
        </w:tc>
      </w:tr>
      <w:tr>
        <w:trPr>
          <w:trHeight w:val="276" w:hRule="exact"/>
        </w:trPr>
        <w:tc>
          <w:tcPr>
            <w:tcW w:w="1721" w:type="dxa"/>
            <w:tcBorders>
              <w:right w:val="nil"/>
            </w:tcBorders>
          </w:tcPr>
          <w:p>
            <w:pPr>
              <w:pStyle w:val="TableParagraph"/>
              <w:spacing w:line="227" w:lineRule="exact"/>
              <w:ind w:right="403"/>
              <w:jc w:val="left"/>
              <w:rPr>
                <w:b/>
                <w:sz w:val="20"/>
              </w:rPr>
            </w:pPr>
            <w:r>
              <w:rPr>
                <w:b/>
                <w:sz w:val="20"/>
              </w:rPr>
              <w:t>Aculco</w:t>
            </w:r>
          </w:p>
        </w:tc>
        <w:tc>
          <w:tcPr>
            <w:tcW w:w="956" w:type="dxa"/>
            <w:tcBorders>
              <w:left w:val="nil"/>
              <w:right w:val="nil"/>
            </w:tcBorders>
          </w:tcPr>
          <w:p>
            <w:pPr>
              <w:pStyle w:val="TableParagraph"/>
              <w:spacing w:line="230" w:lineRule="exact"/>
              <w:ind w:left="155" w:right="215"/>
              <w:rPr>
                <w:sz w:val="20"/>
              </w:rPr>
            </w:pPr>
            <w:r>
              <w:rPr>
                <w:sz w:val="20"/>
              </w:rPr>
              <w:t>22</w:t>
            </w:r>
          </w:p>
        </w:tc>
        <w:tc>
          <w:tcPr>
            <w:tcW w:w="1392" w:type="dxa"/>
            <w:tcBorders>
              <w:left w:val="nil"/>
              <w:right w:val="nil"/>
            </w:tcBorders>
          </w:tcPr>
          <w:p>
            <w:pPr>
              <w:pStyle w:val="TableParagraph"/>
              <w:spacing w:line="230" w:lineRule="exact"/>
              <w:ind w:left="508" w:right="453"/>
              <w:rPr>
                <w:sz w:val="20"/>
              </w:rPr>
            </w:pPr>
            <w:r>
              <w:rPr>
                <w:sz w:val="20"/>
              </w:rPr>
              <w:t>4.1</w:t>
            </w:r>
          </w:p>
        </w:tc>
        <w:tc>
          <w:tcPr>
            <w:tcW w:w="1125" w:type="dxa"/>
            <w:tcBorders>
              <w:left w:val="nil"/>
              <w:right w:val="nil"/>
            </w:tcBorders>
          </w:tcPr>
          <w:p>
            <w:pPr>
              <w:pStyle w:val="TableParagraph"/>
              <w:spacing w:line="230" w:lineRule="exact"/>
              <w:ind w:left="147" w:right="146"/>
              <w:rPr>
                <w:sz w:val="20"/>
              </w:rPr>
            </w:pPr>
            <w:r>
              <w:rPr>
                <w:sz w:val="20"/>
              </w:rPr>
              <w:t>16.5</w:t>
            </w:r>
          </w:p>
        </w:tc>
        <w:tc>
          <w:tcPr>
            <w:tcW w:w="1375" w:type="dxa"/>
            <w:tcBorders>
              <w:left w:val="nil"/>
              <w:right w:val="nil"/>
            </w:tcBorders>
          </w:tcPr>
          <w:p>
            <w:pPr>
              <w:pStyle w:val="TableParagraph"/>
              <w:spacing w:line="230" w:lineRule="exact"/>
              <w:ind w:left="179" w:right="205"/>
              <w:rPr>
                <w:sz w:val="20"/>
              </w:rPr>
            </w:pPr>
            <w:r>
              <w:rPr>
                <w:sz w:val="20"/>
              </w:rPr>
              <w:t>18.57</w:t>
            </w:r>
          </w:p>
        </w:tc>
        <w:tc>
          <w:tcPr>
            <w:tcW w:w="1136" w:type="dxa"/>
            <w:tcBorders>
              <w:left w:val="nil"/>
              <w:right w:val="nil"/>
            </w:tcBorders>
          </w:tcPr>
          <w:p>
            <w:pPr>
              <w:pStyle w:val="TableParagraph"/>
              <w:spacing w:line="230" w:lineRule="exact"/>
              <w:ind w:left="181" w:right="256"/>
              <w:rPr>
                <w:sz w:val="20"/>
              </w:rPr>
            </w:pPr>
            <w:r>
              <w:rPr>
                <w:sz w:val="20"/>
              </w:rPr>
              <w:t>19</w:t>
            </w:r>
          </w:p>
        </w:tc>
        <w:tc>
          <w:tcPr>
            <w:tcW w:w="1249" w:type="dxa"/>
            <w:tcBorders>
              <w:left w:val="nil"/>
            </w:tcBorders>
          </w:tcPr>
          <w:p>
            <w:pPr>
              <w:pStyle w:val="TableParagraph"/>
              <w:spacing w:line="230" w:lineRule="exact"/>
              <w:ind w:left="257" w:right="246"/>
              <w:rPr>
                <w:sz w:val="20"/>
              </w:rPr>
            </w:pPr>
            <w:r>
              <w:rPr>
                <w:sz w:val="20"/>
              </w:rPr>
              <w:t>32</w:t>
            </w:r>
          </w:p>
        </w:tc>
      </w:tr>
      <w:tr>
        <w:trPr>
          <w:trHeight w:val="538" w:hRule="exact"/>
        </w:trPr>
        <w:tc>
          <w:tcPr>
            <w:tcW w:w="1721" w:type="dxa"/>
            <w:tcBorders>
              <w:right w:val="nil"/>
            </w:tcBorders>
          </w:tcPr>
          <w:p>
            <w:pPr>
              <w:pStyle w:val="TableParagraph"/>
              <w:spacing w:line="276" w:lineRule="auto"/>
              <w:ind w:right="403"/>
              <w:jc w:val="left"/>
              <w:rPr>
                <w:b/>
                <w:sz w:val="20"/>
              </w:rPr>
            </w:pPr>
            <w:r>
              <w:rPr>
                <w:b/>
                <w:sz w:val="20"/>
              </w:rPr>
              <w:t>Almoloya de Juárez</w:t>
            </w:r>
          </w:p>
        </w:tc>
        <w:tc>
          <w:tcPr>
            <w:tcW w:w="956" w:type="dxa"/>
            <w:tcBorders>
              <w:left w:val="nil"/>
              <w:right w:val="nil"/>
            </w:tcBorders>
          </w:tcPr>
          <w:p>
            <w:pPr>
              <w:pStyle w:val="TableParagraph"/>
              <w:spacing w:line="230" w:lineRule="exact"/>
              <w:ind w:left="155" w:right="215"/>
              <w:rPr>
                <w:sz w:val="20"/>
              </w:rPr>
            </w:pPr>
            <w:r>
              <w:rPr>
                <w:sz w:val="20"/>
              </w:rPr>
              <w:t>21</w:t>
            </w:r>
          </w:p>
        </w:tc>
        <w:tc>
          <w:tcPr>
            <w:tcW w:w="1392" w:type="dxa"/>
            <w:tcBorders>
              <w:left w:val="nil"/>
              <w:right w:val="nil"/>
            </w:tcBorders>
          </w:tcPr>
          <w:p>
            <w:pPr>
              <w:pStyle w:val="TableParagraph"/>
              <w:spacing w:line="230" w:lineRule="exact"/>
              <w:ind w:left="508" w:right="453"/>
              <w:rPr>
                <w:sz w:val="20"/>
              </w:rPr>
            </w:pPr>
            <w:r>
              <w:rPr>
                <w:sz w:val="20"/>
              </w:rPr>
              <w:t>2.52</w:t>
            </w:r>
          </w:p>
        </w:tc>
        <w:tc>
          <w:tcPr>
            <w:tcW w:w="1125" w:type="dxa"/>
            <w:tcBorders>
              <w:left w:val="nil"/>
              <w:right w:val="nil"/>
            </w:tcBorders>
          </w:tcPr>
          <w:p>
            <w:pPr>
              <w:pStyle w:val="TableParagraph"/>
              <w:spacing w:line="230" w:lineRule="exact"/>
              <w:ind w:left="147" w:right="146"/>
              <w:rPr>
                <w:sz w:val="20"/>
              </w:rPr>
            </w:pPr>
            <w:r>
              <w:rPr>
                <w:sz w:val="20"/>
              </w:rPr>
              <w:t>6.33</w:t>
            </w:r>
          </w:p>
        </w:tc>
        <w:tc>
          <w:tcPr>
            <w:tcW w:w="1375" w:type="dxa"/>
            <w:tcBorders>
              <w:left w:val="nil"/>
              <w:right w:val="nil"/>
            </w:tcBorders>
          </w:tcPr>
          <w:p>
            <w:pPr>
              <w:pStyle w:val="TableParagraph"/>
              <w:spacing w:line="230" w:lineRule="exact"/>
              <w:ind w:left="179" w:right="205"/>
              <w:rPr>
                <w:sz w:val="20"/>
              </w:rPr>
            </w:pPr>
            <w:r>
              <w:rPr>
                <w:sz w:val="20"/>
              </w:rPr>
              <w:t>12.18</w:t>
            </w:r>
          </w:p>
        </w:tc>
        <w:tc>
          <w:tcPr>
            <w:tcW w:w="1136" w:type="dxa"/>
            <w:tcBorders>
              <w:left w:val="nil"/>
              <w:right w:val="nil"/>
            </w:tcBorders>
          </w:tcPr>
          <w:p>
            <w:pPr>
              <w:pStyle w:val="TableParagraph"/>
              <w:spacing w:line="230" w:lineRule="exact"/>
              <w:ind w:left="181" w:right="256"/>
              <w:rPr>
                <w:sz w:val="20"/>
              </w:rPr>
            </w:pPr>
            <w:r>
              <w:rPr>
                <w:sz w:val="20"/>
              </w:rPr>
              <w:t>17</w:t>
            </w:r>
          </w:p>
        </w:tc>
        <w:tc>
          <w:tcPr>
            <w:tcW w:w="1249" w:type="dxa"/>
            <w:tcBorders>
              <w:left w:val="nil"/>
            </w:tcBorders>
          </w:tcPr>
          <w:p>
            <w:pPr>
              <w:pStyle w:val="TableParagraph"/>
              <w:spacing w:line="230" w:lineRule="exact"/>
              <w:ind w:left="257" w:right="246"/>
              <w:rPr>
                <w:sz w:val="20"/>
              </w:rPr>
            </w:pPr>
            <w:r>
              <w:rPr>
                <w:sz w:val="20"/>
              </w:rPr>
              <w:t>27</w:t>
            </w:r>
          </w:p>
        </w:tc>
      </w:tr>
      <w:tr>
        <w:trPr>
          <w:trHeight w:val="274" w:hRule="exact"/>
        </w:trPr>
        <w:tc>
          <w:tcPr>
            <w:tcW w:w="1721" w:type="dxa"/>
            <w:tcBorders>
              <w:right w:val="nil"/>
            </w:tcBorders>
          </w:tcPr>
          <w:p>
            <w:pPr>
              <w:pStyle w:val="TableParagraph"/>
              <w:spacing w:line="227" w:lineRule="exact"/>
              <w:ind w:right="403"/>
              <w:jc w:val="left"/>
              <w:rPr>
                <w:b/>
                <w:sz w:val="20"/>
              </w:rPr>
            </w:pPr>
            <w:r>
              <w:rPr>
                <w:b/>
                <w:sz w:val="20"/>
              </w:rPr>
              <w:t>Desconoce</w:t>
            </w:r>
          </w:p>
        </w:tc>
        <w:tc>
          <w:tcPr>
            <w:tcW w:w="956" w:type="dxa"/>
            <w:tcBorders>
              <w:left w:val="nil"/>
              <w:right w:val="nil"/>
            </w:tcBorders>
          </w:tcPr>
          <w:p>
            <w:pPr>
              <w:pStyle w:val="TableParagraph"/>
              <w:spacing w:line="230" w:lineRule="exact"/>
              <w:ind w:left="155" w:right="215"/>
              <w:rPr>
                <w:sz w:val="20"/>
              </w:rPr>
            </w:pPr>
            <w:r>
              <w:rPr>
                <w:sz w:val="20"/>
              </w:rPr>
              <w:t>21</w:t>
            </w:r>
          </w:p>
        </w:tc>
        <w:tc>
          <w:tcPr>
            <w:tcW w:w="1392" w:type="dxa"/>
            <w:tcBorders>
              <w:left w:val="nil"/>
              <w:right w:val="nil"/>
            </w:tcBorders>
          </w:tcPr>
          <w:p>
            <w:pPr>
              <w:pStyle w:val="TableParagraph"/>
              <w:spacing w:line="230" w:lineRule="exact"/>
              <w:ind w:left="508" w:right="453"/>
              <w:rPr>
                <w:sz w:val="20"/>
              </w:rPr>
            </w:pPr>
            <w:r>
              <w:rPr>
                <w:sz w:val="20"/>
              </w:rPr>
              <w:t>5.3</w:t>
            </w:r>
          </w:p>
        </w:tc>
        <w:tc>
          <w:tcPr>
            <w:tcW w:w="1125" w:type="dxa"/>
            <w:tcBorders>
              <w:left w:val="nil"/>
              <w:right w:val="nil"/>
            </w:tcBorders>
          </w:tcPr>
          <w:p>
            <w:pPr>
              <w:pStyle w:val="TableParagraph"/>
              <w:spacing w:line="230" w:lineRule="exact"/>
              <w:ind w:left="147" w:right="146"/>
              <w:rPr>
                <w:sz w:val="20"/>
              </w:rPr>
            </w:pPr>
            <w:r>
              <w:rPr>
                <w:sz w:val="20"/>
              </w:rPr>
              <w:t>28.0</w:t>
            </w:r>
          </w:p>
        </w:tc>
        <w:tc>
          <w:tcPr>
            <w:tcW w:w="1375" w:type="dxa"/>
            <w:tcBorders>
              <w:left w:val="nil"/>
              <w:right w:val="nil"/>
            </w:tcBorders>
          </w:tcPr>
          <w:p>
            <w:pPr>
              <w:pStyle w:val="TableParagraph"/>
              <w:spacing w:line="230" w:lineRule="exact"/>
              <w:ind w:left="179" w:right="205"/>
              <w:rPr>
                <w:sz w:val="20"/>
              </w:rPr>
            </w:pPr>
            <w:r>
              <w:rPr>
                <w:sz w:val="20"/>
              </w:rPr>
              <w:t>25.51</w:t>
            </w:r>
          </w:p>
        </w:tc>
        <w:tc>
          <w:tcPr>
            <w:tcW w:w="1136" w:type="dxa"/>
            <w:tcBorders>
              <w:left w:val="nil"/>
              <w:right w:val="nil"/>
            </w:tcBorders>
          </w:tcPr>
          <w:p>
            <w:pPr>
              <w:pStyle w:val="TableParagraph"/>
              <w:spacing w:line="230" w:lineRule="exact"/>
              <w:ind w:left="181" w:right="256"/>
              <w:rPr>
                <w:sz w:val="20"/>
              </w:rPr>
            </w:pPr>
            <w:r>
              <w:rPr>
                <w:sz w:val="20"/>
              </w:rPr>
              <w:t>14</w:t>
            </w:r>
          </w:p>
        </w:tc>
        <w:tc>
          <w:tcPr>
            <w:tcW w:w="1249" w:type="dxa"/>
            <w:tcBorders>
              <w:left w:val="nil"/>
            </w:tcBorders>
          </w:tcPr>
          <w:p>
            <w:pPr>
              <w:pStyle w:val="TableParagraph"/>
              <w:spacing w:line="230" w:lineRule="exact"/>
              <w:ind w:left="257" w:right="246"/>
              <w:rPr>
                <w:sz w:val="20"/>
              </w:rPr>
            </w:pPr>
            <w:r>
              <w:rPr>
                <w:sz w:val="20"/>
              </w:rPr>
              <w:t>29</w:t>
            </w:r>
          </w:p>
        </w:tc>
      </w:tr>
      <w:tr>
        <w:trPr>
          <w:trHeight w:val="276" w:hRule="exact"/>
        </w:trPr>
        <w:tc>
          <w:tcPr>
            <w:tcW w:w="1721" w:type="dxa"/>
            <w:tcBorders>
              <w:right w:val="nil"/>
            </w:tcBorders>
          </w:tcPr>
          <w:p>
            <w:pPr>
              <w:pStyle w:val="TableParagraph"/>
              <w:spacing w:line="230" w:lineRule="exact"/>
              <w:ind w:right="403"/>
              <w:jc w:val="left"/>
              <w:rPr>
                <w:b/>
                <w:sz w:val="20"/>
              </w:rPr>
            </w:pPr>
            <w:r>
              <w:rPr>
                <w:b/>
                <w:sz w:val="20"/>
              </w:rPr>
              <w:t>Ecatepec</w:t>
            </w:r>
          </w:p>
        </w:tc>
        <w:tc>
          <w:tcPr>
            <w:tcW w:w="956" w:type="dxa"/>
            <w:tcBorders>
              <w:left w:val="nil"/>
              <w:right w:val="nil"/>
            </w:tcBorders>
          </w:tcPr>
          <w:p>
            <w:pPr>
              <w:pStyle w:val="TableParagraph"/>
              <w:spacing w:before="2"/>
              <w:ind w:left="155" w:right="215"/>
              <w:rPr>
                <w:sz w:val="20"/>
              </w:rPr>
            </w:pPr>
            <w:r>
              <w:rPr>
                <w:sz w:val="20"/>
              </w:rPr>
              <w:t>26</w:t>
            </w:r>
          </w:p>
        </w:tc>
        <w:tc>
          <w:tcPr>
            <w:tcW w:w="1392" w:type="dxa"/>
            <w:tcBorders>
              <w:left w:val="nil"/>
              <w:right w:val="nil"/>
            </w:tcBorders>
          </w:tcPr>
          <w:p>
            <w:pPr>
              <w:pStyle w:val="TableParagraph"/>
              <w:spacing w:before="2"/>
              <w:ind w:left="508" w:right="453"/>
              <w:rPr>
                <w:sz w:val="20"/>
              </w:rPr>
            </w:pPr>
            <w:r>
              <w:rPr>
                <w:sz w:val="20"/>
              </w:rPr>
              <w:t>0.7</w:t>
            </w:r>
          </w:p>
        </w:tc>
        <w:tc>
          <w:tcPr>
            <w:tcW w:w="1125" w:type="dxa"/>
            <w:tcBorders>
              <w:left w:val="nil"/>
              <w:right w:val="nil"/>
            </w:tcBorders>
          </w:tcPr>
          <w:p>
            <w:pPr>
              <w:pStyle w:val="TableParagraph"/>
              <w:spacing w:before="2"/>
              <w:ind w:left="147" w:right="146"/>
              <w:rPr>
                <w:sz w:val="20"/>
              </w:rPr>
            </w:pPr>
            <w:r>
              <w:rPr>
                <w:sz w:val="20"/>
              </w:rPr>
              <w:t>0.5</w:t>
            </w:r>
          </w:p>
        </w:tc>
        <w:tc>
          <w:tcPr>
            <w:tcW w:w="1375" w:type="dxa"/>
            <w:tcBorders>
              <w:left w:val="nil"/>
              <w:right w:val="nil"/>
            </w:tcBorders>
          </w:tcPr>
          <w:p>
            <w:pPr>
              <w:pStyle w:val="TableParagraph"/>
              <w:spacing w:before="2"/>
              <w:ind w:left="176" w:right="205"/>
              <w:rPr>
                <w:sz w:val="20"/>
              </w:rPr>
            </w:pPr>
            <w:r>
              <w:rPr>
                <w:sz w:val="20"/>
              </w:rPr>
              <w:t>2.77</w:t>
            </w:r>
          </w:p>
        </w:tc>
        <w:tc>
          <w:tcPr>
            <w:tcW w:w="1136" w:type="dxa"/>
            <w:tcBorders>
              <w:left w:val="nil"/>
              <w:right w:val="nil"/>
            </w:tcBorders>
          </w:tcPr>
          <w:p>
            <w:pPr>
              <w:pStyle w:val="TableParagraph"/>
              <w:spacing w:before="2"/>
              <w:ind w:left="181" w:right="256"/>
              <w:rPr>
                <w:sz w:val="20"/>
              </w:rPr>
            </w:pPr>
            <w:r>
              <w:rPr>
                <w:sz w:val="20"/>
              </w:rPr>
              <w:t>25</w:t>
            </w:r>
          </w:p>
        </w:tc>
        <w:tc>
          <w:tcPr>
            <w:tcW w:w="1249" w:type="dxa"/>
            <w:tcBorders>
              <w:left w:val="nil"/>
            </w:tcBorders>
          </w:tcPr>
          <w:p>
            <w:pPr>
              <w:pStyle w:val="TableParagraph"/>
              <w:spacing w:before="2"/>
              <w:ind w:left="257" w:right="246"/>
              <w:rPr>
                <w:sz w:val="20"/>
              </w:rPr>
            </w:pPr>
            <w:r>
              <w:rPr>
                <w:sz w:val="20"/>
              </w:rPr>
              <w:t>26</w:t>
            </w:r>
          </w:p>
        </w:tc>
      </w:tr>
      <w:tr>
        <w:trPr>
          <w:trHeight w:val="274" w:hRule="exact"/>
        </w:trPr>
        <w:tc>
          <w:tcPr>
            <w:tcW w:w="1721" w:type="dxa"/>
            <w:tcBorders>
              <w:right w:val="nil"/>
            </w:tcBorders>
          </w:tcPr>
          <w:p>
            <w:pPr>
              <w:pStyle w:val="TableParagraph"/>
              <w:spacing w:line="227" w:lineRule="exact"/>
              <w:ind w:right="403"/>
              <w:jc w:val="left"/>
              <w:rPr>
                <w:b/>
                <w:sz w:val="20"/>
              </w:rPr>
            </w:pPr>
            <w:r>
              <w:rPr>
                <w:b/>
                <w:sz w:val="20"/>
              </w:rPr>
              <w:t>Guadalajara</w:t>
            </w:r>
          </w:p>
        </w:tc>
        <w:tc>
          <w:tcPr>
            <w:tcW w:w="956" w:type="dxa"/>
            <w:tcBorders>
              <w:left w:val="nil"/>
              <w:right w:val="nil"/>
            </w:tcBorders>
          </w:tcPr>
          <w:p>
            <w:pPr>
              <w:pStyle w:val="TableParagraph"/>
              <w:spacing w:line="230" w:lineRule="exact"/>
              <w:ind w:left="155" w:right="215"/>
              <w:rPr>
                <w:sz w:val="20"/>
              </w:rPr>
            </w:pPr>
            <w:r>
              <w:rPr>
                <w:sz w:val="20"/>
              </w:rPr>
              <w:t>24</w:t>
            </w:r>
          </w:p>
        </w:tc>
        <w:tc>
          <w:tcPr>
            <w:tcW w:w="1392" w:type="dxa"/>
            <w:tcBorders>
              <w:left w:val="nil"/>
              <w:right w:val="nil"/>
            </w:tcBorders>
          </w:tcPr>
          <w:p>
            <w:pPr>
              <w:pStyle w:val="TableParagraph"/>
              <w:spacing w:line="230" w:lineRule="exact"/>
              <w:ind w:left="508" w:right="453"/>
              <w:rPr>
                <w:sz w:val="20"/>
              </w:rPr>
            </w:pPr>
            <w:r>
              <w:rPr>
                <w:sz w:val="20"/>
              </w:rPr>
              <w:t>0.7</w:t>
            </w:r>
          </w:p>
        </w:tc>
        <w:tc>
          <w:tcPr>
            <w:tcW w:w="1125" w:type="dxa"/>
            <w:tcBorders>
              <w:left w:val="nil"/>
              <w:right w:val="nil"/>
            </w:tcBorders>
          </w:tcPr>
          <w:p>
            <w:pPr>
              <w:pStyle w:val="TableParagraph"/>
              <w:spacing w:line="230" w:lineRule="exact"/>
              <w:ind w:left="147" w:right="146"/>
              <w:rPr>
                <w:sz w:val="20"/>
              </w:rPr>
            </w:pPr>
            <w:r>
              <w:rPr>
                <w:sz w:val="20"/>
              </w:rPr>
              <w:t>0.5</w:t>
            </w:r>
          </w:p>
        </w:tc>
        <w:tc>
          <w:tcPr>
            <w:tcW w:w="1375" w:type="dxa"/>
            <w:tcBorders>
              <w:left w:val="nil"/>
              <w:right w:val="nil"/>
            </w:tcBorders>
          </w:tcPr>
          <w:p>
            <w:pPr>
              <w:pStyle w:val="TableParagraph"/>
              <w:spacing w:line="230" w:lineRule="exact"/>
              <w:ind w:left="176" w:right="205"/>
              <w:rPr>
                <w:sz w:val="20"/>
              </w:rPr>
            </w:pPr>
            <w:r>
              <w:rPr>
                <w:sz w:val="20"/>
              </w:rPr>
              <w:t>3.01</w:t>
            </w:r>
          </w:p>
        </w:tc>
        <w:tc>
          <w:tcPr>
            <w:tcW w:w="1136" w:type="dxa"/>
            <w:tcBorders>
              <w:left w:val="nil"/>
              <w:right w:val="nil"/>
            </w:tcBorders>
          </w:tcPr>
          <w:p>
            <w:pPr>
              <w:pStyle w:val="TableParagraph"/>
              <w:spacing w:line="230" w:lineRule="exact"/>
              <w:ind w:left="181" w:right="256"/>
              <w:rPr>
                <w:sz w:val="20"/>
              </w:rPr>
            </w:pPr>
            <w:r>
              <w:rPr>
                <w:sz w:val="20"/>
              </w:rPr>
              <w:t>23</w:t>
            </w:r>
          </w:p>
        </w:tc>
        <w:tc>
          <w:tcPr>
            <w:tcW w:w="1249" w:type="dxa"/>
            <w:tcBorders>
              <w:left w:val="nil"/>
            </w:tcBorders>
          </w:tcPr>
          <w:p>
            <w:pPr>
              <w:pStyle w:val="TableParagraph"/>
              <w:spacing w:line="230" w:lineRule="exact"/>
              <w:ind w:left="257" w:right="246"/>
              <w:rPr>
                <w:sz w:val="20"/>
              </w:rPr>
            </w:pPr>
            <w:r>
              <w:rPr>
                <w:sz w:val="20"/>
              </w:rPr>
              <w:t>24</w:t>
            </w:r>
          </w:p>
        </w:tc>
      </w:tr>
      <w:tr>
        <w:trPr>
          <w:trHeight w:val="277" w:hRule="exact"/>
        </w:trPr>
        <w:tc>
          <w:tcPr>
            <w:tcW w:w="1721" w:type="dxa"/>
            <w:tcBorders>
              <w:right w:val="nil"/>
            </w:tcBorders>
          </w:tcPr>
          <w:p>
            <w:pPr>
              <w:pStyle w:val="TableParagraph"/>
              <w:spacing w:line="228" w:lineRule="exact"/>
              <w:ind w:right="403"/>
              <w:jc w:val="left"/>
              <w:rPr>
                <w:b/>
                <w:sz w:val="20"/>
              </w:rPr>
            </w:pPr>
            <w:r>
              <w:rPr>
                <w:b/>
                <w:sz w:val="20"/>
              </w:rPr>
              <w:t>Ixtlahuaca</w:t>
            </w:r>
          </w:p>
        </w:tc>
        <w:tc>
          <w:tcPr>
            <w:tcW w:w="956" w:type="dxa"/>
            <w:tcBorders>
              <w:left w:val="nil"/>
              <w:right w:val="nil"/>
            </w:tcBorders>
          </w:tcPr>
          <w:p>
            <w:pPr>
              <w:pStyle w:val="TableParagraph"/>
              <w:ind w:left="155" w:right="215"/>
              <w:rPr>
                <w:sz w:val="20"/>
              </w:rPr>
            </w:pPr>
            <w:r>
              <w:rPr>
                <w:sz w:val="20"/>
              </w:rPr>
              <w:t>20</w:t>
            </w:r>
          </w:p>
        </w:tc>
        <w:tc>
          <w:tcPr>
            <w:tcW w:w="1392" w:type="dxa"/>
            <w:tcBorders>
              <w:left w:val="nil"/>
              <w:right w:val="nil"/>
            </w:tcBorders>
          </w:tcPr>
          <w:p>
            <w:pPr>
              <w:pStyle w:val="TableParagraph"/>
              <w:ind w:left="508" w:right="453"/>
              <w:rPr>
                <w:sz w:val="20"/>
              </w:rPr>
            </w:pPr>
            <w:r>
              <w:rPr>
                <w:sz w:val="20"/>
              </w:rPr>
              <w:t>3.8</w:t>
            </w:r>
          </w:p>
        </w:tc>
        <w:tc>
          <w:tcPr>
            <w:tcW w:w="1125" w:type="dxa"/>
            <w:tcBorders>
              <w:left w:val="nil"/>
              <w:right w:val="nil"/>
            </w:tcBorders>
          </w:tcPr>
          <w:p>
            <w:pPr>
              <w:pStyle w:val="TableParagraph"/>
              <w:ind w:left="147" w:right="146"/>
              <w:rPr>
                <w:sz w:val="20"/>
              </w:rPr>
            </w:pPr>
            <w:r>
              <w:rPr>
                <w:sz w:val="20"/>
              </w:rPr>
              <w:t>14.5</w:t>
            </w:r>
          </w:p>
        </w:tc>
        <w:tc>
          <w:tcPr>
            <w:tcW w:w="1375" w:type="dxa"/>
            <w:tcBorders>
              <w:left w:val="nil"/>
              <w:right w:val="nil"/>
            </w:tcBorders>
          </w:tcPr>
          <w:p>
            <w:pPr>
              <w:pStyle w:val="TableParagraph"/>
              <w:ind w:left="176" w:right="205"/>
              <w:rPr>
                <w:sz w:val="20"/>
              </w:rPr>
            </w:pPr>
            <w:r>
              <w:rPr>
                <w:sz w:val="20"/>
              </w:rPr>
              <w:t>19.5</w:t>
            </w:r>
          </w:p>
        </w:tc>
        <w:tc>
          <w:tcPr>
            <w:tcW w:w="1136" w:type="dxa"/>
            <w:tcBorders>
              <w:left w:val="nil"/>
              <w:right w:val="nil"/>
            </w:tcBorders>
          </w:tcPr>
          <w:p>
            <w:pPr>
              <w:pStyle w:val="TableParagraph"/>
              <w:ind w:left="181" w:right="256"/>
              <w:rPr>
                <w:sz w:val="20"/>
              </w:rPr>
            </w:pPr>
            <w:r>
              <w:rPr>
                <w:sz w:val="20"/>
              </w:rPr>
              <w:t>13</w:t>
            </w:r>
          </w:p>
        </w:tc>
        <w:tc>
          <w:tcPr>
            <w:tcW w:w="1249" w:type="dxa"/>
            <w:tcBorders>
              <w:left w:val="nil"/>
            </w:tcBorders>
          </w:tcPr>
          <w:p>
            <w:pPr>
              <w:pStyle w:val="TableParagraph"/>
              <w:ind w:left="257" w:right="246"/>
              <w:rPr>
                <w:sz w:val="20"/>
              </w:rPr>
            </w:pPr>
            <w:r>
              <w:rPr>
                <w:sz w:val="20"/>
              </w:rPr>
              <w:t>23</w:t>
            </w:r>
          </w:p>
        </w:tc>
      </w:tr>
      <w:tr>
        <w:trPr>
          <w:trHeight w:val="274" w:hRule="exact"/>
        </w:trPr>
        <w:tc>
          <w:tcPr>
            <w:tcW w:w="1721" w:type="dxa"/>
            <w:tcBorders>
              <w:right w:val="nil"/>
            </w:tcBorders>
          </w:tcPr>
          <w:p>
            <w:pPr>
              <w:pStyle w:val="TableParagraph"/>
              <w:spacing w:line="227" w:lineRule="exact"/>
              <w:ind w:right="403"/>
              <w:jc w:val="left"/>
              <w:rPr>
                <w:b/>
                <w:sz w:val="20"/>
              </w:rPr>
            </w:pPr>
            <w:r>
              <w:rPr>
                <w:b/>
                <w:sz w:val="20"/>
              </w:rPr>
              <w:t>Metepec</w:t>
            </w:r>
          </w:p>
        </w:tc>
        <w:tc>
          <w:tcPr>
            <w:tcW w:w="956" w:type="dxa"/>
            <w:tcBorders>
              <w:left w:val="nil"/>
              <w:right w:val="nil"/>
            </w:tcBorders>
          </w:tcPr>
          <w:p>
            <w:pPr>
              <w:pStyle w:val="TableParagraph"/>
              <w:spacing w:line="230" w:lineRule="exact"/>
              <w:ind w:left="155" w:right="215"/>
              <w:rPr>
                <w:sz w:val="20"/>
              </w:rPr>
            </w:pPr>
            <w:r>
              <w:rPr>
                <w:sz w:val="20"/>
              </w:rPr>
              <w:t>22</w:t>
            </w:r>
          </w:p>
        </w:tc>
        <w:tc>
          <w:tcPr>
            <w:tcW w:w="1392" w:type="dxa"/>
            <w:tcBorders>
              <w:left w:val="nil"/>
              <w:right w:val="nil"/>
            </w:tcBorders>
          </w:tcPr>
          <w:p>
            <w:pPr>
              <w:pStyle w:val="TableParagraph"/>
              <w:spacing w:line="230" w:lineRule="exact"/>
              <w:ind w:left="508" w:right="453"/>
              <w:rPr>
                <w:sz w:val="20"/>
              </w:rPr>
            </w:pPr>
            <w:r>
              <w:rPr>
                <w:sz w:val="20"/>
              </w:rPr>
              <w:t>0.7</w:t>
            </w:r>
          </w:p>
        </w:tc>
        <w:tc>
          <w:tcPr>
            <w:tcW w:w="1125" w:type="dxa"/>
            <w:tcBorders>
              <w:left w:val="nil"/>
              <w:right w:val="nil"/>
            </w:tcBorders>
          </w:tcPr>
          <w:p>
            <w:pPr>
              <w:pStyle w:val="TableParagraph"/>
              <w:spacing w:line="230" w:lineRule="exact"/>
              <w:ind w:left="147" w:right="146"/>
              <w:rPr>
                <w:sz w:val="20"/>
              </w:rPr>
            </w:pPr>
            <w:r>
              <w:rPr>
                <w:sz w:val="20"/>
              </w:rPr>
              <w:t>0.5</w:t>
            </w:r>
          </w:p>
        </w:tc>
        <w:tc>
          <w:tcPr>
            <w:tcW w:w="1375" w:type="dxa"/>
            <w:tcBorders>
              <w:left w:val="nil"/>
              <w:right w:val="nil"/>
            </w:tcBorders>
          </w:tcPr>
          <w:p>
            <w:pPr>
              <w:pStyle w:val="TableParagraph"/>
              <w:spacing w:line="230" w:lineRule="exact"/>
              <w:ind w:left="176" w:right="205"/>
              <w:rPr>
                <w:sz w:val="20"/>
              </w:rPr>
            </w:pPr>
            <w:r>
              <w:rPr>
                <w:sz w:val="20"/>
              </w:rPr>
              <w:t>3.29</w:t>
            </w:r>
          </w:p>
        </w:tc>
        <w:tc>
          <w:tcPr>
            <w:tcW w:w="1136" w:type="dxa"/>
            <w:tcBorders>
              <w:left w:val="nil"/>
              <w:right w:val="nil"/>
            </w:tcBorders>
          </w:tcPr>
          <w:p>
            <w:pPr>
              <w:pStyle w:val="TableParagraph"/>
              <w:spacing w:line="230" w:lineRule="exact"/>
              <w:ind w:left="181" w:right="256"/>
              <w:rPr>
                <w:sz w:val="20"/>
              </w:rPr>
            </w:pPr>
            <w:r>
              <w:rPr>
                <w:sz w:val="20"/>
              </w:rPr>
              <w:t>21</w:t>
            </w:r>
          </w:p>
        </w:tc>
        <w:tc>
          <w:tcPr>
            <w:tcW w:w="1249" w:type="dxa"/>
            <w:tcBorders>
              <w:left w:val="nil"/>
            </w:tcBorders>
          </w:tcPr>
          <w:p>
            <w:pPr>
              <w:pStyle w:val="TableParagraph"/>
              <w:spacing w:line="230" w:lineRule="exact"/>
              <w:ind w:left="257" w:right="246"/>
              <w:rPr>
                <w:sz w:val="20"/>
              </w:rPr>
            </w:pPr>
            <w:r>
              <w:rPr>
                <w:sz w:val="20"/>
              </w:rPr>
              <w:t>22</w:t>
            </w:r>
          </w:p>
        </w:tc>
      </w:tr>
      <w:tr>
        <w:trPr>
          <w:trHeight w:val="540" w:hRule="exact"/>
        </w:trPr>
        <w:tc>
          <w:tcPr>
            <w:tcW w:w="1721" w:type="dxa"/>
            <w:tcBorders>
              <w:right w:val="nil"/>
            </w:tcBorders>
          </w:tcPr>
          <w:p>
            <w:pPr>
              <w:pStyle w:val="TableParagraph"/>
              <w:spacing w:line="276" w:lineRule="auto"/>
              <w:ind w:right="592"/>
              <w:jc w:val="left"/>
              <w:rPr>
                <w:b/>
                <w:sz w:val="20"/>
              </w:rPr>
            </w:pPr>
            <w:r>
              <w:rPr>
                <w:b/>
                <w:sz w:val="20"/>
              </w:rPr>
              <w:t>San Mateo Atenco</w:t>
            </w:r>
          </w:p>
        </w:tc>
        <w:tc>
          <w:tcPr>
            <w:tcW w:w="956" w:type="dxa"/>
            <w:tcBorders>
              <w:left w:val="nil"/>
              <w:right w:val="nil"/>
            </w:tcBorders>
          </w:tcPr>
          <w:p>
            <w:pPr>
              <w:pStyle w:val="TableParagraph"/>
              <w:spacing w:line="230" w:lineRule="exact"/>
              <w:ind w:left="155" w:right="215"/>
              <w:rPr>
                <w:sz w:val="20"/>
              </w:rPr>
            </w:pPr>
            <w:r>
              <w:rPr>
                <w:sz w:val="20"/>
              </w:rPr>
              <w:t>23</w:t>
            </w:r>
          </w:p>
        </w:tc>
        <w:tc>
          <w:tcPr>
            <w:tcW w:w="1392" w:type="dxa"/>
            <w:tcBorders>
              <w:left w:val="nil"/>
              <w:right w:val="nil"/>
            </w:tcBorders>
          </w:tcPr>
          <w:p>
            <w:pPr>
              <w:pStyle w:val="TableParagraph"/>
              <w:spacing w:line="230" w:lineRule="exact"/>
              <w:ind w:left="508" w:right="453"/>
              <w:rPr>
                <w:sz w:val="20"/>
              </w:rPr>
            </w:pPr>
            <w:r>
              <w:rPr>
                <w:sz w:val="20"/>
              </w:rPr>
              <w:t>0.7</w:t>
            </w:r>
          </w:p>
        </w:tc>
        <w:tc>
          <w:tcPr>
            <w:tcW w:w="1125" w:type="dxa"/>
            <w:tcBorders>
              <w:left w:val="nil"/>
              <w:right w:val="nil"/>
            </w:tcBorders>
          </w:tcPr>
          <w:p>
            <w:pPr>
              <w:pStyle w:val="TableParagraph"/>
              <w:spacing w:line="230" w:lineRule="exact"/>
              <w:ind w:left="147" w:right="146"/>
              <w:rPr>
                <w:sz w:val="20"/>
              </w:rPr>
            </w:pPr>
            <w:r>
              <w:rPr>
                <w:sz w:val="20"/>
              </w:rPr>
              <w:t>0.5</w:t>
            </w:r>
          </w:p>
        </w:tc>
        <w:tc>
          <w:tcPr>
            <w:tcW w:w="1375" w:type="dxa"/>
            <w:tcBorders>
              <w:left w:val="nil"/>
              <w:right w:val="nil"/>
            </w:tcBorders>
          </w:tcPr>
          <w:p>
            <w:pPr>
              <w:pStyle w:val="TableParagraph"/>
              <w:spacing w:line="230" w:lineRule="exact"/>
              <w:ind w:left="176" w:right="205"/>
              <w:rPr>
                <w:sz w:val="20"/>
              </w:rPr>
            </w:pPr>
            <w:r>
              <w:rPr>
                <w:sz w:val="20"/>
              </w:rPr>
              <w:t>3.14</w:t>
            </w:r>
          </w:p>
        </w:tc>
        <w:tc>
          <w:tcPr>
            <w:tcW w:w="1136" w:type="dxa"/>
            <w:tcBorders>
              <w:left w:val="nil"/>
              <w:right w:val="nil"/>
            </w:tcBorders>
          </w:tcPr>
          <w:p>
            <w:pPr>
              <w:pStyle w:val="TableParagraph"/>
              <w:spacing w:line="230" w:lineRule="exact"/>
              <w:ind w:left="181" w:right="256"/>
              <w:rPr>
                <w:sz w:val="20"/>
              </w:rPr>
            </w:pPr>
            <w:r>
              <w:rPr>
                <w:sz w:val="20"/>
              </w:rPr>
              <w:t>22</w:t>
            </w:r>
          </w:p>
        </w:tc>
        <w:tc>
          <w:tcPr>
            <w:tcW w:w="1249" w:type="dxa"/>
            <w:tcBorders>
              <w:left w:val="nil"/>
            </w:tcBorders>
          </w:tcPr>
          <w:p>
            <w:pPr>
              <w:pStyle w:val="TableParagraph"/>
              <w:spacing w:line="230" w:lineRule="exact"/>
              <w:ind w:left="257" w:right="246"/>
              <w:rPr>
                <w:sz w:val="20"/>
              </w:rPr>
            </w:pPr>
            <w:r>
              <w:rPr>
                <w:sz w:val="20"/>
              </w:rPr>
              <w:t>23</w:t>
            </w:r>
          </w:p>
        </w:tc>
      </w:tr>
      <w:tr>
        <w:trPr>
          <w:trHeight w:val="274" w:hRule="exact"/>
        </w:trPr>
        <w:tc>
          <w:tcPr>
            <w:tcW w:w="1721" w:type="dxa"/>
            <w:tcBorders>
              <w:right w:val="nil"/>
            </w:tcBorders>
          </w:tcPr>
          <w:p>
            <w:pPr>
              <w:pStyle w:val="TableParagraph"/>
              <w:spacing w:line="227" w:lineRule="exact"/>
              <w:ind w:right="403"/>
              <w:jc w:val="left"/>
              <w:rPr>
                <w:b/>
                <w:sz w:val="20"/>
              </w:rPr>
            </w:pPr>
            <w:r>
              <w:rPr>
                <w:b/>
                <w:sz w:val="20"/>
              </w:rPr>
              <w:t>Texcatitlán</w:t>
            </w:r>
          </w:p>
        </w:tc>
        <w:tc>
          <w:tcPr>
            <w:tcW w:w="956" w:type="dxa"/>
            <w:tcBorders>
              <w:left w:val="nil"/>
              <w:right w:val="nil"/>
            </w:tcBorders>
          </w:tcPr>
          <w:p>
            <w:pPr>
              <w:pStyle w:val="TableParagraph"/>
              <w:spacing w:line="230" w:lineRule="exact"/>
              <w:ind w:left="155" w:right="215"/>
              <w:rPr>
                <w:sz w:val="20"/>
              </w:rPr>
            </w:pPr>
            <w:r>
              <w:rPr>
                <w:sz w:val="20"/>
              </w:rPr>
              <w:t>17</w:t>
            </w:r>
          </w:p>
        </w:tc>
        <w:tc>
          <w:tcPr>
            <w:tcW w:w="1392" w:type="dxa"/>
            <w:tcBorders>
              <w:left w:val="nil"/>
              <w:right w:val="nil"/>
            </w:tcBorders>
          </w:tcPr>
          <w:p>
            <w:pPr>
              <w:pStyle w:val="TableParagraph"/>
              <w:spacing w:line="230" w:lineRule="exact"/>
              <w:ind w:left="508" w:right="453"/>
              <w:rPr>
                <w:sz w:val="20"/>
              </w:rPr>
            </w:pPr>
            <w:r>
              <w:rPr>
                <w:sz w:val="20"/>
              </w:rPr>
              <w:t>1.0</w:t>
            </w:r>
          </w:p>
        </w:tc>
        <w:tc>
          <w:tcPr>
            <w:tcW w:w="1125" w:type="dxa"/>
            <w:tcBorders>
              <w:left w:val="nil"/>
              <w:right w:val="nil"/>
            </w:tcBorders>
          </w:tcPr>
          <w:p>
            <w:pPr>
              <w:pStyle w:val="TableParagraph"/>
              <w:spacing w:line="230" w:lineRule="exact"/>
              <w:ind w:left="147" w:right="146"/>
              <w:rPr>
                <w:sz w:val="20"/>
              </w:rPr>
            </w:pPr>
            <w:r>
              <w:rPr>
                <w:sz w:val="20"/>
              </w:rPr>
              <w:t>0.9</w:t>
            </w:r>
          </w:p>
        </w:tc>
        <w:tc>
          <w:tcPr>
            <w:tcW w:w="1375" w:type="dxa"/>
            <w:tcBorders>
              <w:left w:val="nil"/>
              <w:right w:val="nil"/>
            </w:tcBorders>
          </w:tcPr>
          <w:p>
            <w:pPr>
              <w:pStyle w:val="TableParagraph"/>
              <w:spacing w:line="230" w:lineRule="exact"/>
              <w:ind w:left="176" w:right="205"/>
              <w:rPr>
                <w:sz w:val="20"/>
              </w:rPr>
            </w:pPr>
            <w:r>
              <w:rPr>
                <w:sz w:val="20"/>
              </w:rPr>
              <w:t>5.72</w:t>
            </w:r>
          </w:p>
        </w:tc>
        <w:tc>
          <w:tcPr>
            <w:tcW w:w="1136" w:type="dxa"/>
            <w:tcBorders>
              <w:left w:val="nil"/>
              <w:right w:val="nil"/>
            </w:tcBorders>
          </w:tcPr>
          <w:p>
            <w:pPr>
              <w:pStyle w:val="TableParagraph"/>
              <w:spacing w:line="230" w:lineRule="exact"/>
              <w:ind w:left="181" w:right="256"/>
              <w:rPr>
                <w:sz w:val="20"/>
              </w:rPr>
            </w:pPr>
            <w:r>
              <w:rPr>
                <w:sz w:val="20"/>
              </w:rPr>
              <w:t>16</w:t>
            </w:r>
          </w:p>
        </w:tc>
        <w:tc>
          <w:tcPr>
            <w:tcW w:w="1249" w:type="dxa"/>
            <w:tcBorders>
              <w:left w:val="nil"/>
            </w:tcBorders>
          </w:tcPr>
          <w:p>
            <w:pPr>
              <w:pStyle w:val="TableParagraph"/>
              <w:spacing w:line="230" w:lineRule="exact"/>
              <w:ind w:left="257" w:right="246"/>
              <w:rPr>
                <w:sz w:val="20"/>
              </w:rPr>
            </w:pPr>
            <w:r>
              <w:rPr>
                <w:sz w:val="20"/>
              </w:rPr>
              <w:t>18</w:t>
            </w:r>
          </w:p>
        </w:tc>
      </w:tr>
      <w:tr>
        <w:trPr>
          <w:trHeight w:val="274" w:hRule="exact"/>
        </w:trPr>
        <w:tc>
          <w:tcPr>
            <w:tcW w:w="1721" w:type="dxa"/>
            <w:tcBorders>
              <w:right w:val="nil"/>
            </w:tcBorders>
          </w:tcPr>
          <w:p>
            <w:pPr>
              <w:pStyle w:val="TableParagraph"/>
              <w:spacing w:line="227" w:lineRule="exact"/>
              <w:ind w:right="403"/>
              <w:jc w:val="left"/>
              <w:rPr>
                <w:b/>
                <w:sz w:val="20"/>
              </w:rPr>
            </w:pPr>
            <w:r>
              <w:rPr>
                <w:b/>
                <w:sz w:val="20"/>
              </w:rPr>
              <w:t>Toluca</w:t>
            </w:r>
          </w:p>
        </w:tc>
        <w:tc>
          <w:tcPr>
            <w:tcW w:w="956" w:type="dxa"/>
            <w:tcBorders>
              <w:left w:val="nil"/>
              <w:right w:val="nil"/>
            </w:tcBorders>
          </w:tcPr>
          <w:p>
            <w:pPr>
              <w:pStyle w:val="TableParagraph"/>
              <w:spacing w:line="230" w:lineRule="exact"/>
              <w:ind w:left="155" w:right="215"/>
              <w:rPr>
                <w:sz w:val="20"/>
              </w:rPr>
            </w:pPr>
            <w:r>
              <w:rPr>
                <w:sz w:val="20"/>
              </w:rPr>
              <w:t>20</w:t>
            </w:r>
          </w:p>
        </w:tc>
        <w:tc>
          <w:tcPr>
            <w:tcW w:w="1392" w:type="dxa"/>
            <w:tcBorders>
              <w:left w:val="nil"/>
              <w:right w:val="nil"/>
            </w:tcBorders>
          </w:tcPr>
          <w:p>
            <w:pPr>
              <w:pStyle w:val="TableParagraph"/>
              <w:spacing w:line="230" w:lineRule="exact"/>
              <w:ind w:left="508" w:right="453"/>
              <w:rPr>
                <w:sz w:val="20"/>
              </w:rPr>
            </w:pPr>
            <w:r>
              <w:rPr>
                <w:sz w:val="20"/>
              </w:rPr>
              <w:t>2.7</w:t>
            </w:r>
          </w:p>
        </w:tc>
        <w:tc>
          <w:tcPr>
            <w:tcW w:w="1125" w:type="dxa"/>
            <w:tcBorders>
              <w:left w:val="nil"/>
              <w:right w:val="nil"/>
            </w:tcBorders>
          </w:tcPr>
          <w:p>
            <w:pPr>
              <w:pStyle w:val="TableParagraph"/>
              <w:spacing w:line="230" w:lineRule="exact"/>
              <w:ind w:left="147" w:right="146"/>
              <w:rPr>
                <w:sz w:val="20"/>
              </w:rPr>
            </w:pPr>
            <w:r>
              <w:rPr>
                <w:sz w:val="20"/>
              </w:rPr>
              <w:t>7.2</w:t>
            </w:r>
          </w:p>
        </w:tc>
        <w:tc>
          <w:tcPr>
            <w:tcW w:w="1375" w:type="dxa"/>
            <w:tcBorders>
              <w:left w:val="nil"/>
              <w:right w:val="nil"/>
            </w:tcBorders>
          </w:tcPr>
          <w:p>
            <w:pPr>
              <w:pStyle w:val="TableParagraph"/>
              <w:spacing w:line="230" w:lineRule="exact"/>
              <w:ind w:left="179" w:right="205"/>
              <w:rPr>
                <w:sz w:val="20"/>
              </w:rPr>
            </w:pPr>
            <w:r>
              <w:rPr>
                <w:sz w:val="20"/>
              </w:rPr>
              <w:t>13.49</w:t>
            </w:r>
          </w:p>
        </w:tc>
        <w:tc>
          <w:tcPr>
            <w:tcW w:w="1136" w:type="dxa"/>
            <w:tcBorders>
              <w:left w:val="nil"/>
              <w:right w:val="nil"/>
            </w:tcBorders>
          </w:tcPr>
          <w:p>
            <w:pPr>
              <w:pStyle w:val="TableParagraph"/>
              <w:spacing w:line="230" w:lineRule="exact"/>
              <w:ind w:left="181" w:right="256"/>
              <w:rPr>
                <w:sz w:val="20"/>
              </w:rPr>
            </w:pPr>
            <w:r>
              <w:rPr>
                <w:sz w:val="20"/>
              </w:rPr>
              <w:t>15</w:t>
            </w:r>
          </w:p>
        </w:tc>
        <w:tc>
          <w:tcPr>
            <w:tcW w:w="1249" w:type="dxa"/>
            <w:tcBorders>
              <w:left w:val="nil"/>
            </w:tcBorders>
          </w:tcPr>
          <w:p>
            <w:pPr>
              <w:pStyle w:val="TableParagraph"/>
              <w:spacing w:line="230" w:lineRule="exact"/>
              <w:ind w:left="257" w:right="246"/>
              <w:rPr>
                <w:sz w:val="20"/>
              </w:rPr>
            </w:pPr>
            <w:r>
              <w:rPr>
                <w:sz w:val="20"/>
              </w:rPr>
              <w:t>23</w:t>
            </w:r>
          </w:p>
        </w:tc>
      </w:tr>
      <w:tr>
        <w:trPr>
          <w:trHeight w:val="276" w:hRule="exact"/>
        </w:trPr>
        <w:tc>
          <w:tcPr>
            <w:tcW w:w="1721" w:type="dxa"/>
            <w:tcBorders>
              <w:right w:val="nil"/>
            </w:tcBorders>
          </w:tcPr>
          <w:p>
            <w:pPr>
              <w:pStyle w:val="TableParagraph"/>
              <w:spacing w:line="227" w:lineRule="exact"/>
              <w:jc w:val="left"/>
              <w:rPr>
                <w:b/>
                <w:sz w:val="20"/>
              </w:rPr>
            </w:pPr>
            <w:r>
              <w:rPr>
                <w:b/>
                <w:sz w:val="20"/>
              </w:rPr>
              <w:t>Villa Victoria</w:t>
            </w:r>
          </w:p>
        </w:tc>
        <w:tc>
          <w:tcPr>
            <w:tcW w:w="956" w:type="dxa"/>
            <w:tcBorders>
              <w:left w:val="nil"/>
              <w:right w:val="nil"/>
            </w:tcBorders>
          </w:tcPr>
          <w:p>
            <w:pPr>
              <w:pStyle w:val="TableParagraph"/>
              <w:spacing w:line="230" w:lineRule="exact"/>
              <w:ind w:left="155" w:right="215"/>
              <w:rPr>
                <w:sz w:val="20"/>
              </w:rPr>
            </w:pPr>
            <w:r>
              <w:rPr>
                <w:sz w:val="20"/>
              </w:rPr>
              <w:t>19</w:t>
            </w:r>
          </w:p>
        </w:tc>
        <w:tc>
          <w:tcPr>
            <w:tcW w:w="1392" w:type="dxa"/>
            <w:tcBorders>
              <w:left w:val="nil"/>
              <w:right w:val="nil"/>
            </w:tcBorders>
          </w:tcPr>
          <w:p>
            <w:pPr>
              <w:pStyle w:val="TableParagraph"/>
              <w:spacing w:line="230" w:lineRule="exact"/>
              <w:ind w:left="508" w:right="453"/>
              <w:rPr>
                <w:sz w:val="20"/>
              </w:rPr>
            </w:pPr>
            <w:r>
              <w:rPr>
                <w:sz w:val="20"/>
              </w:rPr>
              <w:t>3.5</w:t>
            </w:r>
          </w:p>
        </w:tc>
        <w:tc>
          <w:tcPr>
            <w:tcW w:w="1125" w:type="dxa"/>
            <w:tcBorders>
              <w:left w:val="nil"/>
              <w:right w:val="nil"/>
            </w:tcBorders>
          </w:tcPr>
          <w:p>
            <w:pPr>
              <w:pStyle w:val="TableParagraph"/>
              <w:spacing w:line="230" w:lineRule="exact"/>
              <w:ind w:left="147" w:right="146"/>
              <w:rPr>
                <w:sz w:val="20"/>
              </w:rPr>
            </w:pPr>
            <w:r>
              <w:rPr>
                <w:sz w:val="20"/>
              </w:rPr>
              <w:t>12.1</w:t>
            </w:r>
          </w:p>
        </w:tc>
        <w:tc>
          <w:tcPr>
            <w:tcW w:w="1375" w:type="dxa"/>
            <w:tcBorders>
              <w:left w:val="nil"/>
              <w:right w:val="nil"/>
            </w:tcBorders>
          </w:tcPr>
          <w:p>
            <w:pPr>
              <w:pStyle w:val="TableParagraph"/>
              <w:spacing w:line="230" w:lineRule="exact"/>
              <w:ind w:left="179" w:right="205"/>
              <w:rPr>
                <w:sz w:val="20"/>
              </w:rPr>
            </w:pPr>
            <w:r>
              <w:rPr>
                <w:sz w:val="20"/>
              </w:rPr>
              <w:t>18.17</w:t>
            </w:r>
          </w:p>
        </w:tc>
        <w:tc>
          <w:tcPr>
            <w:tcW w:w="1136" w:type="dxa"/>
            <w:tcBorders>
              <w:left w:val="nil"/>
              <w:right w:val="nil"/>
            </w:tcBorders>
          </w:tcPr>
          <w:p>
            <w:pPr>
              <w:pStyle w:val="TableParagraph"/>
              <w:spacing w:line="230" w:lineRule="exact"/>
              <w:ind w:left="167" w:right="256"/>
              <w:rPr>
                <w:sz w:val="20"/>
              </w:rPr>
            </w:pPr>
            <w:r>
              <w:rPr>
                <w:sz w:val="20"/>
              </w:rPr>
              <w:t>11</w:t>
            </w:r>
          </w:p>
        </w:tc>
        <w:tc>
          <w:tcPr>
            <w:tcW w:w="1249" w:type="dxa"/>
            <w:tcBorders>
              <w:left w:val="nil"/>
            </w:tcBorders>
          </w:tcPr>
          <w:p>
            <w:pPr>
              <w:pStyle w:val="TableParagraph"/>
              <w:spacing w:line="230" w:lineRule="exact"/>
              <w:ind w:left="257" w:right="246"/>
              <w:rPr>
                <w:sz w:val="20"/>
              </w:rPr>
            </w:pPr>
            <w:r>
              <w:rPr>
                <w:sz w:val="20"/>
              </w:rPr>
              <w:t>26</w:t>
            </w:r>
          </w:p>
        </w:tc>
      </w:tr>
      <w:tr>
        <w:trPr>
          <w:trHeight w:val="274" w:hRule="exact"/>
        </w:trPr>
        <w:tc>
          <w:tcPr>
            <w:tcW w:w="1721" w:type="dxa"/>
            <w:tcBorders>
              <w:right w:val="nil"/>
            </w:tcBorders>
          </w:tcPr>
          <w:p>
            <w:pPr>
              <w:pStyle w:val="TableParagraph"/>
              <w:spacing w:line="227" w:lineRule="exact"/>
              <w:jc w:val="left"/>
              <w:rPr>
                <w:b/>
                <w:sz w:val="20"/>
              </w:rPr>
            </w:pPr>
            <w:r>
              <w:rPr>
                <w:b/>
                <w:sz w:val="20"/>
              </w:rPr>
              <w:t>Zinacantepec</w:t>
            </w:r>
          </w:p>
        </w:tc>
        <w:tc>
          <w:tcPr>
            <w:tcW w:w="956" w:type="dxa"/>
            <w:tcBorders>
              <w:left w:val="nil"/>
              <w:right w:val="nil"/>
            </w:tcBorders>
          </w:tcPr>
          <w:p>
            <w:pPr>
              <w:pStyle w:val="TableParagraph"/>
              <w:spacing w:line="230" w:lineRule="exact"/>
              <w:ind w:left="155" w:right="215"/>
              <w:rPr>
                <w:sz w:val="20"/>
              </w:rPr>
            </w:pPr>
            <w:r>
              <w:rPr>
                <w:sz w:val="20"/>
              </w:rPr>
              <w:t>21</w:t>
            </w:r>
          </w:p>
        </w:tc>
        <w:tc>
          <w:tcPr>
            <w:tcW w:w="1392" w:type="dxa"/>
            <w:tcBorders>
              <w:left w:val="nil"/>
              <w:right w:val="nil"/>
            </w:tcBorders>
          </w:tcPr>
          <w:p>
            <w:pPr>
              <w:pStyle w:val="TableParagraph"/>
              <w:spacing w:line="230" w:lineRule="exact"/>
              <w:ind w:left="508" w:right="453"/>
              <w:rPr>
                <w:sz w:val="20"/>
              </w:rPr>
            </w:pPr>
            <w:r>
              <w:rPr>
                <w:sz w:val="20"/>
              </w:rPr>
              <w:t>0.7</w:t>
            </w:r>
          </w:p>
        </w:tc>
        <w:tc>
          <w:tcPr>
            <w:tcW w:w="1125" w:type="dxa"/>
            <w:tcBorders>
              <w:left w:val="nil"/>
              <w:right w:val="nil"/>
            </w:tcBorders>
          </w:tcPr>
          <w:p>
            <w:pPr>
              <w:pStyle w:val="TableParagraph"/>
              <w:spacing w:line="230" w:lineRule="exact"/>
              <w:ind w:left="147" w:right="146"/>
              <w:rPr>
                <w:sz w:val="20"/>
              </w:rPr>
            </w:pPr>
            <w:r>
              <w:rPr>
                <w:sz w:val="20"/>
              </w:rPr>
              <w:t>0.5</w:t>
            </w:r>
          </w:p>
        </w:tc>
        <w:tc>
          <w:tcPr>
            <w:tcW w:w="1375" w:type="dxa"/>
            <w:tcBorders>
              <w:left w:val="nil"/>
              <w:right w:val="nil"/>
            </w:tcBorders>
          </w:tcPr>
          <w:p>
            <w:pPr>
              <w:pStyle w:val="TableParagraph"/>
              <w:spacing w:line="230" w:lineRule="exact"/>
              <w:ind w:left="176" w:right="205"/>
              <w:rPr>
                <w:sz w:val="20"/>
              </w:rPr>
            </w:pPr>
            <w:r>
              <w:rPr>
                <w:sz w:val="20"/>
              </w:rPr>
              <w:t>3.45</w:t>
            </w:r>
          </w:p>
        </w:tc>
        <w:tc>
          <w:tcPr>
            <w:tcW w:w="1136" w:type="dxa"/>
            <w:tcBorders>
              <w:left w:val="nil"/>
              <w:right w:val="nil"/>
            </w:tcBorders>
          </w:tcPr>
          <w:p>
            <w:pPr>
              <w:pStyle w:val="TableParagraph"/>
              <w:spacing w:line="230" w:lineRule="exact"/>
              <w:ind w:left="181" w:right="256"/>
              <w:rPr>
                <w:sz w:val="20"/>
              </w:rPr>
            </w:pPr>
            <w:r>
              <w:rPr>
                <w:sz w:val="20"/>
              </w:rPr>
              <w:t>20</w:t>
            </w:r>
          </w:p>
        </w:tc>
        <w:tc>
          <w:tcPr>
            <w:tcW w:w="1249" w:type="dxa"/>
            <w:tcBorders>
              <w:left w:val="nil"/>
            </w:tcBorders>
          </w:tcPr>
          <w:p>
            <w:pPr>
              <w:pStyle w:val="TableParagraph"/>
              <w:spacing w:line="230" w:lineRule="exact"/>
              <w:ind w:left="257" w:right="246"/>
              <w:rPr>
                <w:sz w:val="20"/>
              </w:rPr>
            </w:pPr>
            <w:r>
              <w:rPr>
                <w:sz w:val="20"/>
              </w:rPr>
              <w:t>21</w:t>
            </w:r>
          </w:p>
        </w:tc>
      </w:tr>
    </w:tbl>
    <w:p>
      <w:pPr>
        <w:pStyle w:val="BodyText"/>
        <w:rPr>
          <w:sz w:val="20"/>
        </w:rPr>
      </w:pPr>
    </w:p>
    <w:p>
      <w:pPr>
        <w:pStyle w:val="BodyText"/>
        <w:spacing w:before="2"/>
        <w:rPr>
          <w:sz w:val="21"/>
        </w:rPr>
      </w:pPr>
    </w:p>
    <w:p>
      <w:pPr>
        <w:pStyle w:val="BodyText"/>
        <w:spacing w:before="69"/>
        <w:ind w:left="142"/>
        <w:jc w:val="both"/>
      </w:pPr>
      <w:r>
        <w:rPr/>
        <w:t>Peso</w:t>
      </w:r>
    </w:p>
    <w:p>
      <w:pPr>
        <w:pStyle w:val="BodyText"/>
        <w:spacing w:before="5"/>
      </w:pPr>
    </w:p>
    <w:p>
      <w:pPr>
        <w:pStyle w:val="BodyText"/>
        <w:spacing w:line="276" w:lineRule="auto"/>
        <w:ind w:left="142" w:right="242"/>
        <w:jc w:val="both"/>
      </w:pPr>
      <w:r>
        <w:rPr/>
        <w:t>El queso con mayor peso fue el procedente de Ecatepec con 266 gr; seguido de San Mateo Atenco con un peso de 200 gr; los quesos procedentes de Aculco con 185g, Texcatitlán, Guadalajara y Almoloya de Juárez tuvieron pesos similares de 180 g. los quesos de los municipios de Villa Victoria y Toluca mostraron resultados de 172 y 170 gr, el queso procedente de Zinacantepec tuvo un peso de 145 gr; y</w:t>
      </w:r>
      <w:r>
        <w:rPr>
          <w:spacing w:val="-39"/>
        </w:rPr>
        <w:t> </w:t>
      </w:r>
      <w:r>
        <w:rPr/>
        <w:t>el queso</w:t>
      </w:r>
      <w:r>
        <w:rPr>
          <w:spacing w:val="-11"/>
        </w:rPr>
        <w:t> </w:t>
      </w:r>
      <w:r>
        <w:rPr/>
        <w:t>con</w:t>
      </w:r>
      <w:r>
        <w:rPr>
          <w:spacing w:val="-12"/>
        </w:rPr>
        <w:t> </w:t>
      </w:r>
      <w:r>
        <w:rPr/>
        <w:t>menor</w:t>
      </w:r>
      <w:r>
        <w:rPr>
          <w:spacing w:val="-12"/>
        </w:rPr>
        <w:t> </w:t>
      </w:r>
      <w:r>
        <w:rPr/>
        <w:t>peso</w:t>
      </w:r>
      <w:r>
        <w:rPr>
          <w:spacing w:val="-15"/>
        </w:rPr>
        <w:t> </w:t>
      </w:r>
      <w:r>
        <w:rPr/>
        <w:t>fue</w:t>
      </w:r>
      <w:r>
        <w:rPr>
          <w:spacing w:val="-13"/>
        </w:rPr>
        <w:t> </w:t>
      </w:r>
      <w:r>
        <w:rPr/>
        <w:t>el</w:t>
      </w:r>
      <w:r>
        <w:rPr>
          <w:spacing w:val="-14"/>
        </w:rPr>
        <w:t> </w:t>
      </w:r>
      <w:r>
        <w:rPr/>
        <w:t>procedente</w:t>
      </w:r>
      <w:r>
        <w:rPr>
          <w:spacing w:val="-13"/>
        </w:rPr>
        <w:t> </w:t>
      </w:r>
      <w:r>
        <w:rPr/>
        <w:t>de</w:t>
      </w:r>
      <w:r>
        <w:rPr>
          <w:spacing w:val="-13"/>
        </w:rPr>
        <w:t> </w:t>
      </w:r>
      <w:r>
        <w:rPr/>
        <w:t>Metepec</w:t>
      </w:r>
      <w:r>
        <w:rPr>
          <w:spacing w:val="-14"/>
        </w:rPr>
        <w:t> </w:t>
      </w:r>
      <w:r>
        <w:rPr/>
        <w:t>como</w:t>
      </w:r>
      <w:r>
        <w:rPr>
          <w:spacing w:val="-13"/>
        </w:rPr>
        <w:t> </w:t>
      </w:r>
      <w:r>
        <w:rPr/>
        <w:t>se</w:t>
      </w:r>
      <w:r>
        <w:rPr>
          <w:spacing w:val="-13"/>
        </w:rPr>
        <w:t> </w:t>
      </w:r>
      <w:r>
        <w:rPr/>
        <w:t>muestra</w:t>
      </w:r>
      <w:r>
        <w:rPr>
          <w:spacing w:val="-11"/>
        </w:rPr>
        <w:t> </w:t>
      </w:r>
      <w:r>
        <w:rPr/>
        <w:t>en</w:t>
      </w:r>
      <w:r>
        <w:rPr>
          <w:spacing w:val="-13"/>
        </w:rPr>
        <w:t> </w:t>
      </w:r>
      <w:r>
        <w:rPr/>
        <w:t>el</w:t>
      </w:r>
      <w:r>
        <w:rPr>
          <w:spacing w:val="-12"/>
        </w:rPr>
        <w:t> </w:t>
      </w:r>
      <w:r>
        <w:rPr/>
        <w:t>cuadro 20.</w:t>
      </w:r>
    </w:p>
    <w:p>
      <w:pPr>
        <w:spacing w:after="0" w:line="276" w:lineRule="auto"/>
        <w:jc w:val="both"/>
        <w:sectPr>
          <w:pgSz w:w="12240" w:h="15840"/>
          <w:pgMar w:header="728" w:footer="710" w:top="1200" w:bottom="900" w:left="1560" w:right="1460"/>
        </w:sectPr>
      </w:pPr>
    </w:p>
    <w:p>
      <w:pPr>
        <w:pStyle w:val="BodyText"/>
        <w:spacing w:before="7"/>
        <w:rPr>
          <w:sz w:val="12"/>
        </w:rPr>
      </w:pPr>
    </w:p>
    <w:p>
      <w:pPr>
        <w:pStyle w:val="BodyText"/>
        <w:spacing w:before="69"/>
        <w:ind w:left="142"/>
      </w:pPr>
      <w:r>
        <w:rPr/>
        <w:t>Cuadro 20: Valores de peso (gr.) en los quesos frescos mostrados por municipio.</w:t>
      </w:r>
    </w:p>
    <w:p>
      <w:pPr>
        <w:pStyle w:val="BodyText"/>
        <w:spacing w:before="4"/>
        <w:rPr>
          <w:sz w:val="14"/>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3"/>
        <w:gridCol w:w="983"/>
        <w:gridCol w:w="1392"/>
        <w:gridCol w:w="1125"/>
        <w:gridCol w:w="1375"/>
        <w:gridCol w:w="1136"/>
        <w:gridCol w:w="1249"/>
      </w:tblGrid>
      <w:tr>
        <w:trPr>
          <w:trHeight w:val="274" w:hRule="exact"/>
        </w:trPr>
        <w:tc>
          <w:tcPr>
            <w:tcW w:w="8954" w:type="dxa"/>
            <w:gridSpan w:val="7"/>
            <w:tcBorders>
              <w:right w:val="nil"/>
            </w:tcBorders>
            <w:shd w:val="clear" w:color="auto" w:fill="A6A6A6"/>
          </w:tcPr>
          <w:p>
            <w:pPr>
              <w:pStyle w:val="TableParagraph"/>
              <w:spacing w:line="230" w:lineRule="exact"/>
              <w:ind w:left="4179" w:right="4184"/>
              <w:rPr>
                <w:sz w:val="20"/>
              </w:rPr>
            </w:pPr>
            <w:r>
              <w:rPr>
                <w:color w:val="FFFFFF"/>
                <w:sz w:val="20"/>
              </w:rPr>
              <w:t>Peso</w:t>
            </w:r>
          </w:p>
        </w:tc>
      </w:tr>
      <w:tr>
        <w:trPr>
          <w:trHeight w:val="804" w:hRule="exact"/>
        </w:trPr>
        <w:tc>
          <w:tcPr>
            <w:tcW w:w="1693" w:type="dxa"/>
            <w:tcBorders>
              <w:right w:val="nil"/>
            </w:tcBorders>
          </w:tcPr>
          <w:p>
            <w:pPr/>
          </w:p>
        </w:tc>
        <w:tc>
          <w:tcPr>
            <w:tcW w:w="983" w:type="dxa"/>
            <w:tcBorders>
              <w:left w:val="nil"/>
              <w:right w:val="nil"/>
            </w:tcBorders>
          </w:tcPr>
          <w:p>
            <w:pPr>
              <w:pStyle w:val="TableParagraph"/>
              <w:spacing w:before="2"/>
              <w:ind w:left="183" w:right="215"/>
              <w:rPr>
                <w:sz w:val="20"/>
              </w:rPr>
            </w:pPr>
            <w:r>
              <w:rPr>
                <w:sz w:val="20"/>
              </w:rPr>
              <w:t>Media</w:t>
            </w:r>
          </w:p>
        </w:tc>
        <w:tc>
          <w:tcPr>
            <w:tcW w:w="1392" w:type="dxa"/>
            <w:tcBorders>
              <w:left w:val="nil"/>
              <w:right w:val="nil"/>
            </w:tcBorders>
          </w:tcPr>
          <w:p>
            <w:pPr>
              <w:pStyle w:val="TableParagraph"/>
              <w:spacing w:line="276" w:lineRule="auto" w:before="2"/>
              <w:ind w:left="336" w:hanging="99"/>
              <w:jc w:val="left"/>
              <w:rPr>
                <w:sz w:val="20"/>
              </w:rPr>
            </w:pPr>
            <w:r>
              <w:rPr>
                <w:w w:val="95"/>
                <w:sz w:val="20"/>
              </w:rPr>
              <w:t>Desviación </w:t>
            </w:r>
            <w:r>
              <w:rPr>
                <w:sz w:val="20"/>
              </w:rPr>
              <w:t>estándar</w:t>
            </w:r>
          </w:p>
        </w:tc>
        <w:tc>
          <w:tcPr>
            <w:tcW w:w="1125" w:type="dxa"/>
            <w:tcBorders>
              <w:left w:val="nil"/>
              <w:right w:val="nil"/>
            </w:tcBorders>
          </w:tcPr>
          <w:p>
            <w:pPr>
              <w:pStyle w:val="TableParagraph"/>
              <w:spacing w:before="2"/>
              <w:ind w:left="149" w:right="146"/>
              <w:rPr>
                <w:sz w:val="20"/>
              </w:rPr>
            </w:pPr>
            <w:r>
              <w:rPr>
                <w:sz w:val="20"/>
              </w:rPr>
              <w:t>Varianza</w:t>
            </w:r>
          </w:p>
        </w:tc>
        <w:tc>
          <w:tcPr>
            <w:tcW w:w="1375" w:type="dxa"/>
            <w:tcBorders>
              <w:left w:val="nil"/>
              <w:right w:val="nil"/>
            </w:tcBorders>
          </w:tcPr>
          <w:p>
            <w:pPr>
              <w:pStyle w:val="TableParagraph"/>
              <w:spacing w:line="276" w:lineRule="auto" w:before="2"/>
              <w:ind w:left="179" w:right="205"/>
              <w:rPr>
                <w:sz w:val="20"/>
              </w:rPr>
            </w:pPr>
            <w:r>
              <w:rPr>
                <w:w w:val="95"/>
                <w:sz w:val="20"/>
              </w:rPr>
              <w:t>Coeficiente </w:t>
            </w:r>
            <w:r>
              <w:rPr>
                <w:sz w:val="20"/>
              </w:rPr>
              <w:t>de    variación</w:t>
            </w:r>
          </w:p>
        </w:tc>
        <w:tc>
          <w:tcPr>
            <w:tcW w:w="1136" w:type="dxa"/>
            <w:tcBorders>
              <w:left w:val="nil"/>
              <w:right w:val="nil"/>
            </w:tcBorders>
          </w:tcPr>
          <w:p>
            <w:pPr>
              <w:pStyle w:val="TableParagraph"/>
              <w:spacing w:before="2"/>
              <w:ind w:left="184" w:right="256"/>
              <w:rPr>
                <w:sz w:val="20"/>
              </w:rPr>
            </w:pPr>
            <w:r>
              <w:rPr>
                <w:sz w:val="20"/>
              </w:rPr>
              <w:t>Mínimo</w:t>
            </w:r>
          </w:p>
        </w:tc>
        <w:tc>
          <w:tcPr>
            <w:tcW w:w="1249" w:type="dxa"/>
            <w:tcBorders>
              <w:left w:val="nil"/>
            </w:tcBorders>
          </w:tcPr>
          <w:p>
            <w:pPr>
              <w:pStyle w:val="TableParagraph"/>
              <w:spacing w:before="2"/>
              <w:ind w:left="257" w:right="246"/>
              <w:rPr>
                <w:sz w:val="20"/>
              </w:rPr>
            </w:pPr>
            <w:r>
              <w:rPr>
                <w:sz w:val="20"/>
              </w:rPr>
              <w:t>Máximo</w:t>
            </w:r>
          </w:p>
        </w:tc>
      </w:tr>
      <w:tr>
        <w:trPr>
          <w:trHeight w:val="276" w:hRule="exact"/>
        </w:trPr>
        <w:tc>
          <w:tcPr>
            <w:tcW w:w="1693" w:type="dxa"/>
            <w:tcBorders>
              <w:right w:val="nil"/>
            </w:tcBorders>
          </w:tcPr>
          <w:p>
            <w:pPr>
              <w:pStyle w:val="TableParagraph"/>
              <w:spacing w:line="227" w:lineRule="exact"/>
              <w:ind w:right="376"/>
              <w:jc w:val="left"/>
              <w:rPr>
                <w:b/>
                <w:sz w:val="20"/>
              </w:rPr>
            </w:pPr>
            <w:r>
              <w:rPr>
                <w:b/>
                <w:sz w:val="20"/>
              </w:rPr>
              <w:t>Aculco</w:t>
            </w:r>
          </w:p>
        </w:tc>
        <w:tc>
          <w:tcPr>
            <w:tcW w:w="983" w:type="dxa"/>
            <w:tcBorders>
              <w:left w:val="nil"/>
              <w:right w:val="nil"/>
            </w:tcBorders>
          </w:tcPr>
          <w:p>
            <w:pPr>
              <w:pStyle w:val="TableParagraph"/>
              <w:spacing w:line="230" w:lineRule="exact"/>
              <w:ind w:left="182" w:right="215"/>
              <w:rPr>
                <w:sz w:val="20"/>
              </w:rPr>
            </w:pPr>
            <w:r>
              <w:rPr>
                <w:sz w:val="20"/>
              </w:rPr>
              <w:t>185</w:t>
            </w:r>
          </w:p>
        </w:tc>
        <w:tc>
          <w:tcPr>
            <w:tcW w:w="1392" w:type="dxa"/>
            <w:tcBorders>
              <w:left w:val="nil"/>
              <w:right w:val="nil"/>
            </w:tcBorders>
          </w:tcPr>
          <w:p>
            <w:pPr>
              <w:pStyle w:val="TableParagraph"/>
              <w:spacing w:line="230" w:lineRule="exact"/>
              <w:ind w:left="508" w:right="453"/>
              <w:rPr>
                <w:sz w:val="20"/>
              </w:rPr>
            </w:pPr>
            <w:r>
              <w:rPr>
                <w:sz w:val="20"/>
              </w:rPr>
              <w:t>47.4</w:t>
            </w:r>
          </w:p>
        </w:tc>
        <w:tc>
          <w:tcPr>
            <w:tcW w:w="1125" w:type="dxa"/>
            <w:tcBorders>
              <w:left w:val="nil"/>
              <w:right w:val="nil"/>
            </w:tcBorders>
          </w:tcPr>
          <w:p>
            <w:pPr>
              <w:pStyle w:val="TableParagraph"/>
              <w:spacing w:line="230" w:lineRule="exact"/>
              <w:ind w:left="149" w:right="146"/>
              <w:rPr>
                <w:sz w:val="20"/>
              </w:rPr>
            </w:pPr>
            <w:r>
              <w:rPr>
                <w:sz w:val="20"/>
              </w:rPr>
              <w:t>2248.4</w:t>
            </w:r>
          </w:p>
        </w:tc>
        <w:tc>
          <w:tcPr>
            <w:tcW w:w="1375" w:type="dxa"/>
            <w:tcBorders>
              <w:left w:val="nil"/>
              <w:right w:val="nil"/>
            </w:tcBorders>
          </w:tcPr>
          <w:p>
            <w:pPr>
              <w:pStyle w:val="TableParagraph"/>
              <w:spacing w:line="230" w:lineRule="exact"/>
              <w:ind w:left="179" w:right="205"/>
              <w:rPr>
                <w:sz w:val="20"/>
              </w:rPr>
            </w:pPr>
            <w:r>
              <w:rPr>
                <w:sz w:val="20"/>
              </w:rPr>
              <w:t>25.59</w:t>
            </w:r>
          </w:p>
        </w:tc>
        <w:tc>
          <w:tcPr>
            <w:tcW w:w="1136" w:type="dxa"/>
            <w:tcBorders>
              <w:left w:val="nil"/>
              <w:right w:val="nil"/>
            </w:tcBorders>
          </w:tcPr>
          <w:p>
            <w:pPr>
              <w:pStyle w:val="TableParagraph"/>
              <w:spacing w:line="230" w:lineRule="exact"/>
              <w:ind w:left="181" w:right="256"/>
              <w:rPr>
                <w:sz w:val="20"/>
              </w:rPr>
            </w:pPr>
            <w:r>
              <w:rPr>
                <w:sz w:val="20"/>
              </w:rPr>
              <w:t>125</w:t>
            </w:r>
          </w:p>
        </w:tc>
        <w:tc>
          <w:tcPr>
            <w:tcW w:w="1249" w:type="dxa"/>
            <w:tcBorders>
              <w:left w:val="nil"/>
            </w:tcBorders>
          </w:tcPr>
          <w:p>
            <w:pPr>
              <w:pStyle w:val="TableParagraph"/>
              <w:spacing w:line="230" w:lineRule="exact"/>
              <w:ind w:left="257" w:right="246"/>
              <w:rPr>
                <w:sz w:val="20"/>
              </w:rPr>
            </w:pPr>
            <w:r>
              <w:rPr>
                <w:sz w:val="20"/>
              </w:rPr>
              <w:t>252</w:t>
            </w:r>
          </w:p>
        </w:tc>
      </w:tr>
      <w:tr>
        <w:trPr>
          <w:trHeight w:val="538" w:hRule="exact"/>
        </w:trPr>
        <w:tc>
          <w:tcPr>
            <w:tcW w:w="1693" w:type="dxa"/>
            <w:tcBorders>
              <w:right w:val="nil"/>
            </w:tcBorders>
          </w:tcPr>
          <w:p>
            <w:pPr>
              <w:pStyle w:val="TableParagraph"/>
              <w:spacing w:line="276" w:lineRule="auto"/>
              <w:ind w:right="376"/>
              <w:jc w:val="left"/>
              <w:rPr>
                <w:b/>
                <w:sz w:val="20"/>
              </w:rPr>
            </w:pPr>
            <w:r>
              <w:rPr>
                <w:b/>
                <w:sz w:val="20"/>
              </w:rPr>
              <w:t>Almoloya de Juárez</w:t>
            </w:r>
          </w:p>
        </w:tc>
        <w:tc>
          <w:tcPr>
            <w:tcW w:w="983" w:type="dxa"/>
            <w:tcBorders>
              <w:left w:val="nil"/>
              <w:right w:val="nil"/>
            </w:tcBorders>
          </w:tcPr>
          <w:p>
            <w:pPr>
              <w:pStyle w:val="TableParagraph"/>
              <w:spacing w:line="230" w:lineRule="exact"/>
              <w:ind w:left="182" w:right="215"/>
              <w:rPr>
                <w:sz w:val="20"/>
              </w:rPr>
            </w:pPr>
            <w:r>
              <w:rPr>
                <w:sz w:val="20"/>
              </w:rPr>
              <w:t>180</w:t>
            </w:r>
          </w:p>
        </w:tc>
        <w:tc>
          <w:tcPr>
            <w:tcW w:w="1392" w:type="dxa"/>
            <w:tcBorders>
              <w:left w:val="nil"/>
              <w:right w:val="nil"/>
            </w:tcBorders>
          </w:tcPr>
          <w:p>
            <w:pPr>
              <w:pStyle w:val="TableParagraph"/>
              <w:spacing w:line="230" w:lineRule="exact"/>
              <w:ind w:left="508" w:right="453"/>
              <w:rPr>
                <w:sz w:val="20"/>
              </w:rPr>
            </w:pPr>
            <w:r>
              <w:rPr>
                <w:sz w:val="20"/>
              </w:rPr>
              <w:t>26.5</w:t>
            </w:r>
          </w:p>
        </w:tc>
        <w:tc>
          <w:tcPr>
            <w:tcW w:w="1125" w:type="dxa"/>
            <w:tcBorders>
              <w:left w:val="nil"/>
              <w:right w:val="nil"/>
            </w:tcBorders>
          </w:tcPr>
          <w:p>
            <w:pPr>
              <w:pStyle w:val="TableParagraph"/>
              <w:spacing w:line="230" w:lineRule="exact"/>
              <w:ind w:left="149" w:right="146"/>
              <w:rPr>
                <w:sz w:val="20"/>
              </w:rPr>
            </w:pPr>
            <w:r>
              <w:rPr>
                <w:sz w:val="20"/>
              </w:rPr>
              <w:t>700</w:t>
            </w:r>
          </w:p>
        </w:tc>
        <w:tc>
          <w:tcPr>
            <w:tcW w:w="1375" w:type="dxa"/>
            <w:tcBorders>
              <w:left w:val="nil"/>
              <w:right w:val="nil"/>
            </w:tcBorders>
          </w:tcPr>
          <w:p>
            <w:pPr>
              <w:pStyle w:val="TableParagraph"/>
              <w:spacing w:line="230" w:lineRule="exact"/>
              <w:ind w:left="176" w:right="205"/>
              <w:rPr>
                <w:sz w:val="20"/>
              </w:rPr>
            </w:pPr>
            <w:r>
              <w:rPr>
                <w:sz w:val="20"/>
              </w:rPr>
              <w:t>14.7</w:t>
            </w:r>
          </w:p>
        </w:tc>
        <w:tc>
          <w:tcPr>
            <w:tcW w:w="1136" w:type="dxa"/>
            <w:tcBorders>
              <w:left w:val="nil"/>
              <w:right w:val="nil"/>
            </w:tcBorders>
          </w:tcPr>
          <w:p>
            <w:pPr>
              <w:pStyle w:val="TableParagraph"/>
              <w:spacing w:line="230" w:lineRule="exact"/>
              <w:ind w:left="181" w:right="256"/>
              <w:rPr>
                <w:sz w:val="20"/>
              </w:rPr>
            </w:pPr>
            <w:r>
              <w:rPr>
                <w:sz w:val="20"/>
              </w:rPr>
              <w:t>150</w:t>
            </w:r>
          </w:p>
        </w:tc>
        <w:tc>
          <w:tcPr>
            <w:tcW w:w="1249" w:type="dxa"/>
            <w:tcBorders>
              <w:left w:val="nil"/>
            </w:tcBorders>
          </w:tcPr>
          <w:p>
            <w:pPr>
              <w:pStyle w:val="TableParagraph"/>
              <w:spacing w:line="230" w:lineRule="exact"/>
              <w:ind w:left="257" w:right="246"/>
              <w:rPr>
                <w:sz w:val="20"/>
              </w:rPr>
            </w:pPr>
            <w:r>
              <w:rPr>
                <w:sz w:val="20"/>
              </w:rPr>
              <w:t>200</w:t>
            </w:r>
          </w:p>
        </w:tc>
      </w:tr>
      <w:tr>
        <w:trPr>
          <w:trHeight w:val="274" w:hRule="exact"/>
        </w:trPr>
        <w:tc>
          <w:tcPr>
            <w:tcW w:w="1693" w:type="dxa"/>
            <w:tcBorders>
              <w:right w:val="nil"/>
            </w:tcBorders>
          </w:tcPr>
          <w:p>
            <w:pPr>
              <w:pStyle w:val="TableParagraph"/>
              <w:spacing w:line="227" w:lineRule="exact"/>
              <w:ind w:right="376"/>
              <w:jc w:val="left"/>
              <w:rPr>
                <w:b/>
                <w:sz w:val="20"/>
              </w:rPr>
            </w:pPr>
            <w:r>
              <w:rPr>
                <w:b/>
                <w:sz w:val="20"/>
              </w:rPr>
              <w:t>Desconoce</w:t>
            </w:r>
          </w:p>
        </w:tc>
        <w:tc>
          <w:tcPr>
            <w:tcW w:w="983" w:type="dxa"/>
            <w:tcBorders>
              <w:left w:val="nil"/>
              <w:right w:val="nil"/>
            </w:tcBorders>
          </w:tcPr>
          <w:p>
            <w:pPr>
              <w:pStyle w:val="TableParagraph"/>
              <w:spacing w:line="230" w:lineRule="exact"/>
              <w:ind w:left="182" w:right="215"/>
              <w:rPr>
                <w:sz w:val="20"/>
              </w:rPr>
            </w:pPr>
            <w:r>
              <w:rPr>
                <w:sz w:val="20"/>
              </w:rPr>
              <w:t>170</w:t>
            </w:r>
          </w:p>
        </w:tc>
        <w:tc>
          <w:tcPr>
            <w:tcW w:w="1392" w:type="dxa"/>
            <w:tcBorders>
              <w:left w:val="nil"/>
              <w:right w:val="nil"/>
            </w:tcBorders>
          </w:tcPr>
          <w:p>
            <w:pPr>
              <w:pStyle w:val="TableParagraph"/>
              <w:spacing w:line="230" w:lineRule="exact"/>
              <w:ind w:left="508" w:right="453"/>
              <w:rPr>
                <w:sz w:val="20"/>
              </w:rPr>
            </w:pPr>
            <w:r>
              <w:rPr>
                <w:sz w:val="20"/>
              </w:rPr>
              <w:t>21.4</w:t>
            </w:r>
          </w:p>
        </w:tc>
        <w:tc>
          <w:tcPr>
            <w:tcW w:w="1125" w:type="dxa"/>
            <w:tcBorders>
              <w:left w:val="nil"/>
              <w:right w:val="nil"/>
            </w:tcBorders>
          </w:tcPr>
          <w:p>
            <w:pPr>
              <w:pStyle w:val="TableParagraph"/>
              <w:spacing w:line="230" w:lineRule="exact"/>
              <w:ind w:left="149" w:right="146"/>
              <w:rPr>
                <w:sz w:val="20"/>
              </w:rPr>
            </w:pPr>
            <w:r>
              <w:rPr>
                <w:sz w:val="20"/>
              </w:rPr>
              <w:t>459</w:t>
            </w:r>
          </w:p>
        </w:tc>
        <w:tc>
          <w:tcPr>
            <w:tcW w:w="1375" w:type="dxa"/>
            <w:tcBorders>
              <w:left w:val="nil"/>
              <w:right w:val="nil"/>
            </w:tcBorders>
          </w:tcPr>
          <w:p>
            <w:pPr>
              <w:pStyle w:val="TableParagraph"/>
              <w:spacing w:line="230" w:lineRule="exact"/>
              <w:ind w:left="176" w:right="205"/>
              <w:rPr>
                <w:sz w:val="20"/>
              </w:rPr>
            </w:pPr>
            <w:r>
              <w:rPr>
                <w:sz w:val="20"/>
              </w:rPr>
              <w:t>12.6</w:t>
            </w:r>
          </w:p>
        </w:tc>
        <w:tc>
          <w:tcPr>
            <w:tcW w:w="1136" w:type="dxa"/>
            <w:tcBorders>
              <w:left w:val="nil"/>
              <w:right w:val="nil"/>
            </w:tcBorders>
          </w:tcPr>
          <w:p>
            <w:pPr>
              <w:pStyle w:val="TableParagraph"/>
              <w:spacing w:line="230" w:lineRule="exact"/>
              <w:ind w:left="181" w:right="256"/>
              <w:rPr>
                <w:sz w:val="20"/>
              </w:rPr>
            </w:pPr>
            <w:r>
              <w:rPr>
                <w:sz w:val="20"/>
              </w:rPr>
              <w:t>150</w:t>
            </w:r>
          </w:p>
        </w:tc>
        <w:tc>
          <w:tcPr>
            <w:tcW w:w="1249" w:type="dxa"/>
            <w:tcBorders>
              <w:left w:val="nil"/>
            </w:tcBorders>
          </w:tcPr>
          <w:p>
            <w:pPr>
              <w:pStyle w:val="TableParagraph"/>
              <w:spacing w:line="230" w:lineRule="exact"/>
              <w:ind w:left="257" w:right="246"/>
              <w:rPr>
                <w:sz w:val="20"/>
              </w:rPr>
            </w:pPr>
            <w:r>
              <w:rPr>
                <w:sz w:val="20"/>
              </w:rPr>
              <w:t>198</w:t>
            </w:r>
          </w:p>
        </w:tc>
      </w:tr>
      <w:tr>
        <w:trPr>
          <w:trHeight w:val="276" w:hRule="exact"/>
        </w:trPr>
        <w:tc>
          <w:tcPr>
            <w:tcW w:w="1693" w:type="dxa"/>
            <w:tcBorders>
              <w:right w:val="nil"/>
            </w:tcBorders>
          </w:tcPr>
          <w:p>
            <w:pPr>
              <w:pStyle w:val="TableParagraph"/>
              <w:spacing w:line="230" w:lineRule="exact"/>
              <w:ind w:right="376"/>
              <w:jc w:val="left"/>
              <w:rPr>
                <w:b/>
                <w:sz w:val="20"/>
              </w:rPr>
            </w:pPr>
            <w:r>
              <w:rPr>
                <w:b/>
                <w:sz w:val="20"/>
              </w:rPr>
              <w:t>Ecatepec</w:t>
            </w:r>
          </w:p>
        </w:tc>
        <w:tc>
          <w:tcPr>
            <w:tcW w:w="983" w:type="dxa"/>
            <w:tcBorders>
              <w:left w:val="nil"/>
              <w:right w:val="nil"/>
            </w:tcBorders>
          </w:tcPr>
          <w:p>
            <w:pPr>
              <w:pStyle w:val="TableParagraph"/>
              <w:spacing w:before="2"/>
              <w:ind w:left="182" w:right="215"/>
              <w:rPr>
                <w:sz w:val="20"/>
              </w:rPr>
            </w:pPr>
            <w:r>
              <w:rPr>
                <w:sz w:val="20"/>
              </w:rPr>
              <w:t>266</w:t>
            </w:r>
          </w:p>
        </w:tc>
        <w:tc>
          <w:tcPr>
            <w:tcW w:w="1392" w:type="dxa"/>
            <w:tcBorders>
              <w:left w:val="nil"/>
              <w:right w:val="nil"/>
            </w:tcBorders>
          </w:tcPr>
          <w:p>
            <w:pPr>
              <w:pStyle w:val="TableParagraph"/>
              <w:spacing w:before="2"/>
              <w:ind w:left="508" w:right="453"/>
              <w:rPr>
                <w:sz w:val="20"/>
              </w:rPr>
            </w:pPr>
            <w:r>
              <w:rPr>
                <w:sz w:val="20"/>
              </w:rPr>
              <w:t>0.0</w:t>
            </w:r>
          </w:p>
        </w:tc>
        <w:tc>
          <w:tcPr>
            <w:tcW w:w="1125" w:type="dxa"/>
            <w:tcBorders>
              <w:left w:val="nil"/>
              <w:right w:val="nil"/>
            </w:tcBorders>
          </w:tcPr>
          <w:p>
            <w:pPr>
              <w:pStyle w:val="TableParagraph"/>
              <w:spacing w:before="2"/>
              <w:ind w:left="147" w:right="146"/>
              <w:rPr>
                <w:sz w:val="20"/>
              </w:rPr>
            </w:pPr>
            <w:r>
              <w:rPr>
                <w:sz w:val="20"/>
              </w:rPr>
              <w:t>0.0</w:t>
            </w:r>
          </w:p>
        </w:tc>
        <w:tc>
          <w:tcPr>
            <w:tcW w:w="1375" w:type="dxa"/>
            <w:tcBorders>
              <w:left w:val="nil"/>
              <w:right w:val="nil"/>
            </w:tcBorders>
          </w:tcPr>
          <w:p>
            <w:pPr>
              <w:pStyle w:val="TableParagraph"/>
              <w:spacing w:before="2"/>
              <w:ind w:left="0" w:right="26"/>
              <w:rPr>
                <w:sz w:val="20"/>
              </w:rPr>
            </w:pPr>
            <w:r>
              <w:rPr>
                <w:w w:val="99"/>
                <w:sz w:val="20"/>
              </w:rPr>
              <w:t>0</w:t>
            </w:r>
          </w:p>
        </w:tc>
        <w:tc>
          <w:tcPr>
            <w:tcW w:w="1136" w:type="dxa"/>
            <w:tcBorders>
              <w:left w:val="nil"/>
              <w:right w:val="nil"/>
            </w:tcBorders>
          </w:tcPr>
          <w:p>
            <w:pPr>
              <w:pStyle w:val="TableParagraph"/>
              <w:spacing w:before="2"/>
              <w:ind w:left="181" w:right="256"/>
              <w:rPr>
                <w:sz w:val="20"/>
              </w:rPr>
            </w:pPr>
            <w:r>
              <w:rPr>
                <w:sz w:val="20"/>
              </w:rPr>
              <w:t>266</w:t>
            </w:r>
          </w:p>
        </w:tc>
        <w:tc>
          <w:tcPr>
            <w:tcW w:w="1249" w:type="dxa"/>
            <w:tcBorders>
              <w:left w:val="nil"/>
            </w:tcBorders>
          </w:tcPr>
          <w:p>
            <w:pPr>
              <w:pStyle w:val="TableParagraph"/>
              <w:spacing w:before="2"/>
              <w:ind w:left="257" w:right="246"/>
              <w:rPr>
                <w:sz w:val="20"/>
              </w:rPr>
            </w:pPr>
            <w:r>
              <w:rPr>
                <w:sz w:val="20"/>
              </w:rPr>
              <w:t>266</w:t>
            </w:r>
          </w:p>
        </w:tc>
      </w:tr>
      <w:tr>
        <w:trPr>
          <w:trHeight w:val="274" w:hRule="exact"/>
        </w:trPr>
        <w:tc>
          <w:tcPr>
            <w:tcW w:w="1693" w:type="dxa"/>
            <w:tcBorders>
              <w:right w:val="nil"/>
            </w:tcBorders>
          </w:tcPr>
          <w:p>
            <w:pPr>
              <w:pStyle w:val="TableParagraph"/>
              <w:spacing w:line="227" w:lineRule="exact"/>
              <w:ind w:right="376"/>
              <w:jc w:val="left"/>
              <w:rPr>
                <w:b/>
                <w:sz w:val="20"/>
              </w:rPr>
            </w:pPr>
            <w:r>
              <w:rPr>
                <w:b/>
                <w:sz w:val="20"/>
              </w:rPr>
              <w:t>Guadalajara</w:t>
            </w:r>
          </w:p>
        </w:tc>
        <w:tc>
          <w:tcPr>
            <w:tcW w:w="983" w:type="dxa"/>
            <w:tcBorders>
              <w:left w:val="nil"/>
              <w:right w:val="nil"/>
            </w:tcBorders>
          </w:tcPr>
          <w:p>
            <w:pPr>
              <w:pStyle w:val="TableParagraph"/>
              <w:spacing w:line="230" w:lineRule="exact"/>
              <w:ind w:left="182" w:right="215"/>
              <w:rPr>
                <w:sz w:val="20"/>
              </w:rPr>
            </w:pPr>
            <w:r>
              <w:rPr>
                <w:sz w:val="20"/>
              </w:rPr>
              <w:t>180</w:t>
            </w:r>
          </w:p>
        </w:tc>
        <w:tc>
          <w:tcPr>
            <w:tcW w:w="1392" w:type="dxa"/>
            <w:tcBorders>
              <w:left w:val="nil"/>
              <w:right w:val="nil"/>
            </w:tcBorders>
          </w:tcPr>
          <w:p>
            <w:pPr>
              <w:pStyle w:val="TableParagraph"/>
              <w:spacing w:line="230" w:lineRule="exact"/>
              <w:ind w:left="508" w:right="453"/>
              <w:rPr>
                <w:sz w:val="20"/>
              </w:rPr>
            </w:pPr>
            <w:r>
              <w:rPr>
                <w:sz w:val="20"/>
              </w:rPr>
              <w:t>0.0</w:t>
            </w:r>
          </w:p>
        </w:tc>
        <w:tc>
          <w:tcPr>
            <w:tcW w:w="1125" w:type="dxa"/>
            <w:tcBorders>
              <w:left w:val="nil"/>
              <w:right w:val="nil"/>
            </w:tcBorders>
          </w:tcPr>
          <w:p>
            <w:pPr>
              <w:pStyle w:val="TableParagraph"/>
              <w:spacing w:line="230" w:lineRule="exact"/>
              <w:ind w:left="147" w:right="146"/>
              <w:rPr>
                <w:sz w:val="20"/>
              </w:rPr>
            </w:pPr>
            <w:r>
              <w:rPr>
                <w:sz w:val="20"/>
              </w:rPr>
              <w:t>0.0</w:t>
            </w:r>
          </w:p>
        </w:tc>
        <w:tc>
          <w:tcPr>
            <w:tcW w:w="1375" w:type="dxa"/>
            <w:tcBorders>
              <w:left w:val="nil"/>
              <w:right w:val="nil"/>
            </w:tcBorders>
          </w:tcPr>
          <w:p>
            <w:pPr>
              <w:pStyle w:val="TableParagraph"/>
              <w:spacing w:line="230" w:lineRule="exact"/>
              <w:ind w:left="0" w:right="26"/>
              <w:rPr>
                <w:sz w:val="20"/>
              </w:rPr>
            </w:pPr>
            <w:r>
              <w:rPr>
                <w:w w:val="99"/>
                <w:sz w:val="20"/>
              </w:rPr>
              <w:t>0</w:t>
            </w:r>
          </w:p>
        </w:tc>
        <w:tc>
          <w:tcPr>
            <w:tcW w:w="1136" w:type="dxa"/>
            <w:tcBorders>
              <w:left w:val="nil"/>
              <w:right w:val="nil"/>
            </w:tcBorders>
          </w:tcPr>
          <w:p>
            <w:pPr>
              <w:pStyle w:val="TableParagraph"/>
              <w:spacing w:line="230" w:lineRule="exact"/>
              <w:ind w:left="181" w:right="256"/>
              <w:rPr>
                <w:sz w:val="20"/>
              </w:rPr>
            </w:pPr>
            <w:r>
              <w:rPr>
                <w:sz w:val="20"/>
              </w:rPr>
              <w:t>180</w:t>
            </w:r>
          </w:p>
        </w:tc>
        <w:tc>
          <w:tcPr>
            <w:tcW w:w="1249" w:type="dxa"/>
            <w:tcBorders>
              <w:left w:val="nil"/>
            </w:tcBorders>
          </w:tcPr>
          <w:p>
            <w:pPr>
              <w:pStyle w:val="TableParagraph"/>
              <w:spacing w:line="230" w:lineRule="exact"/>
              <w:ind w:left="257" w:right="246"/>
              <w:rPr>
                <w:sz w:val="20"/>
              </w:rPr>
            </w:pPr>
            <w:r>
              <w:rPr>
                <w:sz w:val="20"/>
              </w:rPr>
              <w:t>180</w:t>
            </w:r>
          </w:p>
        </w:tc>
      </w:tr>
      <w:tr>
        <w:trPr>
          <w:trHeight w:val="277" w:hRule="exact"/>
        </w:trPr>
        <w:tc>
          <w:tcPr>
            <w:tcW w:w="1693" w:type="dxa"/>
            <w:tcBorders>
              <w:right w:val="nil"/>
            </w:tcBorders>
          </w:tcPr>
          <w:p>
            <w:pPr>
              <w:pStyle w:val="TableParagraph"/>
              <w:spacing w:line="228" w:lineRule="exact"/>
              <w:ind w:right="376"/>
              <w:jc w:val="left"/>
              <w:rPr>
                <w:b/>
                <w:sz w:val="20"/>
              </w:rPr>
            </w:pPr>
            <w:r>
              <w:rPr>
                <w:b/>
                <w:sz w:val="20"/>
              </w:rPr>
              <w:t>Ixtlahuaca</w:t>
            </w:r>
          </w:p>
        </w:tc>
        <w:tc>
          <w:tcPr>
            <w:tcW w:w="983" w:type="dxa"/>
            <w:tcBorders>
              <w:left w:val="nil"/>
              <w:right w:val="nil"/>
            </w:tcBorders>
          </w:tcPr>
          <w:p>
            <w:pPr>
              <w:pStyle w:val="TableParagraph"/>
              <w:ind w:left="182" w:right="215"/>
              <w:rPr>
                <w:sz w:val="20"/>
              </w:rPr>
            </w:pPr>
            <w:r>
              <w:rPr>
                <w:sz w:val="20"/>
              </w:rPr>
              <w:t>152</w:t>
            </w:r>
          </w:p>
        </w:tc>
        <w:tc>
          <w:tcPr>
            <w:tcW w:w="1392" w:type="dxa"/>
            <w:tcBorders>
              <w:left w:val="nil"/>
              <w:right w:val="nil"/>
            </w:tcBorders>
          </w:tcPr>
          <w:p>
            <w:pPr>
              <w:pStyle w:val="TableParagraph"/>
              <w:ind w:left="508" w:right="453"/>
              <w:rPr>
                <w:sz w:val="20"/>
              </w:rPr>
            </w:pPr>
            <w:r>
              <w:rPr>
                <w:sz w:val="20"/>
              </w:rPr>
              <w:t>29.4</w:t>
            </w:r>
          </w:p>
        </w:tc>
        <w:tc>
          <w:tcPr>
            <w:tcW w:w="1125" w:type="dxa"/>
            <w:tcBorders>
              <w:left w:val="nil"/>
              <w:right w:val="nil"/>
            </w:tcBorders>
          </w:tcPr>
          <w:p>
            <w:pPr>
              <w:pStyle w:val="TableParagraph"/>
              <w:ind w:left="149" w:right="146"/>
              <w:rPr>
                <w:sz w:val="20"/>
              </w:rPr>
            </w:pPr>
            <w:r>
              <w:rPr>
                <w:sz w:val="20"/>
              </w:rPr>
              <w:t>953</w:t>
            </w:r>
          </w:p>
        </w:tc>
        <w:tc>
          <w:tcPr>
            <w:tcW w:w="1375" w:type="dxa"/>
            <w:tcBorders>
              <w:left w:val="nil"/>
              <w:right w:val="nil"/>
            </w:tcBorders>
          </w:tcPr>
          <w:p>
            <w:pPr>
              <w:pStyle w:val="TableParagraph"/>
              <w:ind w:left="176" w:right="205"/>
              <w:rPr>
                <w:sz w:val="20"/>
              </w:rPr>
            </w:pPr>
            <w:r>
              <w:rPr>
                <w:sz w:val="20"/>
              </w:rPr>
              <w:t>12.6</w:t>
            </w:r>
          </w:p>
        </w:tc>
        <w:tc>
          <w:tcPr>
            <w:tcW w:w="1136" w:type="dxa"/>
            <w:tcBorders>
              <w:left w:val="nil"/>
              <w:right w:val="nil"/>
            </w:tcBorders>
          </w:tcPr>
          <w:p>
            <w:pPr>
              <w:pStyle w:val="TableParagraph"/>
              <w:ind w:left="181" w:right="256"/>
              <w:rPr>
                <w:sz w:val="20"/>
              </w:rPr>
            </w:pPr>
            <w:r>
              <w:rPr>
                <w:sz w:val="20"/>
              </w:rPr>
              <w:t>100</w:t>
            </w:r>
          </w:p>
        </w:tc>
        <w:tc>
          <w:tcPr>
            <w:tcW w:w="1249" w:type="dxa"/>
            <w:tcBorders>
              <w:left w:val="nil"/>
            </w:tcBorders>
          </w:tcPr>
          <w:p>
            <w:pPr>
              <w:pStyle w:val="TableParagraph"/>
              <w:ind w:left="257" w:right="246"/>
              <w:rPr>
                <w:sz w:val="20"/>
              </w:rPr>
            </w:pPr>
            <w:r>
              <w:rPr>
                <w:sz w:val="20"/>
              </w:rPr>
              <w:t>195</w:t>
            </w:r>
          </w:p>
        </w:tc>
      </w:tr>
      <w:tr>
        <w:trPr>
          <w:trHeight w:val="274" w:hRule="exact"/>
        </w:trPr>
        <w:tc>
          <w:tcPr>
            <w:tcW w:w="1693" w:type="dxa"/>
            <w:tcBorders>
              <w:right w:val="nil"/>
            </w:tcBorders>
          </w:tcPr>
          <w:p>
            <w:pPr>
              <w:pStyle w:val="TableParagraph"/>
              <w:spacing w:line="227" w:lineRule="exact"/>
              <w:ind w:right="376"/>
              <w:jc w:val="left"/>
              <w:rPr>
                <w:b/>
                <w:sz w:val="20"/>
              </w:rPr>
            </w:pPr>
            <w:r>
              <w:rPr>
                <w:b/>
                <w:sz w:val="20"/>
              </w:rPr>
              <w:t>Metepec</w:t>
            </w:r>
          </w:p>
        </w:tc>
        <w:tc>
          <w:tcPr>
            <w:tcW w:w="983" w:type="dxa"/>
            <w:tcBorders>
              <w:left w:val="nil"/>
              <w:right w:val="nil"/>
            </w:tcBorders>
          </w:tcPr>
          <w:p>
            <w:pPr>
              <w:pStyle w:val="TableParagraph"/>
              <w:spacing w:line="230" w:lineRule="exact"/>
              <w:ind w:left="182" w:right="215"/>
              <w:rPr>
                <w:sz w:val="20"/>
              </w:rPr>
            </w:pPr>
            <w:r>
              <w:rPr>
                <w:sz w:val="20"/>
              </w:rPr>
              <w:t>126</w:t>
            </w:r>
          </w:p>
        </w:tc>
        <w:tc>
          <w:tcPr>
            <w:tcW w:w="1392" w:type="dxa"/>
            <w:tcBorders>
              <w:left w:val="nil"/>
              <w:right w:val="nil"/>
            </w:tcBorders>
          </w:tcPr>
          <w:p>
            <w:pPr>
              <w:pStyle w:val="TableParagraph"/>
              <w:spacing w:line="230" w:lineRule="exact"/>
              <w:ind w:left="508" w:right="453"/>
              <w:rPr>
                <w:sz w:val="20"/>
              </w:rPr>
            </w:pPr>
            <w:r>
              <w:rPr>
                <w:sz w:val="20"/>
              </w:rPr>
              <w:t>0.0</w:t>
            </w:r>
          </w:p>
        </w:tc>
        <w:tc>
          <w:tcPr>
            <w:tcW w:w="1125" w:type="dxa"/>
            <w:tcBorders>
              <w:left w:val="nil"/>
              <w:right w:val="nil"/>
            </w:tcBorders>
          </w:tcPr>
          <w:p>
            <w:pPr>
              <w:pStyle w:val="TableParagraph"/>
              <w:spacing w:line="230" w:lineRule="exact"/>
              <w:ind w:left="147" w:right="146"/>
              <w:rPr>
                <w:sz w:val="20"/>
              </w:rPr>
            </w:pPr>
            <w:r>
              <w:rPr>
                <w:sz w:val="20"/>
              </w:rPr>
              <w:t>0.0</w:t>
            </w:r>
          </w:p>
        </w:tc>
        <w:tc>
          <w:tcPr>
            <w:tcW w:w="1375" w:type="dxa"/>
            <w:tcBorders>
              <w:left w:val="nil"/>
              <w:right w:val="nil"/>
            </w:tcBorders>
          </w:tcPr>
          <w:p>
            <w:pPr>
              <w:pStyle w:val="TableParagraph"/>
              <w:spacing w:line="230" w:lineRule="exact"/>
              <w:ind w:left="0" w:right="26"/>
              <w:rPr>
                <w:sz w:val="20"/>
              </w:rPr>
            </w:pPr>
            <w:r>
              <w:rPr>
                <w:w w:val="99"/>
                <w:sz w:val="20"/>
              </w:rPr>
              <w:t>0</w:t>
            </w:r>
          </w:p>
        </w:tc>
        <w:tc>
          <w:tcPr>
            <w:tcW w:w="1136" w:type="dxa"/>
            <w:tcBorders>
              <w:left w:val="nil"/>
              <w:right w:val="nil"/>
            </w:tcBorders>
          </w:tcPr>
          <w:p>
            <w:pPr>
              <w:pStyle w:val="TableParagraph"/>
              <w:spacing w:line="230" w:lineRule="exact"/>
              <w:ind w:left="181" w:right="256"/>
              <w:rPr>
                <w:sz w:val="20"/>
              </w:rPr>
            </w:pPr>
            <w:r>
              <w:rPr>
                <w:sz w:val="20"/>
              </w:rPr>
              <w:t>126</w:t>
            </w:r>
          </w:p>
        </w:tc>
        <w:tc>
          <w:tcPr>
            <w:tcW w:w="1249" w:type="dxa"/>
            <w:tcBorders>
              <w:left w:val="nil"/>
            </w:tcBorders>
          </w:tcPr>
          <w:p>
            <w:pPr>
              <w:pStyle w:val="TableParagraph"/>
              <w:spacing w:line="230" w:lineRule="exact"/>
              <w:ind w:left="257" w:right="246"/>
              <w:rPr>
                <w:sz w:val="20"/>
              </w:rPr>
            </w:pPr>
            <w:r>
              <w:rPr>
                <w:sz w:val="20"/>
              </w:rPr>
              <w:t>126</w:t>
            </w:r>
          </w:p>
        </w:tc>
      </w:tr>
      <w:tr>
        <w:trPr>
          <w:trHeight w:val="540" w:hRule="exact"/>
        </w:trPr>
        <w:tc>
          <w:tcPr>
            <w:tcW w:w="1693" w:type="dxa"/>
            <w:tcBorders>
              <w:right w:val="nil"/>
            </w:tcBorders>
          </w:tcPr>
          <w:p>
            <w:pPr>
              <w:pStyle w:val="TableParagraph"/>
              <w:spacing w:line="276" w:lineRule="auto"/>
              <w:ind w:right="565"/>
              <w:jc w:val="left"/>
              <w:rPr>
                <w:b/>
                <w:sz w:val="20"/>
              </w:rPr>
            </w:pPr>
            <w:r>
              <w:rPr>
                <w:b/>
                <w:sz w:val="20"/>
              </w:rPr>
              <w:t>San Mateo Atenco</w:t>
            </w:r>
          </w:p>
        </w:tc>
        <w:tc>
          <w:tcPr>
            <w:tcW w:w="983" w:type="dxa"/>
            <w:tcBorders>
              <w:left w:val="nil"/>
              <w:right w:val="nil"/>
            </w:tcBorders>
          </w:tcPr>
          <w:p>
            <w:pPr>
              <w:pStyle w:val="TableParagraph"/>
              <w:spacing w:line="230" w:lineRule="exact"/>
              <w:ind w:left="182" w:right="215"/>
              <w:rPr>
                <w:sz w:val="20"/>
              </w:rPr>
            </w:pPr>
            <w:r>
              <w:rPr>
                <w:sz w:val="20"/>
              </w:rPr>
              <w:t>200</w:t>
            </w:r>
          </w:p>
        </w:tc>
        <w:tc>
          <w:tcPr>
            <w:tcW w:w="1392" w:type="dxa"/>
            <w:tcBorders>
              <w:left w:val="nil"/>
              <w:right w:val="nil"/>
            </w:tcBorders>
          </w:tcPr>
          <w:p>
            <w:pPr>
              <w:pStyle w:val="TableParagraph"/>
              <w:spacing w:line="230" w:lineRule="exact"/>
              <w:ind w:left="508" w:right="453"/>
              <w:rPr>
                <w:sz w:val="20"/>
              </w:rPr>
            </w:pPr>
            <w:r>
              <w:rPr>
                <w:sz w:val="20"/>
              </w:rPr>
              <w:t>0.0</w:t>
            </w:r>
          </w:p>
        </w:tc>
        <w:tc>
          <w:tcPr>
            <w:tcW w:w="1125" w:type="dxa"/>
            <w:tcBorders>
              <w:left w:val="nil"/>
              <w:right w:val="nil"/>
            </w:tcBorders>
          </w:tcPr>
          <w:p>
            <w:pPr>
              <w:pStyle w:val="TableParagraph"/>
              <w:spacing w:line="230" w:lineRule="exact"/>
              <w:ind w:left="147" w:right="146"/>
              <w:rPr>
                <w:sz w:val="20"/>
              </w:rPr>
            </w:pPr>
            <w:r>
              <w:rPr>
                <w:sz w:val="20"/>
              </w:rPr>
              <w:t>0.0</w:t>
            </w:r>
          </w:p>
        </w:tc>
        <w:tc>
          <w:tcPr>
            <w:tcW w:w="1375" w:type="dxa"/>
            <w:tcBorders>
              <w:left w:val="nil"/>
              <w:right w:val="nil"/>
            </w:tcBorders>
          </w:tcPr>
          <w:p>
            <w:pPr>
              <w:pStyle w:val="TableParagraph"/>
              <w:spacing w:line="230" w:lineRule="exact"/>
              <w:ind w:left="0" w:right="26"/>
              <w:rPr>
                <w:sz w:val="20"/>
              </w:rPr>
            </w:pPr>
            <w:r>
              <w:rPr>
                <w:w w:val="99"/>
                <w:sz w:val="20"/>
              </w:rPr>
              <w:t>0</w:t>
            </w:r>
          </w:p>
        </w:tc>
        <w:tc>
          <w:tcPr>
            <w:tcW w:w="1136" w:type="dxa"/>
            <w:tcBorders>
              <w:left w:val="nil"/>
              <w:right w:val="nil"/>
            </w:tcBorders>
          </w:tcPr>
          <w:p>
            <w:pPr>
              <w:pStyle w:val="TableParagraph"/>
              <w:spacing w:line="230" w:lineRule="exact"/>
              <w:ind w:left="181" w:right="256"/>
              <w:rPr>
                <w:sz w:val="20"/>
              </w:rPr>
            </w:pPr>
            <w:r>
              <w:rPr>
                <w:sz w:val="20"/>
              </w:rPr>
              <w:t>200</w:t>
            </w:r>
          </w:p>
        </w:tc>
        <w:tc>
          <w:tcPr>
            <w:tcW w:w="1249" w:type="dxa"/>
            <w:tcBorders>
              <w:left w:val="nil"/>
            </w:tcBorders>
          </w:tcPr>
          <w:p>
            <w:pPr>
              <w:pStyle w:val="TableParagraph"/>
              <w:spacing w:line="230" w:lineRule="exact"/>
              <w:ind w:left="257" w:right="246"/>
              <w:rPr>
                <w:sz w:val="20"/>
              </w:rPr>
            </w:pPr>
            <w:r>
              <w:rPr>
                <w:sz w:val="20"/>
              </w:rPr>
              <w:t>200</w:t>
            </w:r>
          </w:p>
        </w:tc>
      </w:tr>
      <w:tr>
        <w:trPr>
          <w:trHeight w:val="274" w:hRule="exact"/>
        </w:trPr>
        <w:tc>
          <w:tcPr>
            <w:tcW w:w="1693" w:type="dxa"/>
            <w:tcBorders>
              <w:right w:val="nil"/>
            </w:tcBorders>
          </w:tcPr>
          <w:p>
            <w:pPr>
              <w:pStyle w:val="TableParagraph"/>
              <w:spacing w:line="227" w:lineRule="exact"/>
              <w:ind w:right="376"/>
              <w:jc w:val="left"/>
              <w:rPr>
                <w:b/>
                <w:sz w:val="20"/>
              </w:rPr>
            </w:pPr>
            <w:r>
              <w:rPr>
                <w:b/>
                <w:sz w:val="20"/>
              </w:rPr>
              <w:t>Texcatitlán</w:t>
            </w:r>
          </w:p>
        </w:tc>
        <w:tc>
          <w:tcPr>
            <w:tcW w:w="983" w:type="dxa"/>
            <w:tcBorders>
              <w:left w:val="nil"/>
              <w:right w:val="nil"/>
            </w:tcBorders>
          </w:tcPr>
          <w:p>
            <w:pPr>
              <w:pStyle w:val="TableParagraph"/>
              <w:spacing w:line="230" w:lineRule="exact"/>
              <w:ind w:left="182" w:right="215"/>
              <w:rPr>
                <w:sz w:val="20"/>
              </w:rPr>
            </w:pPr>
            <w:r>
              <w:rPr>
                <w:sz w:val="20"/>
              </w:rPr>
              <w:t>180</w:t>
            </w:r>
          </w:p>
        </w:tc>
        <w:tc>
          <w:tcPr>
            <w:tcW w:w="1392" w:type="dxa"/>
            <w:tcBorders>
              <w:left w:val="nil"/>
              <w:right w:val="nil"/>
            </w:tcBorders>
          </w:tcPr>
          <w:p>
            <w:pPr>
              <w:pStyle w:val="TableParagraph"/>
              <w:spacing w:line="230" w:lineRule="exact"/>
              <w:ind w:left="508" w:right="450"/>
              <w:rPr>
                <w:sz w:val="20"/>
              </w:rPr>
            </w:pPr>
            <w:r>
              <w:rPr>
                <w:sz w:val="20"/>
              </w:rPr>
              <w:t>31</w:t>
            </w:r>
          </w:p>
        </w:tc>
        <w:tc>
          <w:tcPr>
            <w:tcW w:w="1125" w:type="dxa"/>
            <w:tcBorders>
              <w:left w:val="nil"/>
              <w:right w:val="nil"/>
            </w:tcBorders>
          </w:tcPr>
          <w:p>
            <w:pPr>
              <w:pStyle w:val="TableParagraph"/>
              <w:spacing w:line="230" w:lineRule="exact"/>
              <w:ind w:left="149" w:right="146"/>
              <w:rPr>
                <w:sz w:val="20"/>
              </w:rPr>
            </w:pPr>
            <w:r>
              <w:rPr>
                <w:sz w:val="20"/>
              </w:rPr>
              <w:t>1512</w:t>
            </w:r>
          </w:p>
        </w:tc>
        <w:tc>
          <w:tcPr>
            <w:tcW w:w="1375" w:type="dxa"/>
            <w:tcBorders>
              <w:left w:val="nil"/>
              <w:right w:val="nil"/>
            </w:tcBorders>
          </w:tcPr>
          <w:p>
            <w:pPr>
              <w:pStyle w:val="TableParagraph"/>
              <w:spacing w:line="230" w:lineRule="exact"/>
              <w:ind w:left="179" w:right="205"/>
              <w:rPr>
                <w:sz w:val="20"/>
              </w:rPr>
            </w:pPr>
            <w:r>
              <w:rPr>
                <w:sz w:val="20"/>
              </w:rPr>
              <w:t>21.55</w:t>
            </w:r>
          </w:p>
        </w:tc>
        <w:tc>
          <w:tcPr>
            <w:tcW w:w="1136" w:type="dxa"/>
            <w:tcBorders>
              <w:left w:val="nil"/>
              <w:right w:val="nil"/>
            </w:tcBorders>
          </w:tcPr>
          <w:p>
            <w:pPr>
              <w:pStyle w:val="TableParagraph"/>
              <w:spacing w:line="230" w:lineRule="exact"/>
              <w:ind w:left="181" w:right="256"/>
              <w:rPr>
                <w:sz w:val="20"/>
              </w:rPr>
            </w:pPr>
            <w:r>
              <w:rPr>
                <w:sz w:val="20"/>
              </w:rPr>
              <w:t>153</w:t>
            </w:r>
          </w:p>
        </w:tc>
        <w:tc>
          <w:tcPr>
            <w:tcW w:w="1249" w:type="dxa"/>
            <w:tcBorders>
              <w:left w:val="nil"/>
            </w:tcBorders>
          </w:tcPr>
          <w:p>
            <w:pPr>
              <w:pStyle w:val="TableParagraph"/>
              <w:spacing w:line="230" w:lineRule="exact"/>
              <w:ind w:left="257" w:right="246"/>
              <w:rPr>
                <w:sz w:val="20"/>
              </w:rPr>
            </w:pPr>
            <w:r>
              <w:rPr>
                <w:sz w:val="20"/>
              </w:rPr>
              <w:t>208</w:t>
            </w:r>
          </w:p>
        </w:tc>
      </w:tr>
      <w:tr>
        <w:trPr>
          <w:trHeight w:val="274" w:hRule="exact"/>
        </w:trPr>
        <w:tc>
          <w:tcPr>
            <w:tcW w:w="1693" w:type="dxa"/>
            <w:tcBorders>
              <w:right w:val="nil"/>
            </w:tcBorders>
          </w:tcPr>
          <w:p>
            <w:pPr>
              <w:pStyle w:val="TableParagraph"/>
              <w:spacing w:line="227" w:lineRule="exact"/>
              <w:ind w:right="376"/>
              <w:jc w:val="left"/>
              <w:rPr>
                <w:b/>
                <w:sz w:val="20"/>
              </w:rPr>
            </w:pPr>
            <w:r>
              <w:rPr>
                <w:b/>
                <w:sz w:val="20"/>
              </w:rPr>
              <w:t>Toluca</w:t>
            </w:r>
          </w:p>
        </w:tc>
        <w:tc>
          <w:tcPr>
            <w:tcW w:w="983" w:type="dxa"/>
            <w:tcBorders>
              <w:left w:val="nil"/>
              <w:right w:val="nil"/>
            </w:tcBorders>
          </w:tcPr>
          <w:p>
            <w:pPr>
              <w:pStyle w:val="TableParagraph"/>
              <w:spacing w:line="230" w:lineRule="exact"/>
              <w:ind w:left="182" w:right="215"/>
              <w:rPr>
                <w:sz w:val="20"/>
              </w:rPr>
            </w:pPr>
            <w:r>
              <w:rPr>
                <w:sz w:val="20"/>
              </w:rPr>
              <w:t>170</w:t>
            </w:r>
          </w:p>
        </w:tc>
        <w:tc>
          <w:tcPr>
            <w:tcW w:w="1392" w:type="dxa"/>
            <w:tcBorders>
              <w:left w:val="nil"/>
              <w:right w:val="nil"/>
            </w:tcBorders>
          </w:tcPr>
          <w:p>
            <w:pPr>
              <w:pStyle w:val="TableParagraph"/>
              <w:spacing w:line="230" w:lineRule="exact"/>
              <w:ind w:left="508" w:right="453"/>
              <w:rPr>
                <w:sz w:val="20"/>
              </w:rPr>
            </w:pPr>
            <w:r>
              <w:rPr>
                <w:sz w:val="20"/>
              </w:rPr>
              <w:t>45.4</w:t>
            </w:r>
          </w:p>
        </w:tc>
        <w:tc>
          <w:tcPr>
            <w:tcW w:w="1125" w:type="dxa"/>
            <w:tcBorders>
              <w:left w:val="nil"/>
              <w:right w:val="nil"/>
            </w:tcBorders>
          </w:tcPr>
          <w:p>
            <w:pPr>
              <w:pStyle w:val="TableParagraph"/>
              <w:spacing w:line="230" w:lineRule="exact"/>
              <w:ind w:left="149" w:right="146"/>
              <w:rPr>
                <w:sz w:val="20"/>
              </w:rPr>
            </w:pPr>
            <w:r>
              <w:rPr>
                <w:sz w:val="20"/>
              </w:rPr>
              <w:t>2058</w:t>
            </w:r>
          </w:p>
        </w:tc>
        <w:tc>
          <w:tcPr>
            <w:tcW w:w="1375" w:type="dxa"/>
            <w:tcBorders>
              <w:left w:val="nil"/>
              <w:right w:val="nil"/>
            </w:tcBorders>
          </w:tcPr>
          <w:p>
            <w:pPr>
              <w:pStyle w:val="TableParagraph"/>
              <w:spacing w:line="230" w:lineRule="exact"/>
              <w:ind w:left="179" w:right="205"/>
              <w:rPr>
                <w:sz w:val="20"/>
              </w:rPr>
            </w:pPr>
            <w:r>
              <w:rPr>
                <w:sz w:val="20"/>
              </w:rPr>
              <w:t>26.62</w:t>
            </w:r>
          </w:p>
        </w:tc>
        <w:tc>
          <w:tcPr>
            <w:tcW w:w="1136" w:type="dxa"/>
            <w:tcBorders>
              <w:left w:val="nil"/>
              <w:right w:val="nil"/>
            </w:tcBorders>
          </w:tcPr>
          <w:p>
            <w:pPr>
              <w:pStyle w:val="TableParagraph"/>
              <w:spacing w:line="230" w:lineRule="exact"/>
              <w:ind w:left="182" w:right="256"/>
              <w:rPr>
                <w:sz w:val="20"/>
              </w:rPr>
            </w:pPr>
            <w:r>
              <w:rPr>
                <w:sz w:val="20"/>
              </w:rPr>
              <w:t>110</w:t>
            </w:r>
          </w:p>
        </w:tc>
        <w:tc>
          <w:tcPr>
            <w:tcW w:w="1249" w:type="dxa"/>
            <w:tcBorders>
              <w:left w:val="nil"/>
            </w:tcBorders>
          </w:tcPr>
          <w:p>
            <w:pPr>
              <w:pStyle w:val="TableParagraph"/>
              <w:spacing w:line="230" w:lineRule="exact"/>
              <w:ind w:left="257" w:right="246"/>
              <w:rPr>
                <w:sz w:val="20"/>
              </w:rPr>
            </w:pPr>
            <w:r>
              <w:rPr>
                <w:sz w:val="20"/>
              </w:rPr>
              <w:t>230</w:t>
            </w:r>
          </w:p>
        </w:tc>
      </w:tr>
      <w:tr>
        <w:trPr>
          <w:trHeight w:val="276" w:hRule="exact"/>
        </w:trPr>
        <w:tc>
          <w:tcPr>
            <w:tcW w:w="1693" w:type="dxa"/>
            <w:tcBorders>
              <w:right w:val="nil"/>
            </w:tcBorders>
          </w:tcPr>
          <w:p>
            <w:pPr>
              <w:pStyle w:val="TableParagraph"/>
              <w:spacing w:line="227" w:lineRule="exact"/>
              <w:jc w:val="left"/>
              <w:rPr>
                <w:b/>
                <w:sz w:val="20"/>
              </w:rPr>
            </w:pPr>
            <w:r>
              <w:rPr>
                <w:b/>
                <w:sz w:val="20"/>
              </w:rPr>
              <w:t>Villa Victoria</w:t>
            </w:r>
          </w:p>
        </w:tc>
        <w:tc>
          <w:tcPr>
            <w:tcW w:w="983" w:type="dxa"/>
            <w:tcBorders>
              <w:left w:val="nil"/>
              <w:right w:val="nil"/>
            </w:tcBorders>
          </w:tcPr>
          <w:p>
            <w:pPr>
              <w:pStyle w:val="TableParagraph"/>
              <w:spacing w:line="230" w:lineRule="exact"/>
              <w:ind w:left="182" w:right="215"/>
              <w:rPr>
                <w:sz w:val="20"/>
              </w:rPr>
            </w:pPr>
            <w:r>
              <w:rPr>
                <w:sz w:val="20"/>
              </w:rPr>
              <w:t>172</w:t>
            </w:r>
          </w:p>
        </w:tc>
        <w:tc>
          <w:tcPr>
            <w:tcW w:w="1392" w:type="dxa"/>
            <w:tcBorders>
              <w:left w:val="nil"/>
              <w:right w:val="nil"/>
            </w:tcBorders>
          </w:tcPr>
          <w:p>
            <w:pPr>
              <w:pStyle w:val="TableParagraph"/>
              <w:spacing w:line="230" w:lineRule="exact"/>
              <w:ind w:left="508" w:right="453"/>
              <w:rPr>
                <w:sz w:val="20"/>
              </w:rPr>
            </w:pPr>
            <w:r>
              <w:rPr>
                <w:sz w:val="20"/>
              </w:rPr>
              <w:t>31.5</w:t>
            </w:r>
          </w:p>
        </w:tc>
        <w:tc>
          <w:tcPr>
            <w:tcW w:w="1125" w:type="dxa"/>
            <w:tcBorders>
              <w:left w:val="nil"/>
              <w:right w:val="nil"/>
            </w:tcBorders>
          </w:tcPr>
          <w:p>
            <w:pPr>
              <w:pStyle w:val="TableParagraph"/>
              <w:spacing w:line="230" w:lineRule="exact"/>
              <w:ind w:left="149" w:right="146"/>
              <w:rPr>
                <w:sz w:val="20"/>
              </w:rPr>
            </w:pPr>
            <w:r>
              <w:rPr>
                <w:sz w:val="20"/>
              </w:rPr>
              <w:t>995.3</w:t>
            </w:r>
          </w:p>
        </w:tc>
        <w:tc>
          <w:tcPr>
            <w:tcW w:w="1375" w:type="dxa"/>
            <w:tcBorders>
              <w:left w:val="nil"/>
              <w:right w:val="nil"/>
            </w:tcBorders>
          </w:tcPr>
          <w:p>
            <w:pPr>
              <w:pStyle w:val="TableParagraph"/>
              <w:spacing w:line="230" w:lineRule="exact"/>
              <w:ind w:left="179" w:right="205"/>
              <w:rPr>
                <w:sz w:val="20"/>
              </w:rPr>
            </w:pPr>
            <w:r>
              <w:rPr>
                <w:sz w:val="20"/>
              </w:rPr>
              <w:t>18.17</w:t>
            </w:r>
          </w:p>
        </w:tc>
        <w:tc>
          <w:tcPr>
            <w:tcW w:w="1136" w:type="dxa"/>
            <w:tcBorders>
              <w:left w:val="nil"/>
              <w:right w:val="nil"/>
            </w:tcBorders>
          </w:tcPr>
          <w:p>
            <w:pPr>
              <w:pStyle w:val="TableParagraph"/>
              <w:spacing w:line="230" w:lineRule="exact"/>
              <w:ind w:left="181" w:right="256"/>
              <w:rPr>
                <w:sz w:val="20"/>
              </w:rPr>
            </w:pPr>
            <w:r>
              <w:rPr>
                <w:sz w:val="20"/>
              </w:rPr>
              <w:t>105</w:t>
            </w:r>
          </w:p>
        </w:tc>
        <w:tc>
          <w:tcPr>
            <w:tcW w:w="1249" w:type="dxa"/>
            <w:tcBorders>
              <w:left w:val="nil"/>
            </w:tcBorders>
          </w:tcPr>
          <w:p>
            <w:pPr>
              <w:pStyle w:val="TableParagraph"/>
              <w:spacing w:line="230" w:lineRule="exact"/>
              <w:ind w:left="257" w:right="246"/>
              <w:rPr>
                <w:sz w:val="20"/>
              </w:rPr>
            </w:pPr>
            <w:r>
              <w:rPr>
                <w:sz w:val="20"/>
              </w:rPr>
              <w:t>213</w:t>
            </w:r>
          </w:p>
        </w:tc>
      </w:tr>
      <w:tr>
        <w:trPr>
          <w:trHeight w:val="274" w:hRule="exact"/>
        </w:trPr>
        <w:tc>
          <w:tcPr>
            <w:tcW w:w="1693" w:type="dxa"/>
            <w:tcBorders>
              <w:right w:val="nil"/>
            </w:tcBorders>
          </w:tcPr>
          <w:p>
            <w:pPr>
              <w:pStyle w:val="TableParagraph"/>
              <w:spacing w:line="227" w:lineRule="exact"/>
              <w:jc w:val="left"/>
              <w:rPr>
                <w:b/>
                <w:sz w:val="20"/>
              </w:rPr>
            </w:pPr>
            <w:r>
              <w:rPr>
                <w:b/>
                <w:sz w:val="20"/>
              </w:rPr>
              <w:t>Zinacantepec</w:t>
            </w:r>
          </w:p>
        </w:tc>
        <w:tc>
          <w:tcPr>
            <w:tcW w:w="983" w:type="dxa"/>
            <w:tcBorders>
              <w:left w:val="nil"/>
              <w:right w:val="nil"/>
            </w:tcBorders>
          </w:tcPr>
          <w:p>
            <w:pPr>
              <w:pStyle w:val="TableParagraph"/>
              <w:spacing w:line="230" w:lineRule="exact"/>
              <w:ind w:left="182" w:right="215"/>
              <w:rPr>
                <w:sz w:val="20"/>
              </w:rPr>
            </w:pPr>
            <w:r>
              <w:rPr>
                <w:sz w:val="20"/>
              </w:rPr>
              <w:t>145</w:t>
            </w:r>
          </w:p>
        </w:tc>
        <w:tc>
          <w:tcPr>
            <w:tcW w:w="1392" w:type="dxa"/>
            <w:tcBorders>
              <w:left w:val="nil"/>
              <w:right w:val="nil"/>
            </w:tcBorders>
          </w:tcPr>
          <w:p>
            <w:pPr>
              <w:pStyle w:val="TableParagraph"/>
              <w:spacing w:line="230" w:lineRule="exact"/>
              <w:ind w:left="508" w:right="453"/>
              <w:rPr>
                <w:sz w:val="20"/>
              </w:rPr>
            </w:pPr>
            <w:r>
              <w:rPr>
                <w:sz w:val="20"/>
              </w:rPr>
              <w:t>0.0</w:t>
            </w:r>
          </w:p>
        </w:tc>
        <w:tc>
          <w:tcPr>
            <w:tcW w:w="1125" w:type="dxa"/>
            <w:tcBorders>
              <w:left w:val="nil"/>
              <w:right w:val="nil"/>
            </w:tcBorders>
          </w:tcPr>
          <w:p>
            <w:pPr>
              <w:pStyle w:val="TableParagraph"/>
              <w:spacing w:line="230" w:lineRule="exact"/>
              <w:ind w:left="147" w:right="146"/>
              <w:rPr>
                <w:sz w:val="20"/>
              </w:rPr>
            </w:pPr>
            <w:r>
              <w:rPr>
                <w:sz w:val="20"/>
              </w:rPr>
              <w:t>0.0</w:t>
            </w:r>
          </w:p>
        </w:tc>
        <w:tc>
          <w:tcPr>
            <w:tcW w:w="1375" w:type="dxa"/>
            <w:tcBorders>
              <w:left w:val="nil"/>
              <w:right w:val="nil"/>
            </w:tcBorders>
          </w:tcPr>
          <w:p>
            <w:pPr>
              <w:pStyle w:val="TableParagraph"/>
              <w:spacing w:line="230" w:lineRule="exact"/>
              <w:ind w:left="0" w:right="26"/>
              <w:rPr>
                <w:sz w:val="20"/>
              </w:rPr>
            </w:pPr>
            <w:r>
              <w:rPr>
                <w:w w:val="99"/>
                <w:sz w:val="20"/>
              </w:rPr>
              <w:t>0</w:t>
            </w:r>
          </w:p>
        </w:tc>
        <w:tc>
          <w:tcPr>
            <w:tcW w:w="1136" w:type="dxa"/>
            <w:tcBorders>
              <w:left w:val="nil"/>
              <w:right w:val="nil"/>
            </w:tcBorders>
          </w:tcPr>
          <w:p>
            <w:pPr>
              <w:pStyle w:val="TableParagraph"/>
              <w:spacing w:line="230" w:lineRule="exact"/>
              <w:ind w:left="181" w:right="256"/>
              <w:rPr>
                <w:sz w:val="20"/>
              </w:rPr>
            </w:pPr>
            <w:r>
              <w:rPr>
                <w:sz w:val="20"/>
              </w:rPr>
              <w:t>145</w:t>
            </w:r>
          </w:p>
        </w:tc>
        <w:tc>
          <w:tcPr>
            <w:tcW w:w="1249" w:type="dxa"/>
            <w:tcBorders>
              <w:left w:val="nil"/>
            </w:tcBorders>
          </w:tcPr>
          <w:p>
            <w:pPr>
              <w:pStyle w:val="TableParagraph"/>
              <w:spacing w:line="230" w:lineRule="exact"/>
              <w:ind w:left="257" w:right="246"/>
              <w:rPr>
                <w:sz w:val="20"/>
              </w:rPr>
            </w:pPr>
            <w:r>
              <w:rPr>
                <w:sz w:val="20"/>
              </w:rPr>
              <w:t>145</w:t>
            </w:r>
          </w:p>
        </w:tc>
      </w:tr>
    </w:tbl>
    <w:p>
      <w:pPr>
        <w:pStyle w:val="BodyText"/>
        <w:rPr>
          <w:sz w:val="20"/>
        </w:rPr>
      </w:pPr>
    </w:p>
    <w:p>
      <w:pPr>
        <w:pStyle w:val="BodyText"/>
        <w:spacing w:before="8"/>
        <w:rPr>
          <w:sz w:val="20"/>
        </w:rPr>
      </w:pPr>
    </w:p>
    <w:p>
      <w:pPr>
        <w:pStyle w:val="BodyText"/>
        <w:ind w:left="142"/>
        <w:jc w:val="both"/>
      </w:pPr>
      <w:r>
        <w:rPr/>
        <w:t>Condiciones de venta</w:t>
      </w:r>
    </w:p>
    <w:p>
      <w:pPr>
        <w:pStyle w:val="BodyText"/>
        <w:spacing w:before="5"/>
      </w:pPr>
    </w:p>
    <w:p>
      <w:pPr>
        <w:pStyle w:val="BodyText"/>
        <w:spacing w:line="276" w:lineRule="auto"/>
        <w:ind w:left="142" w:right="239"/>
        <w:jc w:val="both"/>
      </w:pPr>
      <w:r>
        <w:rPr/>
        <w:t>Durante</w:t>
      </w:r>
      <w:r>
        <w:rPr>
          <w:spacing w:val="-18"/>
        </w:rPr>
        <w:t> </w:t>
      </w:r>
      <w:r>
        <w:rPr/>
        <w:t>el</w:t>
      </w:r>
      <w:r>
        <w:rPr>
          <w:spacing w:val="-17"/>
        </w:rPr>
        <w:t> </w:t>
      </w:r>
      <w:r>
        <w:rPr/>
        <w:t>muestreo</w:t>
      </w:r>
      <w:r>
        <w:rPr>
          <w:spacing w:val="-17"/>
        </w:rPr>
        <w:t> </w:t>
      </w:r>
      <w:r>
        <w:rPr/>
        <w:t>se</w:t>
      </w:r>
      <w:r>
        <w:rPr>
          <w:spacing w:val="-18"/>
        </w:rPr>
        <w:t> </w:t>
      </w:r>
      <w:r>
        <w:rPr/>
        <w:t>observó</w:t>
      </w:r>
      <w:r>
        <w:rPr>
          <w:spacing w:val="-17"/>
        </w:rPr>
        <w:t> </w:t>
      </w:r>
      <w:r>
        <w:rPr/>
        <w:t>que</w:t>
      </w:r>
      <w:r>
        <w:rPr>
          <w:spacing w:val="-17"/>
        </w:rPr>
        <w:t> </w:t>
      </w:r>
      <w:r>
        <w:rPr/>
        <w:t>todos</w:t>
      </w:r>
      <w:r>
        <w:rPr>
          <w:spacing w:val="-17"/>
        </w:rPr>
        <w:t> </w:t>
      </w:r>
      <w:r>
        <w:rPr/>
        <w:t>los</w:t>
      </w:r>
      <w:r>
        <w:rPr>
          <w:spacing w:val="-15"/>
        </w:rPr>
        <w:t> </w:t>
      </w:r>
      <w:r>
        <w:rPr/>
        <w:t>quesos</w:t>
      </w:r>
      <w:r>
        <w:rPr>
          <w:spacing w:val="-17"/>
        </w:rPr>
        <w:t> </w:t>
      </w:r>
      <w:r>
        <w:rPr/>
        <w:t>comercializados</w:t>
      </w:r>
      <w:r>
        <w:rPr>
          <w:spacing w:val="-17"/>
        </w:rPr>
        <w:t> </w:t>
      </w:r>
      <w:r>
        <w:rPr/>
        <w:t>en</w:t>
      </w:r>
      <w:r>
        <w:rPr>
          <w:spacing w:val="-18"/>
        </w:rPr>
        <w:t> </w:t>
      </w:r>
      <w:r>
        <w:rPr/>
        <w:t>mercados populares</w:t>
      </w:r>
      <w:r>
        <w:rPr>
          <w:spacing w:val="-8"/>
        </w:rPr>
        <w:t> </w:t>
      </w:r>
      <w:r>
        <w:rPr/>
        <w:t>se</w:t>
      </w:r>
      <w:r>
        <w:rPr>
          <w:spacing w:val="-7"/>
        </w:rPr>
        <w:t> </w:t>
      </w:r>
      <w:r>
        <w:rPr/>
        <w:t>venden</w:t>
      </w:r>
      <w:r>
        <w:rPr>
          <w:spacing w:val="-9"/>
        </w:rPr>
        <w:t> </w:t>
      </w:r>
      <w:r>
        <w:rPr/>
        <w:t>a</w:t>
      </w:r>
      <w:r>
        <w:rPr>
          <w:spacing w:val="-9"/>
        </w:rPr>
        <w:t> </w:t>
      </w:r>
      <w:r>
        <w:rPr/>
        <w:t>temperatura</w:t>
      </w:r>
      <w:r>
        <w:rPr>
          <w:spacing w:val="-10"/>
        </w:rPr>
        <w:t> </w:t>
      </w:r>
      <w:r>
        <w:rPr/>
        <w:t>ambiente,</w:t>
      </w:r>
      <w:r>
        <w:rPr>
          <w:spacing w:val="-7"/>
        </w:rPr>
        <w:t> </w:t>
      </w:r>
      <w:r>
        <w:rPr/>
        <w:t>el</w:t>
      </w:r>
      <w:r>
        <w:rPr>
          <w:spacing w:val="-11"/>
        </w:rPr>
        <w:t> </w:t>
      </w:r>
      <w:r>
        <w:rPr/>
        <w:t>59%</w:t>
      </w:r>
      <w:r>
        <w:rPr>
          <w:spacing w:val="-10"/>
        </w:rPr>
        <w:t> </w:t>
      </w:r>
      <w:r>
        <w:rPr/>
        <w:t>no</w:t>
      </w:r>
      <w:r>
        <w:rPr>
          <w:spacing w:val="-9"/>
        </w:rPr>
        <w:t> </w:t>
      </w:r>
      <w:r>
        <w:rPr/>
        <w:t>tenía</w:t>
      </w:r>
      <w:r>
        <w:rPr>
          <w:spacing w:val="-9"/>
        </w:rPr>
        <w:t> </w:t>
      </w:r>
      <w:r>
        <w:rPr/>
        <w:t>ningún</w:t>
      </w:r>
      <w:r>
        <w:rPr>
          <w:spacing w:val="-7"/>
        </w:rPr>
        <w:t> </w:t>
      </w:r>
      <w:r>
        <w:rPr/>
        <w:t>embalaje</w:t>
      </w:r>
      <w:r>
        <w:rPr>
          <w:spacing w:val="-9"/>
        </w:rPr>
        <w:t> </w:t>
      </w:r>
      <w:r>
        <w:rPr/>
        <w:t>y</w:t>
      </w:r>
      <w:r>
        <w:rPr>
          <w:spacing w:val="-10"/>
        </w:rPr>
        <w:t> </w:t>
      </w:r>
      <w:r>
        <w:rPr/>
        <w:t>el 41% estaban dentro de bolsas de plástico, hojas de polipapel o tapados con una servilleta. Mientras que en los establecimientos fijos 6 de </w:t>
      </w:r>
      <w:r>
        <w:rPr>
          <w:spacing w:val="2"/>
        </w:rPr>
        <w:t>los </w:t>
      </w:r>
      <w:r>
        <w:rPr/>
        <w:t>10 tampoco tenían ningún tipo de embalaje y estaban junto a otros productos alimenticios a</w:t>
      </w:r>
      <w:r>
        <w:rPr>
          <w:spacing w:val="-24"/>
        </w:rPr>
        <w:t> </w:t>
      </w:r>
      <w:r>
        <w:rPr/>
        <w:t>granel.</w:t>
      </w:r>
    </w:p>
    <w:p>
      <w:pPr>
        <w:pStyle w:val="BodyText"/>
        <w:spacing w:before="10"/>
        <w:rPr>
          <w:sz w:val="20"/>
        </w:rPr>
      </w:pPr>
    </w:p>
    <w:p>
      <w:pPr>
        <w:pStyle w:val="BodyText"/>
        <w:spacing w:line="276" w:lineRule="auto"/>
        <w:ind w:left="142" w:right="236"/>
        <w:jc w:val="both"/>
        <w:rPr>
          <w:sz w:val="20"/>
        </w:rPr>
      </w:pPr>
      <w:r>
        <w:rPr/>
        <w:t>Un</w:t>
      </w:r>
      <w:r>
        <w:rPr>
          <w:spacing w:val="-19"/>
        </w:rPr>
        <w:t> </w:t>
      </w:r>
      <w:r>
        <w:rPr/>
        <w:t>alto</w:t>
      </w:r>
      <w:r>
        <w:rPr>
          <w:spacing w:val="-19"/>
        </w:rPr>
        <w:t> </w:t>
      </w:r>
      <w:r>
        <w:rPr/>
        <w:t>porcentaje</w:t>
      </w:r>
      <w:r>
        <w:rPr>
          <w:spacing w:val="-19"/>
        </w:rPr>
        <w:t> </w:t>
      </w:r>
      <w:r>
        <w:rPr/>
        <w:t>de</w:t>
      </w:r>
      <w:r>
        <w:rPr>
          <w:spacing w:val="-19"/>
        </w:rPr>
        <w:t> </w:t>
      </w:r>
      <w:r>
        <w:rPr/>
        <w:t>los</w:t>
      </w:r>
      <w:r>
        <w:rPr>
          <w:spacing w:val="-20"/>
        </w:rPr>
        <w:t> </w:t>
      </w:r>
      <w:r>
        <w:rPr/>
        <w:t>comerciantes</w:t>
      </w:r>
      <w:r>
        <w:rPr>
          <w:spacing w:val="-20"/>
        </w:rPr>
        <w:t> </w:t>
      </w:r>
      <w:r>
        <w:rPr/>
        <w:t>vende</w:t>
      </w:r>
      <w:r>
        <w:rPr>
          <w:spacing w:val="-21"/>
        </w:rPr>
        <w:t> </w:t>
      </w:r>
      <w:r>
        <w:rPr/>
        <w:t>además</w:t>
      </w:r>
      <w:r>
        <w:rPr>
          <w:spacing w:val="-20"/>
        </w:rPr>
        <w:t> </w:t>
      </w:r>
      <w:r>
        <w:rPr/>
        <w:t>de</w:t>
      </w:r>
      <w:r>
        <w:rPr>
          <w:spacing w:val="-19"/>
        </w:rPr>
        <w:t> </w:t>
      </w:r>
      <w:r>
        <w:rPr/>
        <w:t>los</w:t>
      </w:r>
      <w:r>
        <w:rPr>
          <w:spacing w:val="-19"/>
        </w:rPr>
        <w:t> </w:t>
      </w:r>
      <w:r>
        <w:rPr/>
        <w:t>quesos</w:t>
      </w:r>
      <w:r>
        <w:rPr>
          <w:spacing w:val="-22"/>
        </w:rPr>
        <w:t> </w:t>
      </w:r>
      <w:r>
        <w:rPr/>
        <w:t>otros</w:t>
      </w:r>
      <w:r>
        <w:rPr>
          <w:spacing w:val="-20"/>
        </w:rPr>
        <w:t> </w:t>
      </w:r>
      <w:r>
        <w:rPr/>
        <w:t>alimentos preparados</w:t>
      </w:r>
      <w:r>
        <w:rPr>
          <w:spacing w:val="-9"/>
        </w:rPr>
        <w:t> </w:t>
      </w:r>
      <w:r>
        <w:rPr/>
        <w:t>con</w:t>
      </w:r>
      <w:r>
        <w:rPr>
          <w:spacing w:val="-8"/>
        </w:rPr>
        <w:t> </w:t>
      </w:r>
      <w:r>
        <w:rPr/>
        <w:t>un</w:t>
      </w:r>
      <w:r>
        <w:rPr>
          <w:spacing w:val="-8"/>
        </w:rPr>
        <w:t> </w:t>
      </w:r>
      <w:r>
        <w:rPr/>
        <w:t>48%,</w:t>
      </w:r>
      <w:r>
        <w:rPr>
          <w:spacing w:val="-8"/>
        </w:rPr>
        <w:t> </w:t>
      </w:r>
      <w:r>
        <w:rPr/>
        <w:t>seguida</w:t>
      </w:r>
      <w:r>
        <w:rPr>
          <w:spacing w:val="-8"/>
        </w:rPr>
        <w:t> </w:t>
      </w:r>
      <w:r>
        <w:rPr/>
        <w:t>de</w:t>
      </w:r>
      <w:r>
        <w:rPr>
          <w:spacing w:val="-8"/>
        </w:rPr>
        <w:t> </w:t>
      </w:r>
      <w:r>
        <w:rPr/>
        <w:t>la</w:t>
      </w:r>
      <w:r>
        <w:rPr>
          <w:spacing w:val="-9"/>
        </w:rPr>
        <w:t> </w:t>
      </w:r>
      <w:r>
        <w:rPr/>
        <w:t>venta</w:t>
      </w:r>
      <w:r>
        <w:rPr>
          <w:spacing w:val="-10"/>
        </w:rPr>
        <w:t> </w:t>
      </w:r>
      <w:r>
        <w:rPr/>
        <w:t>de</w:t>
      </w:r>
      <w:r>
        <w:rPr>
          <w:spacing w:val="-8"/>
        </w:rPr>
        <w:t> </w:t>
      </w:r>
      <w:r>
        <w:rPr/>
        <w:t>otros</w:t>
      </w:r>
      <w:r>
        <w:rPr>
          <w:spacing w:val="-12"/>
        </w:rPr>
        <w:t> </w:t>
      </w:r>
      <w:r>
        <w:rPr/>
        <w:t>derivados</w:t>
      </w:r>
      <w:r>
        <w:rPr>
          <w:spacing w:val="-9"/>
        </w:rPr>
        <w:t> </w:t>
      </w:r>
      <w:r>
        <w:rPr/>
        <w:t>lácteos</w:t>
      </w:r>
      <w:r>
        <w:rPr>
          <w:spacing w:val="-9"/>
        </w:rPr>
        <w:t> </w:t>
      </w:r>
      <w:r>
        <w:rPr/>
        <w:t>como</w:t>
      </w:r>
      <w:r>
        <w:rPr>
          <w:spacing w:val="-8"/>
        </w:rPr>
        <w:t> </w:t>
      </w:r>
      <w:r>
        <w:rPr/>
        <w:t>leche y crema con un 33%, alimentos producidos en el campo con un 14%, otros productos como servilletas e hilos con un 3% y únicamente el 2% se dedica a la venta exclusiva de quesos como se muestra en la gráfica</w:t>
      </w:r>
      <w:r>
        <w:rPr>
          <w:spacing w:val="-23"/>
        </w:rPr>
        <w:t> </w:t>
      </w:r>
      <w:r>
        <w:rPr>
          <w:spacing w:val="3"/>
        </w:rPr>
        <w:t>2</w:t>
      </w:r>
      <w:r>
        <w:rPr>
          <w:spacing w:val="3"/>
          <w:sz w:val="20"/>
        </w:rPr>
        <w:t>.</w:t>
      </w:r>
    </w:p>
    <w:p>
      <w:pPr>
        <w:spacing w:after="0" w:line="276" w:lineRule="auto"/>
        <w:jc w:val="both"/>
        <w:rPr>
          <w:sz w:val="20"/>
        </w:rPr>
        <w:sectPr>
          <w:pgSz w:w="12240" w:h="15840"/>
          <w:pgMar w:header="728" w:footer="710" w:top="1200" w:bottom="900" w:left="1560" w:right="1460"/>
        </w:sectPr>
      </w:pPr>
    </w:p>
    <w:p>
      <w:pPr>
        <w:pStyle w:val="BodyText"/>
        <w:spacing w:before="7"/>
        <w:rPr>
          <w:sz w:val="12"/>
        </w:rPr>
      </w:pPr>
    </w:p>
    <w:p>
      <w:pPr>
        <w:pStyle w:val="BodyText"/>
        <w:spacing w:before="69"/>
        <w:ind w:left="142" w:right="1550"/>
      </w:pPr>
      <w:r>
        <w:rPr/>
        <w:t>Gráfica 2: Condiciones de venta del queso fresco.</w:t>
      </w:r>
    </w:p>
    <w:p>
      <w:pPr>
        <w:pStyle w:val="BodyText"/>
        <w:spacing w:before="3"/>
        <w:rPr>
          <w:sz w:val="29"/>
        </w:rPr>
      </w:pPr>
      <w:r>
        <w:rPr/>
        <w:pict>
          <v:group style="position:absolute;margin-left:154.309998pt;margin-top:18.78705pt;width:302.7pt;height:257.55pt;mso-position-horizontal-relative:page;mso-position-vertical-relative:paragraph;z-index:1624;mso-wrap-distance-left:0;mso-wrap-distance-right:0" coordorigin="3086,376" coordsize="6054,5151">
            <v:shape style="position:absolute;left:6002;top:1406;width:569;height:1694" type="#_x0000_t75" stroked="false">
              <v:imagedata r:id="rId45" o:title=""/>
            </v:shape>
            <v:shape style="position:absolute;left:6247;top:1826;width:1764;height:3074" type="#_x0000_t75" stroked="false">
              <v:imagedata r:id="rId46" o:title=""/>
            </v:shape>
            <v:shape style="position:absolute;left:4658;top:3470;width:1430;height:1692" type="#_x0000_t75" stroked="false">
              <v:imagedata r:id="rId47" o:title=""/>
            </v:shape>
            <v:shape style="position:absolute;left:4241;top:1617;width:1694;height:2508" type="#_x0000_t75" stroked="false">
              <v:imagedata r:id="rId48" o:title=""/>
            </v:shape>
            <v:shape style="position:absolute;left:5810;top:1403;width:430;height:1694" type="#_x0000_t75" stroked="false">
              <v:imagedata r:id="rId49" o:title=""/>
            </v:shape>
            <v:shape style="position:absolute;left:6142;top:1499;width:290;height:1418" type="#_x0000_t75" stroked="false">
              <v:imagedata r:id="rId50" o:title=""/>
            </v:shape>
            <v:shape style="position:absolute;left:6386;top:1922;width:1488;height:2796" type="#_x0000_t75" stroked="false">
              <v:imagedata r:id="rId51" o:title=""/>
            </v:shape>
            <v:shape style="position:absolute;left:4798;top:3563;width:1152;height:1418" type="#_x0000_t75" stroked="false">
              <v:imagedata r:id="rId52" o:title=""/>
            </v:shape>
            <v:shape style="position:absolute;left:4380;top:1710;width:1418;height:2232" type="#_x0000_t75" stroked="false">
              <v:imagedata r:id="rId53" o:title=""/>
            </v:shape>
            <v:shape style="position:absolute;left:5950;top:1499;width:151;height:1416" type="#_x0000_t75" stroked="false">
              <v:imagedata r:id="rId54" o:title=""/>
            </v:shape>
            <v:shape style="position:absolute;left:6288;top:892;width:1916;height:620" coordorigin="6288,892" coordsize="1916,620" path="m6288,1511l8114,892,8203,892e" filled="false" stroked="true" strokeweight=".72pt" strokecolor="#000000">
              <v:path arrowok="t"/>
            </v:shape>
            <v:shape style="position:absolute;left:5146;top:4804;width:128;height:101" coordorigin="5146,4804" coordsize="128,101" path="m5273,4804l5234,4905,5146,4905e" filled="false" stroked="true" strokeweight=".72pt" strokecolor="#000000">
              <v:path arrowok="t"/>
            </v:shape>
            <v:line style="position:absolute" from="6017,1502" to="6031,1502" stroked="true" strokeweight=".48pt" strokecolor="#000000"/>
            <v:rect style="position:absolute;left:3091;top:381;width:6043;height:5141" filled="false" stroked="true" strokeweight=".48pt" strokecolor="#888888"/>
            <v:shape style="position:absolute;left:4519;top:605;width:3188;height:891" type="#_x0000_t202" filled="false" stroked="false">
              <v:textbox inset="0,0,0,0">
                <w:txbxContent>
                  <w:p>
                    <w:pPr>
                      <w:spacing w:line="367" w:lineRule="exact" w:before="0"/>
                      <w:ind w:left="0" w:right="-9" w:firstLine="0"/>
                      <w:jc w:val="left"/>
                      <w:rPr>
                        <w:rFonts w:ascii="Calibri"/>
                        <w:b/>
                        <w:sz w:val="36"/>
                      </w:rPr>
                    </w:pPr>
                    <w:r>
                      <w:rPr>
                        <w:rFonts w:ascii="Calibri"/>
                        <w:b/>
                        <w:sz w:val="36"/>
                      </w:rPr>
                      <w:t>Condiciones de</w:t>
                    </w:r>
                    <w:r>
                      <w:rPr>
                        <w:rFonts w:ascii="Calibri"/>
                        <w:b/>
                        <w:spacing w:val="-17"/>
                        <w:sz w:val="36"/>
                      </w:rPr>
                      <w:t> </w:t>
                    </w:r>
                    <w:r>
                      <w:rPr>
                        <w:rFonts w:ascii="Calibri"/>
                        <w:b/>
                        <w:sz w:val="36"/>
                      </w:rPr>
                      <w:t>venta</w:t>
                    </w:r>
                  </w:p>
                  <w:p>
                    <w:pPr>
                      <w:spacing w:before="39"/>
                      <w:ind w:left="972" w:right="1250" w:firstLine="0"/>
                      <w:jc w:val="center"/>
                      <w:rPr>
                        <w:rFonts w:ascii="Calibri" w:hAnsi="Calibri"/>
                        <w:sz w:val="20"/>
                      </w:rPr>
                    </w:pPr>
                    <w:r>
                      <w:rPr>
                        <w:rFonts w:ascii="Calibri" w:hAnsi="Calibri"/>
                        <w:sz w:val="20"/>
                      </w:rPr>
                      <w:t>Sólo quesos 2%</w:t>
                    </w:r>
                  </w:p>
                </w:txbxContent>
              </v:textbox>
              <w10:wrap type="none"/>
            </v:shape>
            <v:shape style="position:absolute;left:8221;top:497;width:826;height:689" type="#_x0000_t202" filled="false" stroked="false">
              <v:textbox inset="0,0,0,0">
                <w:txbxContent>
                  <w:p>
                    <w:pPr>
                      <w:spacing w:line="203" w:lineRule="exact" w:before="0"/>
                      <w:ind w:left="0" w:right="0" w:firstLine="0"/>
                      <w:jc w:val="center"/>
                      <w:rPr>
                        <w:rFonts w:ascii="Calibri"/>
                        <w:sz w:val="20"/>
                      </w:rPr>
                    </w:pPr>
                    <w:r>
                      <w:rPr>
                        <w:rFonts w:ascii="Calibri"/>
                        <w:sz w:val="20"/>
                      </w:rPr>
                      <w:t>Otros</w:t>
                    </w:r>
                  </w:p>
                  <w:p>
                    <w:pPr>
                      <w:spacing w:before="0"/>
                      <w:ind w:left="0" w:right="0" w:firstLine="0"/>
                      <w:jc w:val="center"/>
                      <w:rPr>
                        <w:rFonts w:ascii="Calibri"/>
                        <w:sz w:val="20"/>
                      </w:rPr>
                    </w:pPr>
                    <w:r>
                      <w:rPr>
                        <w:rFonts w:ascii="Calibri"/>
                        <w:w w:val="95"/>
                        <w:sz w:val="20"/>
                      </w:rPr>
                      <w:t>productos </w:t>
                    </w:r>
                    <w:r>
                      <w:rPr>
                        <w:rFonts w:ascii="Calibri"/>
                        <w:sz w:val="20"/>
                      </w:rPr>
                      <w:t>3%</w:t>
                    </w:r>
                  </w:p>
                </w:txbxContent>
              </v:textbox>
              <w10:wrap type="none"/>
            </v:shape>
            <v:shape style="position:absolute;left:4667;top:2448;width:730;height:689" type="#_x0000_t202" filled="false" stroked="false">
              <v:textbox inset="0,0,0,0">
                <w:txbxContent>
                  <w:p>
                    <w:pPr>
                      <w:spacing w:line="203" w:lineRule="exact" w:before="0"/>
                      <w:ind w:left="76" w:right="-20" w:hanging="77"/>
                      <w:jc w:val="left"/>
                      <w:rPr>
                        <w:rFonts w:ascii="Calibri"/>
                        <w:sz w:val="20"/>
                      </w:rPr>
                    </w:pPr>
                    <w:r>
                      <w:rPr>
                        <w:rFonts w:ascii="Calibri"/>
                        <w:sz w:val="20"/>
                      </w:rPr>
                      <w:t>Venta de</w:t>
                    </w:r>
                  </w:p>
                  <w:p>
                    <w:pPr>
                      <w:spacing w:before="0"/>
                      <w:ind w:left="191" w:right="58" w:hanging="116"/>
                      <w:jc w:val="left"/>
                      <w:rPr>
                        <w:rFonts w:ascii="Calibri" w:hAnsi="Calibri"/>
                        <w:sz w:val="20"/>
                      </w:rPr>
                    </w:pPr>
                    <w:r>
                      <w:rPr>
                        <w:rFonts w:ascii="Calibri" w:hAnsi="Calibri"/>
                        <w:sz w:val="20"/>
                      </w:rPr>
                      <w:t>lácteos 33%</w:t>
                    </w:r>
                  </w:p>
                </w:txbxContent>
              </v:textbox>
              <w10:wrap type="none"/>
            </v:shape>
            <v:shape style="position:absolute;left:6826;top:3153;width:929;height:689" type="#_x0000_t202" filled="false" stroked="false">
              <v:textbox inset="0,0,0,0">
                <w:txbxContent>
                  <w:p>
                    <w:pPr>
                      <w:spacing w:line="203" w:lineRule="exact" w:before="0"/>
                      <w:ind w:left="0" w:right="0" w:firstLine="55"/>
                      <w:jc w:val="left"/>
                      <w:rPr>
                        <w:rFonts w:ascii="Calibri"/>
                        <w:sz w:val="20"/>
                      </w:rPr>
                    </w:pPr>
                    <w:r>
                      <w:rPr>
                        <w:rFonts w:ascii="Calibri"/>
                        <w:sz w:val="20"/>
                      </w:rPr>
                      <w:t>Alimentos</w:t>
                    </w:r>
                  </w:p>
                  <w:p>
                    <w:pPr>
                      <w:spacing w:before="0"/>
                      <w:ind w:left="292" w:right="0" w:hanging="293"/>
                      <w:jc w:val="left"/>
                      <w:rPr>
                        <w:rFonts w:ascii="Calibri"/>
                        <w:sz w:val="20"/>
                      </w:rPr>
                    </w:pPr>
                    <w:r>
                      <w:rPr>
                        <w:rFonts w:ascii="Calibri"/>
                        <w:w w:val="95"/>
                        <w:sz w:val="20"/>
                      </w:rPr>
                      <w:t>preparados </w:t>
                    </w:r>
                    <w:r>
                      <w:rPr>
                        <w:rFonts w:ascii="Calibri"/>
                        <w:sz w:val="20"/>
                      </w:rPr>
                      <w:t>48%</w:t>
                    </w:r>
                  </w:p>
                </w:txbxContent>
              </v:textbox>
              <w10:wrap type="none"/>
            </v:shape>
            <v:shape style="position:absolute;left:3992;top:4758;width:844;height:689" type="#_x0000_t202" filled="false" stroked="false">
              <v:textbox inset="0,0,0,0">
                <w:txbxContent>
                  <w:p>
                    <w:pPr>
                      <w:spacing w:line="203" w:lineRule="exact" w:before="0"/>
                      <w:ind w:left="0" w:right="-9" w:firstLine="9"/>
                      <w:jc w:val="left"/>
                      <w:rPr>
                        <w:rFonts w:ascii="Calibri"/>
                        <w:sz w:val="20"/>
                      </w:rPr>
                    </w:pPr>
                    <w:r>
                      <w:rPr>
                        <w:rFonts w:ascii="Calibri"/>
                        <w:sz w:val="20"/>
                      </w:rPr>
                      <w:t>Productos</w:t>
                    </w:r>
                  </w:p>
                  <w:p>
                    <w:pPr>
                      <w:spacing w:before="0"/>
                      <w:ind w:left="249" w:right="-16" w:hanging="250"/>
                      <w:jc w:val="left"/>
                      <w:rPr>
                        <w:rFonts w:ascii="Calibri"/>
                        <w:sz w:val="20"/>
                      </w:rPr>
                    </w:pPr>
                    <w:r>
                      <w:rPr>
                        <w:rFonts w:ascii="Calibri"/>
                        <w:sz w:val="20"/>
                      </w:rPr>
                      <w:t>del</w:t>
                    </w:r>
                    <w:r>
                      <w:rPr>
                        <w:rFonts w:ascii="Calibri"/>
                        <w:spacing w:val="-6"/>
                        <w:sz w:val="20"/>
                      </w:rPr>
                      <w:t> </w:t>
                    </w:r>
                    <w:r>
                      <w:rPr>
                        <w:rFonts w:ascii="Calibri"/>
                        <w:sz w:val="20"/>
                      </w:rPr>
                      <w:t>campo 14%</w:t>
                    </w:r>
                  </w:p>
                </w:txbxContent>
              </v:textbox>
              <w10:wrap type="none"/>
            </v:shape>
            <w10:wrap type="topAndBottom"/>
          </v:group>
        </w:pict>
      </w:r>
    </w:p>
    <w:p>
      <w:pPr>
        <w:spacing w:after="0"/>
        <w:rPr>
          <w:sz w:val="29"/>
        </w:rPr>
        <w:sectPr>
          <w:footerReference w:type="default" r:id="rId44"/>
          <w:pgSz w:w="12240" w:h="15840"/>
          <w:pgMar w:footer="710" w:header="728" w:top="1200" w:bottom="900" w:left="1560" w:right="1560"/>
        </w:sectPr>
      </w:pPr>
    </w:p>
    <w:p>
      <w:pPr>
        <w:pStyle w:val="BodyText"/>
        <w:spacing w:before="9"/>
        <w:rPr>
          <w:sz w:val="12"/>
        </w:rPr>
      </w:pPr>
    </w:p>
    <w:p>
      <w:pPr>
        <w:pStyle w:val="Heading2"/>
        <w:jc w:val="both"/>
      </w:pPr>
      <w:r>
        <w:rPr/>
        <w:t>ANALISIS MICROBIOLOGICO</w:t>
      </w:r>
    </w:p>
    <w:p>
      <w:pPr>
        <w:pStyle w:val="BodyText"/>
        <w:spacing w:before="1"/>
        <w:rPr>
          <w:b/>
          <w:sz w:val="31"/>
        </w:rPr>
      </w:pPr>
    </w:p>
    <w:p>
      <w:pPr>
        <w:pStyle w:val="BodyText"/>
        <w:spacing w:line="276" w:lineRule="auto"/>
        <w:ind w:left="142" w:right="139"/>
        <w:jc w:val="both"/>
      </w:pPr>
      <w:r>
        <w:rPr/>
        <w:t>Después</w:t>
      </w:r>
      <w:r>
        <w:rPr>
          <w:spacing w:val="-16"/>
        </w:rPr>
        <w:t> </w:t>
      </w:r>
      <w:r>
        <w:rPr/>
        <w:t>de</w:t>
      </w:r>
      <w:r>
        <w:rPr>
          <w:spacing w:val="-13"/>
        </w:rPr>
        <w:t> </w:t>
      </w:r>
      <w:r>
        <w:rPr/>
        <w:t>la</w:t>
      </w:r>
      <w:r>
        <w:rPr>
          <w:spacing w:val="-16"/>
        </w:rPr>
        <w:t> </w:t>
      </w:r>
      <w:r>
        <w:rPr/>
        <w:t>realización</w:t>
      </w:r>
      <w:r>
        <w:rPr>
          <w:spacing w:val="-15"/>
        </w:rPr>
        <w:t> </w:t>
      </w:r>
      <w:r>
        <w:rPr/>
        <w:t>de</w:t>
      </w:r>
      <w:r>
        <w:rPr>
          <w:spacing w:val="-15"/>
        </w:rPr>
        <w:t> </w:t>
      </w:r>
      <w:r>
        <w:rPr/>
        <w:t>las</w:t>
      </w:r>
      <w:r>
        <w:rPr>
          <w:spacing w:val="-16"/>
        </w:rPr>
        <w:t> </w:t>
      </w:r>
      <w:r>
        <w:rPr/>
        <w:t>pruebas</w:t>
      </w:r>
      <w:r>
        <w:rPr>
          <w:spacing w:val="-16"/>
        </w:rPr>
        <w:t> </w:t>
      </w:r>
      <w:r>
        <w:rPr/>
        <w:t>bioquímicas</w:t>
      </w:r>
      <w:r>
        <w:rPr>
          <w:spacing w:val="-13"/>
        </w:rPr>
        <w:t> </w:t>
      </w:r>
      <w:r>
        <w:rPr/>
        <w:t>se</w:t>
      </w:r>
      <w:r>
        <w:rPr>
          <w:spacing w:val="-15"/>
        </w:rPr>
        <w:t> </w:t>
      </w:r>
      <w:r>
        <w:rPr/>
        <w:t>obtuvieron</w:t>
      </w:r>
      <w:r>
        <w:rPr>
          <w:spacing w:val="-16"/>
        </w:rPr>
        <w:t> </w:t>
      </w:r>
      <w:r>
        <w:rPr/>
        <w:t>17</w:t>
      </w:r>
      <w:r>
        <w:rPr>
          <w:spacing w:val="-16"/>
        </w:rPr>
        <w:t> </w:t>
      </w:r>
      <w:r>
        <w:rPr/>
        <w:t>aislamientos de</w:t>
      </w:r>
      <w:r>
        <w:rPr>
          <w:spacing w:val="-14"/>
        </w:rPr>
        <w:t> </w:t>
      </w:r>
      <w:r>
        <w:rPr>
          <w:i/>
        </w:rPr>
        <w:t>Staphylococcus</w:t>
      </w:r>
      <w:r>
        <w:rPr>
          <w:i/>
          <w:spacing w:val="-17"/>
        </w:rPr>
        <w:t> </w:t>
      </w:r>
      <w:r>
        <w:rPr>
          <w:i/>
        </w:rPr>
        <w:t>aureus</w:t>
      </w:r>
      <w:r>
        <w:rPr/>
        <w:t>,</w:t>
      </w:r>
      <w:r>
        <w:rPr>
          <w:spacing w:val="-14"/>
        </w:rPr>
        <w:t> </w:t>
      </w:r>
      <w:r>
        <w:rPr/>
        <w:t>los</w:t>
      </w:r>
      <w:r>
        <w:rPr>
          <w:spacing w:val="-14"/>
        </w:rPr>
        <w:t> </w:t>
      </w:r>
      <w:r>
        <w:rPr/>
        <w:t>cuales</w:t>
      </w:r>
      <w:r>
        <w:rPr>
          <w:spacing w:val="-14"/>
        </w:rPr>
        <w:t> </w:t>
      </w:r>
      <w:r>
        <w:rPr/>
        <w:t>proceden</w:t>
      </w:r>
      <w:r>
        <w:rPr>
          <w:spacing w:val="-14"/>
        </w:rPr>
        <w:t> </w:t>
      </w:r>
      <w:r>
        <w:rPr/>
        <w:t>principalmente</w:t>
      </w:r>
      <w:r>
        <w:rPr>
          <w:spacing w:val="-16"/>
        </w:rPr>
        <w:t> </w:t>
      </w:r>
      <w:r>
        <w:rPr/>
        <w:t>de</w:t>
      </w:r>
      <w:r>
        <w:rPr>
          <w:spacing w:val="-14"/>
        </w:rPr>
        <w:t> </w:t>
      </w:r>
      <w:r>
        <w:rPr/>
        <w:t>los</w:t>
      </w:r>
      <w:r>
        <w:rPr>
          <w:spacing w:val="-15"/>
        </w:rPr>
        <w:t> </w:t>
      </w:r>
      <w:r>
        <w:rPr/>
        <w:t>municipios</w:t>
      </w:r>
      <w:r>
        <w:rPr>
          <w:spacing w:val="-15"/>
        </w:rPr>
        <w:t> </w:t>
      </w:r>
      <w:r>
        <w:rPr/>
        <w:t>de Villa</w:t>
      </w:r>
      <w:r>
        <w:rPr>
          <w:spacing w:val="-5"/>
        </w:rPr>
        <w:t> </w:t>
      </w:r>
      <w:r>
        <w:rPr/>
        <w:t>Victoria</w:t>
      </w:r>
      <w:r>
        <w:rPr>
          <w:spacing w:val="-7"/>
        </w:rPr>
        <w:t> </w:t>
      </w:r>
      <w:r>
        <w:rPr/>
        <w:t>(9/53%),</w:t>
      </w:r>
      <w:r>
        <w:rPr>
          <w:spacing w:val="-8"/>
        </w:rPr>
        <w:t> </w:t>
      </w:r>
      <w:r>
        <w:rPr/>
        <w:t>Ixtlahuaca</w:t>
      </w:r>
      <w:r>
        <w:rPr>
          <w:spacing w:val="-5"/>
        </w:rPr>
        <w:t> </w:t>
      </w:r>
      <w:r>
        <w:rPr/>
        <w:t>(3/17.6%),</w:t>
      </w:r>
      <w:r>
        <w:rPr>
          <w:spacing w:val="-4"/>
        </w:rPr>
        <w:t> </w:t>
      </w:r>
      <w:r>
        <w:rPr/>
        <w:t>Aculco</w:t>
      </w:r>
      <w:r>
        <w:rPr>
          <w:spacing w:val="-5"/>
        </w:rPr>
        <w:t> </w:t>
      </w:r>
      <w:r>
        <w:rPr/>
        <w:t>(3/17.6%),</w:t>
      </w:r>
      <w:r>
        <w:rPr>
          <w:spacing w:val="-8"/>
        </w:rPr>
        <w:t> </w:t>
      </w:r>
      <w:r>
        <w:rPr/>
        <w:t>Toluca</w:t>
      </w:r>
      <w:r>
        <w:rPr>
          <w:spacing w:val="-5"/>
        </w:rPr>
        <w:t> </w:t>
      </w:r>
      <w:r>
        <w:rPr/>
        <w:t>(1/5.9%)</w:t>
      </w:r>
      <w:r>
        <w:rPr>
          <w:spacing w:val="-8"/>
        </w:rPr>
        <w:t> </w:t>
      </w:r>
      <w:r>
        <w:rPr/>
        <w:t>y</w:t>
      </w:r>
      <w:r>
        <w:rPr>
          <w:spacing w:val="-8"/>
        </w:rPr>
        <w:t> </w:t>
      </w:r>
      <w:r>
        <w:rPr/>
        <w:t>de origen desconocido (1/5.9%) (Cuadro</w:t>
      </w:r>
      <w:r>
        <w:rPr>
          <w:spacing w:val="-12"/>
        </w:rPr>
        <w:t> </w:t>
      </w:r>
      <w:r>
        <w:rPr/>
        <w:t>21).</w:t>
      </w:r>
    </w:p>
    <w:p>
      <w:pPr>
        <w:spacing w:before="118"/>
        <w:ind w:left="142" w:right="0" w:firstLine="0"/>
        <w:jc w:val="both"/>
        <w:rPr>
          <w:i/>
          <w:sz w:val="24"/>
        </w:rPr>
      </w:pPr>
      <w:r>
        <w:rPr>
          <w:sz w:val="24"/>
        </w:rPr>
        <w:t>Cuadro 21: Distribución geográfica de los aislamientos de </w:t>
      </w:r>
      <w:r>
        <w:rPr>
          <w:i/>
          <w:sz w:val="24"/>
        </w:rPr>
        <w:t>Staphylococcus aureus.</w:t>
      </w:r>
    </w:p>
    <w:p>
      <w:pPr>
        <w:pStyle w:val="BodyText"/>
        <w:spacing w:before="6"/>
        <w:rPr>
          <w:i/>
          <w:sz w:val="14"/>
        </w:rPr>
      </w:pPr>
    </w:p>
    <w:tbl>
      <w:tblPr>
        <w:tblW w:w="0" w:type="auto"/>
        <w:jc w:val="left"/>
        <w:tblInd w:w="20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08"/>
        <w:gridCol w:w="3654"/>
      </w:tblGrid>
      <w:tr>
        <w:trPr>
          <w:trHeight w:val="394" w:hRule="exact"/>
        </w:trPr>
        <w:tc>
          <w:tcPr>
            <w:tcW w:w="1408" w:type="dxa"/>
            <w:tcBorders>
              <w:right w:val="nil"/>
            </w:tcBorders>
            <w:shd w:val="clear" w:color="auto" w:fill="808080"/>
          </w:tcPr>
          <w:p>
            <w:pPr>
              <w:pStyle w:val="TableParagraph"/>
              <w:spacing w:line="227" w:lineRule="exact"/>
              <w:jc w:val="left"/>
              <w:rPr>
                <w:b/>
                <w:sz w:val="20"/>
              </w:rPr>
            </w:pPr>
            <w:r>
              <w:rPr>
                <w:b/>
                <w:color w:val="FFFFFF"/>
                <w:sz w:val="20"/>
              </w:rPr>
              <w:t>Municipio</w:t>
            </w:r>
          </w:p>
        </w:tc>
        <w:tc>
          <w:tcPr>
            <w:tcW w:w="3654" w:type="dxa"/>
            <w:tcBorders>
              <w:left w:val="nil"/>
            </w:tcBorders>
            <w:shd w:val="clear" w:color="auto" w:fill="808080"/>
          </w:tcPr>
          <w:p>
            <w:pPr>
              <w:pStyle w:val="TableParagraph"/>
              <w:spacing w:line="227" w:lineRule="exact"/>
              <w:ind w:left="88" w:right="87"/>
              <w:rPr>
                <w:b/>
                <w:i/>
                <w:sz w:val="20"/>
              </w:rPr>
            </w:pPr>
            <w:r>
              <w:rPr>
                <w:b/>
                <w:color w:val="FFFFFF"/>
                <w:sz w:val="20"/>
              </w:rPr>
              <w:t>No.(%) de aislamientos de </w:t>
            </w:r>
            <w:r>
              <w:rPr>
                <w:b/>
                <w:i/>
                <w:color w:val="FFFFFF"/>
                <w:sz w:val="20"/>
              </w:rPr>
              <w:t>S. aureus</w:t>
            </w:r>
          </w:p>
        </w:tc>
      </w:tr>
      <w:tr>
        <w:trPr>
          <w:trHeight w:val="394" w:hRule="exact"/>
        </w:trPr>
        <w:tc>
          <w:tcPr>
            <w:tcW w:w="1408" w:type="dxa"/>
            <w:tcBorders>
              <w:right w:val="nil"/>
            </w:tcBorders>
          </w:tcPr>
          <w:p>
            <w:pPr>
              <w:pStyle w:val="TableParagraph"/>
              <w:spacing w:line="227" w:lineRule="exact"/>
              <w:jc w:val="left"/>
              <w:rPr>
                <w:b/>
                <w:sz w:val="20"/>
              </w:rPr>
            </w:pPr>
            <w:r>
              <w:rPr>
                <w:b/>
                <w:sz w:val="20"/>
              </w:rPr>
              <w:t>Toluca</w:t>
            </w:r>
          </w:p>
        </w:tc>
        <w:tc>
          <w:tcPr>
            <w:tcW w:w="3654" w:type="dxa"/>
            <w:tcBorders>
              <w:left w:val="nil"/>
            </w:tcBorders>
          </w:tcPr>
          <w:p>
            <w:pPr>
              <w:pStyle w:val="TableParagraph"/>
              <w:spacing w:line="230" w:lineRule="exact"/>
              <w:ind w:left="87" w:right="87"/>
              <w:rPr>
                <w:sz w:val="20"/>
              </w:rPr>
            </w:pPr>
            <w:r>
              <w:rPr>
                <w:sz w:val="20"/>
              </w:rPr>
              <w:t>1 (5.9)</w:t>
            </w:r>
          </w:p>
        </w:tc>
      </w:tr>
      <w:tr>
        <w:trPr>
          <w:trHeight w:val="397" w:hRule="exact"/>
        </w:trPr>
        <w:tc>
          <w:tcPr>
            <w:tcW w:w="1408" w:type="dxa"/>
            <w:tcBorders>
              <w:right w:val="nil"/>
            </w:tcBorders>
          </w:tcPr>
          <w:p>
            <w:pPr>
              <w:pStyle w:val="TableParagraph"/>
              <w:spacing w:line="228" w:lineRule="exact"/>
              <w:jc w:val="left"/>
              <w:rPr>
                <w:b/>
                <w:sz w:val="20"/>
              </w:rPr>
            </w:pPr>
            <w:r>
              <w:rPr>
                <w:b/>
                <w:sz w:val="20"/>
              </w:rPr>
              <w:t>Desconoce</w:t>
            </w:r>
          </w:p>
        </w:tc>
        <w:tc>
          <w:tcPr>
            <w:tcW w:w="3654" w:type="dxa"/>
            <w:tcBorders>
              <w:left w:val="nil"/>
            </w:tcBorders>
          </w:tcPr>
          <w:p>
            <w:pPr>
              <w:pStyle w:val="TableParagraph"/>
              <w:ind w:left="87" w:right="87"/>
              <w:rPr>
                <w:sz w:val="20"/>
              </w:rPr>
            </w:pPr>
            <w:r>
              <w:rPr>
                <w:sz w:val="20"/>
              </w:rPr>
              <w:t>1 (5.9)</w:t>
            </w:r>
          </w:p>
        </w:tc>
      </w:tr>
      <w:tr>
        <w:trPr>
          <w:trHeight w:val="394" w:hRule="exact"/>
        </w:trPr>
        <w:tc>
          <w:tcPr>
            <w:tcW w:w="1408" w:type="dxa"/>
            <w:tcBorders>
              <w:right w:val="nil"/>
            </w:tcBorders>
          </w:tcPr>
          <w:p>
            <w:pPr>
              <w:pStyle w:val="TableParagraph"/>
              <w:spacing w:line="227" w:lineRule="exact"/>
              <w:jc w:val="left"/>
              <w:rPr>
                <w:b/>
                <w:sz w:val="20"/>
              </w:rPr>
            </w:pPr>
            <w:r>
              <w:rPr>
                <w:b/>
                <w:sz w:val="20"/>
              </w:rPr>
              <w:t>Villa Victoria</w:t>
            </w:r>
          </w:p>
        </w:tc>
        <w:tc>
          <w:tcPr>
            <w:tcW w:w="3654" w:type="dxa"/>
            <w:tcBorders>
              <w:left w:val="nil"/>
            </w:tcBorders>
          </w:tcPr>
          <w:p>
            <w:pPr>
              <w:pStyle w:val="TableParagraph"/>
              <w:spacing w:line="230" w:lineRule="exact"/>
              <w:ind w:left="87" w:right="87"/>
              <w:rPr>
                <w:sz w:val="20"/>
              </w:rPr>
            </w:pPr>
            <w:r>
              <w:rPr>
                <w:sz w:val="20"/>
              </w:rPr>
              <w:t>9 (53)</w:t>
            </w:r>
          </w:p>
        </w:tc>
      </w:tr>
      <w:tr>
        <w:trPr>
          <w:trHeight w:val="394" w:hRule="exact"/>
        </w:trPr>
        <w:tc>
          <w:tcPr>
            <w:tcW w:w="1408" w:type="dxa"/>
            <w:tcBorders>
              <w:right w:val="nil"/>
            </w:tcBorders>
          </w:tcPr>
          <w:p>
            <w:pPr>
              <w:pStyle w:val="TableParagraph"/>
              <w:spacing w:line="227" w:lineRule="exact"/>
              <w:jc w:val="left"/>
              <w:rPr>
                <w:b/>
                <w:sz w:val="20"/>
              </w:rPr>
            </w:pPr>
            <w:r>
              <w:rPr>
                <w:b/>
                <w:sz w:val="20"/>
              </w:rPr>
              <w:t>Ixtlahuaca</w:t>
            </w:r>
          </w:p>
        </w:tc>
        <w:tc>
          <w:tcPr>
            <w:tcW w:w="3654" w:type="dxa"/>
            <w:tcBorders>
              <w:left w:val="nil"/>
            </w:tcBorders>
          </w:tcPr>
          <w:p>
            <w:pPr>
              <w:pStyle w:val="TableParagraph"/>
              <w:spacing w:line="230" w:lineRule="exact"/>
              <w:ind w:left="87" w:right="87"/>
              <w:rPr>
                <w:sz w:val="20"/>
              </w:rPr>
            </w:pPr>
            <w:r>
              <w:rPr>
                <w:sz w:val="20"/>
              </w:rPr>
              <w:t>3 (17.6)</w:t>
            </w:r>
          </w:p>
        </w:tc>
      </w:tr>
      <w:tr>
        <w:trPr>
          <w:trHeight w:val="396" w:hRule="exact"/>
        </w:trPr>
        <w:tc>
          <w:tcPr>
            <w:tcW w:w="1408" w:type="dxa"/>
            <w:tcBorders>
              <w:right w:val="nil"/>
            </w:tcBorders>
          </w:tcPr>
          <w:p>
            <w:pPr>
              <w:pStyle w:val="TableParagraph"/>
              <w:spacing w:line="227" w:lineRule="exact"/>
              <w:jc w:val="left"/>
              <w:rPr>
                <w:b/>
                <w:sz w:val="20"/>
              </w:rPr>
            </w:pPr>
            <w:r>
              <w:rPr>
                <w:b/>
                <w:sz w:val="20"/>
              </w:rPr>
              <w:t>Aculco</w:t>
            </w:r>
          </w:p>
        </w:tc>
        <w:tc>
          <w:tcPr>
            <w:tcW w:w="3654" w:type="dxa"/>
            <w:tcBorders>
              <w:left w:val="nil"/>
            </w:tcBorders>
          </w:tcPr>
          <w:p>
            <w:pPr>
              <w:pStyle w:val="TableParagraph"/>
              <w:spacing w:line="230" w:lineRule="exact"/>
              <w:ind w:left="87" w:right="87"/>
              <w:rPr>
                <w:sz w:val="20"/>
              </w:rPr>
            </w:pPr>
            <w:r>
              <w:rPr>
                <w:sz w:val="20"/>
              </w:rPr>
              <w:t>3 (17.6)</w:t>
            </w:r>
          </w:p>
        </w:tc>
      </w:tr>
      <w:tr>
        <w:trPr>
          <w:trHeight w:val="394" w:hRule="exact"/>
        </w:trPr>
        <w:tc>
          <w:tcPr>
            <w:tcW w:w="1408" w:type="dxa"/>
            <w:tcBorders>
              <w:right w:val="nil"/>
            </w:tcBorders>
          </w:tcPr>
          <w:p>
            <w:pPr>
              <w:pStyle w:val="TableParagraph"/>
              <w:spacing w:line="227" w:lineRule="exact"/>
              <w:jc w:val="left"/>
              <w:rPr>
                <w:b/>
                <w:sz w:val="20"/>
              </w:rPr>
            </w:pPr>
            <w:r>
              <w:rPr>
                <w:b/>
                <w:sz w:val="20"/>
              </w:rPr>
              <w:t>Total</w:t>
            </w:r>
          </w:p>
        </w:tc>
        <w:tc>
          <w:tcPr>
            <w:tcW w:w="3654" w:type="dxa"/>
            <w:tcBorders>
              <w:left w:val="nil"/>
            </w:tcBorders>
          </w:tcPr>
          <w:p>
            <w:pPr>
              <w:pStyle w:val="TableParagraph"/>
              <w:spacing w:line="230" w:lineRule="exact"/>
              <w:ind w:left="88" w:right="87"/>
              <w:rPr>
                <w:sz w:val="20"/>
              </w:rPr>
            </w:pPr>
            <w:r>
              <w:rPr>
                <w:sz w:val="20"/>
              </w:rPr>
              <w:t>17(100%)</w:t>
            </w:r>
          </w:p>
        </w:tc>
      </w:tr>
    </w:tbl>
    <w:p>
      <w:pPr>
        <w:pStyle w:val="BodyText"/>
        <w:rPr>
          <w:i/>
          <w:sz w:val="20"/>
        </w:rPr>
      </w:pPr>
    </w:p>
    <w:p>
      <w:pPr>
        <w:spacing w:before="190"/>
        <w:ind w:left="142" w:right="0" w:firstLine="0"/>
        <w:jc w:val="both"/>
        <w:rPr>
          <w:b/>
          <w:i/>
          <w:sz w:val="24"/>
        </w:rPr>
      </w:pPr>
      <w:r>
        <w:rPr>
          <w:b/>
          <w:sz w:val="24"/>
        </w:rPr>
        <w:t>Resistencia fenotípica de los aislamientos de </w:t>
      </w:r>
      <w:r>
        <w:rPr>
          <w:b/>
          <w:i/>
          <w:sz w:val="24"/>
        </w:rPr>
        <w:t>Staphylococcus aureus</w:t>
      </w:r>
    </w:p>
    <w:p>
      <w:pPr>
        <w:pStyle w:val="BodyText"/>
        <w:spacing w:line="276" w:lineRule="auto" w:before="180"/>
        <w:ind w:left="142" w:right="135"/>
        <w:jc w:val="both"/>
      </w:pPr>
      <w:r>
        <w:rPr/>
        <w:t>El patrón de sensibilidad </w:t>
      </w:r>
      <w:r>
        <w:rPr>
          <w:i/>
        </w:rPr>
        <w:t>in vitro </w:t>
      </w:r>
      <w:r>
        <w:rPr/>
        <w:t>mostró un alto porcentaje de aislamientos de </w:t>
      </w:r>
      <w:r>
        <w:rPr>
          <w:i/>
        </w:rPr>
        <w:t>S. </w:t>
      </w:r>
      <w:r>
        <w:rPr>
          <w:i/>
        </w:rPr>
        <w:t>aureus </w:t>
      </w:r>
      <w:r>
        <w:rPr/>
        <w:t>resistentes a los β-lactámicos, se observaron altos porcentajes de resistencia en Penicilina (17/100%), ampicilina (16/94%), ceftazidima (16/94%), cefotaxima (10/58.8%) y amoxicilina/ácido clavulanico (9/53%). Sin embargo los aislamientos también mostraron sensibilidad a antibióticos como cefalotina (16/94%), tetraciclina (16/94%), trimetoprim-sulfametoxazol (16/94%), gentamicina (14/82.3%), oxacilina (13/76%), cefoxitina (15/88.2%), cefuroxima (12/70.5%), eritromicina (9/53%) respectivamente (Cuadro 22 y gráfica 3).</w:t>
      </w:r>
    </w:p>
    <w:p>
      <w:pPr>
        <w:spacing w:line="280" w:lineRule="auto" w:before="118"/>
        <w:ind w:left="142" w:right="136" w:firstLine="0"/>
        <w:jc w:val="both"/>
        <w:rPr>
          <w:sz w:val="24"/>
        </w:rPr>
      </w:pPr>
      <w:r>
        <w:rPr>
          <w:sz w:val="24"/>
        </w:rPr>
        <w:t>Cuadro 22: Sensibilidad </w:t>
      </w:r>
      <w:r>
        <w:rPr>
          <w:i/>
          <w:sz w:val="24"/>
        </w:rPr>
        <w:t>in vitro </w:t>
      </w:r>
      <w:r>
        <w:rPr>
          <w:sz w:val="24"/>
        </w:rPr>
        <w:t>de aislamientos de </w:t>
      </w:r>
      <w:r>
        <w:rPr>
          <w:i/>
          <w:sz w:val="24"/>
        </w:rPr>
        <w:t>Staphylcocccus aureus </w:t>
      </w:r>
      <w:r>
        <w:rPr>
          <w:sz w:val="24"/>
        </w:rPr>
        <w:t>a diferentes antibióticos.</w:t>
      </w:r>
    </w:p>
    <w:p>
      <w:pPr>
        <w:pStyle w:val="BodyText"/>
        <w:spacing w:before="2"/>
        <w:rPr>
          <w:sz w:val="10"/>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09"/>
        <w:gridCol w:w="2345"/>
        <w:gridCol w:w="2187"/>
        <w:gridCol w:w="2188"/>
      </w:tblGrid>
      <w:tr>
        <w:trPr>
          <w:trHeight w:val="658" w:hRule="exact"/>
        </w:trPr>
        <w:tc>
          <w:tcPr>
            <w:tcW w:w="2109" w:type="dxa"/>
            <w:tcBorders>
              <w:right w:val="nil"/>
            </w:tcBorders>
            <w:shd w:val="clear" w:color="auto" w:fill="808080"/>
          </w:tcPr>
          <w:p>
            <w:pPr>
              <w:pStyle w:val="TableParagraph"/>
              <w:spacing w:line="227" w:lineRule="exact"/>
              <w:ind w:left="551"/>
              <w:jc w:val="left"/>
              <w:rPr>
                <w:b/>
                <w:sz w:val="20"/>
              </w:rPr>
            </w:pPr>
            <w:r>
              <w:rPr>
                <w:b/>
                <w:color w:val="FFFFFF"/>
                <w:sz w:val="20"/>
              </w:rPr>
              <w:t>Antibioticos</w:t>
            </w:r>
          </w:p>
        </w:tc>
        <w:tc>
          <w:tcPr>
            <w:tcW w:w="2345" w:type="dxa"/>
            <w:tcBorders>
              <w:left w:val="nil"/>
              <w:right w:val="nil"/>
            </w:tcBorders>
            <w:shd w:val="clear" w:color="auto" w:fill="808080"/>
          </w:tcPr>
          <w:p>
            <w:pPr>
              <w:pStyle w:val="TableParagraph"/>
              <w:spacing w:line="276" w:lineRule="auto"/>
              <w:ind w:left="795" w:hanging="492"/>
              <w:jc w:val="left"/>
              <w:rPr>
                <w:b/>
                <w:sz w:val="20"/>
              </w:rPr>
            </w:pPr>
            <w:r>
              <w:rPr>
                <w:b/>
                <w:color w:val="FFFFFF"/>
                <w:sz w:val="20"/>
              </w:rPr>
              <w:t>No.(%) aislamientos sensibles</w:t>
            </w:r>
          </w:p>
        </w:tc>
        <w:tc>
          <w:tcPr>
            <w:tcW w:w="2187" w:type="dxa"/>
            <w:tcBorders>
              <w:left w:val="nil"/>
              <w:right w:val="nil"/>
            </w:tcBorders>
            <w:shd w:val="clear" w:color="auto" w:fill="808080"/>
          </w:tcPr>
          <w:p>
            <w:pPr>
              <w:pStyle w:val="TableParagraph"/>
              <w:spacing w:line="276" w:lineRule="auto"/>
              <w:ind w:left="526" w:right="122" w:hanging="382"/>
              <w:jc w:val="left"/>
              <w:rPr>
                <w:b/>
                <w:sz w:val="20"/>
              </w:rPr>
            </w:pPr>
            <w:r>
              <w:rPr>
                <w:b/>
                <w:color w:val="FFFFFF"/>
                <w:sz w:val="20"/>
              </w:rPr>
              <w:t>No.(%) aislamientos intermedios</w:t>
            </w:r>
          </w:p>
        </w:tc>
        <w:tc>
          <w:tcPr>
            <w:tcW w:w="2188" w:type="dxa"/>
            <w:tcBorders>
              <w:left w:val="nil"/>
            </w:tcBorders>
            <w:shd w:val="clear" w:color="auto" w:fill="808080"/>
          </w:tcPr>
          <w:p>
            <w:pPr>
              <w:pStyle w:val="TableParagraph"/>
              <w:spacing w:line="276" w:lineRule="auto"/>
              <w:ind w:left="564" w:hanging="420"/>
              <w:jc w:val="left"/>
              <w:rPr>
                <w:b/>
                <w:sz w:val="20"/>
              </w:rPr>
            </w:pPr>
            <w:r>
              <w:rPr>
                <w:b/>
                <w:color w:val="FFFFFF"/>
                <w:sz w:val="20"/>
              </w:rPr>
              <w:t>No.(%) aislamientos resistentes</w:t>
            </w:r>
          </w:p>
        </w:tc>
      </w:tr>
      <w:tr>
        <w:trPr>
          <w:trHeight w:val="396" w:hRule="exact"/>
        </w:trPr>
        <w:tc>
          <w:tcPr>
            <w:tcW w:w="2109" w:type="dxa"/>
            <w:tcBorders>
              <w:right w:val="nil"/>
            </w:tcBorders>
          </w:tcPr>
          <w:p>
            <w:pPr>
              <w:pStyle w:val="TableParagraph"/>
              <w:spacing w:line="230" w:lineRule="exact"/>
              <w:jc w:val="left"/>
              <w:rPr>
                <w:b/>
                <w:sz w:val="20"/>
              </w:rPr>
            </w:pPr>
            <w:r>
              <w:rPr>
                <w:b/>
                <w:sz w:val="20"/>
              </w:rPr>
              <w:t>Penicilina</w:t>
            </w:r>
          </w:p>
        </w:tc>
        <w:tc>
          <w:tcPr>
            <w:tcW w:w="2345" w:type="dxa"/>
            <w:tcBorders>
              <w:left w:val="nil"/>
              <w:right w:val="nil"/>
            </w:tcBorders>
          </w:tcPr>
          <w:p>
            <w:pPr>
              <w:pStyle w:val="TableParagraph"/>
              <w:spacing w:before="2"/>
              <w:ind w:left="829" w:right="673"/>
              <w:rPr>
                <w:sz w:val="20"/>
              </w:rPr>
            </w:pPr>
            <w:r>
              <w:rPr>
                <w:sz w:val="20"/>
              </w:rPr>
              <w:t>0(0)</w:t>
            </w:r>
          </w:p>
        </w:tc>
        <w:tc>
          <w:tcPr>
            <w:tcW w:w="2187" w:type="dxa"/>
            <w:tcBorders>
              <w:left w:val="nil"/>
              <w:right w:val="nil"/>
            </w:tcBorders>
          </w:tcPr>
          <w:p>
            <w:pPr>
              <w:pStyle w:val="TableParagraph"/>
              <w:spacing w:before="2"/>
              <w:ind w:left="894" w:right="895"/>
              <w:rPr>
                <w:sz w:val="20"/>
              </w:rPr>
            </w:pPr>
            <w:r>
              <w:rPr>
                <w:sz w:val="20"/>
              </w:rPr>
              <w:t>0(0)</w:t>
            </w:r>
          </w:p>
        </w:tc>
        <w:tc>
          <w:tcPr>
            <w:tcW w:w="2188" w:type="dxa"/>
            <w:tcBorders>
              <w:left w:val="nil"/>
            </w:tcBorders>
          </w:tcPr>
          <w:p>
            <w:pPr>
              <w:pStyle w:val="TableParagraph"/>
              <w:spacing w:before="2"/>
              <w:ind w:left="0" w:right="743"/>
              <w:jc w:val="right"/>
              <w:rPr>
                <w:sz w:val="20"/>
              </w:rPr>
            </w:pPr>
            <w:r>
              <w:rPr>
                <w:w w:val="95"/>
                <w:sz w:val="20"/>
              </w:rPr>
              <w:t>17(100)</w:t>
            </w:r>
          </w:p>
        </w:tc>
      </w:tr>
      <w:tr>
        <w:trPr>
          <w:trHeight w:val="394" w:hRule="exact"/>
        </w:trPr>
        <w:tc>
          <w:tcPr>
            <w:tcW w:w="2109" w:type="dxa"/>
            <w:tcBorders>
              <w:right w:val="nil"/>
            </w:tcBorders>
          </w:tcPr>
          <w:p>
            <w:pPr>
              <w:pStyle w:val="TableParagraph"/>
              <w:spacing w:line="227" w:lineRule="exact"/>
              <w:jc w:val="left"/>
              <w:rPr>
                <w:b/>
                <w:sz w:val="20"/>
              </w:rPr>
            </w:pPr>
            <w:r>
              <w:rPr>
                <w:b/>
                <w:sz w:val="20"/>
              </w:rPr>
              <w:t>Oxacilina</w:t>
            </w:r>
          </w:p>
        </w:tc>
        <w:tc>
          <w:tcPr>
            <w:tcW w:w="2345" w:type="dxa"/>
            <w:tcBorders>
              <w:left w:val="nil"/>
              <w:right w:val="nil"/>
            </w:tcBorders>
          </w:tcPr>
          <w:p>
            <w:pPr>
              <w:pStyle w:val="TableParagraph"/>
              <w:spacing w:line="230" w:lineRule="exact"/>
              <w:ind w:left="829" w:right="673"/>
              <w:rPr>
                <w:sz w:val="20"/>
              </w:rPr>
            </w:pPr>
            <w:r>
              <w:rPr>
                <w:sz w:val="20"/>
              </w:rPr>
              <w:t>13(76)</w:t>
            </w:r>
          </w:p>
        </w:tc>
        <w:tc>
          <w:tcPr>
            <w:tcW w:w="2187" w:type="dxa"/>
            <w:tcBorders>
              <w:left w:val="nil"/>
              <w:right w:val="nil"/>
            </w:tcBorders>
          </w:tcPr>
          <w:p>
            <w:pPr>
              <w:pStyle w:val="TableParagraph"/>
              <w:spacing w:line="230" w:lineRule="exact"/>
              <w:ind w:left="783" w:right="122"/>
              <w:jc w:val="left"/>
              <w:rPr>
                <w:sz w:val="20"/>
              </w:rPr>
            </w:pPr>
            <w:r>
              <w:rPr>
                <w:sz w:val="20"/>
              </w:rPr>
              <w:t>2(11.8)</w:t>
            </w:r>
          </w:p>
        </w:tc>
        <w:tc>
          <w:tcPr>
            <w:tcW w:w="2188" w:type="dxa"/>
            <w:tcBorders>
              <w:left w:val="nil"/>
            </w:tcBorders>
          </w:tcPr>
          <w:p>
            <w:pPr>
              <w:pStyle w:val="TableParagraph"/>
              <w:spacing w:line="230" w:lineRule="exact"/>
              <w:ind w:left="0" w:right="781"/>
              <w:jc w:val="right"/>
              <w:rPr>
                <w:sz w:val="20"/>
              </w:rPr>
            </w:pPr>
            <w:r>
              <w:rPr>
                <w:sz w:val="20"/>
              </w:rPr>
              <w:t>2(11.8)</w:t>
            </w:r>
          </w:p>
        </w:tc>
      </w:tr>
      <w:tr>
        <w:trPr>
          <w:trHeight w:val="396" w:hRule="exact"/>
        </w:trPr>
        <w:tc>
          <w:tcPr>
            <w:tcW w:w="2109" w:type="dxa"/>
            <w:tcBorders>
              <w:right w:val="nil"/>
            </w:tcBorders>
          </w:tcPr>
          <w:p>
            <w:pPr>
              <w:pStyle w:val="TableParagraph"/>
              <w:spacing w:line="227" w:lineRule="exact"/>
              <w:jc w:val="left"/>
              <w:rPr>
                <w:b/>
                <w:sz w:val="20"/>
              </w:rPr>
            </w:pPr>
            <w:r>
              <w:rPr>
                <w:b/>
                <w:sz w:val="20"/>
              </w:rPr>
              <w:t>Cefoxitina</w:t>
            </w:r>
          </w:p>
        </w:tc>
        <w:tc>
          <w:tcPr>
            <w:tcW w:w="2345" w:type="dxa"/>
            <w:tcBorders>
              <w:left w:val="nil"/>
              <w:right w:val="nil"/>
            </w:tcBorders>
          </w:tcPr>
          <w:p>
            <w:pPr>
              <w:pStyle w:val="TableParagraph"/>
              <w:spacing w:line="230" w:lineRule="exact"/>
              <w:ind w:left="829" w:right="675"/>
              <w:rPr>
                <w:sz w:val="20"/>
              </w:rPr>
            </w:pPr>
            <w:r>
              <w:rPr>
                <w:sz w:val="20"/>
              </w:rPr>
              <w:t>15 (88.2)</w:t>
            </w:r>
          </w:p>
        </w:tc>
        <w:tc>
          <w:tcPr>
            <w:tcW w:w="2187" w:type="dxa"/>
            <w:tcBorders>
              <w:left w:val="nil"/>
              <w:right w:val="nil"/>
            </w:tcBorders>
          </w:tcPr>
          <w:p>
            <w:pPr>
              <w:pStyle w:val="TableParagraph"/>
              <w:spacing w:line="230" w:lineRule="exact"/>
              <w:ind w:left="894" w:right="895"/>
              <w:rPr>
                <w:sz w:val="20"/>
              </w:rPr>
            </w:pPr>
            <w:r>
              <w:rPr>
                <w:sz w:val="20"/>
              </w:rPr>
              <w:t>0(0)</w:t>
            </w:r>
          </w:p>
        </w:tc>
        <w:tc>
          <w:tcPr>
            <w:tcW w:w="2188" w:type="dxa"/>
            <w:tcBorders>
              <w:left w:val="nil"/>
            </w:tcBorders>
          </w:tcPr>
          <w:p>
            <w:pPr>
              <w:pStyle w:val="TableParagraph"/>
              <w:spacing w:line="230" w:lineRule="exact"/>
              <w:ind w:left="0" w:right="781"/>
              <w:jc w:val="right"/>
              <w:rPr>
                <w:sz w:val="20"/>
              </w:rPr>
            </w:pPr>
            <w:r>
              <w:rPr>
                <w:sz w:val="20"/>
              </w:rPr>
              <w:t>2(11.8)</w:t>
            </w:r>
          </w:p>
        </w:tc>
      </w:tr>
      <w:tr>
        <w:trPr>
          <w:trHeight w:val="394" w:hRule="exact"/>
        </w:trPr>
        <w:tc>
          <w:tcPr>
            <w:tcW w:w="2109" w:type="dxa"/>
            <w:tcBorders>
              <w:right w:val="nil"/>
            </w:tcBorders>
          </w:tcPr>
          <w:p>
            <w:pPr>
              <w:pStyle w:val="TableParagraph"/>
              <w:spacing w:line="227" w:lineRule="exact"/>
              <w:jc w:val="left"/>
              <w:rPr>
                <w:b/>
                <w:sz w:val="20"/>
              </w:rPr>
            </w:pPr>
            <w:r>
              <w:rPr>
                <w:b/>
                <w:sz w:val="20"/>
              </w:rPr>
              <w:t>Ampicilina</w:t>
            </w:r>
          </w:p>
        </w:tc>
        <w:tc>
          <w:tcPr>
            <w:tcW w:w="2345" w:type="dxa"/>
            <w:tcBorders>
              <w:left w:val="nil"/>
              <w:right w:val="nil"/>
            </w:tcBorders>
          </w:tcPr>
          <w:p>
            <w:pPr>
              <w:pStyle w:val="TableParagraph"/>
              <w:spacing w:line="230" w:lineRule="exact"/>
              <w:ind w:left="829" w:right="675"/>
              <w:rPr>
                <w:sz w:val="20"/>
              </w:rPr>
            </w:pPr>
            <w:r>
              <w:rPr>
                <w:sz w:val="20"/>
              </w:rPr>
              <w:t>1(5.9)</w:t>
            </w:r>
          </w:p>
        </w:tc>
        <w:tc>
          <w:tcPr>
            <w:tcW w:w="2187" w:type="dxa"/>
            <w:tcBorders>
              <w:left w:val="nil"/>
              <w:right w:val="nil"/>
            </w:tcBorders>
          </w:tcPr>
          <w:p>
            <w:pPr>
              <w:pStyle w:val="TableParagraph"/>
              <w:spacing w:line="230" w:lineRule="exact"/>
              <w:ind w:left="894" w:right="895"/>
              <w:rPr>
                <w:sz w:val="20"/>
              </w:rPr>
            </w:pPr>
            <w:r>
              <w:rPr>
                <w:sz w:val="20"/>
              </w:rPr>
              <w:t>0(0)</w:t>
            </w:r>
          </w:p>
        </w:tc>
        <w:tc>
          <w:tcPr>
            <w:tcW w:w="2188" w:type="dxa"/>
            <w:tcBorders>
              <w:left w:val="nil"/>
            </w:tcBorders>
          </w:tcPr>
          <w:p>
            <w:pPr>
              <w:pStyle w:val="TableParagraph"/>
              <w:spacing w:line="230" w:lineRule="exact"/>
              <w:ind w:left="0" w:right="775"/>
              <w:jc w:val="right"/>
              <w:rPr>
                <w:sz w:val="20"/>
              </w:rPr>
            </w:pPr>
            <w:r>
              <w:rPr>
                <w:sz w:val="20"/>
              </w:rPr>
              <w:t>16 (94)</w:t>
            </w:r>
          </w:p>
        </w:tc>
      </w:tr>
      <w:tr>
        <w:trPr>
          <w:trHeight w:val="658" w:hRule="exact"/>
        </w:trPr>
        <w:tc>
          <w:tcPr>
            <w:tcW w:w="2109" w:type="dxa"/>
            <w:tcBorders>
              <w:right w:val="nil"/>
            </w:tcBorders>
          </w:tcPr>
          <w:p>
            <w:pPr>
              <w:pStyle w:val="TableParagraph"/>
              <w:spacing w:line="276" w:lineRule="auto"/>
              <w:jc w:val="left"/>
              <w:rPr>
                <w:b/>
                <w:sz w:val="20"/>
              </w:rPr>
            </w:pPr>
            <w:r>
              <w:rPr>
                <w:b/>
                <w:w w:val="95"/>
                <w:sz w:val="20"/>
              </w:rPr>
              <w:t>Amoxicilina/ácido </w:t>
            </w:r>
            <w:r>
              <w:rPr>
                <w:b/>
                <w:sz w:val="20"/>
              </w:rPr>
              <w:t>clavulanico</w:t>
            </w:r>
          </w:p>
        </w:tc>
        <w:tc>
          <w:tcPr>
            <w:tcW w:w="2345" w:type="dxa"/>
            <w:tcBorders>
              <w:left w:val="nil"/>
              <w:right w:val="nil"/>
            </w:tcBorders>
          </w:tcPr>
          <w:p>
            <w:pPr>
              <w:pStyle w:val="TableParagraph"/>
              <w:spacing w:line="230" w:lineRule="exact"/>
              <w:ind w:left="829" w:right="672"/>
              <w:rPr>
                <w:sz w:val="20"/>
              </w:rPr>
            </w:pPr>
            <w:r>
              <w:rPr>
                <w:sz w:val="20"/>
              </w:rPr>
              <w:t>8(47)</w:t>
            </w:r>
          </w:p>
        </w:tc>
        <w:tc>
          <w:tcPr>
            <w:tcW w:w="2187" w:type="dxa"/>
            <w:tcBorders>
              <w:left w:val="nil"/>
              <w:right w:val="nil"/>
            </w:tcBorders>
          </w:tcPr>
          <w:p>
            <w:pPr>
              <w:pStyle w:val="TableParagraph"/>
              <w:spacing w:line="230" w:lineRule="exact"/>
              <w:ind w:left="894" w:right="895"/>
              <w:rPr>
                <w:sz w:val="20"/>
              </w:rPr>
            </w:pPr>
            <w:r>
              <w:rPr>
                <w:sz w:val="20"/>
              </w:rPr>
              <w:t>0(0)</w:t>
            </w:r>
          </w:p>
        </w:tc>
        <w:tc>
          <w:tcPr>
            <w:tcW w:w="2188" w:type="dxa"/>
            <w:tcBorders>
              <w:left w:val="nil"/>
            </w:tcBorders>
          </w:tcPr>
          <w:p>
            <w:pPr>
              <w:pStyle w:val="TableParagraph"/>
              <w:spacing w:line="230" w:lineRule="exact"/>
              <w:ind w:left="839" w:right="837"/>
              <w:rPr>
                <w:sz w:val="20"/>
              </w:rPr>
            </w:pPr>
            <w:r>
              <w:rPr>
                <w:sz w:val="20"/>
              </w:rPr>
              <w:t>9(53)</w:t>
            </w:r>
          </w:p>
        </w:tc>
      </w:tr>
      <w:tr>
        <w:trPr>
          <w:trHeight w:val="391" w:hRule="exact"/>
        </w:trPr>
        <w:tc>
          <w:tcPr>
            <w:tcW w:w="2109" w:type="dxa"/>
            <w:tcBorders>
              <w:bottom w:val="nil"/>
              <w:right w:val="nil"/>
            </w:tcBorders>
          </w:tcPr>
          <w:p>
            <w:pPr>
              <w:pStyle w:val="TableParagraph"/>
              <w:spacing w:line="230" w:lineRule="exact"/>
              <w:jc w:val="left"/>
              <w:rPr>
                <w:b/>
                <w:sz w:val="20"/>
              </w:rPr>
            </w:pPr>
            <w:r>
              <w:rPr>
                <w:b/>
                <w:sz w:val="20"/>
              </w:rPr>
              <w:t>Cefotaxima</w:t>
            </w:r>
          </w:p>
        </w:tc>
        <w:tc>
          <w:tcPr>
            <w:tcW w:w="2345" w:type="dxa"/>
            <w:tcBorders>
              <w:left w:val="nil"/>
              <w:bottom w:val="nil"/>
              <w:right w:val="nil"/>
            </w:tcBorders>
          </w:tcPr>
          <w:p>
            <w:pPr>
              <w:pStyle w:val="TableParagraph"/>
              <w:spacing w:before="2"/>
              <w:ind w:left="829" w:right="675"/>
              <w:rPr>
                <w:sz w:val="20"/>
              </w:rPr>
            </w:pPr>
            <w:r>
              <w:rPr>
                <w:sz w:val="20"/>
              </w:rPr>
              <w:t>6(35.3)</w:t>
            </w:r>
          </w:p>
        </w:tc>
        <w:tc>
          <w:tcPr>
            <w:tcW w:w="2187" w:type="dxa"/>
            <w:tcBorders>
              <w:left w:val="nil"/>
              <w:bottom w:val="nil"/>
              <w:right w:val="nil"/>
            </w:tcBorders>
          </w:tcPr>
          <w:p>
            <w:pPr>
              <w:pStyle w:val="TableParagraph"/>
              <w:spacing w:before="2"/>
              <w:ind w:left="831" w:right="122"/>
              <w:jc w:val="left"/>
              <w:rPr>
                <w:sz w:val="20"/>
              </w:rPr>
            </w:pPr>
            <w:r>
              <w:rPr>
                <w:sz w:val="20"/>
              </w:rPr>
              <w:t>1(5.9)</w:t>
            </w:r>
          </w:p>
        </w:tc>
        <w:tc>
          <w:tcPr>
            <w:tcW w:w="2188" w:type="dxa"/>
            <w:tcBorders>
              <w:left w:val="nil"/>
              <w:bottom w:val="nil"/>
            </w:tcBorders>
          </w:tcPr>
          <w:p>
            <w:pPr>
              <w:pStyle w:val="TableParagraph"/>
              <w:spacing w:before="2"/>
              <w:ind w:left="0" w:right="717"/>
              <w:jc w:val="right"/>
              <w:rPr>
                <w:sz w:val="20"/>
              </w:rPr>
            </w:pPr>
            <w:r>
              <w:rPr>
                <w:sz w:val="20"/>
              </w:rPr>
              <w:t>10(58.8)</w:t>
            </w:r>
          </w:p>
        </w:tc>
      </w:tr>
    </w:tbl>
    <w:p>
      <w:pPr>
        <w:spacing w:after="0"/>
        <w:jc w:val="right"/>
        <w:rPr>
          <w:sz w:val="20"/>
        </w:rPr>
        <w:sectPr>
          <w:footerReference w:type="default" r:id="rId55"/>
          <w:pgSz w:w="12240" w:h="15840"/>
          <w:pgMar w:footer="710" w:header="728" w:top="1200" w:bottom="900" w:left="1560" w:right="1560"/>
          <w:pgNumType w:start="61"/>
        </w:sectPr>
      </w:pPr>
    </w:p>
    <w:p>
      <w:pPr>
        <w:pStyle w:val="BodyText"/>
        <w:spacing w:before="11"/>
        <w:rPr>
          <w:sz w:val="18"/>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69"/>
        <w:gridCol w:w="2212"/>
        <w:gridCol w:w="2158"/>
        <w:gridCol w:w="2190"/>
      </w:tblGrid>
      <w:tr>
        <w:trPr>
          <w:trHeight w:val="394" w:hRule="exact"/>
        </w:trPr>
        <w:tc>
          <w:tcPr>
            <w:tcW w:w="2269" w:type="dxa"/>
            <w:tcBorders>
              <w:right w:val="nil"/>
            </w:tcBorders>
          </w:tcPr>
          <w:p>
            <w:pPr>
              <w:pStyle w:val="TableParagraph"/>
              <w:spacing w:line="228" w:lineRule="exact"/>
              <w:jc w:val="left"/>
              <w:rPr>
                <w:b/>
                <w:sz w:val="20"/>
              </w:rPr>
            </w:pPr>
            <w:r>
              <w:rPr>
                <w:b/>
                <w:sz w:val="20"/>
              </w:rPr>
              <w:t>Ceftazidima</w:t>
            </w:r>
          </w:p>
        </w:tc>
        <w:tc>
          <w:tcPr>
            <w:tcW w:w="2212" w:type="dxa"/>
            <w:tcBorders>
              <w:left w:val="nil"/>
              <w:right w:val="nil"/>
            </w:tcBorders>
          </w:tcPr>
          <w:p>
            <w:pPr>
              <w:pStyle w:val="TableParagraph"/>
              <w:ind w:left="0" w:right="859"/>
              <w:jc w:val="right"/>
              <w:rPr>
                <w:sz w:val="20"/>
              </w:rPr>
            </w:pPr>
            <w:r>
              <w:rPr>
                <w:w w:val="95"/>
                <w:sz w:val="20"/>
              </w:rPr>
              <w:t>1(5.9)</w:t>
            </w:r>
          </w:p>
        </w:tc>
        <w:tc>
          <w:tcPr>
            <w:tcW w:w="2158" w:type="dxa"/>
            <w:tcBorders>
              <w:left w:val="nil"/>
              <w:right w:val="nil"/>
            </w:tcBorders>
          </w:tcPr>
          <w:p>
            <w:pPr>
              <w:pStyle w:val="TableParagraph"/>
              <w:ind w:left="729" w:right="753"/>
              <w:rPr>
                <w:sz w:val="20"/>
              </w:rPr>
            </w:pPr>
            <w:r>
              <w:rPr>
                <w:sz w:val="20"/>
              </w:rPr>
              <w:t>0(0)</w:t>
            </w:r>
          </w:p>
        </w:tc>
        <w:tc>
          <w:tcPr>
            <w:tcW w:w="2190" w:type="dxa"/>
            <w:tcBorders>
              <w:left w:val="nil"/>
            </w:tcBorders>
          </w:tcPr>
          <w:p>
            <w:pPr>
              <w:pStyle w:val="TableParagraph"/>
              <w:ind w:left="778"/>
              <w:jc w:val="left"/>
              <w:rPr>
                <w:sz w:val="20"/>
              </w:rPr>
            </w:pPr>
            <w:r>
              <w:rPr>
                <w:sz w:val="20"/>
              </w:rPr>
              <w:t>16 (94)</w:t>
            </w:r>
          </w:p>
        </w:tc>
      </w:tr>
      <w:tr>
        <w:trPr>
          <w:trHeight w:val="396" w:hRule="exact"/>
        </w:trPr>
        <w:tc>
          <w:tcPr>
            <w:tcW w:w="2269" w:type="dxa"/>
            <w:tcBorders>
              <w:right w:val="nil"/>
            </w:tcBorders>
          </w:tcPr>
          <w:p>
            <w:pPr>
              <w:pStyle w:val="TableParagraph"/>
              <w:spacing w:line="227" w:lineRule="exact"/>
              <w:jc w:val="left"/>
              <w:rPr>
                <w:b/>
                <w:sz w:val="20"/>
              </w:rPr>
            </w:pPr>
            <w:r>
              <w:rPr>
                <w:b/>
                <w:sz w:val="20"/>
              </w:rPr>
              <w:t>Cefuroxima</w:t>
            </w:r>
          </w:p>
        </w:tc>
        <w:tc>
          <w:tcPr>
            <w:tcW w:w="2212" w:type="dxa"/>
            <w:tcBorders>
              <w:left w:val="nil"/>
              <w:right w:val="nil"/>
            </w:tcBorders>
          </w:tcPr>
          <w:p>
            <w:pPr>
              <w:pStyle w:val="TableParagraph"/>
              <w:spacing w:line="230" w:lineRule="exact"/>
              <w:ind w:left="0" w:right="747"/>
              <w:jc w:val="right"/>
              <w:rPr>
                <w:sz w:val="20"/>
              </w:rPr>
            </w:pPr>
            <w:r>
              <w:rPr>
                <w:sz w:val="20"/>
              </w:rPr>
              <w:t>12(70.5)</w:t>
            </w:r>
          </w:p>
        </w:tc>
        <w:tc>
          <w:tcPr>
            <w:tcW w:w="2158" w:type="dxa"/>
            <w:tcBorders>
              <w:left w:val="nil"/>
              <w:right w:val="nil"/>
            </w:tcBorders>
          </w:tcPr>
          <w:p>
            <w:pPr>
              <w:pStyle w:val="TableParagraph"/>
              <w:spacing w:line="230" w:lineRule="exact"/>
              <w:ind w:left="729" w:right="755"/>
              <w:rPr>
                <w:sz w:val="20"/>
              </w:rPr>
            </w:pPr>
            <w:r>
              <w:rPr>
                <w:sz w:val="20"/>
              </w:rPr>
              <w:t>3(17.6)</w:t>
            </w:r>
          </w:p>
        </w:tc>
        <w:tc>
          <w:tcPr>
            <w:tcW w:w="2190" w:type="dxa"/>
            <w:tcBorders>
              <w:left w:val="nil"/>
            </w:tcBorders>
          </w:tcPr>
          <w:p>
            <w:pPr>
              <w:pStyle w:val="TableParagraph"/>
              <w:spacing w:line="230" w:lineRule="exact"/>
              <w:ind w:left="785"/>
              <w:jc w:val="left"/>
              <w:rPr>
                <w:sz w:val="20"/>
              </w:rPr>
            </w:pPr>
            <w:r>
              <w:rPr>
                <w:sz w:val="20"/>
              </w:rPr>
              <w:t>2(11.8)</w:t>
            </w:r>
          </w:p>
        </w:tc>
      </w:tr>
      <w:tr>
        <w:trPr>
          <w:trHeight w:val="394" w:hRule="exact"/>
        </w:trPr>
        <w:tc>
          <w:tcPr>
            <w:tcW w:w="2269" w:type="dxa"/>
            <w:tcBorders>
              <w:right w:val="nil"/>
            </w:tcBorders>
          </w:tcPr>
          <w:p>
            <w:pPr>
              <w:pStyle w:val="TableParagraph"/>
              <w:spacing w:line="227" w:lineRule="exact"/>
              <w:jc w:val="left"/>
              <w:rPr>
                <w:b/>
                <w:sz w:val="20"/>
              </w:rPr>
            </w:pPr>
            <w:r>
              <w:rPr>
                <w:b/>
                <w:sz w:val="20"/>
              </w:rPr>
              <w:t>Cefalotina</w:t>
            </w:r>
          </w:p>
        </w:tc>
        <w:tc>
          <w:tcPr>
            <w:tcW w:w="2212" w:type="dxa"/>
            <w:tcBorders>
              <w:left w:val="nil"/>
              <w:right w:val="nil"/>
            </w:tcBorders>
          </w:tcPr>
          <w:p>
            <w:pPr>
              <w:pStyle w:val="TableParagraph"/>
              <w:spacing w:line="230" w:lineRule="exact"/>
              <w:ind w:left="0" w:right="805"/>
              <w:jc w:val="right"/>
              <w:rPr>
                <w:sz w:val="20"/>
              </w:rPr>
            </w:pPr>
            <w:r>
              <w:rPr>
                <w:sz w:val="20"/>
              </w:rPr>
              <w:t>16 (94)</w:t>
            </w:r>
          </w:p>
        </w:tc>
        <w:tc>
          <w:tcPr>
            <w:tcW w:w="2158" w:type="dxa"/>
            <w:tcBorders>
              <w:left w:val="nil"/>
              <w:right w:val="nil"/>
            </w:tcBorders>
          </w:tcPr>
          <w:p>
            <w:pPr>
              <w:pStyle w:val="TableParagraph"/>
              <w:spacing w:line="230" w:lineRule="exact"/>
              <w:ind w:left="729" w:right="753"/>
              <w:rPr>
                <w:sz w:val="20"/>
              </w:rPr>
            </w:pPr>
            <w:r>
              <w:rPr>
                <w:sz w:val="20"/>
              </w:rPr>
              <w:t>0(0)</w:t>
            </w:r>
          </w:p>
        </w:tc>
        <w:tc>
          <w:tcPr>
            <w:tcW w:w="2190" w:type="dxa"/>
            <w:tcBorders>
              <w:left w:val="nil"/>
            </w:tcBorders>
          </w:tcPr>
          <w:p>
            <w:pPr>
              <w:pStyle w:val="TableParagraph"/>
              <w:spacing w:line="230" w:lineRule="exact"/>
              <w:ind w:left="833"/>
              <w:jc w:val="left"/>
              <w:rPr>
                <w:sz w:val="20"/>
              </w:rPr>
            </w:pPr>
            <w:r>
              <w:rPr>
                <w:sz w:val="20"/>
              </w:rPr>
              <w:t>1(5.9)</w:t>
            </w:r>
          </w:p>
        </w:tc>
      </w:tr>
      <w:tr>
        <w:trPr>
          <w:trHeight w:val="394" w:hRule="exact"/>
        </w:trPr>
        <w:tc>
          <w:tcPr>
            <w:tcW w:w="2269" w:type="dxa"/>
            <w:tcBorders>
              <w:right w:val="nil"/>
            </w:tcBorders>
          </w:tcPr>
          <w:p>
            <w:pPr>
              <w:pStyle w:val="TableParagraph"/>
              <w:spacing w:line="227" w:lineRule="exact"/>
              <w:jc w:val="left"/>
              <w:rPr>
                <w:b/>
                <w:sz w:val="20"/>
              </w:rPr>
            </w:pPr>
            <w:r>
              <w:rPr>
                <w:b/>
                <w:sz w:val="20"/>
              </w:rPr>
              <w:t>Gentamicina</w:t>
            </w:r>
          </w:p>
        </w:tc>
        <w:tc>
          <w:tcPr>
            <w:tcW w:w="2212" w:type="dxa"/>
            <w:tcBorders>
              <w:left w:val="nil"/>
              <w:right w:val="nil"/>
            </w:tcBorders>
          </w:tcPr>
          <w:p>
            <w:pPr>
              <w:pStyle w:val="TableParagraph"/>
              <w:spacing w:line="230" w:lineRule="exact"/>
              <w:ind w:left="0" w:right="747"/>
              <w:jc w:val="right"/>
              <w:rPr>
                <w:sz w:val="20"/>
              </w:rPr>
            </w:pPr>
            <w:r>
              <w:rPr>
                <w:sz w:val="20"/>
              </w:rPr>
              <w:t>14(82.3)</w:t>
            </w:r>
          </w:p>
        </w:tc>
        <w:tc>
          <w:tcPr>
            <w:tcW w:w="2158" w:type="dxa"/>
            <w:tcBorders>
              <w:left w:val="nil"/>
              <w:right w:val="nil"/>
            </w:tcBorders>
          </w:tcPr>
          <w:p>
            <w:pPr>
              <w:pStyle w:val="TableParagraph"/>
              <w:spacing w:line="230" w:lineRule="exact"/>
              <w:ind w:left="729" w:right="753"/>
              <w:rPr>
                <w:sz w:val="20"/>
              </w:rPr>
            </w:pPr>
            <w:r>
              <w:rPr>
                <w:sz w:val="20"/>
              </w:rPr>
              <w:t>0(0)</w:t>
            </w:r>
          </w:p>
        </w:tc>
        <w:tc>
          <w:tcPr>
            <w:tcW w:w="2190" w:type="dxa"/>
            <w:tcBorders>
              <w:left w:val="nil"/>
            </w:tcBorders>
          </w:tcPr>
          <w:p>
            <w:pPr>
              <w:pStyle w:val="TableParagraph"/>
              <w:spacing w:line="230" w:lineRule="exact"/>
              <w:ind w:left="778"/>
              <w:jc w:val="left"/>
              <w:rPr>
                <w:sz w:val="20"/>
              </w:rPr>
            </w:pPr>
            <w:r>
              <w:rPr>
                <w:sz w:val="20"/>
              </w:rPr>
              <w:t>3(17.6)</w:t>
            </w:r>
          </w:p>
        </w:tc>
      </w:tr>
      <w:tr>
        <w:trPr>
          <w:trHeight w:val="396" w:hRule="exact"/>
        </w:trPr>
        <w:tc>
          <w:tcPr>
            <w:tcW w:w="2269" w:type="dxa"/>
            <w:tcBorders>
              <w:right w:val="nil"/>
            </w:tcBorders>
          </w:tcPr>
          <w:p>
            <w:pPr>
              <w:pStyle w:val="TableParagraph"/>
              <w:spacing w:line="227" w:lineRule="exact"/>
              <w:jc w:val="left"/>
              <w:rPr>
                <w:b/>
                <w:sz w:val="20"/>
              </w:rPr>
            </w:pPr>
            <w:r>
              <w:rPr>
                <w:b/>
                <w:sz w:val="20"/>
              </w:rPr>
              <w:t>Eritromicina</w:t>
            </w:r>
          </w:p>
        </w:tc>
        <w:tc>
          <w:tcPr>
            <w:tcW w:w="2212" w:type="dxa"/>
            <w:tcBorders>
              <w:left w:val="nil"/>
              <w:right w:val="nil"/>
            </w:tcBorders>
          </w:tcPr>
          <w:p>
            <w:pPr>
              <w:pStyle w:val="TableParagraph"/>
              <w:spacing w:line="230" w:lineRule="exact"/>
              <w:ind w:left="839" w:right="866"/>
              <w:rPr>
                <w:sz w:val="20"/>
              </w:rPr>
            </w:pPr>
            <w:r>
              <w:rPr>
                <w:sz w:val="20"/>
              </w:rPr>
              <w:t>9(53)</w:t>
            </w:r>
          </w:p>
        </w:tc>
        <w:tc>
          <w:tcPr>
            <w:tcW w:w="2158" w:type="dxa"/>
            <w:tcBorders>
              <w:left w:val="nil"/>
              <w:right w:val="nil"/>
            </w:tcBorders>
          </w:tcPr>
          <w:p>
            <w:pPr>
              <w:pStyle w:val="TableParagraph"/>
              <w:spacing w:line="230" w:lineRule="exact"/>
              <w:ind w:left="729" w:right="755"/>
              <w:rPr>
                <w:sz w:val="20"/>
              </w:rPr>
            </w:pPr>
            <w:r>
              <w:rPr>
                <w:sz w:val="20"/>
              </w:rPr>
              <w:t>6(35.3)</w:t>
            </w:r>
          </w:p>
        </w:tc>
        <w:tc>
          <w:tcPr>
            <w:tcW w:w="2190" w:type="dxa"/>
            <w:tcBorders>
              <w:left w:val="nil"/>
            </w:tcBorders>
          </w:tcPr>
          <w:p>
            <w:pPr>
              <w:pStyle w:val="TableParagraph"/>
              <w:spacing w:line="230" w:lineRule="exact"/>
              <w:ind w:left="785"/>
              <w:jc w:val="left"/>
              <w:rPr>
                <w:sz w:val="20"/>
              </w:rPr>
            </w:pPr>
            <w:r>
              <w:rPr>
                <w:sz w:val="20"/>
              </w:rPr>
              <w:t>2(11.7)</w:t>
            </w:r>
          </w:p>
        </w:tc>
      </w:tr>
      <w:tr>
        <w:trPr>
          <w:trHeight w:val="394" w:hRule="exact"/>
        </w:trPr>
        <w:tc>
          <w:tcPr>
            <w:tcW w:w="2269" w:type="dxa"/>
            <w:tcBorders>
              <w:right w:val="nil"/>
            </w:tcBorders>
          </w:tcPr>
          <w:p>
            <w:pPr>
              <w:pStyle w:val="TableParagraph"/>
              <w:spacing w:line="227" w:lineRule="exact"/>
              <w:jc w:val="left"/>
              <w:rPr>
                <w:b/>
                <w:sz w:val="20"/>
              </w:rPr>
            </w:pPr>
            <w:r>
              <w:rPr>
                <w:b/>
                <w:sz w:val="20"/>
              </w:rPr>
              <w:t>Tetraciclina</w:t>
            </w:r>
          </w:p>
        </w:tc>
        <w:tc>
          <w:tcPr>
            <w:tcW w:w="2212" w:type="dxa"/>
            <w:tcBorders>
              <w:left w:val="nil"/>
              <w:right w:val="nil"/>
            </w:tcBorders>
          </w:tcPr>
          <w:p>
            <w:pPr>
              <w:pStyle w:val="TableParagraph"/>
              <w:spacing w:line="230" w:lineRule="exact"/>
              <w:ind w:left="0" w:right="805"/>
              <w:jc w:val="right"/>
              <w:rPr>
                <w:sz w:val="20"/>
              </w:rPr>
            </w:pPr>
            <w:r>
              <w:rPr>
                <w:sz w:val="20"/>
              </w:rPr>
              <w:t>16 (94)</w:t>
            </w:r>
          </w:p>
        </w:tc>
        <w:tc>
          <w:tcPr>
            <w:tcW w:w="2158" w:type="dxa"/>
            <w:tcBorders>
              <w:left w:val="nil"/>
              <w:right w:val="nil"/>
            </w:tcBorders>
          </w:tcPr>
          <w:p>
            <w:pPr>
              <w:pStyle w:val="TableParagraph"/>
              <w:spacing w:line="230" w:lineRule="exact"/>
              <w:ind w:left="729" w:right="753"/>
              <w:rPr>
                <w:sz w:val="20"/>
              </w:rPr>
            </w:pPr>
            <w:r>
              <w:rPr>
                <w:sz w:val="20"/>
              </w:rPr>
              <w:t>0(0)</w:t>
            </w:r>
          </w:p>
        </w:tc>
        <w:tc>
          <w:tcPr>
            <w:tcW w:w="2190" w:type="dxa"/>
            <w:tcBorders>
              <w:left w:val="nil"/>
            </w:tcBorders>
          </w:tcPr>
          <w:p>
            <w:pPr>
              <w:pStyle w:val="TableParagraph"/>
              <w:spacing w:line="230" w:lineRule="exact"/>
              <w:ind w:left="833"/>
              <w:jc w:val="left"/>
              <w:rPr>
                <w:sz w:val="20"/>
              </w:rPr>
            </w:pPr>
            <w:r>
              <w:rPr>
                <w:sz w:val="20"/>
              </w:rPr>
              <w:t>1(5.9)</w:t>
            </w:r>
          </w:p>
        </w:tc>
      </w:tr>
      <w:tr>
        <w:trPr>
          <w:trHeight w:val="660" w:hRule="exact"/>
        </w:trPr>
        <w:tc>
          <w:tcPr>
            <w:tcW w:w="2269" w:type="dxa"/>
            <w:tcBorders>
              <w:right w:val="nil"/>
            </w:tcBorders>
          </w:tcPr>
          <w:p>
            <w:pPr>
              <w:pStyle w:val="TableParagraph"/>
              <w:spacing w:line="276" w:lineRule="auto"/>
              <w:jc w:val="left"/>
              <w:rPr>
                <w:b/>
                <w:sz w:val="20"/>
              </w:rPr>
            </w:pPr>
            <w:r>
              <w:rPr>
                <w:b/>
                <w:sz w:val="20"/>
              </w:rPr>
              <w:t>Trimetoprim- </w:t>
            </w:r>
            <w:r>
              <w:rPr>
                <w:b/>
                <w:w w:val="95"/>
                <w:sz w:val="20"/>
              </w:rPr>
              <w:t>sulfametoxazol</w:t>
            </w:r>
          </w:p>
        </w:tc>
        <w:tc>
          <w:tcPr>
            <w:tcW w:w="2212" w:type="dxa"/>
            <w:tcBorders>
              <w:left w:val="nil"/>
              <w:right w:val="nil"/>
            </w:tcBorders>
          </w:tcPr>
          <w:p>
            <w:pPr>
              <w:pStyle w:val="TableParagraph"/>
              <w:spacing w:line="230" w:lineRule="exact"/>
              <w:ind w:left="0" w:right="805"/>
              <w:jc w:val="right"/>
              <w:rPr>
                <w:sz w:val="20"/>
              </w:rPr>
            </w:pPr>
            <w:r>
              <w:rPr>
                <w:sz w:val="20"/>
              </w:rPr>
              <w:t>16 (94)</w:t>
            </w:r>
          </w:p>
        </w:tc>
        <w:tc>
          <w:tcPr>
            <w:tcW w:w="2158" w:type="dxa"/>
            <w:tcBorders>
              <w:left w:val="nil"/>
              <w:right w:val="nil"/>
            </w:tcBorders>
          </w:tcPr>
          <w:p>
            <w:pPr>
              <w:pStyle w:val="TableParagraph"/>
              <w:spacing w:line="230" w:lineRule="exact"/>
              <w:ind w:left="729" w:right="753"/>
              <w:rPr>
                <w:sz w:val="20"/>
              </w:rPr>
            </w:pPr>
            <w:r>
              <w:rPr>
                <w:sz w:val="20"/>
              </w:rPr>
              <w:t>0(0)</w:t>
            </w:r>
          </w:p>
        </w:tc>
        <w:tc>
          <w:tcPr>
            <w:tcW w:w="2190" w:type="dxa"/>
            <w:tcBorders>
              <w:left w:val="nil"/>
            </w:tcBorders>
          </w:tcPr>
          <w:p>
            <w:pPr>
              <w:pStyle w:val="TableParagraph"/>
              <w:spacing w:line="230" w:lineRule="exact"/>
              <w:ind w:left="833"/>
              <w:jc w:val="left"/>
              <w:rPr>
                <w:sz w:val="20"/>
              </w:rPr>
            </w:pPr>
            <w:r>
              <w:rPr>
                <w:sz w:val="20"/>
              </w:rPr>
              <w:t>1(5.9)</w:t>
            </w:r>
          </w:p>
        </w:tc>
      </w:tr>
    </w:tbl>
    <w:p>
      <w:pPr>
        <w:pStyle w:val="BodyText"/>
        <w:rPr>
          <w:sz w:val="20"/>
        </w:rPr>
      </w:pPr>
    </w:p>
    <w:p>
      <w:pPr>
        <w:pStyle w:val="BodyText"/>
        <w:rPr>
          <w:sz w:val="20"/>
        </w:rPr>
      </w:pPr>
    </w:p>
    <w:p>
      <w:pPr>
        <w:spacing w:line="259" w:lineRule="auto" w:before="213"/>
        <w:ind w:left="142" w:right="1487" w:firstLine="0"/>
        <w:jc w:val="left"/>
        <w:rPr>
          <w:sz w:val="24"/>
        </w:rPr>
      </w:pPr>
      <w:r>
        <w:rPr>
          <w:sz w:val="24"/>
        </w:rPr>
        <w:t>Gráfica 3: Sensibilidad </w:t>
      </w:r>
      <w:r>
        <w:rPr>
          <w:i/>
          <w:sz w:val="24"/>
        </w:rPr>
        <w:t>in vitro </w:t>
      </w:r>
      <w:r>
        <w:rPr>
          <w:sz w:val="24"/>
        </w:rPr>
        <w:t>de aislamientos de </w:t>
      </w:r>
      <w:r>
        <w:rPr>
          <w:i/>
          <w:sz w:val="24"/>
        </w:rPr>
        <w:t>Staphylococcus aureus </w:t>
      </w:r>
      <w:r>
        <w:rPr>
          <w:sz w:val="24"/>
        </w:rPr>
        <w:t>a diferentes antibióticos.</w:t>
      </w:r>
    </w:p>
    <w:p>
      <w:pPr>
        <w:pStyle w:val="BodyText"/>
        <w:spacing w:before="1"/>
        <w:rPr>
          <w:sz w:val="17"/>
        </w:rPr>
      </w:pPr>
      <w:r>
        <w:rPr/>
        <w:pict>
          <v:group style="position:absolute;margin-left:84.705002pt;margin-top:11.799533pt;width:469.6pt;height:256.95pt;mso-position-horizontal-relative:page;mso-position-vertical-relative:paragraph;z-index:2440;mso-wrap-distance-left:0;mso-wrap-distance-right:0" coordorigin="1694,236" coordsize="9392,5139">
            <v:shape style="position:absolute;left:2657;top:1033;width:7817;height:1951" type="#_x0000_t75" stroked="false">
              <v:imagedata r:id="rId56" o:title=""/>
            </v:shape>
            <v:shape style="position:absolute;left:2464;top:3107;width:7489;height:1600" type="#_x0000_t75" stroked="false">
              <v:imagedata r:id="rId57" o:title=""/>
            </v:shape>
            <v:shape style="position:absolute;left:2482;top:5024;width:110;height:110" type="#_x0000_t75" stroked="false">
              <v:imagedata r:id="rId58" o:title=""/>
            </v:shape>
            <v:shape style="position:absolute;left:5090;top:5024;width:110;height:110" type="#_x0000_t75" stroked="false">
              <v:imagedata r:id="rId59" o:title=""/>
            </v:shape>
            <v:shape style="position:absolute;left:7920;top:5024;width:113;height:110" type="#_x0000_t75" stroked="false">
              <v:imagedata r:id="rId60" o:title=""/>
            </v:shape>
            <v:rect style="position:absolute;left:1702;top:243;width:9377;height:5124" filled="false" stroked="true" strokeweight=".72pt" strokecolor="#d9d9d9"/>
            <v:shape style="position:absolute;left:4468;top:460;width:3843;height:320" type="#_x0000_t202" filled="false" stroked="false">
              <v:textbox inset="0,0,0,0">
                <w:txbxContent>
                  <w:p>
                    <w:pPr>
                      <w:spacing w:line="320" w:lineRule="exact" w:before="0"/>
                      <w:ind w:left="0" w:right="-8" w:firstLine="0"/>
                      <w:jc w:val="left"/>
                      <w:rPr>
                        <w:rFonts w:ascii="Calibri" w:hAnsi="Calibri"/>
                        <w:b/>
                        <w:sz w:val="32"/>
                      </w:rPr>
                    </w:pPr>
                    <w:r>
                      <w:rPr>
                        <w:rFonts w:ascii="Calibri" w:hAnsi="Calibri"/>
                        <w:b/>
                        <w:color w:val="585858"/>
                        <w:sz w:val="32"/>
                      </w:rPr>
                      <w:t>Resistencia a antibióticos</w:t>
                    </w:r>
                    <w:r>
                      <w:rPr>
                        <w:rFonts w:ascii="Calibri" w:hAnsi="Calibri"/>
                        <w:b/>
                        <w:color w:val="585858"/>
                        <w:spacing w:val="-31"/>
                        <w:sz w:val="32"/>
                      </w:rPr>
                      <w:t> </w:t>
                    </w:r>
                    <w:r>
                      <w:rPr>
                        <w:rFonts w:ascii="Calibri" w:hAnsi="Calibri"/>
                        <w:b/>
                        <w:color w:val="585858"/>
                        <w:sz w:val="32"/>
                      </w:rPr>
                      <w:t>(%)</w:t>
                    </w:r>
                  </w:p>
                </w:txbxContent>
              </v:textbox>
              <w10:wrap type="none"/>
            </v:shape>
            <v:shape style="position:absolute;left:2253;top:1168;width:274;height:1887" type="#_x0000_t202" filled="false" stroked="false">
              <v:textbox inset="0,0,0,0">
                <w:txbxContent>
                  <w:p>
                    <w:pPr>
                      <w:spacing w:line="159" w:lineRule="exact" w:before="0"/>
                      <w:ind w:left="0" w:right="0" w:firstLine="0"/>
                      <w:jc w:val="center"/>
                      <w:rPr>
                        <w:rFonts w:ascii="Calibri"/>
                        <w:sz w:val="18"/>
                      </w:rPr>
                    </w:pPr>
                    <w:r>
                      <w:rPr>
                        <w:rFonts w:ascii="Calibri"/>
                        <w:color w:val="585858"/>
                        <w:sz w:val="18"/>
                      </w:rPr>
                      <w:t>100</w:t>
                    </w:r>
                  </w:p>
                  <w:p>
                    <w:pPr>
                      <w:spacing w:line="171" w:lineRule="exact" w:before="0"/>
                      <w:ind w:left="91" w:right="-20" w:firstLine="0"/>
                      <w:jc w:val="left"/>
                      <w:rPr>
                        <w:rFonts w:ascii="Calibri"/>
                        <w:sz w:val="18"/>
                      </w:rPr>
                    </w:pPr>
                    <w:r>
                      <w:rPr>
                        <w:rFonts w:ascii="Calibri"/>
                        <w:color w:val="585858"/>
                        <w:sz w:val="18"/>
                      </w:rPr>
                      <w:t>90</w:t>
                    </w:r>
                  </w:p>
                  <w:p>
                    <w:pPr>
                      <w:spacing w:line="171" w:lineRule="exact" w:before="0"/>
                      <w:ind w:left="91" w:right="-20" w:firstLine="0"/>
                      <w:jc w:val="left"/>
                      <w:rPr>
                        <w:rFonts w:ascii="Calibri"/>
                        <w:sz w:val="18"/>
                      </w:rPr>
                    </w:pPr>
                    <w:r>
                      <w:rPr>
                        <w:rFonts w:ascii="Calibri"/>
                        <w:color w:val="585858"/>
                        <w:sz w:val="18"/>
                      </w:rPr>
                      <w:t>80</w:t>
                    </w:r>
                  </w:p>
                  <w:p>
                    <w:pPr>
                      <w:spacing w:line="171" w:lineRule="exact" w:before="0"/>
                      <w:ind w:left="91" w:right="-20" w:firstLine="0"/>
                      <w:jc w:val="left"/>
                      <w:rPr>
                        <w:rFonts w:ascii="Calibri"/>
                        <w:sz w:val="18"/>
                      </w:rPr>
                    </w:pPr>
                    <w:r>
                      <w:rPr>
                        <w:rFonts w:ascii="Calibri"/>
                        <w:color w:val="585858"/>
                        <w:sz w:val="18"/>
                      </w:rPr>
                      <w:t>70</w:t>
                    </w:r>
                  </w:p>
                  <w:p>
                    <w:pPr>
                      <w:spacing w:line="171" w:lineRule="exact" w:before="0"/>
                      <w:ind w:left="91" w:right="-20" w:firstLine="0"/>
                      <w:jc w:val="left"/>
                      <w:rPr>
                        <w:rFonts w:ascii="Calibri"/>
                        <w:sz w:val="18"/>
                      </w:rPr>
                    </w:pPr>
                    <w:r>
                      <w:rPr>
                        <w:rFonts w:ascii="Calibri"/>
                        <w:color w:val="585858"/>
                        <w:sz w:val="18"/>
                      </w:rPr>
                      <w:t>60</w:t>
                    </w:r>
                  </w:p>
                  <w:p>
                    <w:pPr>
                      <w:spacing w:line="171" w:lineRule="exact" w:before="0"/>
                      <w:ind w:left="91" w:right="-20" w:firstLine="0"/>
                      <w:jc w:val="left"/>
                      <w:rPr>
                        <w:rFonts w:ascii="Calibri"/>
                        <w:sz w:val="18"/>
                      </w:rPr>
                    </w:pPr>
                    <w:r>
                      <w:rPr>
                        <w:rFonts w:ascii="Calibri"/>
                        <w:color w:val="585858"/>
                        <w:sz w:val="18"/>
                      </w:rPr>
                      <w:t>50</w:t>
                    </w:r>
                  </w:p>
                  <w:p>
                    <w:pPr>
                      <w:spacing w:line="170" w:lineRule="exact" w:before="0"/>
                      <w:ind w:left="91" w:right="-20" w:firstLine="0"/>
                      <w:jc w:val="left"/>
                      <w:rPr>
                        <w:rFonts w:ascii="Calibri"/>
                        <w:sz w:val="18"/>
                      </w:rPr>
                    </w:pPr>
                    <w:r>
                      <w:rPr>
                        <w:rFonts w:ascii="Calibri"/>
                        <w:color w:val="585858"/>
                        <w:sz w:val="18"/>
                      </w:rPr>
                      <w:t>40</w:t>
                    </w:r>
                  </w:p>
                  <w:p>
                    <w:pPr>
                      <w:spacing w:line="171" w:lineRule="exact" w:before="0"/>
                      <w:ind w:left="91" w:right="-20" w:firstLine="0"/>
                      <w:jc w:val="left"/>
                      <w:rPr>
                        <w:rFonts w:ascii="Calibri"/>
                        <w:sz w:val="18"/>
                      </w:rPr>
                    </w:pPr>
                    <w:r>
                      <w:rPr>
                        <w:rFonts w:ascii="Calibri"/>
                        <w:color w:val="585858"/>
                        <w:sz w:val="18"/>
                      </w:rPr>
                      <w:t>30</w:t>
                    </w:r>
                  </w:p>
                  <w:p>
                    <w:pPr>
                      <w:spacing w:line="171" w:lineRule="exact" w:before="0"/>
                      <w:ind w:left="91" w:right="-20" w:firstLine="0"/>
                      <w:jc w:val="left"/>
                      <w:rPr>
                        <w:rFonts w:ascii="Calibri"/>
                        <w:sz w:val="18"/>
                      </w:rPr>
                    </w:pPr>
                    <w:r>
                      <w:rPr>
                        <w:rFonts w:ascii="Calibri"/>
                        <w:color w:val="585858"/>
                        <w:sz w:val="18"/>
                      </w:rPr>
                      <w:t>20</w:t>
                    </w:r>
                  </w:p>
                  <w:p>
                    <w:pPr>
                      <w:spacing w:line="171" w:lineRule="exact" w:before="0"/>
                      <w:ind w:left="91" w:right="-20" w:firstLine="0"/>
                      <w:jc w:val="left"/>
                      <w:rPr>
                        <w:rFonts w:ascii="Calibri"/>
                        <w:sz w:val="18"/>
                      </w:rPr>
                    </w:pPr>
                    <w:r>
                      <w:rPr>
                        <w:rFonts w:ascii="Calibri"/>
                        <w:color w:val="585858"/>
                        <w:sz w:val="18"/>
                      </w:rPr>
                      <w:t>10</w:t>
                    </w:r>
                  </w:p>
                  <w:p>
                    <w:pPr>
                      <w:spacing w:line="192" w:lineRule="exact" w:before="0"/>
                      <w:ind w:left="182" w:right="0" w:firstLine="0"/>
                      <w:jc w:val="center"/>
                      <w:rPr>
                        <w:rFonts w:ascii="Calibri"/>
                        <w:sz w:val="18"/>
                      </w:rPr>
                    </w:pPr>
                    <w:r>
                      <w:rPr>
                        <w:rFonts w:ascii="Calibri"/>
                        <w:color w:val="585858"/>
                        <w:sz w:val="18"/>
                      </w:rPr>
                      <w:t>0</w:t>
                    </w:r>
                  </w:p>
                </w:txbxContent>
              </v:textbox>
              <w10:wrap type="none"/>
            </v:shape>
            <v:shape style="position:absolute;left:3461;top:1231;width:320;height:382" type="#_x0000_t202" filled="false" stroked="false">
              <v:textbox inset="0,0,0,0">
                <w:txbxContent>
                  <w:p>
                    <w:pPr>
                      <w:spacing w:line="174" w:lineRule="exact" w:before="0"/>
                      <w:ind w:left="0" w:right="-20" w:firstLine="0"/>
                      <w:jc w:val="left"/>
                      <w:rPr>
                        <w:rFonts w:ascii="Calibri"/>
                        <w:sz w:val="18"/>
                      </w:rPr>
                    </w:pPr>
                    <w:r>
                      <w:rPr>
                        <w:rFonts w:ascii="Calibri"/>
                        <w:color w:val="404040"/>
                        <w:sz w:val="18"/>
                      </w:rPr>
                      <w:t>11.8</w:t>
                    </w:r>
                  </w:p>
                  <w:p>
                    <w:pPr>
                      <w:spacing w:line="207" w:lineRule="exact" w:before="0"/>
                      <w:ind w:left="0" w:right="-20" w:firstLine="0"/>
                      <w:jc w:val="left"/>
                      <w:rPr>
                        <w:rFonts w:ascii="Calibri"/>
                        <w:sz w:val="18"/>
                      </w:rPr>
                    </w:pPr>
                    <w:r>
                      <w:rPr>
                        <w:rFonts w:ascii="Calibri"/>
                        <w:color w:val="404040"/>
                        <w:sz w:val="18"/>
                      </w:rPr>
                      <w:t>11.8</w:t>
                    </w:r>
                  </w:p>
                </w:txbxContent>
              </v:textbox>
              <w10:wrap type="none"/>
            </v:shape>
            <v:shape style="position:absolute;left:4039;top:1224;width:3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11.8</w:t>
                    </w:r>
                  </w:p>
                </w:txbxContent>
              </v:textbox>
              <w10:wrap type="none"/>
            </v:shape>
            <v:shape style="position:absolute;left:4152;top:1324;width:92;height:180" type="#_x0000_t202" filled="false" stroked="false">
              <v:textbox inset="0,0,0,0">
                <w:txbxContent>
                  <w:p>
                    <w:pPr>
                      <w:spacing w:line="180" w:lineRule="exact" w:before="0"/>
                      <w:ind w:left="0" w:right="0" w:firstLine="0"/>
                      <w:jc w:val="left"/>
                      <w:rPr>
                        <w:rFonts w:ascii="Calibri"/>
                        <w:sz w:val="18"/>
                      </w:rPr>
                    </w:pPr>
                    <w:r>
                      <w:rPr>
                        <w:rFonts w:ascii="Calibri"/>
                        <w:color w:val="404040"/>
                        <w:sz w:val="18"/>
                      </w:rPr>
                      <w:t>0</w:t>
                    </w:r>
                  </w:p>
                </w:txbxContent>
              </v:textbox>
              <w10:wrap type="none"/>
            </v:shape>
            <v:shape style="position:absolute;left:6930;top:1225;width:320;height:431" type="#_x0000_t202" filled="false" stroked="false">
              <v:textbox inset="0,0,0,0">
                <w:txbxContent>
                  <w:p>
                    <w:pPr>
                      <w:spacing w:line="183" w:lineRule="exact" w:before="0"/>
                      <w:ind w:left="0" w:right="-20" w:firstLine="0"/>
                      <w:jc w:val="left"/>
                      <w:rPr>
                        <w:rFonts w:ascii="Calibri"/>
                        <w:sz w:val="18"/>
                      </w:rPr>
                    </w:pPr>
                    <w:r>
                      <w:rPr>
                        <w:rFonts w:ascii="Calibri"/>
                        <w:color w:val="404040"/>
                        <w:sz w:val="18"/>
                      </w:rPr>
                      <w:t>11.8</w:t>
                    </w:r>
                  </w:p>
                  <w:p>
                    <w:pPr>
                      <w:spacing w:line="216" w:lineRule="exact" w:before="31"/>
                      <w:ind w:left="0" w:right="-20" w:firstLine="0"/>
                      <w:jc w:val="left"/>
                      <w:rPr>
                        <w:rFonts w:ascii="Calibri"/>
                        <w:sz w:val="18"/>
                      </w:rPr>
                    </w:pPr>
                    <w:r>
                      <w:rPr>
                        <w:rFonts w:ascii="Calibri"/>
                        <w:color w:val="404040"/>
                        <w:sz w:val="18"/>
                      </w:rPr>
                      <w:t>17.6</w:t>
                    </w:r>
                  </w:p>
                </w:txbxContent>
              </v:textbox>
              <w10:wrap type="none"/>
            </v:shape>
            <v:shape style="position:absolute;left:7554;top:1175;width:228;height:231" type="#_x0000_t202" filled="false" stroked="false">
              <v:textbox inset="0,0,0,0">
                <w:txbxContent>
                  <w:p>
                    <w:pPr>
                      <w:spacing w:line="230" w:lineRule="exact" w:before="0"/>
                      <w:ind w:left="0" w:right="-16" w:firstLine="0"/>
                      <w:jc w:val="left"/>
                      <w:rPr>
                        <w:rFonts w:ascii="Calibri"/>
                        <w:sz w:val="18"/>
                      </w:rPr>
                    </w:pPr>
                    <w:r>
                      <w:rPr>
                        <w:rFonts w:ascii="Calibri"/>
                        <w:color w:val="404040"/>
                        <w:spacing w:val="-24"/>
                        <w:sz w:val="18"/>
                      </w:rPr>
                      <w:t>5</w:t>
                    </w:r>
                    <w:r>
                      <w:rPr>
                        <w:rFonts w:ascii="Calibri"/>
                        <w:color w:val="404040"/>
                        <w:spacing w:val="-24"/>
                        <w:position w:val="-4"/>
                        <w:sz w:val="18"/>
                      </w:rPr>
                      <w:t>0</w:t>
                    </w:r>
                    <w:r>
                      <w:rPr>
                        <w:rFonts w:ascii="Calibri"/>
                        <w:color w:val="404040"/>
                        <w:spacing w:val="-24"/>
                        <w:sz w:val="18"/>
                      </w:rPr>
                      <w:t>.9</w:t>
                    </w:r>
                  </w:p>
                </w:txbxContent>
              </v:textbox>
              <w10:wrap type="none"/>
            </v:shape>
            <v:shape style="position:absolute;left:8087;top:1275;width:321;height:331" type="#_x0000_t202" filled="false" stroked="false">
              <v:textbox inset="0,0,0,0">
                <w:txbxContent>
                  <w:p>
                    <w:pPr>
                      <w:spacing w:line="149" w:lineRule="exact" w:before="0"/>
                      <w:ind w:left="-1" w:right="0" w:firstLine="0"/>
                      <w:jc w:val="center"/>
                      <w:rPr>
                        <w:rFonts w:ascii="Calibri"/>
                        <w:sz w:val="18"/>
                      </w:rPr>
                    </w:pPr>
                    <w:r>
                      <w:rPr>
                        <w:rFonts w:ascii="Calibri"/>
                        <w:color w:val="404040"/>
                        <w:sz w:val="18"/>
                      </w:rPr>
                      <w:t>17.6</w:t>
                    </w:r>
                  </w:p>
                  <w:p>
                    <w:pPr>
                      <w:spacing w:line="182" w:lineRule="exact" w:before="0"/>
                      <w:ind w:left="0" w:right="2" w:firstLine="0"/>
                      <w:jc w:val="center"/>
                      <w:rPr>
                        <w:rFonts w:ascii="Calibri"/>
                        <w:sz w:val="18"/>
                      </w:rPr>
                    </w:pPr>
                    <w:r>
                      <w:rPr>
                        <w:rFonts w:ascii="Calibri"/>
                        <w:color w:val="404040"/>
                        <w:sz w:val="18"/>
                      </w:rPr>
                      <w:t>0</w:t>
                    </w:r>
                  </w:p>
                </w:txbxContent>
              </v:textbox>
              <w10:wrap type="none"/>
            </v:shape>
            <v:shape style="position:absolute;left:8665;top:1223;width:3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11.7</w:t>
                    </w:r>
                  </w:p>
                </w:txbxContent>
              </v:textbox>
              <w10:wrap type="none"/>
            </v:shape>
            <v:shape style="position:absolute;left:9289;top:1175;width:808;height:231" type="#_x0000_t202" filled="false" stroked="false">
              <v:textbox inset="0,0,0,0">
                <w:txbxContent>
                  <w:p>
                    <w:pPr>
                      <w:tabs>
                        <w:tab w:pos="577" w:val="left" w:leader="none"/>
                      </w:tabs>
                      <w:spacing w:line="230" w:lineRule="exact" w:before="0"/>
                      <w:ind w:left="0" w:right="0" w:firstLine="0"/>
                      <w:jc w:val="left"/>
                      <w:rPr>
                        <w:rFonts w:ascii="Calibri"/>
                        <w:sz w:val="18"/>
                      </w:rPr>
                    </w:pPr>
                    <w:r>
                      <w:rPr>
                        <w:rFonts w:ascii="Calibri"/>
                        <w:color w:val="404040"/>
                        <w:spacing w:val="-24"/>
                        <w:sz w:val="18"/>
                      </w:rPr>
                      <w:t>5</w:t>
                    </w:r>
                    <w:r>
                      <w:rPr>
                        <w:rFonts w:ascii="Calibri"/>
                        <w:color w:val="404040"/>
                        <w:spacing w:val="-24"/>
                        <w:position w:val="-4"/>
                        <w:sz w:val="18"/>
                      </w:rPr>
                      <w:t>0</w:t>
                    </w:r>
                    <w:r>
                      <w:rPr>
                        <w:rFonts w:ascii="Calibri"/>
                        <w:color w:val="404040"/>
                        <w:spacing w:val="-24"/>
                        <w:sz w:val="18"/>
                      </w:rPr>
                      <w:t>.9</w:t>
                      <w:tab/>
                    </w:r>
                    <w:r>
                      <w:rPr>
                        <w:rFonts w:ascii="Calibri"/>
                        <w:color w:val="404040"/>
                        <w:spacing w:val="-23"/>
                        <w:sz w:val="18"/>
                      </w:rPr>
                      <w:t>5</w:t>
                    </w:r>
                    <w:r>
                      <w:rPr>
                        <w:rFonts w:ascii="Calibri"/>
                        <w:color w:val="404040"/>
                        <w:spacing w:val="-23"/>
                        <w:position w:val="-4"/>
                        <w:sz w:val="18"/>
                      </w:rPr>
                      <w:t>0</w:t>
                    </w:r>
                    <w:r>
                      <w:rPr>
                        <w:rFonts w:ascii="Calibri"/>
                        <w:color w:val="404040"/>
                        <w:spacing w:val="-23"/>
                        <w:sz w:val="18"/>
                      </w:rPr>
                      <w:t>.9</w:t>
                    </w:r>
                  </w:p>
                </w:txbxContent>
              </v:textbox>
              <w10:wrap type="none"/>
            </v:shape>
            <v:shape style="position:absolute;left:5263;top:1575;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53</w:t>
                    </w:r>
                  </w:p>
                </w:txbxContent>
              </v:textbox>
              <w10:wrap type="none"/>
            </v:shape>
            <v:shape style="position:absolute;left:5774;top:1625;width:3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58.8</w:t>
                    </w:r>
                  </w:p>
                </w:txbxContent>
              </v:textbox>
              <w10:wrap type="none"/>
            </v:shape>
            <v:shape style="position:absolute;left:8665;top:1624;width:3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35.3</w:t>
                    </w:r>
                  </w:p>
                </w:txbxContent>
              </v:textbox>
              <w10:wrap type="none"/>
            </v:shape>
            <v:shape style="position:absolute;left:2904;top:1976;width:274;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100</w:t>
                    </w:r>
                  </w:p>
                </w:txbxContent>
              </v:textbox>
              <w10:wrap type="none"/>
            </v:shape>
            <v:shape style="position:absolute;left:4685;top:1927;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94</w:t>
                    </w:r>
                  </w:p>
                </w:txbxContent>
              </v:textbox>
              <w10:wrap type="none"/>
            </v:shape>
            <v:shape style="position:absolute;left:5308;top:2027;width:92;height:180" type="#_x0000_t202" filled="false" stroked="false">
              <v:textbox inset="0,0,0,0">
                <w:txbxContent>
                  <w:p>
                    <w:pPr>
                      <w:spacing w:line="180" w:lineRule="exact" w:before="0"/>
                      <w:ind w:left="0" w:right="0" w:firstLine="0"/>
                      <w:jc w:val="left"/>
                      <w:rPr>
                        <w:rFonts w:ascii="Calibri"/>
                        <w:sz w:val="18"/>
                      </w:rPr>
                    </w:pPr>
                    <w:r>
                      <w:rPr>
                        <w:rFonts w:ascii="Calibri"/>
                        <w:color w:val="404040"/>
                        <w:sz w:val="18"/>
                      </w:rPr>
                      <w:t>0</w:t>
                    </w:r>
                  </w:p>
                </w:txbxContent>
              </v:textbox>
              <w10:wrap type="none"/>
            </v:shape>
            <v:shape style="position:absolute;left:6419;top:1927;width:184;height:180" type="#_x0000_t202" filled="false" stroked="false">
              <v:textbox inset="0,0,0,0">
                <w:txbxContent>
                  <w:p>
                    <w:pPr>
                      <w:spacing w:line="180" w:lineRule="exact" w:before="0"/>
                      <w:ind w:left="0" w:right="-19" w:firstLine="0"/>
                      <w:jc w:val="left"/>
                      <w:rPr>
                        <w:rFonts w:ascii="Calibri"/>
                        <w:sz w:val="18"/>
                      </w:rPr>
                    </w:pPr>
                    <w:r>
                      <w:rPr>
                        <w:rFonts w:ascii="Calibri"/>
                        <w:color w:val="404040"/>
                        <w:sz w:val="18"/>
                      </w:rPr>
                      <w:t>94</w:t>
                    </w:r>
                  </w:p>
                </w:txbxContent>
              </v:textbox>
              <w10:wrap type="none"/>
            </v:shape>
            <v:shape style="position:absolute;left:7576;top:2027;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94</w:t>
                    </w:r>
                  </w:p>
                </w:txbxContent>
              </v:textbox>
              <w10:wrap type="none"/>
            </v:shape>
            <v:shape style="position:absolute;left:9311;top:2027;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94</w:t>
                    </w:r>
                  </w:p>
                </w:txbxContent>
              </v:textbox>
              <w10:wrap type="none"/>
            </v:shape>
            <v:shape style="position:absolute;left:3528;top:2181;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76</w:t>
                    </w:r>
                  </w:p>
                </w:txbxContent>
              </v:textbox>
              <w10:wrap type="none"/>
            </v:shape>
            <v:shape style="position:absolute;left:4039;top:2077;width:3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88.2</w:t>
                    </w:r>
                  </w:p>
                </w:txbxContent>
              </v:textbox>
              <w10:wrap type="none"/>
            </v:shape>
            <v:shape style="position:absolute;left:8087;top:2127;width:321;height:180" type="#_x0000_t202" filled="false" stroked="false">
              <v:textbox inset="0,0,0,0">
                <w:txbxContent>
                  <w:p>
                    <w:pPr>
                      <w:spacing w:line="180" w:lineRule="exact" w:before="0"/>
                      <w:ind w:left="0" w:right="-19" w:firstLine="0"/>
                      <w:jc w:val="left"/>
                      <w:rPr>
                        <w:rFonts w:ascii="Calibri"/>
                        <w:sz w:val="18"/>
                      </w:rPr>
                    </w:pPr>
                    <w:r>
                      <w:rPr>
                        <w:rFonts w:ascii="Calibri"/>
                        <w:color w:val="404040"/>
                        <w:sz w:val="18"/>
                      </w:rPr>
                      <w:t>82.3</w:t>
                    </w:r>
                  </w:p>
                </w:txbxContent>
              </v:textbox>
              <w10:wrap type="none"/>
            </v:shape>
            <v:shape style="position:absolute;left:9888;top:2027;width:184;height:180" type="#_x0000_t202" filled="false" stroked="false">
              <v:textbox inset="0,0,0,0">
                <w:txbxContent>
                  <w:p>
                    <w:pPr>
                      <w:spacing w:line="180" w:lineRule="exact" w:before="0"/>
                      <w:ind w:left="0" w:right="-19" w:firstLine="0"/>
                      <w:jc w:val="left"/>
                      <w:rPr>
                        <w:rFonts w:ascii="Calibri"/>
                        <w:sz w:val="18"/>
                      </w:rPr>
                    </w:pPr>
                    <w:r>
                      <w:rPr>
                        <w:rFonts w:ascii="Calibri"/>
                        <w:color w:val="404040"/>
                        <w:sz w:val="18"/>
                      </w:rPr>
                      <w:t>94</w:t>
                    </w:r>
                  </w:p>
                </w:txbxContent>
              </v:textbox>
              <w10:wrap type="none"/>
            </v:shape>
            <v:shape style="position:absolute;left:5263;top:2428;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47</w:t>
                    </w:r>
                  </w:p>
                </w:txbxContent>
              </v:textbox>
              <w10:wrap type="none"/>
            </v:shape>
            <v:shape style="position:absolute;left:5774;top:2177;width:320;height:532" type="#_x0000_t202" filled="false" stroked="false">
              <v:textbox inset="0,0,0,0">
                <w:txbxContent>
                  <w:p>
                    <w:pPr>
                      <w:spacing w:line="183" w:lineRule="exact" w:before="0"/>
                      <w:ind w:left="45" w:right="-20" w:firstLine="0"/>
                      <w:jc w:val="left"/>
                      <w:rPr>
                        <w:rFonts w:ascii="Calibri"/>
                        <w:sz w:val="18"/>
                      </w:rPr>
                    </w:pPr>
                    <w:r>
                      <w:rPr>
                        <w:rFonts w:ascii="Calibri"/>
                        <w:color w:val="404040"/>
                        <w:sz w:val="18"/>
                      </w:rPr>
                      <w:t>5.9</w:t>
                    </w:r>
                  </w:p>
                  <w:p>
                    <w:pPr>
                      <w:spacing w:line="216" w:lineRule="exact" w:before="131"/>
                      <w:ind w:left="0" w:right="-20" w:firstLine="0"/>
                      <w:jc w:val="left"/>
                      <w:rPr>
                        <w:rFonts w:ascii="Calibri"/>
                        <w:sz w:val="18"/>
                      </w:rPr>
                    </w:pPr>
                    <w:r>
                      <w:rPr>
                        <w:rFonts w:ascii="Calibri"/>
                        <w:color w:val="404040"/>
                        <w:sz w:val="18"/>
                      </w:rPr>
                      <w:t>35.3</w:t>
                    </w:r>
                  </w:p>
                </w:txbxContent>
              </v:textbox>
              <w10:wrap type="none"/>
            </v:shape>
            <v:shape style="position:absolute;left:6930;top:2228;width:3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70.5</w:t>
                    </w:r>
                  </w:p>
                </w:txbxContent>
              </v:textbox>
              <w10:wrap type="none"/>
            </v:shape>
            <v:shape style="position:absolute;left:8732;top:2377;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53</w:t>
                    </w:r>
                  </w:p>
                </w:txbxContent>
              </v:textbox>
              <w10:wrap type="none"/>
            </v:shape>
            <v:shape style="position:absolute;left:2996;top:2829;width:92;height:180" type="#_x0000_t202" filled="false" stroked="false">
              <v:textbox inset="0,0,0,0">
                <w:txbxContent>
                  <w:p>
                    <w:pPr>
                      <w:spacing w:line="180" w:lineRule="exact" w:before="0"/>
                      <w:ind w:left="0" w:right="0" w:firstLine="0"/>
                      <w:jc w:val="left"/>
                      <w:rPr>
                        <w:rFonts w:ascii="Calibri"/>
                        <w:sz w:val="18"/>
                      </w:rPr>
                    </w:pPr>
                    <w:r>
                      <w:rPr>
                        <w:rFonts w:ascii="Calibri"/>
                        <w:color w:val="404040"/>
                        <w:sz w:val="18"/>
                      </w:rPr>
                      <w:t>0</w:t>
                    </w:r>
                  </w:p>
                </w:txbxContent>
              </v:textbox>
              <w10:wrap type="none"/>
            </v:shape>
            <v:shape style="position:absolute;left:4663;top:2728;width:228;height:231" type="#_x0000_t202" filled="false" stroked="false">
              <v:textbox inset="0,0,0,0">
                <w:txbxContent>
                  <w:p>
                    <w:pPr>
                      <w:spacing w:line="231" w:lineRule="exact" w:before="0"/>
                      <w:ind w:left="0" w:right="-16" w:firstLine="0"/>
                      <w:jc w:val="left"/>
                      <w:rPr>
                        <w:rFonts w:ascii="Calibri"/>
                        <w:sz w:val="18"/>
                      </w:rPr>
                    </w:pPr>
                    <w:r>
                      <w:rPr>
                        <w:rFonts w:ascii="Calibri"/>
                        <w:color w:val="404040"/>
                        <w:spacing w:val="-24"/>
                        <w:sz w:val="18"/>
                      </w:rPr>
                      <w:t>5</w:t>
                    </w:r>
                    <w:r>
                      <w:rPr>
                        <w:rFonts w:ascii="Calibri"/>
                        <w:color w:val="404040"/>
                        <w:spacing w:val="-24"/>
                        <w:position w:val="5"/>
                        <w:sz w:val="18"/>
                      </w:rPr>
                      <w:t>0</w:t>
                    </w:r>
                    <w:r>
                      <w:rPr>
                        <w:rFonts w:ascii="Calibri"/>
                        <w:color w:val="404040"/>
                        <w:spacing w:val="-24"/>
                        <w:sz w:val="18"/>
                      </w:rPr>
                      <w:t>.9</w:t>
                    </w:r>
                  </w:p>
                </w:txbxContent>
              </v:textbox>
              <w10:wrap type="none"/>
            </v:shape>
            <v:shape style="position:absolute;left:6397;top:2728;width:230;height:231" type="#_x0000_t202" filled="false" stroked="false">
              <v:textbox inset="0,0,0,0">
                <w:txbxContent>
                  <w:p>
                    <w:pPr>
                      <w:spacing w:line="231" w:lineRule="exact" w:before="0"/>
                      <w:ind w:left="0" w:right="-18" w:firstLine="0"/>
                      <w:jc w:val="left"/>
                      <w:rPr>
                        <w:rFonts w:ascii="Calibri"/>
                        <w:sz w:val="18"/>
                      </w:rPr>
                    </w:pPr>
                    <w:r>
                      <w:rPr>
                        <w:rFonts w:ascii="Calibri"/>
                        <w:color w:val="404040"/>
                        <w:spacing w:val="-23"/>
                        <w:sz w:val="18"/>
                      </w:rPr>
                      <w:t>5</w:t>
                    </w:r>
                    <w:r>
                      <w:rPr>
                        <w:rFonts w:ascii="Calibri"/>
                        <w:color w:val="404040"/>
                        <w:spacing w:val="-23"/>
                        <w:position w:val="5"/>
                        <w:sz w:val="18"/>
                      </w:rPr>
                      <w:t>0</w:t>
                    </w:r>
                    <w:r>
                      <w:rPr>
                        <w:rFonts w:ascii="Calibri"/>
                        <w:color w:val="404040"/>
                        <w:spacing w:val="-23"/>
                        <w:sz w:val="18"/>
                      </w:rPr>
                      <w:t>.9</w:t>
                    </w:r>
                  </w:p>
                </w:txbxContent>
              </v:textbox>
              <w10:wrap type="none"/>
            </v:shape>
            <v:shape style="position:absolute;left:2629;top:4996;width:2157;height:180" type="#_x0000_t202" filled="false" stroked="false">
              <v:textbox inset="0,0,0,0">
                <w:txbxContent>
                  <w:p>
                    <w:pPr>
                      <w:spacing w:line="180" w:lineRule="exact" w:before="0"/>
                      <w:ind w:left="0" w:right="-12" w:firstLine="0"/>
                      <w:jc w:val="left"/>
                      <w:rPr>
                        <w:rFonts w:ascii="Calibri"/>
                        <w:sz w:val="18"/>
                      </w:rPr>
                    </w:pPr>
                    <w:r>
                      <w:rPr>
                        <w:rFonts w:ascii="Calibri"/>
                        <w:color w:val="585858"/>
                        <w:sz w:val="18"/>
                      </w:rPr>
                      <w:t>No.(%) aislamientos</w:t>
                    </w:r>
                    <w:r>
                      <w:rPr>
                        <w:rFonts w:ascii="Calibri"/>
                        <w:color w:val="585858"/>
                        <w:spacing w:val="-10"/>
                        <w:sz w:val="18"/>
                      </w:rPr>
                      <w:t> </w:t>
                    </w:r>
                    <w:r>
                      <w:rPr>
                        <w:rFonts w:ascii="Calibri"/>
                        <w:color w:val="585858"/>
                        <w:sz w:val="18"/>
                      </w:rPr>
                      <w:t>sensibles</w:t>
                    </w:r>
                  </w:p>
                </w:txbxContent>
              </v:textbox>
              <w10:wrap type="none"/>
            </v:shape>
            <v:shape style="position:absolute;left:5239;top:4996;width:2378;height:180" type="#_x0000_t202" filled="false" stroked="false">
              <v:textbox inset="0,0,0,0">
                <w:txbxContent>
                  <w:p>
                    <w:pPr>
                      <w:spacing w:line="180" w:lineRule="exact" w:before="0"/>
                      <w:ind w:left="0" w:right="-11" w:firstLine="0"/>
                      <w:jc w:val="left"/>
                      <w:rPr>
                        <w:rFonts w:ascii="Calibri"/>
                        <w:sz w:val="18"/>
                      </w:rPr>
                    </w:pPr>
                    <w:r>
                      <w:rPr>
                        <w:rFonts w:ascii="Calibri"/>
                        <w:color w:val="585858"/>
                        <w:sz w:val="18"/>
                      </w:rPr>
                      <w:t>No.(%) aislamientos</w:t>
                    </w:r>
                    <w:r>
                      <w:rPr>
                        <w:rFonts w:ascii="Calibri"/>
                        <w:color w:val="585858"/>
                        <w:spacing w:val="-11"/>
                        <w:sz w:val="18"/>
                      </w:rPr>
                      <w:t> </w:t>
                    </w:r>
                    <w:r>
                      <w:rPr>
                        <w:rFonts w:ascii="Calibri"/>
                        <w:color w:val="585858"/>
                        <w:sz w:val="18"/>
                      </w:rPr>
                      <w:t>intermedios</w:t>
                    </w:r>
                  </w:p>
                </w:txbxContent>
              </v:textbox>
              <w10:wrap type="none"/>
            </v:shape>
            <v:shape style="position:absolute;left:8069;top:4996;width:2294;height:180" type="#_x0000_t202" filled="false" stroked="false">
              <v:textbox inset="0,0,0,0">
                <w:txbxContent>
                  <w:p>
                    <w:pPr>
                      <w:spacing w:line="180" w:lineRule="exact" w:before="0"/>
                      <w:ind w:left="0" w:right="-13" w:firstLine="0"/>
                      <w:jc w:val="left"/>
                      <w:rPr>
                        <w:rFonts w:ascii="Calibri"/>
                        <w:sz w:val="18"/>
                      </w:rPr>
                    </w:pPr>
                    <w:r>
                      <w:rPr>
                        <w:rFonts w:ascii="Calibri"/>
                        <w:color w:val="585858"/>
                        <w:sz w:val="18"/>
                      </w:rPr>
                      <w:t>No.(%) aislamientos</w:t>
                    </w:r>
                    <w:r>
                      <w:rPr>
                        <w:rFonts w:ascii="Calibri"/>
                        <w:color w:val="585858"/>
                        <w:spacing w:val="-9"/>
                        <w:sz w:val="18"/>
                      </w:rPr>
                      <w:t> </w:t>
                    </w:r>
                    <w:r>
                      <w:rPr>
                        <w:rFonts w:ascii="Calibri"/>
                        <w:color w:val="585858"/>
                        <w:sz w:val="18"/>
                      </w:rPr>
                      <w:t>resistentes</w:t>
                    </w:r>
                  </w:p>
                </w:txbxContent>
              </v:textbox>
              <w10:wrap type="none"/>
            </v:shape>
            <w10:wrap type="topAndBottom"/>
          </v:group>
        </w:pict>
      </w:r>
    </w:p>
    <w:p>
      <w:pPr>
        <w:pStyle w:val="BodyText"/>
        <w:spacing w:before="4"/>
        <w:rPr>
          <w:sz w:val="28"/>
        </w:rPr>
      </w:pPr>
    </w:p>
    <w:p>
      <w:pPr>
        <w:pStyle w:val="Heading2"/>
        <w:spacing w:line="276" w:lineRule="auto" w:before="0"/>
        <w:ind w:right="661"/>
        <w:jc w:val="both"/>
      </w:pPr>
      <w:r>
        <w:rPr/>
        <w:t>DETECCIÓN MRSA EN AISLAMIENTOS MEDIANTE LA REACCIÓN EN CADENA DE LA POLIMERASA</w:t>
      </w:r>
    </w:p>
    <w:p>
      <w:pPr>
        <w:pStyle w:val="BodyText"/>
        <w:spacing w:before="8"/>
        <w:rPr>
          <w:b/>
          <w:sz w:val="20"/>
        </w:rPr>
      </w:pPr>
    </w:p>
    <w:p>
      <w:pPr>
        <w:pStyle w:val="BodyText"/>
        <w:spacing w:line="276" w:lineRule="auto"/>
        <w:ind w:left="142" w:right="654"/>
        <w:jc w:val="both"/>
      </w:pPr>
      <w:r>
        <w:rPr/>
        <w:t>Los 17 aislamientos de S. aureus se confirmaron al ser positivos al gen </w:t>
      </w:r>
      <w:r>
        <w:rPr>
          <w:i/>
        </w:rPr>
        <w:t>femB </w:t>
      </w:r>
      <w:r>
        <w:rPr/>
        <w:t>por PCR.</w:t>
      </w:r>
      <w:r>
        <w:rPr>
          <w:spacing w:val="-11"/>
        </w:rPr>
        <w:t> </w:t>
      </w:r>
      <w:r>
        <w:rPr/>
        <w:t>En</w:t>
      </w:r>
      <w:r>
        <w:rPr>
          <w:spacing w:val="-11"/>
        </w:rPr>
        <w:t> </w:t>
      </w:r>
      <w:r>
        <w:rPr/>
        <w:t>ningún</w:t>
      </w:r>
      <w:r>
        <w:rPr>
          <w:spacing w:val="-11"/>
        </w:rPr>
        <w:t> </w:t>
      </w:r>
      <w:r>
        <w:rPr/>
        <w:t>aislamiento</w:t>
      </w:r>
      <w:r>
        <w:rPr>
          <w:spacing w:val="-10"/>
        </w:rPr>
        <w:t> </w:t>
      </w:r>
      <w:r>
        <w:rPr/>
        <w:t>se</w:t>
      </w:r>
      <w:r>
        <w:rPr>
          <w:spacing w:val="-13"/>
        </w:rPr>
        <w:t> </w:t>
      </w:r>
      <w:r>
        <w:rPr/>
        <w:t>detectó</w:t>
      </w:r>
      <w:r>
        <w:rPr>
          <w:spacing w:val="-10"/>
        </w:rPr>
        <w:t> </w:t>
      </w:r>
      <w:r>
        <w:rPr/>
        <w:t>el</w:t>
      </w:r>
      <w:r>
        <w:rPr>
          <w:spacing w:val="-12"/>
        </w:rPr>
        <w:t> </w:t>
      </w:r>
      <w:r>
        <w:rPr/>
        <w:t>gen</w:t>
      </w:r>
      <w:r>
        <w:rPr>
          <w:spacing w:val="-9"/>
        </w:rPr>
        <w:t> </w:t>
      </w:r>
      <w:r>
        <w:rPr>
          <w:i/>
        </w:rPr>
        <w:t>mecA</w:t>
      </w:r>
      <w:r>
        <w:rPr>
          <w:i/>
          <w:spacing w:val="-10"/>
        </w:rPr>
        <w:t> </w:t>
      </w:r>
      <w:r>
        <w:rPr/>
        <w:t>por</w:t>
      </w:r>
      <w:r>
        <w:rPr>
          <w:spacing w:val="-12"/>
        </w:rPr>
        <w:t> </w:t>
      </w:r>
      <w:r>
        <w:rPr/>
        <w:t>lo</w:t>
      </w:r>
      <w:r>
        <w:rPr>
          <w:spacing w:val="-11"/>
        </w:rPr>
        <w:t> </w:t>
      </w:r>
      <w:r>
        <w:rPr/>
        <w:t>que</w:t>
      </w:r>
      <w:r>
        <w:rPr>
          <w:spacing w:val="-11"/>
        </w:rPr>
        <w:t> </w:t>
      </w:r>
      <w:r>
        <w:rPr/>
        <w:t>fueron</w:t>
      </w:r>
      <w:r>
        <w:rPr>
          <w:spacing w:val="-11"/>
        </w:rPr>
        <w:t> </w:t>
      </w:r>
      <w:r>
        <w:rPr/>
        <w:t>considerados como </w:t>
      </w:r>
      <w:r>
        <w:rPr>
          <w:i/>
        </w:rPr>
        <w:t>Staphylococcus aureus </w:t>
      </w:r>
      <w:r>
        <w:rPr/>
        <w:t>sensibles a la meticilina</w:t>
      </w:r>
      <w:r>
        <w:rPr>
          <w:spacing w:val="-15"/>
        </w:rPr>
        <w:t> </w:t>
      </w:r>
      <w:r>
        <w:rPr/>
        <w:t>(MSSA).</w:t>
      </w:r>
    </w:p>
    <w:p>
      <w:pPr>
        <w:spacing w:after="0" w:line="276" w:lineRule="auto"/>
        <w:jc w:val="both"/>
        <w:sectPr>
          <w:pgSz w:w="12240" w:h="15840"/>
          <w:pgMar w:header="728" w:footer="710" w:top="1200" w:bottom="900" w:left="1560" w:right="1040"/>
        </w:sectPr>
      </w:pPr>
    </w:p>
    <w:p>
      <w:pPr>
        <w:pStyle w:val="BodyText"/>
        <w:spacing w:before="4"/>
        <w:rPr>
          <w:sz w:val="12"/>
        </w:rPr>
      </w:pPr>
    </w:p>
    <w:p>
      <w:pPr>
        <w:spacing w:before="70"/>
        <w:ind w:left="142" w:right="1550" w:firstLine="0"/>
        <w:jc w:val="left"/>
        <w:rPr>
          <w:sz w:val="20"/>
        </w:rPr>
      </w:pPr>
      <w:r>
        <w:rPr>
          <w:sz w:val="24"/>
        </w:rPr>
        <w:t>Figura 10: PCR del gen </w:t>
      </w:r>
      <w:r>
        <w:rPr>
          <w:i/>
          <w:sz w:val="24"/>
        </w:rPr>
        <w:t>mecA </w:t>
      </w:r>
      <w:r>
        <w:rPr>
          <w:sz w:val="24"/>
        </w:rPr>
        <w:t>y </w:t>
      </w:r>
      <w:r>
        <w:rPr>
          <w:i/>
          <w:sz w:val="24"/>
        </w:rPr>
        <w:t>femB </w:t>
      </w:r>
      <w:r>
        <w:rPr>
          <w:sz w:val="24"/>
        </w:rPr>
        <w:t>de </w:t>
      </w:r>
      <w:r>
        <w:rPr>
          <w:i/>
          <w:sz w:val="24"/>
        </w:rPr>
        <w:t>S.aureus</w:t>
      </w:r>
      <w:r>
        <w:rPr>
          <w:sz w:val="20"/>
        </w:rPr>
        <w:t>.</w:t>
      </w:r>
    </w:p>
    <w:p>
      <w:pPr>
        <w:pStyle w:val="BodyText"/>
        <w:spacing w:before="4"/>
        <w:rPr>
          <w:sz w:val="16"/>
        </w:rPr>
      </w:pPr>
    </w:p>
    <w:tbl>
      <w:tblPr>
        <w:tblW w:w="0" w:type="auto"/>
        <w:jc w:val="left"/>
        <w:tblInd w:w="92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598"/>
      </w:tblGrid>
      <w:tr>
        <w:trPr>
          <w:trHeight w:val="819" w:hRule="exact"/>
        </w:trPr>
        <w:tc>
          <w:tcPr>
            <w:tcW w:w="7598" w:type="dxa"/>
          </w:tcPr>
          <w:p>
            <w:pPr>
              <w:pStyle w:val="TableParagraph"/>
              <w:tabs>
                <w:tab w:pos="811" w:val="left" w:leader="none"/>
                <w:tab w:pos="1310" w:val="left" w:leader="none"/>
                <w:tab w:pos="1811" w:val="left" w:leader="none"/>
                <w:tab w:pos="2312" w:val="left" w:leader="none"/>
                <w:tab w:pos="2866" w:val="left" w:leader="none"/>
                <w:tab w:pos="3422" w:val="left" w:leader="none"/>
                <w:tab w:pos="3921" w:val="left" w:leader="none"/>
                <w:tab w:pos="4477" w:val="left" w:leader="none"/>
                <w:tab w:pos="4975" w:val="left" w:leader="none"/>
                <w:tab w:pos="5474" w:val="left" w:leader="none"/>
              </w:tabs>
              <w:spacing w:line="204" w:lineRule="exact"/>
              <w:ind w:left="200" w:right="942"/>
              <w:jc w:val="left"/>
              <w:rPr>
                <w:b/>
                <w:sz w:val="20"/>
              </w:rPr>
            </w:pPr>
            <w:r>
              <w:rPr>
                <w:b/>
                <w:sz w:val="20"/>
              </w:rPr>
              <w:t>10</w:t>
              <w:tab/>
              <w:t>9</w:t>
              <w:tab/>
              <w:t>8</w:t>
              <w:tab/>
              <w:t>7</w:t>
              <w:tab/>
              <w:t>6</w:t>
              <w:tab/>
              <w:t>5</w:t>
              <w:tab/>
              <w:t>4</w:t>
              <w:tab/>
              <w:t>3</w:t>
              <w:tab/>
              <w:t>2</w:t>
              <w:tab/>
              <w:t>1</w:t>
              <w:tab/>
              <w:t>M</w:t>
            </w:r>
          </w:p>
        </w:tc>
      </w:tr>
      <w:tr>
        <w:trPr>
          <w:trHeight w:val="1231" w:hRule="exact"/>
        </w:trPr>
        <w:tc>
          <w:tcPr>
            <w:tcW w:w="7598" w:type="dxa"/>
          </w:tcPr>
          <w:p>
            <w:pPr>
              <w:pStyle w:val="TableParagraph"/>
              <w:ind w:left="0"/>
              <w:jc w:val="left"/>
              <w:rPr>
                <w:sz w:val="18"/>
              </w:rPr>
            </w:pPr>
          </w:p>
          <w:p>
            <w:pPr>
              <w:pStyle w:val="TableParagraph"/>
              <w:ind w:left="0"/>
              <w:jc w:val="left"/>
              <w:rPr>
                <w:sz w:val="18"/>
              </w:rPr>
            </w:pPr>
          </w:p>
          <w:p>
            <w:pPr>
              <w:pStyle w:val="TableParagraph"/>
              <w:spacing w:before="10"/>
              <w:ind w:left="0"/>
              <w:jc w:val="left"/>
              <w:rPr>
                <w:sz w:val="15"/>
              </w:rPr>
            </w:pPr>
          </w:p>
          <w:p>
            <w:pPr>
              <w:pStyle w:val="TableParagraph"/>
              <w:spacing w:line="403" w:lineRule="auto"/>
              <w:ind w:left="5865" w:right="942"/>
              <w:jc w:val="left"/>
              <w:rPr>
                <w:sz w:val="18"/>
              </w:rPr>
            </w:pPr>
            <w:r>
              <w:rPr>
                <w:sz w:val="18"/>
              </w:rPr>
              <w:t>gen f</w:t>
            </w:r>
            <w:r>
              <w:rPr>
                <w:i/>
                <w:sz w:val="18"/>
              </w:rPr>
              <w:t>emB </w:t>
            </w:r>
            <w:r>
              <w:rPr>
                <w:sz w:val="18"/>
              </w:rPr>
              <w:t>(651 pb)</w:t>
            </w:r>
          </w:p>
        </w:tc>
      </w:tr>
      <w:tr>
        <w:trPr>
          <w:trHeight w:val="348" w:hRule="exact"/>
        </w:trPr>
        <w:tc>
          <w:tcPr>
            <w:tcW w:w="7598" w:type="dxa"/>
          </w:tcPr>
          <w:p>
            <w:pPr>
              <w:pStyle w:val="TableParagraph"/>
              <w:spacing w:before="60"/>
              <w:ind w:left="0" w:right="198"/>
              <w:jc w:val="right"/>
              <w:rPr>
                <w:sz w:val="18"/>
              </w:rPr>
            </w:pPr>
            <w:r>
              <w:rPr>
                <w:sz w:val="18"/>
              </w:rPr>
              <w:t>gen </w:t>
            </w:r>
            <w:r>
              <w:rPr>
                <w:i/>
                <w:sz w:val="18"/>
              </w:rPr>
              <w:t>mecA </w:t>
            </w:r>
            <w:r>
              <w:rPr>
                <w:sz w:val="18"/>
              </w:rPr>
              <w:t>(533 pb)</w:t>
            </w:r>
          </w:p>
        </w:tc>
      </w:tr>
      <w:tr>
        <w:trPr>
          <w:trHeight w:val="962" w:hRule="exact"/>
        </w:trPr>
        <w:tc>
          <w:tcPr>
            <w:tcW w:w="7598" w:type="dxa"/>
          </w:tcPr>
          <w:p>
            <w:pPr>
              <w:pStyle w:val="TableParagraph"/>
              <w:spacing w:before="62"/>
              <w:ind w:left="0" w:right="1428"/>
              <w:jc w:val="right"/>
              <w:rPr>
                <w:sz w:val="18"/>
              </w:rPr>
            </w:pPr>
            <w:r>
              <w:rPr>
                <w:w w:val="95"/>
                <w:sz w:val="18"/>
              </w:rPr>
              <w:t>700</w:t>
            </w:r>
          </w:p>
          <w:p>
            <w:pPr>
              <w:pStyle w:val="TableParagraph"/>
              <w:spacing w:before="141"/>
              <w:ind w:left="0" w:right="1428"/>
              <w:jc w:val="right"/>
              <w:rPr>
                <w:sz w:val="18"/>
              </w:rPr>
            </w:pPr>
            <w:r>
              <w:rPr>
                <w:w w:val="95"/>
                <w:sz w:val="18"/>
              </w:rPr>
              <w:t>500</w:t>
            </w:r>
          </w:p>
          <w:p>
            <w:pPr>
              <w:pStyle w:val="TableParagraph"/>
              <w:spacing w:before="141"/>
              <w:ind w:left="0" w:right="1428"/>
              <w:jc w:val="right"/>
              <w:rPr>
                <w:sz w:val="18"/>
              </w:rPr>
            </w:pPr>
            <w:r>
              <w:rPr>
                <w:w w:val="95"/>
                <w:sz w:val="18"/>
              </w:rPr>
              <w:t>400</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8"/>
        </w:rPr>
      </w:pPr>
    </w:p>
    <w:p>
      <w:pPr>
        <w:spacing w:line="273" w:lineRule="auto" w:before="0"/>
        <w:ind w:left="142" w:right="145" w:firstLine="0"/>
        <w:jc w:val="both"/>
        <w:rPr>
          <w:i/>
          <w:sz w:val="20"/>
        </w:rPr>
      </w:pPr>
      <w:r>
        <w:rPr/>
        <w:pict>
          <v:group style="position:absolute;margin-left:122.040001pt;margin-top:-214.590118pt;width:283.55pt;height:192.15pt;mso-position-horizontal-relative:page;mso-position-vertical-relative:paragraph;z-index:-214984" coordorigin="2441,-4292" coordsize="5671,3843">
            <v:shape style="position:absolute;left:2441;top:-4292;width:5554;height:3842" type="#_x0000_t75" stroked="false">
              <v:imagedata r:id="rId61" o:title=""/>
            </v:shape>
            <v:shape style="position:absolute;left:7226;top:-3169;width:885;height:932" coordorigin="7226,-3169" coordsize="885,932" path="m7346,-2357l7226,-2297,7346,-2237,7346,-2287,7326,-2287,7326,-2307,7346,-2307,7346,-2357xm7346,-2307l7326,-2307,7326,-2287,7346,-2287,7346,-2307xm7659,-2307l7346,-2307,7346,-2287,7679,-2287,7679,-2297,7659,-2297,7659,-2307xm7991,-3119l7659,-3119,7659,-2297,7669,-2307,7679,-2307,7679,-3099,7669,-3099,7679,-3109,7991,-3109,7991,-3119xm7679,-2307l7669,-2307,7659,-2297,7679,-2297,7679,-2307xm7991,-3169l7991,-3049,8091,-3099,8011,-3099,8011,-3119,8091,-3119,7991,-3169xm7679,-3109l7669,-3099,7679,-3099,7679,-3109xm7991,-3109l7679,-3109,7679,-3099,7991,-3099,7991,-3109xm8091,-3119l8011,-3119,8011,-3099,8091,-3099,8111,-3109,8091,-3119xe" filled="true" fillcolor="#5b9bd4" stroked="false">
              <v:path arrowok="t"/>
              <v:fill type="solid"/>
            </v:shape>
            <v:shape style="position:absolute;left:7315;top:-2669;width:794;height:727" coordorigin="7315,-2669" coordsize="794,727" path="m7435,-2062l7315,-2002,7435,-1942,7435,-1992,7415,-1992,7415,-2012,7435,-2012,7435,-2062xm7435,-2012l7415,-2012,7415,-1992,7435,-1992,7435,-2012xm7702,-2012l7435,-2012,7435,-1992,7722,-1992,7722,-2002,7702,-2002,7702,-2012xm7989,-2619l7702,-2619,7702,-2002,7712,-2012,7722,-2012,7722,-2599,7712,-2599,7722,-2609,7989,-2609,7989,-2619xm7722,-2012l7712,-2012,7702,-2002,7722,-2002,7722,-2012xm7989,-2669l7989,-2549,8089,-2599,8009,-2599,8009,-2619,8089,-2619,7989,-2669xm7722,-2609l7712,-2599,7722,-2599,7722,-2609xm7989,-2609l7722,-2609,7722,-2599,7989,-2599,7989,-2609xm8089,-2619l8009,-2619,8009,-2599,8089,-2599,8109,-2609,8089,-2619xe" filled="true" fillcolor="#ff0000" stroked="false">
              <v:path arrowok="t"/>
              <v:fill type="solid"/>
            </v:shape>
            <w10:wrap type="none"/>
          </v:group>
        </w:pict>
      </w:r>
      <w:r>
        <w:rPr>
          <w:sz w:val="20"/>
        </w:rPr>
        <w:t>El</w:t>
      </w:r>
      <w:r>
        <w:rPr>
          <w:spacing w:val="-10"/>
          <w:sz w:val="20"/>
        </w:rPr>
        <w:t> </w:t>
      </w:r>
      <w:r>
        <w:rPr>
          <w:sz w:val="20"/>
        </w:rPr>
        <w:t>carril</w:t>
      </w:r>
      <w:r>
        <w:rPr>
          <w:spacing w:val="-8"/>
          <w:sz w:val="20"/>
        </w:rPr>
        <w:t> </w:t>
      </w:r>
      <w:r>
        <w:rPr>
          <w:sz w:val="20"/>
        </w:rPr>
        <w:t>M</w:t>
      </w:r>
      <w:r>
        <w:rPr>
          <w:spacing w:val="-9"/>
          <w:sz w:val="20"/>
        </w:rPr>
        <w:t> </w:t>
      </w:r>
      <w:r>
        <w:rPr>
          <w:sz w:val="20"/>
        </w:rPr>
        <w:t>es</w:t>
      </w:r>
      <w:r>
        <w:rPr>
          <w:spacing w:val="-6"/>
          <w:sz w:val="20"/>
        </w:rPr>
        <w:t> </w:t>
      </w:r>
      <w:r>
        <w:rPr>
          <w:sz w:val="20"/>
        </w:rPr>
        <w:t>el</w:t>
      </w:r>
      <w:r>
        <w:rPr>
          <w:spacing w:val="-8"/>
          <w:sz w:val="20"/>
        </w:rPr>
        <w:t> </w:t>
      </w:r>
      <w:r>
        <w:rPr>
          <w:sz w:val="20"/>
        </w:rPr>
        <w:t>marcador</w:t>
      </w:r>
      <w:r>
        <w:rPr>
          <w:spacing w:val="-8"/>
          <w:sz w:val="20"/>
        </w:rPr>
        <w:t> </w:t>
      </w:r>
      <w:r>
        <w:rPr>
          <w:sz w:val="20"/>
        </w:rPr>
        <w:t>de</w:t>
      </w:r>
      <w:r>
        <w:rPr>
          <w:spacing w:val="-10"/>
          <w:sz w:val="20"/>
        </w:rPr>
        <w:t> </w:t>
      </w:r>
      <w:r>
        <w:rPr>
          <w:sz w:val="20"/>
        </w:rPr>
        <w:t>peso</w:t>
      </w:r>
      <w:r>
        <w:rPr>
          <w:spacing w:val="-7"/>
          <w:sz w:val="20"/>
        </w:rPr>
        <w:t> </w:t>
      </w:r>
      <w:r>
        <w:rPr>
          <w:sz w:val="20"/>
        </w:rPr>
        <w:t>molecular;</w:t>
      </w:r>
      <w:r>
        <w:rPr>
          <w:spacing w:val="-6"/>
          <w:sz w:val="20"/>
        </w:rPr>
        <w:t> </w:t>
      </w:r>
      <w:r>
        <w:rPr>
          <w:sz w:val="20"/>
        </w:rPr>
        <w:t>carril</w:t>
      </w:r>
      <w:r>
        <w:rPr>
          <w:spacing w:val="-8"/>
          <w:sz w:val="20"/>
        </w:rPr>
        <w:t> </w:t>
      </w:r>
      <w:r>
        <w:rPr>
          <w:sz w:val="20"/>
        </w:rPr>
        <w:t>1</w:t>
      </w:r>
      <w:r>
        <w:rPr>
          <w:spacing w:val="-9"/>
          <w:sz w:val="20"/>
        </w:rPr>
        <w:t> </w:t>
      </w:r>
      <w:r>
        <w:rPr>
          <w:sz w:val="20"/>
        </w:rPr>
        <w:t>cepa</w:t>
      </w:r>
      <w:r>
        <w:rPr>
          <w:spacing w:val="-9"/>
          <w:sz w:val="20"/>
        </w:rPr>
        <w:t> </w:t>
      </w:r>
      <w:r>
        <w:rPr>
          <w:sz w:val="20"/>
        </w:rPr>
        <w:t>control</w:t>
      </w:r>
      <w:r>
        <w:rPr>
          <w:spacing w:val="-10"/>
          <w:sz w:val="20"/>
        </w:rPr>
        <w:t> </w:t>
      </w:r>
      <w:r>
        <w:rPr>
          <w:sz w:val="20"/>
        </w:rPr>
        <w:t>positiva</w:t>
      </w:r>
      <w:r>
        <w:rPr>
          <w:spacing w:val="-7"/>
          <w:sz w:val="20"/>
        </w:rPr>
        <w:t> </w:t>
      </w:r>
      <w:r>
        <w:rPr>
          <w:sz w:val="20"/>
        </w:rPr>
        <w:t>ATCC</w:t>
      </w:r>
      <w:r>
        <w:rPr>
          <w:spacing w:val="-6"/>
          <w:sz w:val="20"/>
        </w:rPr>
        <w:t> </w:t>
      </w:r>
      <w:r>
        <w:rPr>
          <w:sz w:val="20"/>
        </w:rPr>
        <w:t>43300;</w:t>
      </w:r>
      <w:r>
        <w:rPr>
          <w:spacing w:val="-10"/>
          <w:sz w:val="20"/>
        </w:rPr>
        <w:t> </w:t>
      </w:r>
      <w:r>
        <w:rPr>
          <w:sz w:val="20"/>
        </w:rPr>
        <w:t>carril</w:t>
      </w:r>
      <w:r>
        <w:rPr>
          <w:spacing w:val="-8"/>
          <w:sz w:val="20"/>
        </w:rPr>
        <w:t> </w:t>
      </w:r>
      <w:r>
        <w:rPr>
          <w:sz w:val="20"/>
        </w:rPr>
        <w:t>2</w:t>
      </w:r>
      <w:r>
        <w:rPr>
          <w:spacing w:val="-9"/>
          <w:sz w:val="20"/>
        </w:rPr>
        <w:t> </w:t>
      </w:r>
      <w:r>
        <w:rPr>
          <w:sz w:val="20"/>
        </w:rPr>
        <w:t>cepa control negativa ATCC 12228, carril 3-10 aislamientos positivos al gen</w:t>
      </w:r>
      <w:r>
        <w:rPr>
          <w:spacing w:val="-18"/>
          <w:sz w:val="20"/>
        </w:rPr>
        <w:t> </w:t>
      </w:r>
      <w:r>
        <w:rPr>
          <w:i/>
          <w:sz w:val="20"/>
        </w:rPr>
        <w:t>femB.</w:t>
      </w:r>
    </w:p>
    <w:p>
      <w:pPr>
        <w:pStyle w:val="BodyText"/>
        <w:spacing w:before="10"/>
        <w:rPr>
          <w:i/>
          <w:sz w:val="20"/>
        </w:rPr>
      </w:pPr>
    </w:p>
    <w:p>
      <w:pPr>
        <w:spacing w:before="0"/>
        <w:ind w:left="142" w:right="0" w:firstLine="0"/>
        <w:jc w:val="both"/>
        <w:rPr>
          <w:b/>
          <w:i/>
          <w:sz w:val="20"/>
        </w:rPr>
      </w:pPr>
      <w:r>
        <w:rPr>
          <w:b/>
          <w:sz w:val="20"/>
        </w:rPr>
        <w:t>Biotipificación de los aislamientos de </w:t>
      </w:r>
      <w:r>
        <w:rPr>
          <w:b/>
          <w:i/>
          <w:sz w:val="20"/>
        </w:rPr>
        <w:t>S. aureus</w:t>
      </w:r>
    </w:p>
    <w:p>
      <w:pPr>
        <w:pStyle w:val="BodyText"/>
        <w:rPr>
          <w:b/>
          <w:i/>
          <w:sz w:val="20"/>
        </w:rPr>
      </w:pPr>
    </w:p>
    <w:p>
      <w:pPr>
        <w:pStyle w:val="BodyText"/>
        <w:spacing w:line="276" w:lineRule="auto" w:before="127"/>
        <w:ind w:left="142" w:right="140"/>
        <w:jc w:val="both"/>
      </w:pPr>
      <w:r>
        <w:rPr/>
        <w:t>Del total de asilamientos </w:t>
      </w:r>
      <w:r>
        <w:rPr>
          <w:i/>
        </w:rPr>
        <w:t>de S. aureus </w:t>
      </w:r>
      <w:r>
        <w:rPr/>
        <w:t>4(23.5%) fueron del ecovar humano, 2(11.8%) fueron del ecovar aves de corral, 0(0%) de ecovar bovino, 1(5.9%) pertenecieron al ecovar ovino, finalmente 10(58.8%) no tuvieron hospedero específico como se muestra en el cuadro 23.</w:t>
      </w:r>
    </w:p>
    <w:p>
      <w:pPr>
        <w:pStyle w:val="BodyText"/>
        <w:spacing w:before="10"/>
        <w:rPr>
          <w:sz w:val="20"/>
        </w:rPr>
      </w:pPr>
    </w:p>
    <w:p>
      <w:pPr>
        <w:spacing w:before="0"/>
        <w:ind w:left="142" w:right="0" w:firstLine="0"/>
        <w:jc w:val="both"/>
        <w:rPr>
          <w:i/>
          <w:sz w:val="24"/>
        </w:rPr>
      </w:pPr>
      <w:r>
        <w:rPr>
          <w:sz w:val="24"/>
        </w:rPr>
        <w:t>Cuadro 23: Biotipos de aislamientos de </w:t>
      </w:r>
      <w:r>
        <w:rPr>
          <w:i/>
          <w:sz w:val="24"/>
        </w:rPr>
        <w:t>S. aureus.</w:t>
      </w:r>
    </w:p>
    <w:p>
      <w:pPr>
        <w:pStyle w:val="BodyText"/>
        <w:spacing w:before="4"/>
        <w:rPr>
          <w:i/>
          <w:sz w:val="14"/>
        </w:rPr>
      </w:pPr>
    </w:p>
    <w:tbl>
      <w:tblPr>
        <w:tblW w:w="0" w:type="auto"/>
        <w:jc w:val="left"/>
        <w:tblInd w:w="22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31"/>
        <w:gridCol w:w="2328"/>
      </w:tblGrid>
      <w:tr>
        <w:trPr>
          <w:trHeight w:val="394" w:hRule="exact"/>
        </w:trPr>
        <w:tc>
          <w:tcPr>
            <w:tcW w:w="2331" w:type="dxa"/>
            <w:shd w:val="clear" w:color="auto" w:fill="A6A6A6"/>
          </w:tcPr>
          <w:p>
            <w:pPr>
              <w:pStyle w:val="TableParagraph"/>
              <w:spacing w:line="227" w:lineRule="exact"/>
              <w:ind w:left="794" w:right="797"/>
              <w:rPr>
                <w:b/>
                <w:sz w:val="20"/>
              </w:rPr>
            </w:pPr>
            <w:r>
              <w:rPr>
                <w:b/>
                <w:color w:val="FFFFFF"/>
                <w:sz w:val="20"/>
              </w:rPr>
              <w:t>Biotipo</w:t>
            </w:r>
          </w:p>
        </w:tc>
        <w:tc>
          <w:tcPr>
            <w:tcW w:w="2328" w:type="dxa"/>
            <w:shd w:val="clear" w:color="auto" w:fill="A6A6A6"/>
          </w:tcPr>
          <w:p>
            <w:pPr>
              <w:pStyle w:val="TableParagraph"/>
              <w:spacing w:line="227" w:lineRule="exact"/>
              <w:ind w:left="139" w:right="149"/>
              <w:rPr>
                <w:b/>
                <w:sz w:val="20"/>
              </w:rPr>
            </w:pPr>
            <w:r>
              <w:rPr>
                <w:b/>
                <w:color w:val="FFFFFF"/>
                <w:sz w:val="20"/>
              </w:rPr>
              <w:t>Aislamientos (No./%)</w:t>
            </w:r>
          </w:p>
        </w:tc>
      </w:tr>
      <w:tr>
        <w:trPr>
          <w:trHeight w:val="396" w:hRule="exact"/>
        </w:trPr>
        <w:tc>
          <w:tcPr>
            <w:tcW w:w="2331" w:type="dxa"/>
          </w:tcPr>
          <w:p>
            <w:pPr>
              <w:pStyle w:val="TableParagraph"/>
              <w:spacing w:line="230" w:lineRule="exact"/>
              <w:ind w:right="107"/>
              <w:jc w:val="left"/>
              <w:rPr>
                <w:sz w:val="20"/>
              </w:rPr>
            </w:pPr>
            <w:r>
              <w:rPr>
                <w:sz w:val="20"/>
              </w:rPr>
              <w:t>Ecovar humano β+</w:t>
            </w:r>
          </w:p>
        </w:tc>
        <w:tc>
          <w:tcPr>
            <w:tcW w:w="2328" w:type="dxa"/>
          </w:tcPr>
          <w:p>
            <w:pPr>
              <w:pStyle w:val="TableParagraph"/>
              <w:spacing w:line="227" w:lineRule="exact"/>
              <w:ind w:left="139" w:right="143"/>
              <w:rPr>
                <w:b/>
                <w:sz w:val="20"/>
              </w:rPr>
            </w:pPr>
            <w:r>
              <w:rPr>
                <w:b/>
                <w:sz w:val="20"/>
              </w:rPr>
              <w:t>4/23.5</w:t>
            </w:r>
          </w:p>
        </w:tc>
      </w:tr>
      <w:tr>
        <w:trPr>
          <w:trHeight w:val="394" w:hRule="exact"/>
        </w:trPr>
        <w:tc>
          <w:tcPr>
            <w:tcW w:w="2331" w:type="dxa"/>
          </w:tcPr>
          <w:p>
            <w:pPr>
              <w:pStyle w:val="TableParagraph"/>
              <w:spacing w:line="230" w:lineRule="exact"/>
              <w:ind w:right="107"/>
              <w:jc w:val="left"/>
              <w:rPr>
                <w:sz w:val="20"/>
              </w:rPr>
            </w:pPr>
            <w:r>
              <w:rPr>
                <w:sz w:val="20"/>
              </w:rPr>
              <w:t>Ecovar aves de corral</w:t>
            </w:r>
          </w:p>
        </w:tc>
        <w:tc>
          <w:tcPr>
            <w:tcW w:w="2328" w:type="dxa"/>
          </w:tcPr>
          <w:p>
            <w:pPr>
              <w:pStyle w:val="TableParagraph"/>
              <w:spacing w:line="227" w:lineRule="exact"/>
              <w:ind w:left="139" w:right="145"/>
              <w:rPr>
                <w:b/>
                <w:sz w:val="20"/>
              </w:rPr>
            </w:pPr>
            <w:r>
              <w:rPr>
                <w:b/>
                <w:sz w:val="20"/>
              </w:rPr>
              <w:t>2/11.8</w:t>
            </w:r>
          </w:p>
        </w:tc>
      </w:tr>
      <w:tr>
        <w:trPr>
          <w:trHeight w:val="394" w:hRule="exact"/>
        </w:trPr>
        <w:tc>
          <w:tcPr>
            <w:tcW w:w="2331" w:type="dxa"/>
          </w:tcPr>
          <w:p>
            <w:pPr>
              <w:pStyle w:val="TableParagraph"/>
              <w:ind w:right="107"/>
              <w:jc w:val="left"/>
              <w:rPr>
                <w:sz w:val="20"/>
              </w:rPr>
            </w:pPr>
            <w:r>
              <w:rPr>
                <w:sz w:val="20"/>
              </w:rPr>
              <w:t>Ecovar bovino</w:t>
            </w:r>
          </w:p>
        </w:tc>
        <w:tc>
          <w:tcPr>
            <w:tcW w:w="2328" w:type="dxa"/>
          </w:tcPr>
          <w:p>
            <w:pPr>
              <w:pStyle w:val="TableParagraph"/>
              <w:spacing w:line="228" w:lineRule="exact"/>
              <w:ind w:left="0" w:right="2"/>
              <w:rPr>
                <w:b/>
                <w:sz w:val="20"/>
              </w:rPr>
            </w:pPr>
            <w:r>
              <w:rPr>
                <w:b/>
                <w:w w:val="99"/>
                <w:sz w:val="20"/>
              </w:rPr>
              <w:t>0</w:t>
            </w:r>
          </w:p>
        </w:tc>
      </w:tr>
      <w:tr>
        <w:trPr>
          <w:trHeight w:val="396" w:hRule="exact"/>
        </w:trPr>
        <w:tc>
          <w:tcPr>
            <w:tcW w:w="2331" w:type="dxa"/>
          </w:tcPr>
          <w:p>
            <w:pPr>
              <w:pStyle w:val="TableParagraph"/>
              <w:spacing w:before="2"/>
              <w:ind w:right="107"/>
              <w:jc w:val="left"/>
              <w:rPr>
                <w:sz w:val="20"/>
              </w:rPr>
            </w:pPr>
            <w:r>
              <w:rPr>
                <w:sz w:val="20"/>
              </w:rPr>
              <w:t>Ecovar ovino</w:t>
            </w:r>
          </w:p>
        </w:tc>
        <w:tc>
          <w:tcPr>
            <w:tcW w:w="2328" w:type="dxa"/>
          </w:tcPr>
          <w:p>
            <w:pPr>
              <w:pStyle w:val="TableParagraph"/>
              <w:spacing w:line="230" w:lineRule="exact"/>
              <w:ind w:left="139" w:right="146"/>
              <w:rPr>
                <w:b/>
                <w:sz w:val="20"/>
              </w:rPr>
            </w:pPr>
            <w:r>
              <w:rPr>
                <w:b/>
                <w:sz w:val="20"/>
              </w:rPr>
              <w:t>1/5.9</w:t>
            </w:r>
          </w:p>
        </w:tc>
      </w:tr>
      <w:tr>
        <w:trPr>
          <w:trHeight w:val="1044" w:hRule="exact"/>
        </w:trPr>
        <w:tc>
          <w:tcPr>
            <w:tcW w:w="2331" w:type="dxa"/>
          </w:tcPr>
          <w:p>
            <w:pPr>
              <w:pStyle w:val="TableParagraph"/>
              <w:spacing w:line="230" w:lineRule="exact"/>
              <w:ind w:right="107"/>
              <w:jc w:val="left"/>
              <w:rPr>
                <w:sz w:val="20"/>
              </w:rPr>
            </w:pPr>
            <w:r>
              <w:rPr>
                <w:sz w:val="20"/>
              </w:rPr>
              <w:t>Biotipo</w:t>
            </w:r>
          </w:p>
          <w:p>
            <w:pPr>
              <w:pStyle w:val="TableParagraph"/>
              <w:tabs>
                <w:tab w:pos="1269" w:val="left" w:leader="none"/>
              </w:tabs>
              <w:spacing w:line="276" w:lineRule="auto" w:before="154"/>
              <w:ind w:right="107"/>
              <w:jc w:val="left"/>
              <w:rPr>
                <w:sz w:val="20"/>
              </w:rPr>
            </w:pPr>
            <w:r>
              <w:rPr>
                <w:sz w:val="20"/>
              </w:rPr>
              <w:t>Sin</w:t>
              <w:tab/>
            </w:r>
            <w:r>
              <w:rPr>
                <w:w w:val="95"/>
                <w:sz w:val="20"/>
              </w:rPr>
              <w:t>hospedero </w:t>
            </w:r>
            <w:r>
              <w:rPr>
                <w:sz w:val="20"/>
              </w:rPr>
              <w:t>especifico</w:t>
            </w:r>
          </w:p>
        </w:tc>
        <w:tc>
          <w:tcPr>
            <w:tcW w:w="2328" w:type="dxa"/>
          </w:tcPr>
          <w:p>
            <w:pPr>
              <w:pStyle w:val="TableParagraph"/>
              <w:spacing w:line="227" w:lineRule="exact"/>
              <w:ind w:left="139" w:right="143"/>
              <w:rPr>
                <w:b/>
                <w:sz w:val="20"/>
              </w:rPr>
            </w:pPr>
            <w:r>
              <w:rPr>
                <w:b/>
                <w:sz w:val="20"/>
              </w:rPr>
              <w:t>10/58.8</w:t>
            </w:r>
          </w:p>
        </w:tc>
      </w:tr>
    </w:tbl>
    <w:p>
      <w:pPr>
        <w:spacing w:after="0" w:line="227" w:lineRule="exact"/>
        <w:rPr>
          <w:sz w:val="20"/>
        </w:rPr>
        <w:sectPr>
          <w:pgSz w:w="12240" w:h="15840"/>
          <w:pgMar w:header="728" w:footer="710" w:top="1200" w:bottom="900" w:left="1560" w:right="1560"/>
        </w:sectPr>
      </w:pPr>
    </w:p>
    <w:p>
      <w:pPr>
        <w:pStyle w:val="BodyText"/>
        <w:spacing w:before="9"/>
        <w:rPr>
          <w:i/>
          <w:sz w:val="13"/>
        </w:rPr>
      </w:pPr>
    </w:p>
    <w:p>
      <w:pPr>
        <w:spacing w:line="357" w:lineRule="auto" w:before="59"/>
        <w:ind w:left="142" w:right="641" w:firstLine="0"/>
        <w:jc w:val="left"/>
        <w:rPr>
          <w:rFonts w:ascii="Calibri"/>
          <w:sz w:val="20"/>
        </w:rPr>
      </w:pPr>
      <w:r>
        <w:rPr/>
        <w:pict>
          <v:group style="position:absolute;margin-left:176.279999pt;margin-top:55.051502pt;width:258.1500pt;height:171.15pt;mso-position-horizontal-relative:page;mso-position-vertical-relative:paragraph;z-index:-214936" coordorigin="3526,1101" coordsize="5163,3423">
            <v:shape style="position:absolute;left:5746;top:1101;width:2942;height:2974" type="#_x0000_t75" stroked="false">
              <v:imagedata r:id="rId62" o:title=""/>
            </v:shape>
            <v:shape style="position:absolute;left:3526;top:1101;width:2832;height:3422" type="#_x0000_t75" stroked="false">
              <v:imagedata r:id="rId63" o:title=""/>
            </v:shape>
            <w10:wrap type="none"/>
          </v:group>
        </w:pict>
      </w:r>
      <w:r>
        <w:rPr>
          <w:rFonts w:ascii="Calibri"/>
          <w:sz w:val="20"/>
        </w:rPr>
        <w:t>Figura 11: Crecimiento de aislamientos de </w:t>
      </w:r>
      <w:r>
        <w:rPr>
          <w:rFonts w:ascii="Calibri"/>
          <w:i/>
          <w:sz w:val="20"/>
        </w:rPr>
        <w:t>S. aureus </w:t>
      </w:r>
      <w:r>
        <w:rPr>
          <w:rFonts w:ascii="Calibri"/>
          <w:sz w:val="20"/>
        </w:rPr>
        <w:t>en agar TSA y Cristal violeta (izquierda), prueba de coagulasa en plasma de bovino (derecha).</w:t>
      </w:r>
    </w:p>
    <w:p>
      <w:pPr>
        <w:pStyle w:val="BodyText"/>
        <w:spacing w:before="6"/>
        <w:rPr>
          <w:rFonts w:ascii="Calibri"/>
        </w:rPr>
      </w:pPr>
    </w:p>
    <w:tbl>
      <w:tblPr>
        <w:tblW w:w="0" w:type="auto"/>
        <w:jc w:val="left"/>
        <w:tblInd w:w="2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8"/>
        <w:gridCol w:w="2405"/>
      </w:tblGrid>
      <w:tr>
        <w:trPr>
          <w:trHeight w:val="2333" w:hRule="exact"/>
        </w:trPr>
        <w:tc>
          <w:tcPr>
            <w:tcW w:w="2408" w:type="dxa"/>
          </w:tcPr>
          <w:p>
            <w:pPr/>
          </w:p>
        </w:tc>
        <w:tc>
          <w:tcPr>
            <w:tcW w:w="2405" w:type="dxa"/>
          </w:tcPr>
          <w:p>
            <w:pPr/>
          </w:p>
        </w:tc>
      </w:tr>
      <w:tr>
        <w:trPr>
          <w:trHeight w:val="960" w:hRule="exact"/>
        </w:trPr>
        <w:tc>
          <w:tcPr>
            <w:tcW w:w="2408" w:type="dxa"/>
          </w:tcPr>
          <w:p>
            <w:pPr>
              <w:pStyle w:val="TableParagraph"/>
              <w:spacing w:line="360" w:lineRule="auto"/>
              <w:ind w:right="101"/>
              <w:jc w:val="both"/>
              <w:rPr>
                <w:sz w:val="16"/>
              </w:rPr>
            </w:pPr>
            <w:r>
              <w:rPr>
                <w:sz w:val="16"/>
              </w:rPr>
              <w:t>Crecimiento de  aislamientos de </w:t>
            </w:r>
            <w:r>
              <w:rPr>
                <w:i/>
                <w:sz w:val="16"/>
              </w:rPr>
              <w:t>Staphylococcus aureus </w:t>
            </w:r>
            <w:r>
              <w:rPr>
                <w:sz w:val="16"/>
              </w:rPr>
              <w:t>en cristal violeta</w:t>
            </w:r>
          </w:p>
        </w:tc>
        <w:tc>
          <w:tcPr>
            <w:tcW w:w="2405" w:type="dxa"/>
          </w:tcPr>
          <w:p>
            <w:pPr>
              <w:pStyle w:val="TableParagraph"/>
              <w:spacing w:line="360" w:lineRule="auto"/>
              <w:jc w:val="left"/>
              <w:rPr>
                <w:sz w:val="16"/>
              </w:rPr>
            </w:pPr>
            <w:r>
              <w:rPr>
                <w:sz w:val="16"/>
              </w:rPr>
              <w:t>Formación del coagulo en plasma de bovino</w:t>
            </w:r>
          </w:p>
        </w:tc>
      </w:tr>
    </w:tbl>
    <w:p>
      <w:pPr>
        <w:pStyle w:val="BodyText"/>
        <w:rPr>
          <w:rFonts w:ascii="Calibri"/>
          <w:sz w:val="20"/>
        </w:rPr>
      </w:pPr>
    </w:p>
    <w:p>
      <w:pPr>
        <w:pStyle w:val="BodyText"/>
        <w:spacing w:before="4"/>
        <w:rPr>
          <w:rFonts w:ascii="Calibri"/>
          <w:sz w:val="25"/>
        </w:rPr>
      </w:pPr>
    </w:p>
    <w:p>
      <w:pPr>
        <w:spacing w:before="0"/>
        <w:ind w:left="142" w:right="1550" w:firstLine="0"/>
        <w:jc w:val="left"/>
        <w:rPr>
          <w:b/>
          <w:i/>
          <w:sz w:val="20"/>
        </w:rPr>
      </w:pPr>
      <w:r>
        <w:rPr>
          <w:b/>
          <w:i/>
          <w:sz w:val="20"/>
        </w:rPr>
        <w:t>biofilm </w:t>
      </w:r>
      <w:r>
        <w:rPr>
          <w:b/>
          <w:sz w:val="20"/>
        </w:rPr>
        <w:t>en aislamientos de </w:t>
      </w:r>
      <w:r>
        <w:rPr>
          <w:b/>
          <w:i/>
          <w:sz w:val="20"/>
        </w:rPr>
        <w:t>S. aureus</w:t>
      </w:r>
    </w:p>
    <w:p>
      <w:pPr>
        <w:pStyle w:val="BodyText"/>
        <w:rPr>
          <w:b/>
          <w:i/>
          <w:sz w:val="20"/>
        </w:rPr>
      </w:pPr>
    </w:p>
    <w:p>
      <w:pPr>
        <w:spacing w:before="123"/>
        <w:ind w:left="142" w:right="63" w:firstLine="0"/>
        <w:jc w:val="left"/>
        <w:rPr>
          <w:i/>
          <w:sz w:val="20"/>
        </w:rPr>
      </w:pPr>
      <w:r>
        <w:rPr>
          <w:sz w:val="20"/>
        </w:rPr>
        <w:t>Prueba fenotípica de expresión de </w:t>
      </w:r>
      <w:r>
        <w:rPr>
          <w:i/>
          <w:sz w:val="20"/>
        </w:rPr>
        <w:t>biofilm </w:t>
      </w:r>
      <w:r>
        <w:rPr>
          <w:sz w:val="20"/>
        </w:rPr>
        <w:t>en aislamientos de </w:t>
      </w:r>
      <w:r>
        <w:rPr>
          <w:i/>
          <w:sz w:val="20"/>
        </w:rPr>
        <w:t>Staphylcoccus aureus</w:t>
      </w:r>
    </w:p>
    <w:p>
      <w:pPr>
        <w:pStyle w:val="BodyText"/>
        <w:rPr>
          <w:i/>
          <w:sz w:val="20"/>
        </w:rPr>
      </w:pPr>
    </w:p>
    <w:p>
      <w:pPr>
        <w:spacing w:line="360" w:lineRule="auto" w:before="128"/>
        <w:ind w:left="142" w:right="63" w:firstLine="0"/>
        <w:jc w:val="left"/>
        <w:rPr>
          <w:sz w:val="20"/>
        </w:rPr>
      </w:pPr>
      <w:r>
        <w:rPr>
          <w:sz w:val="20"/>
        </w:rPr>
        <w:t>Del total de los aislamientos que se probaron por la técnica de Rojo congo el 8 (47%) presentaron la coloración característica.</w:t>
      </w:r>
    </w:p>
    <w:p>
      <w:pPr>
        <w:pStyle w:val="BodyText"/>
        <w:rPr>
          <w:sz w:val="21"/>
        </w:rPr>
      </w:pPr>
    </w:p>
    <w:p>
      <w:pPr>
        <w:spacing w:before="0"/>
        <w:ind w:left="142" w:right="63" w:firstLine="0"/>
        <w:jc w:val="left"/>
        <w:rPr>
          <w:sz w:val="20"/>
        </w:rPr>
      </w:pPr>
      <w:r>
        <w:rPr>
          <w:sz w:val="20"/>
        </w:rPr>
        <w:t>Figura 12: </w:t>
      </w:r>
      <w:r>
        <w:rPr>
          <w:i/>
          <w:sz w:val="20"/>
        </w:rPr>
        <w:t>biofilm </w:t>
      </w:r>
      <w:r>
        <w:rPr>
          <w:sz w:val="20"/>
        </w:rPr>
        <w:t>en aislamientos de </w:t>
      </w:r>
      <w:r>
        <w:rPr>
          <w:i/>
          <w:sz w:val="20"/>
        </w:rPr>
        <w:t>Staphylcoccus aureus </w:t>
      </w:r>
      <w:r>
        <w:rPr>
          <w:sz w:val="20"/>
        </w:rPr>
        <w:t>crecimiento en agar Rojo Congo.</w:t>
      </w:r>
    </w:p>
    <w:p>
      <w:pPr>
        <w:pStyle w:val="BodyText"/>
        <w:rPr>
          <w:sz w:val="20"/>
        </w:rPr>
      </w:pPr>
    </w:p>
    <w:p>
      <w:pPr>
        <w:pStyle w:val="BodyText"/>
        <w:spacing w:before="1"/>
        <w:rPr>
          <w:sz w:val="28"/>
        </w:rPr>
      </w:pPr>
      <w:r>
        <w:rPr/>
        <w:drawing>
          <wp:anchor distT="0" distB="0" distL="0" distR="0" allowOverlap="1" layoutInCell="1" locked="0" behindDoc="0" simplePos="0" relativeHeight="2488">
            <wp:simplePos x="0" y="0"/>
            <wp:positionH relativeFrom="page">
              <wp:posOffset>1424939</wp:posOffset>
            </wp:positionH>
            <wp:positionV relativeFrom="paragraph">
              <wp:posOffset>230020</wp:posOffset>
            </wp:positionV>
            <wp:extent cx="1955292" cy="1754124"/>
            <wp:effectExtent l="0" t="0" r="0" b="0"/>
            <wp:wrapTopAndBottom/>
            <wp:docPr id="27" name="image39.png" descr=""/>
            <wp:cNvGraphicFramePr>
              <a:graphicFrameLocks noChangeAspect="1"/>
            </wp:cNvGraphicFramePr>
            <a:graphic>
              <a:graphicData uri="http://schemas.openxmlformats.org/drawingml/2006/picture">
                <pic:pic>
                  <pic:nvPicPr>
                    <pic:cNvPr id="28" name="image39.png"/>
                    <pic:cNvPicPr/>
                  </pic:nvPicPr>
                  <pic:blipFill>
                    <a:blip r:embed="rId64" cstate="print"/>
                    <a:stretch>
                      <a:fillRect/>
                    </a:stretch>
                  </pic:blipFill>
                  <pic:spPr>
                    <a:xfrm>
                      <a:off x="0" y="0"/>
                      <a:ext cx="1955292" cy="1754124"/>
                    </a:xfrm>
                    <a:prstGeom prst="rect">
                      <a:avLst/>
                    </a:prstGeom>
                  </pic:spPr>
                </pic:pic>
              </a:graphicData>
            </a:graphic>
          </wp:anchor>
        </w:drawing>
      </w:r>
    </w:p>
    <w:p>
      <w:pPr>
        <w:spacing w:after="0"/>
        <w:rPr>
          <w:sz w:val="28"/>
        </w:rPr>
        <w:sectPr>
          <w:pgSz w:w="12240" w:h="15840"/>
          <w:pgMar w:header="728" w:footer="710" w:top="1200" w:bottom="900" w:left="1560" w:right="1560"/>
        </w:sectPr>
      </w:pPr>
    </w:p>
    <w:p>
      <w:pPr>
        <w:pStyle w:val="BodyText"/>
        <w:spacing w:before="11"/>
        <w:rPr>
          <w:rFonts w:ascii="Times New Roman"/>
          <w:sz w:val="18"/>
        </w:rPr>
      </w:pPr>
    </w:p>
    <w:p>
      <w:pPr>
        <w:pStyle w:val="BodyText"/>
        <w:ind w:left="141"/>
        <w:rPr>
          <w:rFonts w:ascii="Times New Roman"/>
          <w:sz w:val="20"/>
        </w:rPr>
      </w:pPr>
      <w:r>
        <w:rPr>
          <w:rFonts w:ascii="Times New Roman"/>
          <w:sz w:val="20"/>
        </w:rPr>
        <w:drawing>
          <wp:inline distT="0" distB="0" distL="0" distR="0">
            <wp:extent cx="5578406" cy="7834312"/>
            <wp:effectExtent l="0" t="0" r="0" b="0"/>
            <wp:docPr id="29" name="image40.jpeg" descr=""/>
            <wp:cNvGraphicFramePr>
              <a:graphicFrameLocks noChangeAspect="1"/>
            </wp:cNvGraphicFramePr>
            <a:graphic>
              <a:graphicData uri="http://schemas.openxmlformats.org/drawingml/2006/picture">
                <pic:pic>
                  <pic:nvPicPr>
                    <pic:cNvPr id="30" name="image40.jpeg"/>
                    <pic:cNvPicPr/>
                  </pic:nvPicPr>
                  <pic:blipFill>
                    <a:blip r:embed="rId65" cstate="print"/>
                    <a:stretch>
                      <a:fillRect/>
                    </a:stretch>
                  </pic:blipFill>
                  <pic:spPr>
                    <a:xfrm>
                      <a:off x="0" y="0"/>
                      <a:ext cx="5578406" cy="783431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710" w:top="1200" w:bottom="900" w:left="1560" w:right="1560"/>
        </w:sectPr>
      </w:pPr>
    </w:p>
    <w:p>
      <w:pPr>
        <w:pStyle w:val="BodyText"/>
        <w:spacing w:before="7"/>
        <w:rPr>
          <w:rFonts w:ascii="Times New Roman"/>
          <w:sz w:val="12"/>
        </w:rPr>
      </w:pPr>
    </w:p>
    <w:p>
      <w:pPr>
        <w:pStyle w:val="Heading2"/>
        <w:spacing w:line="480" w:lineRule="auto" w:before="69"/>
        <w:ind w:right="143"/>
        <w:jc w:val="both"/>
      </w:pPr>
      <w:r>
        <w:rPr/>
        <w:t>CARACTERIZACIÓN</w:t>
      </w:r>
      <w:r>
        <w:rPr>
          <w:spacing w:val="-6"/>
        </w:rPr>
        <w:t> </w:t>
      </w:r>
      <w:r>
        <w:rPr/>
        <w:t>DE</w:t>
      </w:r>
      <w:r>
        <w:rPr>
          <w:spacing w:val="-9"/>
        </w:rPr>
        <w:t> </w:t>
      </w:r>
      <w:r>
        <w:rPr/>
        <w:t>QUESO</w:t>
      </w:r>
      <w:r>
        <w:rPr>
          <w:spacing w:val="-8"/>
        </w:rPr>
        <w:t> </w:t>
      </w:r>
      <w:r>
        <w:rPr/>
        <w:t>FRESCO</w:t>
      </w:r>
      <w:r>
        <w:rPr>
          <w:spacing w:val="-11"/>
        </w:rPr>
        <w:t> </w:t>
      </w:r>
      <w:r>
        <w:rPr/>
        <w:t>COMERCIALIZADO</w:t>
      </w:r>
      <w:r>
        <w:rPr>
          <w:spacing w:val="-8"/>
        </w:rPr>
        <w:t> </w:t>
      </w:r>
      <w:r>
        <w:rPr/>
        <w:t>EN</w:t>
      </w:r>
      <w:r>
        <w:rPr>
          <w:spacing w:val="-9"/>
        </w:rPr>
        <w:t> </w:t>
      </w:r>
      <w:r>
        <w:rPr/>
        <w:t>MERCADOS FIJOS Y POPULARES DEL MUNICIPIO DE TOLUCA, ESTADO DE</w:t>
      </w:r>
      <w:r>
        <w:rPr>
          <w:spacing w:val="-11"/>
        </w:rPr>
        <w:t> </w:t>
      </w:r>
      <w:r>
        <w:rPr/>
        <w:t>MÉXICO.</w:t>
      </w:r>
    </w:p>
    <w:p>
      <w:pPr>
        <w:spacing w:line="480" w:lineRule="auto" w:before="128"/>
        <w:ind w:left="142" w:right="143" w:firstLine="0"/>
        <w:jc w:val="both"/>
        <w:rPr>
          <w:b/>
          <w:sz w:val="24"/>
        </w:rPr>
      </w:pPr>
      <w:r>
        <w:rPr>
          <w:b/>
          <w:sz w:val="24"/>
        </w:rPr>
        <w:t>FRESH CHEESE CHARACTERIZATION MARKETED AT FIXED AND POPULAR MARKETS OF TOLUCA´S MUNICIPALITY.</w:t>
      </w:r>
    </w:p>
    <w:p>
      <w:pPr>
        <w:pStyle w:val="BodyText"/>
        <w:spacing w:before="1"/>
        <w:rPr>
          <w:b/>
          <w:sz w:val="21"/>
        </w:rPr>
      </w:pPr>
    </w:p>
    <w:p>
      <w:pPr>
        <w:pStyle w:val="BodyText"/>
        <w:ind w:left="142"/>
        <w:jc w:val="both"/>
      </w:pPr>
      <w:r>
        <w:rPr>
          <w:position w:val="8"/>
          <w:sz w:val="16"/>
        </w:rPr>
        <w:t>1</w:t>
      </w:r>
      <w:r>
        <w:rPr/>
        <w:t>DÍAZ GALINDO EDAENA PAMELA**,  </w:t>
      </w:r>
      <w:r>
        <w:rPr>
          <w:position w:val="8"/>
          <w:sz w:val="16"/>
        </w:rPr>
        <w:t>1</w:t>
      </w:r>
      <w:r>
        <w:rPr/>
        <w:t>VALLADARES CARRANZA   BENJAMIN,</w:t>
      </w:r>
    </w:p>
    <w:p>
      <w:pPr>
        <w:pStyle w:val="BodyText"/>
        <w:spacing w:before="7"/>
        <w:rPr>
          <w:sz w:val="23"/>
        </w:rPr>
      </w:pPr>
    </w:p>
    <w:p>
      <w:pPr>
        <w:pStyle w:val="BodyText"/>
        <w:spacing w:line="475" w:lineRule="auto"/>
        <w:ind w:left="142" w:right="137"/>
        <w:jc w:val="both"/>
      </w:pPr>
      <w:r>
        <w:rPr>
          <w:position w:val="8"/>
          <w:sz w:val="16"/>
        </w:rPr>
        <w:t>1</w:t>
      </w:r>
      <w:r>
        <w:rPr/>
        <w:t>GUTIÉRREZ</w:t>
      </w:r>
      <w:r>
        <w:rPr>
          <w:spacing w:val="-10"/>
        </w:rPr>
        <w:t> </w:t>
      </w:r>
      <w:r>
        <w:rPr/>
        <w:t>CASTILLO</w:t>
      </w:r>
      <w:r>
        <w:rPr>
          <w:spacing w:val="-10"/>
        </w:rPr>
        <w:t> </w:t>
      </w:r>
      <w:r>
        <w:rPr/>
        <w:t>ADRIANA</w:t>
      </w:r>
      <w:r>
        <w:rPr>
          <w:spacing w:val="-10"/>
        </w:rPr>
        <w:t> </w:t>
      </w:r>
      <w:r>
        <w:rPr/>
        <w:t>DEL</w:t>
      </w:r>
      <w:r>
        <w:rPr>
          <w:spacing w:val="-9"/>
        </w:rPr>
        <w:t> </w:t>
      </w:r>
      <w:r>
        <w:rPr/>
        <w:t>CARMEN,</w:t>
      </w:r>
      <w:r>
        <w:rPr>
          <w:spacing w:val="-7"/>
        </w:rPr>
        <w:t> </w:t>
      </w:r>
      <w:r>
        <w:rPr>
          <w:position w:val="8"/>
          <w:sz w:val="16"/>
        </w:rPr>
        <w:t>2</w:t>
      </w:r>
      <w:r>
        <w:rPr/>
        <w:t>ARRIAGA</w:t>
      </w:r>
      <w:r>
        <w:rPr>
          <w:spacing w:val="-9"/>
        </w:rPr>
        <w:t> </w:t>
      </w:r>
      <w:r>
        <w:rPr/>
        <w:t>JORDAN</w:t>
      </w:r>
      <w:r>
        <w:rPr>
          <w:spacing w:val="-11"/>
        </w:rPr>
        <w:t> </w:t>
      </w:r>
      <w:r>
        <w:rPr/>
        <w:t>CARLOS MANUEL, </w:t>
      </w:r>
      <w:r>
        <w:rPr>
          <w:position w:val="8"/>
          <w:sz w:val="16"/>
        </w:rPr>
        <w:t>3</w:t>
      </w:r>
      <w:r>
        <w:rPr/>
        <w:t>QUINTERO-SALAZAR BACILIZA, </w:t>
      </w:r>
      <w:r>
        <w:rPr>
          <w:position w:val="8"/>
          <w:sz w:val="16"/>
        </w:rPr>
        <w:t>4</w:t>
      </w:r>
      <w:r>
        <w:rPr/>
        <w:t>CERVANTES ACOSTA PATRICIA </w:t>
      </w:r>
      <w:r>
        <w:rPr>
          <w:position w:val="8"/>
          <w:sz w:val="16"/>
        </w:rPr>
        <w:t>1</w:t>
      </w:r>
      <w:r>
        <w:rPr/>
        <w:t>VELÁZQUEZ ORDOÑEZ</w:t>
      </w:r>
      <w:r>
        <w:rPr>
          <w:spacing w:val="-9"/>
        </w:rPr>
        <w:t> </w:t>
      </w:r>
      <w:r>
        <w:rPr/>
        <w:t>VALENTE*</w:t>
      </w:r>
    </w:p>
    <w:p>
      <w:pPr>
        <w:pStyle w:val="BodyText"/>
        <w:spacing w:line="477" w:lineRule="auto" w:before="121"/>
        <w:ind w:left="142" w:right="136"/>
        <w:jc w:val="both"/>
      </w:pPr>
      <w:r>
        <w:rPr>
          <w:position w:val="8"/>
          <w:sz w:val="16"/>
        </w:rPr>
        <w:t>1</w:t>
      </w:r>
      <w:r>
        <w:rPr/>
        <w:t>Centro de Investigación y Estudios Avanzados En Salud Animal (CIESA-FMVZ- UAEM), Autopista de cuota Toluca Atlacomulco Km. 15.5, San Cayetano de Morelos,</w:t>
      </w:r>
      <w:r>
        <w:rPr>
          <w:spacing w:val="-3"/>
        </w:rPr>
        <w:t> </w:t>
      </w:r>
      <w:r>
        <w:rPr/>
        <w:t>Toluca</w:t>
      </w:r>
      <w:r>
        <w:rPr>
          <w:spacing w:val="-2"/>
        </w:rPr>
        <w:t> </w:t>
      </w:r>
      <w:r>
        <w:rPr/>
        <w:t>Estado</w:t>
      </w:r>
      <w:r>
        <w:rPr>
          <w:spacing w:val="-3"/>
        </w:rPr>
        <w:t> </w:t>
      </w:r>
      <w:r>
        <w:rPr/>
        <w:t>de</w:t>
      </w:r>
      <w:r>
        <w:rPr>
          <w:spacing w:val="-3"/>
        </w:rPr>
        <w:t> </w:t>
      </w:r>
      <w:r>
        <w:rPr/>
        <w:t>México</w:t>
      </w:r>
      <w:r>
        <w:rPr>
          <w:spacing w:val="-3"/>
        </w:rPr>
        <w:t> </w:t>
      </w:r>
      <w:r>
        <w:rPr/>
        <w:t>CP</w:t>
      </w:r>
      <w:r>
        <w:rPr>
          <w:spacing w:val="-3"/>
        </w:rPr>
        <w:t> </w:t>
      </w:r>
      <w:r>
        <w:rPr/>
        <w:t>50200</w:t>
      </w:r>
      <w:r>
        <w:rPr>
          <w:spacing w:val="-5"/>
        </w:rPr>
        <w:t> </w:t>
      </w:r>
      <w:r>
        <w:rPr/>
        <w:t>México,</w:t>
      </w:r>
      <w:r>
        <w:rPr>
          <w:spacing w:val="-3"/>
        </w:rPr>
        <w:t> </w:t>
      </w:r>
      <w:r>
        <w:rPr/>
        <w:t>(722)</w:t>
      </w:r>
      <w:r>
        <w:rPr>
          <w:spacing w:val="-4"/>
        </w:rPr>
        <w:t> </w:t>
      </w:r>
      <w:r>
        <w:rPr/>
        <w:t>296</w:t>
      </w:r>
      <w:r>
        <w:rPr>
          <w:spacing w:val="-3"/>
        </w:rPr>
        <w:t> </w:t>
      </w:r>
      <w:r>
        <w:rPr/>
        <w:t>55</w:t>
      </w:r>
      <w:r>
        <w:rPr>
          <w:spacing w:val="-5"/>
        </w:rPr>
        <w:t> </w:t>
      </w:r>
      <w:r>
        <w:rPr/>
        <w:t>55</w:t>
      </w:r>
      <w:r>
        <w:rPr>
          <w:spacing w:val="-3"/>
        </w:rPr>
        <w:t> </w:t>
      </w:r>
      <w:r>
        <w:rPr/>
        <w:t>y</w:t>
      </w:r>
      <w:r>
        <w:rPr>
          <w:spacing w:val="-6"/>
        </w:rPr>
        <w:t> </w:t>
      </w:r>
      <w:r>
        <w:rPr/>
        <w:t>296</w:t>
      </w:r>
      <w:r>
        <w:rPr>
          <w:spacing w:val="-3"/>
        </w:rPr>
        <w:t> </w:t>
      </w:r>
      <w:r>
        <w:rPr/>
        <w:t>89</w:t>
      </w:r>
      <w:r>
        <w:rPr>
          <w:spacing w:val="-3"/>
        </w:rPr>
        <w:t> </w:t>
      </w:r>
      <w:r>
        <w:rPr/>
        <w:t>80. </w:t>
      </w:r>
      <w:r>
        <w:rPr>
          <w:position w:val="8"/>
          <w:sz w:val="16"/>
        </w:rPr>
        <w:t>2</w:t>
      </w:r>
      <w:r>
        <w:rPr/>
        <w:t>Instituto de Ciencias Agropecuarias y Rurales</w:t>
      </w:r>
      <w:r>
        <w:rPr>
          <w:spacing w:val="-14"/>
        </w:rPr>
        <w:t> </w:t>
      </w:r>
      <w:r>
        <w:rPr/>
        <w:t>(ICAR-UAEM).</w:t>
      </w:r>
    </w:p>
    <w:p>
      <w:pPr>
        <w:pStyle w:val="BodyText"/>
        <w:spacing w:line="279" w:lineRule="exact"/>
        <w:ind w:left="142"/>
        <w:jc w:val="both"/>
      </w:pPr>
      <w:r>
        <w:rPr>
          <w:position w:val="8"/>
          <w:sz w:val="16"/>
        </w:rPr>
        <w:t>3</w:t>
      </w:r>
      <w:r>
        <w:rPr/>
        <w:t>Centro de Investigación y Estudios turísticos (CIETUR-UAEM).</w:t>
      </w:r>
    </w:p>
    <w:p>
      <w:pPr>
        <w:pStyle w:val="BodyText"/>
        <w:spacing w:before="6"/>
        <w:rPr>
          <w:sz w:val="23"/>
        </w:rPr>
      </w:pPr>
    </w:p>
    <w:p>
      <w:pPr>
        <w:pStyle w:val="BodyText"/>
        <w:ind w:left="142"/>
        <w:jc w:val="both"/>
      </w:pPr>
      <w:r>
        <w:rPr>
          <w:position w:val="8"/>
          <w:sz w:val="16"/>
        </w:rPr>
        <w:t>4</w:t>
      </w:r>
      <w:r>
        <w:rPr/>
        <w:t>Facultad de Medicina Veterinaria y Zootecnia, Universidad Veracruzana.</w:t>
      </w:r>
    </w:p>
    <w:p>
      <w:pPr>
        <w:pStyle w:val="BodyText"/>
        <w:rPr>
          <w:sz w:val="34"/>
        </w:rPr>
      </w:pPr>
    </w:p>
    <w:p>
      <w:pPr>
        <w:pStyle w:val="BodyText"/>
        <w:ind w:left="142"/>
        <w:jc w:val="both"/>
      </w:pPr>
      <w:r>
        <w:rPr>
          <w:position w:val="8"/>
          <w:sz w:val="16"/>
        </w:rPr>
        <w:t>1</w:t>
      </w:r>
      <w:r>
        <w:rPr/>
        <w:t>Correspondencia al último autor: </w:t>
      </w:r>
      <w:hyperlink r:id="rId66">
        <w:r>
          <w:rPr>
            <w:u w:val="single"/>
          </w:rPr>
          <w:t>vvo@uaemex.mx</w:t>
        </w:r>
      </w:hyperlink>
    </w:p>
    <w:p>
      <w:pPr>
        <w:pStyle w:val="BodyText"/>
        <w:rPr>
          <w:sz w:val="20"/>
        </w:rPr>
      </w:pPr>
    </w:p>
    <w:p>
      <w:pPr>
        <w:pStyle w:val="BodyText"/>
        <w:spacing w:before="9"/>
        <w:rPr>
          <w:sz w:val="18"/>
        </w:rPr>
      </w:pPr>
    </w:p>
    <w:p>
      <w:pPr>
        <w:pStyle w:val="BodyText"/>
        <w:spacing w:line="480" w:lineRule="auto" w:before="70"/>
        <w:ind w:left="142" w:right="142"/>
        <w:jc w:val="both"/>
      </w:pPr>
      <w:r>
        <w:rPr/>
        <w:t>** Programa de Maestría y Doctorado en Ciencias Agropecuarias y Recursos Naturales (PCARN-UAEM-CONACYT), Línea de investigación Salud animal, Universidad Autónoma del Estado de México.</w:t>
      </w:r>
    </w:p>
    <w:p>
      <w:pPr>
        <w:spacing w:after="0" w:line="480" w:lineRule="auto"/>
        <w:jc w:val="both"/>
        <w:sectPr>
          <w:pgSz w:w="12240" w:h="15840"/>
          <w:pgMar w:header="728" w:footer="710" w:top="1200" w:bottom="900" w:left="1560" w:right="1560"/>
        </w:sectPr>
      </w:pPr>
    </w:p>
    <w:p>
      <w:pPr>
        <w:pStyle w:val="BodyText"/>
        <w:spacing w:before="7"/>
        <w:rPr>
          <w:sz w:val="12"/>
        </w:rPr>
      </w:pPr>
    </w:p>
    <w:p>
      <w:pPr>
        <w:pStyle w:val="BodyText"/>
        <w:spacing w:before="69"/>
        <w:ind w:left="142"/>
        <w:jc w:val="both"/>
      </w:pPr>
      <w:r>
        <w:rPr/>
        <w:t>RESUMEN</w:t>
      </w:r>
    </w:p>
    <w:p>
      <w:pPr>
        <w:pStyle w:val="BodyText"/>
      </w:pPr>
    </w:p>
    <w:p>
      <w:pPr>
        <w:pStyle w:val="BodyText"/>
        <w:spacing w:line="480" w:lineRule="auto"/>
        <w:ind w:left="142" w:right="136"/>
        <w:jc w:val="both"/>
      </w:pPr>
      <w:r>
        <w:rPr/>
        <w:t>El objetivo de este trabajo fue determinar las características fisicoquímicas, origen, formas</w:t>
      </w:r>
      <w:r>
        <w:rPr>
          <w:spacing w:val="-13"/>
        </w:rPr>
        <w:t> </w:t>
      </w:r>
      <w:r>
        <w:rPr/>
        <w:t>de</w:t>
      </w:r>
      <w:r>
        <w:rPr>
          <w:spacing w:val="-12"/>
        </w:rPr>
        <w:t> </w:t>
      </w:r>
      <w:r>
        <w:rPr/>
        <w:t>comercialización</w:t>
      </w:r>
      <w:r>
        <w:rPr>
          <w:spacing w:val="-9"/>
        </w:rPr>
        <w:t> </w:t>
      </w:r>
      <w:r>
        <w:rPr/>
        <w:t>y</w:t>
      </w:r>
      <w:r>
        <w:rPr>
          <w:spacing w:val="-13"/>
        </w:rPr>
        <w:t> </w:t>
      </w:r>
      <w:r>
        <w:rPr/>
        <w:t>condiciones</w:t>
      </w:r>
      <w:r>
        <w:rPr>
          <w:spacing w:val="-13"/>
        </w:rPr>
        <w:t> </w:t>
      </w:r>
      <w:r>
        <w:rPr/>
        <w:t>de</w:t>
      </w:r>
      <w:r>
        <w:rPr>
          <w:spacing w:val="-9"/>
        </w:rPr>
        <w:t> </w:t>
      </w:r>
      <w:r>
        <w:rPr/>
        <w:t>venta</w:t>
      </w:r>
      <w:r>
        <w:rPr>
          <w:spacing w:val="-11"/>
        </w:rPr>
        <w:t> </w:t>
      </w:r>
      <w:r>
        <w:rPr/>
        <w:t>del</w:t>
      </w:r>
      <w:r>
        <w:rPr>
          <w:spacing w:val="-11"/>
        </w:rPr>
        <w:t> </w:t>
      </w:r>
      <w:r>
        <w:rPr/>
        <w:t>queso</w:t>
      </w:r>
      <w:r>
        <w:rPr>
          <w:spacing w:val="-12"/>
        </w:rPr>
        <w:t> </w:t>
      </w:r>
      <w:r>
        <w:rPr/>
        <w:t>fresco</w:t>
      </w:r>
      <w:r>
        <w:rPr>
          <w:spacing w:val="-9"/>
        </w:rPr>
        <w:t> </w:t>
      </w:r>
      <w:r>
        <w:rPr/>
        <w:t>comercializado en el municipio de Toluca, Estado de México. Dada la importancia regional y económica</w:t>
      </w:r>
      <w:r>
        <w:rPr>
          <w:spacing w:val="-11"/>
        </w:rPr>
        <w:t> </w:t>
      </w:r>
      <w:r>
        <w:rPr/>
        <w:t>del</w:t>
      </w:r>
      <w:r>
        <w:rPr>
          <w:spacing w:val="-10"/>
        </w:rPr>
        <w:t> </w:t>
      </w:r>
      <w:r>
        <w:rPr/>
        <w:t>sistema</w:t>
      </w:r>
      <w:r>
        <w:rPr>
          <w:spacing w:val="-11"/>
        </w:rPr>
        <w:t> </w:t>
      </w:r>
      <w:r>
        <w:rPr/>
        <w:t>de</w:t>
      </w:r>
      <w:r>
        <w:rPr>
          <w:spacing w:val="-11"/>
        </w:rPr>
        <w:t> </w:t>
      </w:r>
      <w:r>
        <w:rPr/>
        <w:t>producción</w:t>
      </w:r>
      <w:r>
        <w:rPr>
          <w:spacing w:val="-10"/>
        </w:rPr>
        <w:t> </w:t>
      </w:r>
      <w:r>
        <w:rPr/>
        <w:t>lechera</w:t>
      </w:r>
      <w:r>
        <w:rPr>
          <w:spacing w:val="-11"/>
        </w:rPr>
        <w:t> </w:t>
      </w:r>
      <w:r>
        <w:rPr/>
        <w:t>y</w:t>
      </w:r>
      <w:r>
        <w:rPr>
          <w:spacing w:val="-12"/>
        </w:rPr>
        <w:t> </w:t>
      </w:r>
      <w:r>
        <w:rPr/>
        <w:t>de</w:t>
      </w:r>
      <w:r>
        <w:rPr>
          <w:spacing w:val="-8"/>
        </w:rPr>
        <w:t> </w:t>
      </w:r>
      <w:r>
        <w:rPr/>
        <w:t>la</w:t>
      </w:r>
      <w:r>
        <w:rPr>
          <w:spacing w:val="-11"/>
        </w:rPr>
        <w:t> </w:t>
      </w:r>
      <w:r>
        <w:rPr/>
        <w:t>quesería</w:t>
      </w:r>
      <w:r>
        <w:rPr>
          <w:spacing w:val="-8"/>
        </w:rPr>
        <w:t> </w:t>
      </w:r>
      <w:r>
        <w:rPr/>
        <w:t>artesanal</w:t>
      </w:r>
      <w:r>
        <w:rPr>
          <w:spacing w:val="-12"/>
        </w:rPr>
        <w:t> </w:t>
      </w:r>
      <w:r>
        <w:rPr/>
        <w:t>en</w:t>
      </w:r>
      <w:r>
        <w:rPr>
          <w:spacing w:val="-11"/>
        </w:rPr>
        <w:t> </w:t>
      </w:r>
      <w:r>
        <w:rPr/>
        <w:t>la</w:t>
      </w:r>
      <w:r>
        <w:rPr>
          <w:spacing w:val="-9"/>
        </w:rPr>
        <w:t> </w:t>
      </w:r>
      <w:r>
        <w:rPr/>
        <w:t>zona. Se realizó un estudio transversal y un muestreo por conveniencia. Se adquirieron 64 piezas de quesos frescos en mercados itinerantes (tianguis) y fijos durante el periodo de agosto-octubre de 2014. El pH y la temperatura de los quesos se determinaron en el punto de venta. Mediante métodos oficiales se determinó el contenido de materia seca, cenizas, grasa, proteína y NaCl. La procedencia de los quesos</w:t>
      </w:r>
      <w:r>
        <w:rPr>
          <w:spacing w:val="-12"/>
        </w:rPr>
        <w:t> </w:t>
      </w:r>
      <w:r>
        <w:rPr/>
        <w:t>se</w:t>
      </w:r>
      <w:r>
        <w:rPr>
          <w:spacing w:val="-13"/>
        </w:rPr>
        <w:t> </w:t>
      </w:r>
      <w:r>
        <w:rPr/>
        <w:t>estableció</w:t>
      </w:r>
      <w:r>
        <w:rPr>
          <w:spacing w:val="-12"/>
        </w:rPr>
        <w:t> </w:t>
      </w:r>
      <w:r>
        <w:rPr/>
        <w:t>a</w:t>
      </w:r>
      <w:r>
        <w:rPr>
          <w:spacing w:val="-13"/>
        </w:rPr>
        <w:t> </w:t>
      </w:r>
      <w:r>
        <w:rPr/>
        <w:t>partir</w:t>
      </w:r>
      <w:r>
        <w:rPr>
          <w:spacing w:val="-12"/>
        </w:rPr>
        <w:t> </w:t>
      </w:r>
      <w:r>
        <w:rPr/>
        <w:t>de</w:t>
      </w:r>
      <w:r>
        <w:rPr>
          <w:spacing w:val="-11"/>
        </w:rPr>
        <w:t> </w:t>
      </w:r>
      <w:r>
        <w:rPr/>
        <w:t>la</w:t>
      </w:r>
      <w:r>
        <w:rPr>
          <w:spacing w:val="-16"/>
        </w:rPr>
        <w:t> </w:t>
      </w:r>
      <w:r>
        <w:rPr/>
        <w:t>fuente</w:t>
      </w:r>
      <w:r>
        <w:rPr>
          <w:spacing w:val="-11"/>
        </w:rPr>
        <w:t> </w:t>
      </w:r>
      <w:r>
        <w:rPr/>
        <w:t>de</w:t>
      </w:r>
      <w:r>
        <w:rPr>
          <w:spacing w:val="-11"/>
        </w:rPr>
        <w:t> </w:t>
      </w:r>
      <w:r>
        <w:rPr/>
        <w:t>suministro</w:t>
      </w:r>
      <w:r>
        <w:rPr>
          <w:spacing w:val="-13"/>
        </w:rPr>
        <w:t> </w:t>
      </w:r>
      <w:r>
        <w:rPr/>
        <w:t>en</w:t>
      </w:r>
      <w:r>
        <w:rPr>
          <w:spacing w:val="-13"/>
        </w:rPr>
        <w:t> </w:t>
      </w:r>
      <w:r>
        <w:rPr/>
        <w:t>cuatro</w:t>
      </w:r>
      <w:r>
        <w:rPr>
          <w:spacing w:val="-11"/>
        </w:rPr>
        <w:t> </w:t>
      </w:r>
      <w:r>
        <w:rPr/>
        <w:t>regiones:</w:t>
      </w:r>
      <w:r>
        <w:rPr>
          <w:spacing w:val="-13"/>
        </w:rPr>
        <w:t> </w:t>
      </w:r>
      <w:r>
        <w:rPr/>
        <w:t>(A)</w:t>
      </w:r>
      <w:r>
        <w:rPr>
          <w:spacing w:val="-12"/>
        </w:rPr>
        <w:t> </w:t>
      </w:r>
      <w:r>
        <w:rPr/>
        <w:t>Valle de Toluca; (B), otros municipios del Estado de México; (C), de origen desconocido y (D), otros estados del país. Se observó que la presentación del queso de forma circular fue la misma en todos los puntos de venta con un rango de peso de 100 </w:t>
      </w:r>
      <w:r>
        <w:rPr>
          <w:spacing w:val="14"/>
        </w:rPr>
        <w:t> </w:t>
      </w:r>
      <w:r>
        <w:rPr/>
        <w:t>a</w:t>
      </w:r>
    </w:p>
    <w:p>
      <w:pPr>
        <w:pStyle w:val="BodyText"/>
        <w:spacing w:line="480" w:lineRule="auto" w:before="8"/>
        <w:ind w:left="142" w:right="136"/>
        <w:jc w:val="both"/>
      </w:pPr>
      <w:r>
        <w:rPr/>
        <w:t>250 g. Los rangos para los parámetros fisicoquímicos fueron pH (4.84-6.07), humedad (42.71-66.66%), materia seca (1.68-3.39%), cenizas (2.65-5.24%), grasa (12-32%), proteína (16.81-26.62%) y NaCl (0.29-1.44%). Se concluye que el</w:t>
      </w:r>
      <w:r>
        <w:rPr>
          <w:spacing w:val="-29"/>
        </w:rPr>
        <w:t> </w:t>
      </w:r>
      <w:r>
        <w:rPr/>
        <w:t>queso fresco del municipio de Toluca puede ser considerado como un queso artesanal propio</w:t>
      </w:r>
      <w:r>
        <w:rPr>
          <w:spacing w:val="-6"/>
        </w:rPr>
        <w:t> </w:t>
      </w:r>
      <w:r>
        <w:rPr/>
        <w:t>de</w:t>
      </w:r>
      <w:r>
        <w:rPr>
          <w:spacing w:val="-6"/>
        </w:rPr>
        <w:t> </w:t>
      </w:r>
      <w:r>
        <w:rPr/>
        <w:t>la</w:t>
      </w:r>
      <w:r>
        <w:rPr>
          <w:spacing w:val="-6"/>
        </w:rPr>
        <w:t> </w:t>
      </w:r>
      <w:r>
        <w:rPr/>
        <w:t>región,</w:t>
      </w:r>
      <w:r>
        <w:rPr>
          <w:spacing w:val="-6"/>
        </w:rPr>
        <w:t> </w:t>
      </w:r>
      <w:r>
        <w:rPr/>
        <w:t>que</w:t>
      </w:r>
      <w:r>
        <w:rPr>
          <w:spacing w:val="-4"/>
        </w:rPr>
        <w:t> </w:t>
      </w:r>
      <w:r>
        <w:rPr/>
        <w:t>debe</w:t>
      </w:r>
      <w:r>
        <w:rPr>
          <w:spacing w:val="-6"/>
        </w:rPr>
        <w:t> </w:t>
      </w:r>
      <w:r>
        <w:rPr/>
        <w:t>de</w:t>
      </w:r>
      <w:r>
        <w:rPr>
          <w:spacing w:val="-6"/>
        </w:rPr>
        <w:t> </w:t>
      </w:r>
      <w:r>
        <w:rPr/>
        <w:t>ser</w:t>
      </w:r>
      <w:r>
        <w:rPr>
          <w:spacing w:val="-7"/>
        </w:rPr>
        <w:t> </w:t>
      </w:r>
      <w:r>
        <w:rPr/>
        <w:t>preservado</w:t>
      </w:r>
      <w:r>
        <w:rPr>
          <w:spacing w:val="-4"/>
        </w:rPr>
        <w:t> </w:t>
      </w:r>
      <w:r>
        <w:rPr/>
        <w:t>como</w:t>
      </w:r>
      <w:r>
        <w:rPr>
          <w:spacing w:val="-6"/>
        </w:rPr>
        <w:t> </w:t>
      </w:r>
      <w:r>
        <w:rPr/>
        <w:t>un</w:t>
      </w:r>
      <w:r>
        <w:rPr>
          <w:spacing w:val="-6"/>
        </w:rPr>
        <w:t> </w:t>
      </w:r>
      <w:r>
        <w:rPr/>
        <w:t>interés</w:t>
      </w:r>
      <w:r>
        <w:rPr>
          <w:spacing w:val="-7"/>
        </w:rPr>
        <w:t> </w:t>
      </w:r>
      <w:r>
        <w:rPr/>
        <w:t>en</w:t>
      </w:r>
      <w:r>
        <w:rPr>
          <w:spacing w:val="-8"/>
        </w:rPr>
        <w:t> </w:t>
      </w:r>
      <w:r>
        <w:rPr/>
        <w:t>la</w:t>
      </w:r>
      <w:r>
        <w:rPr>
          <w:spacing w:val="-4"/>
        </w:rPr>
        <w:t> </w:t>
      </w:r>
      <w:r>
        <w:rPr/>
        <w:t>gastronomía mexicana, además de la importancia de mejorar las condiciones </w:t>
      </w:r>
      <w:r>
        <w:rPr>
          <w:spacing w:val="3"/>
        </w:rPr>
        <w:t>de </w:t>
      </w:r>
      <w:r>
        <w:rPr/>
        <w:t>calidad e inocuidad en la</w:t>
      </w:r>
      <w:r>
        <w:rPr>
          <w:spacing w:val="-11"/>
        </w:rPr>
        <w:t> </w:t>
      </w:r>
      <w:r>
        <w:rPr/>
        <w:t>comercialización.</w:t>
      </w:r>
    </w:p>
    <w:p>
      <w:pPr>
        <w:pStyle w:val="BodyText"/>
        <w:spacing w:line="480" w:lineRule="auto" w:before="8"/>
        <w:ind w:left="142" w:right="145"/>
        <w:jc w:val="both"/>
      </w:pPr>
      <w:r>
        <w:rPr/>
        <w:t>Palabras clave: Queso, alimentos tradicionales, comercio, Valle de Toluca, patrimonio gastronómico.</w:t>
      </w:r>
    </w:p>
    <w:p>
      <w:pPr>
        <w:spacing w:after="0" w:line="480" w:lineRule="auto"/>
        <w:jc w:val="both"/>
        <w:sectPr>
          <w:pgSz w:w="12240" w:h="15840"/>
          <w:pgMar w:header="728" w:footer="710" w:top="1200" w:bottom="900" w:left="1560" w:right="1560"/>
        </w:sectPr>
      </w:pPr>
    </w:p>
    <w:p>
      <w:pPr>
        <w:pStyle w:val="BodyText"/>
        <w:spacing w:before="7"/>
        <w:rPr>
          <w:sz w:val="12"/>
        </w:rPr>
      </w:pPr>
    </w:p>
    <w:p>
      <w:pPr>
        <w:pStyle w:val="BodyText"/>
        <w:spacing w:before="69"/>
        <w:ind w:left="142"/>
        <w:jc w:val="both"/>
      </w:pPr>
      <w:r>
        <w:rPr/>
        <w:t>ABSTRACT</w:t>
      </w:r>
    </w:p>
    <w:p>
      <w:pPr>
        <w:pStyle w:val="BodyText"/>
      </w:pPr>
    </w:p>
    <w:p>
      <w:pPr>
        <w:pStyle w:val="BodyText"/>
        <w:spacing w:line="480" w:lineRule="auto"/>
        <w:ind w:left="142" w:right="136"/>
        <w:jc w:val="both"/>
      </w:pPr>
      <w:r>
        <w:rPr/>
        <w:t>The aim of this study was to determine physicochemical characteristics its origin, marketing and sales conditions of fresh cheese marketed in Toluca´s municipality, State of Mexico, Mexico. Additionally information on the milk industry and its link to the artisan cheese production as a traditional food and its regional economic importance were provided. A cross-sectional study was conducted by convenience; were sampled 64 pieces of fresh cheese purchased on fixed and itinerant markets (flea markets) during a period from August to October 2014. Temperature and pH data of the cheeses was determinated at point sale. Then following the official standard</w:t>
      </w:r>
      <w:r>
        <w:rPr>
          <w:spacing w:val="-7"/>
        </w:rPr>
        <w:t> </w:t>
      </w:r>
      <w:r>
        <w:rPr/>
        <w:t>methods,</w:t>
      </w:r>
      <w:r>
        <w:rPr>
          <w:spacing w:val="-6"/>
        </w:rPr>
        <w:t> </w:t>
      </w:r>
      <w:r>
        <w:rPr/>
        <w:t>we</w:t>
      </w:r>
      <w:r>
        <w:rPr>
          <w:spacing w:val="-6"/>
        </w:rPr>
        <w:t> </w:t>
      </w:r>
      <w:r>
        <w:rPr/>
        <w:t>tested</w:t>
      </w:r>
      <w:r>
        <w:rPr>
          <w:spacing w:val="-6"/>
        </w:rPr>
        <w:t> </w:t>
      </w:r>
      <w:r>
        <w:rPr/>
        <w:t>dry</w:t>
      </w:r>
      <w:r>
        <w:rPr>
          <w:spacing w:val="-10"/>
        </w:rPr>
        <w:t> </w:t>
      </w:r>
      <w:r>
        <w:rPr/>
        <w:t>content,</w:t>
      </w:r>
      <w:r>
        <w:rPr>
          <w:spacing w:val="-8"/>
        </w:rPr>
        <w:t> </w:t>
      </w:r>
      <w:r>
        <w:rPr/>
        <w:t>ash,</w:t>
      </w:r>
      <w:r>
        <w:rPr>
          <w:spacing w:val="-6"/>
        </w:rPr>
        <w:t> </w:t>
      </w:r>
      <w:r>
        <w:rPr/>
        <w:t>fat,</w:t>
      </w:r>
      <w:r>
        <w:rPr>
          <w:spacing w:val="-6"/>
        </w:rPr>
        <w:t> </w:t>
      </w:r>
      <w:r>
        <w:rPr/>
        <w:t>protein</w:t>
      </w:r>
      <w:r>
        <w:rPr>
          <w:spacing w:val="-6"/>
        </w:rPr>
        <w:t> </w:t>
      </w:r>
      <w:r>
        <w:rPr/>
        <w:t>and</w:t>
      </w:r>
      <w:r>
        <w:rPr>
          <w:spacing w:val="-6"/>
        </w:rPr>
        <w:t> </w:t>
      </w:r>
      <w:r>
        <w:rPr/>
        <w:t>sodium</w:t>
      </w:r>
      <w:r>
        <w:rPr>
          <w:spacing w:val="-5"/>
        </w:rPr>
        <w:t> </w:t>
      </w:r>
      <w:r>
        <w:rPr/>
        <w:t>chloride.</w:t>
      </w:r>
      <w:r>
        <w:rPr>
          <w:spacing w:val="-6"/>
        </w:rPr>
        <w:t> </w:t>
      </w:r>
      <w:r>
        <w:rPr/>
        <w:t>The origin</w:t>
      </w:r>
      <w:r>
        <w:rPr>
          <w:spacing w:val="-9"/>
        </w:rPr>
        <w:t> </w:t>
      </w:r>
      <w:r>
        <w:rPr/>
        <w:t>of</w:t>
      </w:r>
      <w:r>
        <w:rPr>
          <w:spacing w:val="-7"/>
        </w:rPr>
        <w:t> </w:t>
      </w:r>
      <w:r>
        <w:rPr/>
        <w:t>the</w:t>
      </w:r>
      <w:r>
        <w:rPr>
          <w:spacing w:val="-8"/>
        </w:rPr>
        <w:t> </w:t>
      </w:r>
      <w:r>
        <w:rPr/>
        <w:t>cheese</w:t>
      </w:r>
      <w:r>
        <w:rPr>
          <w:spacing w:val="-8"/>
        </w:rPr>
        <w:t> </w:t>
      </w:r>
      <w:r>
        <w:rPr/>
        <w:t>was</w:t>
      </w:r>
      <w:r>
        <w:rPr>
          <w:spacing w:val="-9"/>
        </w:rPr>
        <w:t> </w:t>
      </w:r>
      <w:r>
        <w:rPr/>
        <w:t>established</w:t>
      </w:r>
      <w:r>
        <w:rPr>
          <w:spacing w:val="-11"/>
        </w:rPr>
        <w:t> </w:t>
      </w:r>
      <w:r>
        <w:rPr/>
        <w:t>from</w:t>
      </w:r>
      <w:r>
        <w:rPr>
          <w:spacing w:val="-8"/>
        </w:rPr>
        <w:t> </w:t>
      </w:r>
      <w:r>
        <w:rPr/>
        <w:t>the</w:t>
      </w:r>
      <w:r>
        <w:rPr>
          <w:spacing w:val="-11"/>
        </w:rPr>
        <w:t> </w:t>
      </w:r>
      <w:r>
        <w:rPr/>
        <w:t>supplier</w:t>
      </w:r>
      <w:r>
        <w:rPr>
          <w:spacing w:val="-10"/>
        </w:rPr>
        <w:t> </w:t>
      </w:r>
      <w:r>
        <w:rPr/>
        <w:t>in</w:t>
      </w:r>
      <w:r>
        <w:rPr>
          <w:spacing w:val="-9"/>
        </w:rPr>
        <w:t> </w:t>
      </w:r>
      <w:r>
        <w:rPr/>
        <w:t>each</w:t>
      </w:r>
      <w:r>
        <w:rPr>
          <w:spacing w:val="-8"/>
        </w:rPr>
        <w:t> </w:t>
      </w:r>
      <w:r>
        <w:rPr/>
        <w:t>región</w:t>
      </w:r>
      <w:r>
        <w:rPr>
          <w:spacing w:val="-10"/>
        </w:rPr>
        <w:t> </w:t>
      </w:r>
      <w:r>
        <w:rPr/>
        <w:t>and</w:t>
      </w:r>
      <w:r>
        <w:rPr>
          <w:spacing w:val="-8"/>
        </w:rPr>
        <w:t> </w:t>
      </w:r>
      <w:r>
        <w:rPr/>
        <w:t>studied</w:t>
      </w:r>
      <w:r>
        <w:rPr>
          <w:spacing w:val="-8"/>
        </w:rPr>
        <w:t> </w:t>
      </w:r>
      <w:r>
        <w:rPr/>
        <w:t>as follows:</w:t>
      </w:r>
      <w:r>
        <w:rPr>
          <w:spacing w:val="-5"/>
        </w:rPr>
        <w:t> </w:t>
      </w:r>
      <w:r>
        <w:rPr/>
        <w:t>(A),</w:t>
      </w:r>
      <w:r>
        <w:rPr>
          <w:spacing w:val="-5"/>
        </w:rPr>
        <w:t> </w:t>
      </w:r>
      <w:r>
        <w:rPr/>
        <w:t>Toluca</w:t>
      </w:r>
      <w:r>
        <w:rPr>
          <w:spacing w:val="-6"/>
        </w:rPr>
        <w:t> </w:t>
      </w:r>
      <w:r>
        <w:rPr/>
        <w:t>Valley;</w:t>
      </w:r>
      <w:r>
        <w:rPr>
          <w:spacing w:val="-5"/>
        </w:rPr>
        <w:t> </w:t>
      </w:r>
      <w:r>
        <w:rPr/>
        <w:t>(B),</w:t>
      </w:r>
      <w:r>
        <w:rPr>
          <w:spacing w:val="-6"/>
        </w:rPr>
        <w:t> </w:t>
      </w:r>
      <w:r>
        <w:rPr/>
        <w:t>other</w:t>
      </w:r>
      <w:r>
        <w:rPr>
          <w:spacing w:val="-8"/>
        </w:rPr>
        <w:t> </w:t>
      </w:r>
      <w:r>
        <w:rPr/>
        <w:t>municipalities</w:t>
      </w:r>
      <w:r>
        <w:rPr>
          <w:spacing w:val="-5"/>
        </w:rPr>
        <w:t> </w:t>
      </w:r>
      <w:r>
        <w:rPr/>
        <w:t>in</w:t>
      </w:r>
      <w:r>
        <w:rPr>
          <w:spacing w:val="-5"/>
        </w:rPr>
        <w:t> </w:t>
      </w:r>
      <w:r>
        <w:rPr/>
        <w:t>Mexico´s</w:t>
      </w:r>
      <w:r>
        <w:rPr>
          <w:spacing w:val="-6"/>
        </w:rPr>
        <w:t> </w:t>
      </w:r>
      <w:r>
        <w:rPr/>
        <w:t>State;</w:t>
      </w:r>
      <w:r>
        <w:rPr>
          <w:spacing w:val="-5"/>
        </w:rPr>
        <w:t> </w:t>
      </w:r>
      <w:r>
        <w:rPr/>
        <w:t>(C),</w:t>
      </w:r>
      <w:r>
        <w:rPr>
          <w:spacing w:val="-4"/>
        </w:rPr>
        <w:t> </w:t>
      </w:r>
      <w:r>
        <w:rPr/>
        <w:t>unknown origin and (D), other states. It was observed that the presentation of the sampled cheeses were of circular shape at all points of sale with a weight range of </w:t>
      </w:r>
      <w:r>
        <w:rPr>
          <w:spacing w:val="29"/>
        </w:rPr>
        <w:t> </w:t>
      </w:r>
      <w:r>
        <w:rPr/>
        <w:t>100-200</w:t>
      </w:r>
    </w:p>
    <w:p>
      <w:pPr>
        <w:pStyle w:val="ListParagraph"/>
        <w:numPr>
          <w:ilvl w:val="0"/>
          <w:numId w:val="8"/>
        </w:numPr>
        <w:tabs>
          <w:tab w:pos="481" w:val="left" w:leader="none"/>
        </w:tabs>
        <w:spacing w:line="480" w:lineRule="auto" w:before="8" w:after="0"/>
        <w:ind w:left="142" w:right="137" w:firstLine="0"/>
        <w:jc w:val="both"/>
        <w:rPr>
          <w:sz w:val="24"/>
        </w:rPr>
      </w:pPr>
      <w:r>
        <w:rPr>
          <w:sz w:val="24"/>
        </w:rPr>
        <w:t>The ranges for physicochemical parameters were pH (4.84-6.07), moisture (42.71-66.66%), dry matter (1.68-3.39%), ash (2.65-5.24%), fat (12-32%), protein (16.81-26.62%)</w:t>
      </w:r>
      <w:r>
        <w:rPr>
          <w:spacing w:val="-12"/>
          <w:sz w:val="24"/>
        </w:rPr>
        <w:t> </w:t>
      </w:r>
      <w:r>
        <w:rPr>
          <w:sz w:val="24"/>
        </w:rPr>
        <w:t>and</w:t>
      </w:r>
      <w:r>
        <w:rPr>
          <w:spacing w:val="-11"/>
          <w:sz w:val="24"/>
        </w:rPr>
        <w:t> </w:t>
      </w:r>
      <w:r>
        <w:rPr>
          <w:sz w:val="24"/>
        </w:rPr>
        <w:t>NaCl</w:t>
      </w:r>
      <w:r>
        <w:rPr>
          <w:spacing w:val="-12"/>
          <w:sz w:val="24"/>
        </w:rPr>
        <w:t> </w:t>
      </w:r>
      <w:r>
        <w:rPr>
          <w:sz w:val="24"/>
        </w:rPr>
        <w:t>(0.29-1.44%).</w:t>
      </w:r>
      <w:r>
        <w:rPr>
          <w:spacing w:val="-16"/>
          <w:sz w:val="24"/>
        </w:rPr>
        <w:t> </w:t>
      </w:r>
      <w:r>
        <w:rPr>
          <w:spacing w:val="3"/>
          <w:sz w:val="24"/>
        </w:rPr>
        <w:t>We</w:t>
      </w:r>
      <w:r>
        <w:rPr>
          <w:spacing w:val="-15"/>
          <w:sz w:val="24"/>
        </w:rPr>
        <w:t> </w:t>
      </w:r>
      <w:r>
        <w:rPr>
          <w:sz w:val="24"/>
        </w:rPr>
        <w:t>concluded</w:t>
      </w:r>
      <w:r>
        <w:rPr>
          <w:spacing w:val="-11"/>
          <w:sz w:val="24"/>
        </w:rPr>
        <w:t> </w:t>
      </w:r>
      <w:r>
        <w:rPr>
          <w:sz w:val="24"/>
        </w:rPr>
        <w:t>that</w:t>
      </w:r>
      <w:r>
        <w:rPr>
          <w:spacing w:val="-11"/>
          <w:sz w:val="24"/>
        </w:rPr>
        <w:t> </w:t>
      </w:r>
      <w:r>
        <w:rPr>
          <w:sz w:val="24"/>
        </w:rPr>
        <w:t>the</w:t>
      </w:r>
      <w:r>
        <w:rPr>
          <w:spacing w:val="-13"/>
          <w:sz w:val="24"/>
        </w:rPr>
        <w:t> </w:t>
      </w:r>
      <w:r>
        <w:rPr>
          <w:sz w:val="24"/>
        </w:rPr>
        <w:t>Toluca</w:t>
      </w:r>
      <w:r>
        <w:rPr>
          <w:spacing w:val="-13"/>
          <w:sz w:val="24"/>
        </w:rPr>
        <w:t> </w:t>
      </w:r>
      <w:r>
        <w:rPr>
          <w:sz w:val="24"/>
        </w:rPr>
        <w:t>fresh</w:t>
      </w:r>
      <w:r>
        <w:rPr>
          <w:spacing w:val="-11"/>
          <w:sz w:val="24"/>
        </w:rPr>
        <w:t> </w:t>
      </w:r>
      <w:r>
        <w:rPr>
          <w:sz w:val="24"/>
        </w:rPr>
        <w:t>cheese can</w:t>
      </w:r>
      <w:r>
        <w:rPr>
          <w:spacing w:val="-4"/>
          <w:sz w:val="24"/>
        </w:rPr>
        <w:t> </w:t>
      </w:r>
      <w:r>
        <w:rPr>
          <w:sz w:val="24"/>
        </w:rPr>
        <w:t>be</w:t>
      </w:r>
      <w:r>
        <w:rPr>
          <w:spacing w:val="-4"/>
          <w:sz w:val="24"/>
        </w:rPr>
        <w:t> </w:t>
      </w:r>
      <w:r>
        <w:rPr>
          <w:sz w:val="24"/>
        </w:rPr>
        <w:t>regarded</w:t>
      </w:r>
      <w:r>
        <w:rPr>
          <w:spacing w:val="-4"/>
          <w:sz w:val="24"/>
        </w:rPr>
        <w:t> </w:t>
      </w:r>
      <w:r>
        <w:rPr>
          <w:sz w:val="24"/>
        </w:rPr>
        <w:t>as</w:t>
      </w:r>
      <w:r>
        <w:rPr>
          <w:spacing w:val="-4"/>
          <w:sz w:val="24"/>
        </w:rPr>
        <w:t> </w:t>
      </w:r>
      <w:r>
        <w:rPr>
          <w:sz w:val="24"/>
        </w:rPr>
        <w:t>an</w:t>
      </w:r>
      <w:r>
        <w:rPr>
          <w:spacing w:val="-6"/>
          <w:sz w:val="24"/>
        </w:rPr>
        <w:t> </w:t>
      </w:r>
      <w:r>
        <w:rPr>
          <w:sz w:val="24"/>
        </w:rPr>
        <w:t>artisan</w:t>
      </w:r>
      <w:r>
        <w:rPr>
          <w:spacing w:val="-4"/>
          <w:sz w:val="24"/>
        </w:rPr>
        <w:t> </w:t>
      </w:r>
      <w:r>
        <w:rPr>
          <w:sz w:val="24"/>
        </w:rPr>
        <w:t>product</w:t>
      </w:r>
      <w:r>
        <w:rPr>
          <w:spacing w:val="-4"/>
          <w:sz w:val="24"/>
        </w:rPr>
        <w:t> </w:t>
      </w:r>
      <w:r>
        <w:rPr>
          <w:sz w:val="24"/>
        </w:rPr>
        <w:t>with</w:t>
      </w:r>
      <w:r>
        <w:rPr>
          <w:spacing w:val="-4"/>
          <w:sz w:val="24"/>
        </w:rPr>
        <w:t> </w:t>
      </w:r>
      <w:r>
        <w:rPr>
          <w:sz w:val="24"/>
        </w:rPr>
        <w:t>its</w:t>
      </w:r>
      <w:r>
        <w:rPr>
          <w:spacing w:val="-4"/>
          <w:sz w:val="24"/>
        </w:rPr>
        <w:t> </w:t>
      </w:r>
      <w:r>
        <w:rPr>
          <w:sz w:val="24"/>
        </w:rPr>
        <w:t>own</w:t>
      </w:r>
      <w:r>
        <w:rPr>
          <w:spacing w:val="-4"/>
          <w:sz w:val="24"/>
        </w:rPr>
        <w:t> </w:t>
      </w:r>
      <w:r>
        <w:rPr>
          <w:sz w:val="24"/>
        </w:rPr>
        <w:t>peculiar</w:t>
      </w:r>
      <w:r>
        <w:rPr>
          <w:spacing w:val="-5"/>
          <w:sz w:val="24"/>
        </w:rPr>
        <w:t> </w:t>
      </w:r>
      <w:r>
        <w:rPr>
          <w:sz w:val="24"/>
        </w:rPr>
        <w:t>qualities</w:t>
      </w:r>
      <w:r>
        <w:rPr>
          <w:spacing w:val="-4"/>
          <w:sz w:val="24"/>
        </w:rPr>
        <w:t> </w:t>
      </w:r>
      <w:r>
        <w:rPr>
          <w:sz w:val="24"/>
        </w:rPr>
        <w:t>from</w:t>
      </w:r>
      <w:r>
        <w:rPr>
          <w:spacing w:val="-3"/>
          <w:sz w:val="24"/>
        </w:rPr>
        <w:t> </w:t>
      </w:r>
      <w:r>
        <w:rPr>
          <w:sz w:val="24"/>
        </w:rPr>
        <w:t>the</w:t>
      </w:r>
      <w:r>
        <w:rPr>
          <w:spacing w:val="-4"/>
          <w:sz w:val="24"/>
        </w:rPr>
        <w:t> </w:t>
      </w:r>
      <w:r>
        <w:rPr>
          <w:sz w:val="24"/>
        </w:rPr>
        <w:t>whole región that should be preserved as an interest in the gastronomic heritage and culture.</w:t>
      </w:r>
      <w:r>
        <w:rPr>
          <w:spacing w:val="-11"/>
          <w:sz w:val="24"/>
        </w:rPr>
        <w:t> </w:t>
      </w:r>
      <w:r>
        <w:rPr>
          <w:sz w:val="24"/>
        </w:rPr>
        <w:t>Its</w:t>
      </w:r>
      <w:r>
        <w:rPr>
          <w:spacing w:val="-9"/>
          <w:sz w:val="24"/>
        </w:rPr>
        <w:t> </w:t>
      </w:r>
      <w:r>
        <w:rPr>
          <w:sz w:val="24"/>
        </w:rPr>
        <w:t>importance</w:t>
      </w:r>
      <w:r>
        <w:rPr>
          <w:spacing w:val="-11"/>
          <w:sz w:val="24"/>
        </w:rPr>
        <w:t> </w:t>
      </w:r>
      <w:r>
        <w:rPr>
          <w:sz w:val="24"/>
        </w:rPr>
        <w:t>also</w:t>
      </w:r>
      <w:r>
        <w:rPr>
          <w:spacing w:val="-9"/>
          <w:sz w:val="24"/>
        </w:rPr>
        <w:t> </w:t>
      </w:r>
      <w:r>
        <w:rPr>
          <w:sz w:val="24"/>
        </w:rPr>
        <w:t>stands</w:t>
      </w:r>
      <w:r>
        <w:rPr>
          <w:spacing w:val="-12"/>
          <w:sz w:val="24"/>
        </w:rPr>
        <w:t> </w:t>
      </w:r>
      <w:r>
        <w:rPr>
          <w:sz w:val="24"/>
        </w:rPr>
        <w:t>out</w:t>
      </w:r>
      <w:r>
        <w:rPr>
          <w:spacing w:val="-11"/>
          <w:sz w:val="24"/>
        </w:rPr>
        <w:t> </w:t>
      </w:r>
      <w:r>
        <w:rPr>
          <w:sz w:val="24"/>
        </w:rPr>
        <w:t>for</w:t>
      </w:r>
      <w:r>
        <w:rPr>
          <w:spacing w:val="-10"/>
          <w:sz w:val="24"/>
        </w:rPr>
        <w:t> </w:t>
      </w:r>
      <w:r>
        <w:rPr>
          <w:sz w:val="24"/>
        </w:rPr>
        <w:t>the</w:t>
      </w:r>
      <w:r>
        <w:rPr>
          <w:spacing w:val="-11"/>
          <w:sz w:val="24"/>
        </w:rPr>
        <w:t> </w:t>
      </w:r>
      <w:r>
        <w:rPr>
          <w:sz w:val="24"/>
        </w:rPr>
        <w:t>necessity</w:t>
      </w:r>
      <w:r>
        <w:rPr>
          <w:spacing w:val="-14"/>
          <w:sz w:val="24"/>
        </w:rPr>
        <w:t> </w:t>
      </w:r>
      <w:r>
        <w:rPr>
          <w:sz w:val="24"/>
        </w:rPr>
        <w:t>for</w:t>
      </w:r>
      <w:r>
        <w:rPr>
          <w:spacing w:val="-10"/>
          <w:sz w:val="24"/>
        </w:rPr>
        <w:t> </w:t>
      </w:r>
      <w:r>
        <w:rPr>
          <w:sz w:val="24"/>
        </w:rPr>
        <w:t>improving</w:t>
      </w:r>
      <w:r>
        <w:rPr>
          <w:spacing w:val="-10"/>
          <w:sz w:val="24"/>
        </w:rPr>
        <w:t> </w:t>
      </w:r>
      <w:r>
        <w:rPr>
          <w:sz w:val="24"/>
        </w:rPr>
        <w:t>the</w:t>
      </w:r>
      <w:r>
        <w:rPr>
          <w:spacing w:val="-11"/>
          <w:sz w:val="24"/>
        </w:rPr>
        <w:t> </w:t>
      </w:r>
      <w:r>
        <w:rPr>
          <w:sz w:val="24"/>
        </w:rPr>
        <w:t>quality</w:t>
      </w:r>
      <w:r>
        <w:rPr>
          <w:spacing w:val="-11"/>
          <w:sz w:val="24"/>
        </w:rPr>
        <w:t> </w:t>
      </w:r>
      <w:r>
        <w:rPr>
          <w:sz w:val="24"/>
        </w:rPr>
        <w:t>and food safety in marketing of the fresh</w:t>
      </w:r>
      <w:r>
        <w:rPr>
          <w:spacing w:val="-10"/>
          <w:sz w:val="24"/>
        </w:rPr>
        <w:t> </w:t>
      </w:r>
      <w:r>
        <w:rPr>
          <w:sz w:val="24"/>
        </w:rPr>
        <w:t>cheese.</w:t>
      </w:r>
    </w:p>
    <w:p>
      <w:pPr>
        <w:pStyle w:val="BodyText"/>
        <w:spacing w:line="480" w:lineRule="auto" w:before="8"/>
        <w:ind w:left="142" w:right="144"/>
        <w:jc w:val="both"/>
      </w:pPr>
      <w:r>
        <w:rPr/>
        <w:t>Key words: Cheese, traditional food, marketing, Toluca Valley, gastronomic heritage.</w:t>
      </w:r>
    </w:p>
    <w:p>
      <w:pPr>
        <w:spacing w:after="0" w:line="480" w:lineRule="auto"/>
        <w:jc w:val="both"/>
        <w:sectPr>
          <w:pgSz w:w="12240" w:h="15840"/>
          <w:pgMar w:header="728" w:footer="710" w:top="1200" w:bottom="900" w:left="1560" w:right="1560"/>
        </w:sectPr>
      </w:pPr>
    </w:p>
    <w:p>
      <w:pPr>
        <w:pStyle w:val="BodyText"/>
        <w:rPr>
          <w:sz w:val="20"/>
        </w:rPr>
      </w:pPr>
    </w:p>
    <w:p>
      <w:pPr>
        <w:pStyle w:val="BodyText"/>
        <w:rPr>
          <w:sz w:val="20"/>
        </w:rPr>
      </w:pPr>
    </w:p>
    <w:p>
      <w:pPr>
        <w:pStyle w:val="BodyText"/>
        <w:spacing w:before="7"/>
        <w:rPr>
          <w:sz w:val="20"/>
        </w:rPr>
      </w:pPr>
    </w:p>
    <w:p>
      <w:pPr>
        <w:pStyle w:val="BodyText"/>
        <w:spacing w:before="69"/>
        <w:ind w:left="142"/>
        <w:jc w:val="both"/>
      </w:pPr>
      <w:r>
        <w:rPr/>
        <w:t>INTRODUCCIÓN</w:t>
      </w:r>
    </w:p>
    <w:p>
      <w:pPr>
        <w:pStyle w:val="BodyText"/>
      </w:pPr>
    </w:p>
    <w:p>
      <w:pPr>
        <w:pStyle w:val="BodyText"/>
        <w:spacing w:line="477" w:lineRule="auto"/>
        <w:ind w:left="142" w:right="136"/>
        <w:jc w:val="both"/>
      </w:pPr>
      <w:r>
        <w:rPr/>
        <w:t>La</w:t>
      </w:r>
      <w:r>
        <w:rPr>
          <w:spacing w:val="-5"/>
        </w:rPr>
        <w:t> </w:t>
      </w:r>
      <w:r>
        <w:rPr/>
        <w:t>producción</w:t>
      </w:r>
      <w:r>
        <w:rPr>
          <w:spacing w:val="-7"/>
        </w:rPr>
        <w:t> </w:t>
      </w:r>
      <w:r>
        <w:rPr/>
        <w:t>artesanal</w:t>
      </w:r>
      <w:r>
        <w:rPr>
          <w:spacing w:val="-6"/>
        </w:rPr>
        <w:t> </w:t>
      </w:r>
      <w:r>
        <w:rPr/>
        <w:t>de</w:t>
      </w:r>
      <w:r>
        <w:rPr>
          <w:spacing w:val="-7"/>
        </w:rPr>
        <w:t> </w:t>
      </w:r>
      <w:r>
        <w:rPr/>
        <w:t>los</w:t>
      </w:r>
      <w:r>
        <w:rPr>
          <w:spacing w:val="-5"/>
        </w:rPr>
        <w:t> </w:t>
      </w:r>
      <w:r>
        <w:rPr/>
        <w:t>quesos</w:t>
      </w:r>
      <w:r>
        <w:rPr>
          <w:spacing w:val="-5"/>
        </w:rPr>
        <w:t> </w:t>
      </w:r>
      <w:r>
        <w:rPr/>
        <w:t>en</w:t>
      </w:r>
      <w:r>
        <w:rPr>
          <w:spacing w:val="-5"/>
        </w:rPr>
        <w:t> </w:t>
      </w:r>
      <w:r>
        <w:rPr/>
        <w:t>México</w:t>
      </w:r>
      <w:r>
        <w:rPr>
          <w:spacing w:val="-5"/>
        </w:rPr>
        <w:t> </w:t>
      </w:r>
      <w:r>
        <w:rPr/>
        <w:t>data</w:t>
      </w:r>
      <w:r>
        <w:rPr>
          <w:spacing w:val="-7"/>
        </w:rPr>
        <w:t> </w:t>
      </w:r>
      <w:r>
        <w:rPr/>
        <w:t>de</w:t>
      </w:r>
      <w:r>
        <w:rPr>
          <w:spacing w:val="-5"/>
        </w:rPr>
        <w:t> </w:t>
      </w:r>
      <w:r>
        <w:rPr/>
        <w:t>la</w:t>
      </w:r>
      <w:r>
        <w:rPr>
          <w:spacing w:val="-7"/>
        </w:rPr>
        <w:t> </w:t>
      </w:r>
      <w:r>
        <w:rPr/>
        <w:t>Colonia,</w:t>
      </w:r>
      <w:r>
        <w:rPr>
          <w:spacing w:val="-5"/>
        </w:rPr>
        <w:t> </w:t>
      </w:r>
      <w:r>
        <w:rPr/>
        <w:t>con</w:t>
      </w:r>
      <w:r>
        <w:rPr>
          <w:spacing w:val="-7"/>
        </w:rPr>
        <w:t> </w:t>
      </w:r>
      <w:r>
        <w:rPr/>
        <w:t>influencia hispana</w:t>
      </w:r>
      <w:r>
        <w:rPr>
          <w:spacing w:val="-12"/>
        </w:rPr>
        <w:t> </w:t>
      </w:r>
      <w:r>
        <w:rPr/>
        <w:t>se</w:t>
      </w:r>
      <w:r>
        <w:rPr>
          <w:spacing w:val="-12"/>
        </w:rPr>
        <w:t> </w:t>
      </w:r>
      <w:r>
        <w:rPr/>
        <w:t>distribuye</w:t>
      </w:r>
      <w:r>
        <w:rPr>
          <w:spacing w:val="-12"/>
        </w:rPr>
        <w:t> </w:t>
      </w:r>
      <w:r>
        <w:rPr/>
        <w:t>ampliamente</w:t>
      </w:r>
      <w:r>
        <w:rPr>
          <w:spacing w:val="-14"/>
        </w:rPr>
        <w:t> </w:t>
      </w:r>
      <w:r>
        <w:rPr/>
        <w:t>en</w:t>
      </w:r>
      <w:r>
        <w:rPr>
          <w:spacing w:val="-14"/>
        </w:rPr>
        <w:t> </w:t>
      </w:r>
      <w:r>
        <w:rPr/>
        <w:t>el</w:t>
      </w:r>
      <w:r>
        <w:rPr>
          <w:spacing w:val="-15"/>
        </w:rPr>
        <w:t> </w:t>
      </w:r>
      <w:r>
        <w:rPr/>
        <w:t>territorio</w:t>
      </w:r>
      <w:r>
        <w:rPr>
          <w:spacing w:val="-12"/>
        </w:rPr>
        <w:t> </w:t>
      </w:r>
      <w:r>
        <w:rPr/>
        <w:t>nacional</w:t>
      </w:r>
      <w:r>
        <w:rPr>
          <w:spacing w:val="-15"/>
        </w:rPr>
        <w:t> </w:t>
      </w:r>
      <w:r>
        <w:rPr/>
        <w:t>con</w:t>
      </w:r>
      <w:r>
        <w:rPr>
          <w:spacing w:val="-14"/>
        </w:rPr>
        <w:t> </w:t>
      </w:r>
      <w:r>
        <w:rPr/>
        <w:t>sutiles</w:t>
      </w:r>
      <w:r>
        <w:rPr>
          <w:spacing w:val="-13"/>
        </w:rPr>
        <w:t> </w:t>
      </w:r>
      <w:r>
        <w:rPr/>
        <w:t>diferencias</w:t>
      </w:r>
      <w:r>
        <w:rPr>
          <w:spacing w:val="-14"/>
        </w:rPr>
        <w:t> </w:t>
      </w:r>
      <w:r>
        <w:rPr/>
        <w:t>en su</w:t>
      </w:r>
      <w:r>
        <w:rPr>
          <w:spacing w:val="-16"/>
        </w:rPr>
        <w:t> </w:t>
      </w:r>
      <w:r>
        <w:rPr/>
        <w:t>elaboración</w:t>
      </w:r>
      <w:r>
        <w:rPr>
          <w:position w:val="8"/>
          <w:sz w:val="16"/>
        </w:rPr>
        <w:t>(1,2)</w:t>
      </w:r>
      <w:r>
        <w:rPr/>
        <w:t>.</w:t>
      </w:r>
      <w:r>
        <w:rPr>
          <w:spacing w:val="-18"/>
        </w:rPr>
        <w:t> </w:t>
      </w:r>
      <w:r>
        <w:rPr/>
        <w:t>Se</w:t>
      </w:r>
      <w:r>
        <w:rPr>
          <w:spacing w:val="-18"/>
        </w:rPr>
        <w:t> </w:t>
      </w:r>
      <w:r>
        <w:rPr/>
        <w:t>conocen</w:t>
      </w:r>
      <w:r>
        <w:rPr>
          <w:spacing w:val="-16"/>
        </w:rPr>
        <w:t> </w:t>
      </w:r>
      <w:r>
        <w:rPr/>
        <w:t>40</w:t>
      </w:r>
      <w:r>
        <w:rPr>
          <w:spacing w:val="-16"/>
        </w:rPr>
        <w:t> </w:t>
      </w:r>
      <w:r>
        <w:rPr/>
        <w:t>tipos</w:t>
      </w:r>
      <w:r>
        <w:rPr>
          <w:spacing w:val="-16"/>
        </w:rPr>
        <w:t> </w:t>
      </w:r>
      <w:r>
        <w:rPr/>
        <w:t>de</w:t>
      </w:r>
      <w:r>
        <w:rPr>
          <w:spacing w:val="-16"/>
        </w:rPr>
        <w:t> </w:t>
      </w:r>
      <w:r>
        <w:rPr/>
        <w:t>quesos,</w:t>
      </w:r>
      <w:r>
        <w:rPr>
          <w:spacing w:val="-16"/>
        </w:rPr>
        <w:t> </w:t>
      </w:r>
      <w:r>
        <w:rPr/>
        <w:t>que</w:t>
      </w:r>
      <w:r>
        <w:rPr>
          <w:spacing w:val="-16"/>
        </w:rPr>
        <w:t> </w:t>
      </w:r>
      <w:r>
        <w:rPr/>
        <w:t>adaptados</w:t>
      </w:r>
      <w:r>
        <w:rPr>
          <w:spacing w:val="-16"/>
        </w:rPr>
        <w:t> </w:t>
      </w:r>
      <w:r>
        <w:rPr/>
        <w:t>a</w:t>
      </w:r>
      <w:r>
        <w:rPr>
          <w:spacing w:val="-18"/>
        </w:rPr>
        <w:t> </w:t>
      </w:r>
      <w:r>
        <w:rPr/>
        <w:t>las</w:t>
      </w:r>
      <w:r>
        <w:rPr>
          <w:spacing w:val="-16"/>
        </w:rPr>
        <w:t> </w:t>
      </w:r>
      <w:r>
        <w:rPr/>
        <w:t>condiciones locales</w:t>
      </w:r>
      <w:r>
        <w:rPr>
          <w:spacing w:val="-6"/>
        </w:rPr>
        <w:t> </w:t>
      </w:r>
      <w:r>
        <w:rPr/>
        <w:t>incorporan</w:t>
      </w:r>
      <w:r>
        <w:rPr>
          <w:spacing w:val="-8"/>
        </w:rPr>
        <w:t> </w:t>
      </w:r>
      <w:r>
        <w:rPr/>
        <w:t>sabores,</w:t>
      </w:r>
      <w:r>
        <w:rPr>
          <w:spacing w:val="-6"/>
        </w:rPr>
        <w:t> </w:t>
      </w:r>
      <w:r>
        <w:rPr/>
        <w:t>aromas</w:t>
      </w:r>
      <w:r>
        <w:rPr>
          <w:spacing w:val="-9"/>
        </w:rPr>
        <w:t> </w:t>
      </w:r>
      <w:r>
        <w:rPr/>
        <w:t>y</w:t>
      </w:r>
      <w:r>
        <w:rPr>
          <w:spacing w:val="-9"/>
        </w:rPr>
        <w:t> </w:t>
      </w:r>
      <w:r>
        <w:rPr/>
        <w:t>textura</w:t>
      </w:r>
      <w:r>
        <w:rPr>
          <w:spacing w:val="-9"/>
        </w:rPr>
        <w:t> </w:t>
      </w:r>
      <w:r>
        <w:rPr/>
        <w:t>a</w:t>
      </w:r>
      <w:r>
        <w:rPr>
          <w:spacing w:val="-6"/>
        </w:rPr>
        <w:t> </w:t>
      </w:r>
      <w:r>
        <w:rPr/>
        <w:t>la</w:t>
      </w:r>
      <w:r>
        <w:rPr>
          <w:spacing w:val="-6"/>
        </w:rPr>
        <w:t> </w:t>
      </w:r>
      <w:r>
        <w:rPr/>
        <w:t>gastronomía</w:t>
      </w:r>
      <w:r>
        <w:rPr>
          <w:spacing w:val="-6"/>
        </w:rPr>
        <w:t> </w:t>
      </w:r>
      <w:r>
        <w:rPr/>
        <w:t>mexicana,</w:t>
      </w:r>
      <w:r>
        <w:rPr>
          <w:spacing w:val="-9"/>
        </w:rPr>
        <w:t> </w:t>
      </w:r>
      <w:r>
        <w:rPr/>
        <w:t>la</w:t>
      </w:r>
      <w:r>
        <w:rPr>
          <w:spacing w:val="-6"/>
        </w:rPr>
        <w:t> </w:t>
      </w:r>
      <w:r>
        <w:rPr/>
        <w:t>cual</w:t>
      </w:r>
      <w:r>
        <w:rPr>
          <w:spacing w:val="-10"/>
        </w:rPr>
        <w:t> </w:t>
      </w:r>
      <w:r>
        <w:rPr/>
        <w:t>ha sido reconocida como patrimonio cultural</w:t>
      </w:r>
      <w:r>
        <w:rPr>
          <w:position w:val="8"/>
          <w:sz w:val="16"/>
        </w:rPr>
        <w:t>(3)</w:t>
      </w:r>
      <w:r>
        <w:rPr/>
        <w:t>. La importancia culinaria y cultural es indudable, pero la información de sus atributos y procesamiento es escasa debido a que esta se basa solamente en datos y establecimientos sujetos a registro censal</w:t>
      </w:r>
      <w:r>
        <w:rPr>
          <w:position w:val="8"/>
          <w:sz w:val="16"/>
        </w:rPr>
        <w:t>(1)</w:t>
      </w:r>
      <w:r>
        <w:rPr/>
        <w:t>. Además no tiene una evidencia socioeconómica actual, debido a que mientras algunos han incrementado su producción otros están en desaparición comercial</w:t>
      </w:r>
      <w:r>
        <w:rPr>
          <w:position w:val="8"/>
          <w:sz w:val="16"/>
        </w:rPr>
        <w:t>(3)</w:t>
      </w:r>
      <w:r>
        <w:rPr/>
        <w:t>. Se elaboran mediante técnicas rústicas y comercialización local, fuera de la exigencia sanitaria y estandarización agroindustrial en un comercio globalizado</w:t>
      </w:r>
      <w:r>
        <w:rPr>
          <w:position w:val="8"/>
          <w:sz w:val="16"/>
        </w:rPr>
        <w:t>(1)</w:t>
      </w:r>
      <w:r>
        <w:rPr/>
        <w:t>. Son apreciados por las particularidades nutricionales, inocuidad, composición, atributos sensoriales y los procesos tradicionales de elaboración</w:t>
      </w:r>
      <w:r>
        <w:rPr>
          <w:position w:val="8"/>
          <w:sz w:val="16"/>
        </w:rPr>
        <w:t>(4)</w:t>
      </w:r>
      <w:r>
        <w:rPr/>
        <w:t>,</w:t>
      </w:r>
      <w:r>
        <w:rPr>
          <w:spacing w:val="-25"/>
        </w:rPr>
        <w:t> </w:t>
      </w:r>
      <w:r>
        <w:rPr/>
        <w:t>la calidad se atribuye a la gastronomía local y aceptación de los consumidores difiriendo de la normativa de hatos lecheros y de sanidad e higiene en la fabricación</w:t>
      </w:r>
      <w:r>
        <w:rPr>
          <w:position w:val="8"/>
          <w:sz w:val="16"/>
        </w:rPr>
        <w:t>(5,6)</w:t>
      </w:r>
      <w:r>
        <w:rPr/>
        <w:t>. Las características sensoriales, físicas y de composición son producto</w:t>
      </w:r>
      <w:r>
        <w:rPr>
          <w:spacing w:val="-17"/>
        </w:rPr>
        <w:t> </w:t>
      </w:r>
      <w:r>
        <w:rPr/>
        <w:t>del</w:t>
      </w:r>
      <w:r>
        <w:rPr>
          <w:spacing w:val="-18"/>
        </w:rPr>
        <w:t> </w:t>
      </w:r>
      <w:r>
        <w:rPr/>
        <w:t>“terruño”,</w:t>
      </w:r>
      <w:r>
        <w:rPr>
          <w:spacing w:val="-20"/>
        </w:rPr>
        <w:t> </w:t>
      </w:r>
      <w:r>
        <w:rPr/>
        <w:t>considerado</w:t>
      </w:r>
      <w:r>
        <w:rPr>
          <w:spacing w:val="-17"/>
        </w:rPr>
        <w:t> </w:t>
      </w:r>
      <w:r>
        <w:rPr/>
        <w:t>como</w:t>
      </w:r>
      <w:r>
        <w:rPr>
          <w:spacing w:val="-17"/>
        </w:rPr>
        <w:t> </w:t>
      </w:r>
      <w:r>
        <w:rPr/>
        <w:t>el</w:t>
      </w:r>
      <w:r>
        <w:rPr>
          <w:spacing w:val="-18"/>
        </w:rPr>
        <w:t> </w:t>
      </w:r>
      <w:r>
        <w:rPr/>
        <w:t>espacio</w:t>
      </w:r>
      <w:r>
        <w:rPr>
          <w:spacing w:val="-17"/>
        </w:rPr>
        <w:t> </w:t>
      </w:r>
      <w:r>
        <w:rPr/>
        <w:t>geográfico;</w:t>
      </w:r>
      <w:r>
        <w:rPr>
          <w:spacing w:val="-19"/>
        </w:rPr>
        <w:t> </w:t>
      </w:r>
      <w:r>
        <w:rPr/>
        <w:t>además</w:t>
      </w:r>
      <w:r>
        <w:rPr>
          <w:spacing w:val="-20"/>
        </w:rPr>
        <w:t> </w:t>
      </w:r>
      <w:r>
        <w:rPr/>
        <w:t>de</w:t>
      </w:r>
      <w:r>
        <w:rPr>
          <w:spacing w:val="-19"/>
        </w:rPr>
        <w:t> </w:t>
      </w:r>
      <w:r>
        <w:rPr/>
        <w:t>factores naturales y culturales, el saber-hacer histórico, la tecnología de fabricación, el tipo de leche influida por la alimentación del ganado y proteínas, la microbiología y las condiciones de maduración definen la tipicidad</w:t>
      </w:r>
      <w:r>
        <w:rPr>
          <w:position w:val="8"/>
          <w:sz w:val="16"/>
        </w:rPr>
        <w:t>(7)</w:t>
      </w:r>
      <w:r>
        <w:rPr/>
        <w:t>. Las queserías a escala familiar dependen de los conocimientos conservados mediante tradición oral, muestran un rezago en equipos, materiales de trabajo, sistema organizacional de   </w:t>
      </w:r>
      <w:r>
        <w:rPr>
          <w:spacing w:val="42"/>
        </w:rPr>
        <w:t> </w:t>
      </w:r>
      <w:r>
        <w:rPr/>
        <w:t>producción,</w:t>
      </w:r>
    </w:p>
    <w:p>
      <w:pPr>
        <w:spacing w:after="0" w:line="477" w:lineRule="auto"/>
        <w:jc w:val="both"/>
        <w:sectPr>
          <w:pgSz w:w="12240" w:h="15840"/>
          <w:pgMar w:header="728" w:footer="710" w:top="1200" w:bottom="900" w:left="1560" w:right="1560"/>
        </w:sectPr>
      </w:pPr>
    </w:p>
    <w:p>
      <w:pPr>
        <w:pStyle w:val="BodyText"/>
        <w:spacing w:before="3"/>
        <w:rPr>
          <w:sz w:val="11"/>
        </w:rPr>
      </w:pPr>
    </w:p>
    <w:p>
      <w:pPr>
        <w:pStyle w:val="BodyText"/>
        <w:spacing w:line="477" w:lineRule="auto" w:before="80"/>
        <w:ind w:left="142" w:right="135"/>
        <w:jc w:val="both"/>
      </w:pPr>
      <w:r>
        <w:rPr/>
        <w:t>innovación y comercialización que resulta en una calidad variable</w:t>
      </w:r>
      <w:r>
        <w:rPr>
          <w:position w:val="8"/>
          <w:sz w:val="16"/>
        </w:rPr>
        <w:t>(1,8)</w:t>
      </w:r>
      <w:r>
        <w:rPr/>
        <w:t>. Potencialmente contribuye en el sistema agroalimentario mexicano al desarrollo económico regional al brindar valor agregado a la producción lechera al articular la cadena productiva, generar empleo en el medio rural, aparte de conservar los sólidos de leche en áreas calurosas y secas del trópico y condiciones ambientales hóstiles</w:t>
      </w:r>
      <w:r>
        <w:rPr>
          <w:position w:val="8"/>
          <w:sz w:val="16"/>
        </w:rPr>
        <w:t>(1,3,8,9)</w:t>
      </w:r>
      <w:r>
        <w:rPr/>
        <w:t>. En 2015 se estimó una producción de 144 606 ts; el 43% correspondió a las variedades panela, chihuahua y queso fresco</w:t>
      </w:r>
      <w:r>
        <w:rPr>
          <w:position w:val="8"/>
          <w:sz w:val="16"/>
        </w:rPr>
        <w:t>(10)</w:t>
      </w:r>
      <w:r>
        <w:rPr/>
        <w:t>. Este último se obtiene</w:t>
      </w:r>
      <w:r>
        <w:rPr>
          <w:spacing w:val="-6"/>
        </w:rPr>
        <w:t> </w:t>
      </w:r>
      <w:r>
        <w:rPr/>
        <w:t>de</w:t>
      </w:r>
      <w:r>
        <w:rPr>
          <w:spacing w:val="-6"/>
        </w:rPr>
        <w:t> </w:t>
      </w:r>
      <w:r>
        <w:rPr/>
        <w:t>la</w:t>
      </w:r>
      <w:r>
        <w:rPr>
          <w:spacing w:val="-6"/>
        </w:rPr>
        <w:t> </w:t>
      </w:r>
      <w:r>
        <w:rPr/>
        <w:t>coagulación</w:t>
      </w:r>
      <w:r>
        <w:rPr>
          <w:spacing w:val="-6"/>
        </w:rPr>
        <w:t> </w:t>
      </w:r>
      <w:r>
        <w:rPr/>
        <w:t>de</w:t>
      </w:r>
      <w:r>
        <w:rPr>
          <w:spacing w:val="-6"/>
        </w:rPr>
        <w:t> </w:t>
      </w:r>
      <w:r>
        <w:rPr/>
        <w:t>leche</w:t>
      </w:r>
      <w:r>
        <w:rPr>
          <w:spacing w:val="-6"/>
        </w:rPr>
        <w:t> </w:t>
      </w:r>
      <w:r>
        <w:rPr/>
        <w:t>sin</w:t>
      </w:r>
      <w:r>
        <w:rPr>
          <w:spacing w:val="-6"/>
        </w:rPr>
        <w:t> </w:t>
      </w:r>
      <w:r>
        <w:rPr/>
        <w:t>pasteurizar,</w:t>
      </w:r>
      <w:r>
        <w:rPr>
          <w:spacing w:val="-7"/>
        </w:rPr>
        <w:t> </w:t>
      </w:r>
      <w:r>
        <w:rPr/>
        <w:t>la</w:t>
      </w:r>
      <w:r>
        <w:rPr>
          <w:spacing w:val="-6"/>
        </w:rPr>
        <w:t> </w:t>
      </w:r>
      <w:r>
        <w:rPr/>
        <w:t>cuajada</w:t>
      </w:r>
      <w:r>
        <w:rPr>
          <w:spacing w:val="-6"/>
        </w:rPr>
        <w:t> </w:t>
      </w:r>
      <w:r>
        <w:rPr/>
        <w:t>incluye</w:t>
      </w:r>
      <w:r>
        <w:rPr>
          <w:spacing w:val="-6"/>
        </w:rPr>
        <w:t> </w:t>
      </w:r>
      <w:r>
        <w:rPr/>
        <w:t>la</w:t>
      </w:r>
      <w:r>
        <w:rPr>
          <w:spacing w:val="-6"/>
        </w:rPr>
        <w:t> </w:t>
      </w:r>
      <w:r>
        <w:rPr/>
        <w:t>mayoría</w:t>
      </w:r>
      <w:r>
        <w:rPr>
          <w:spacing w:val="-6"/>
        </w:rPr>
        <w:t> </w:t>
      </w:r>
      <w:r>
        <w:rPr/>
        <w:t>de sus componentes proporcionando producto heterogéneo de sabor y consistencia especial debido al método de elaboración</w:t>
      </w:r>
      <w:r>
        <w:rPr>
          <w:position w:val="8"/>
          <w:sz w:val="16"/>
        </w:rPr>
        <w:t>(2)</w:t>
      </w:r>
      <w:r>
        <w:rPr/>
        <w:t>, que incluye la molienda y salado previos al moldeado en un aro pequeño que le da la forma común de</w:t>
      </w:r>
      <w:r>
        <w:rPr>
          <w:spacing w:val="-38"/>
        </w:rPr>
        <w:t> </w:t>
      </w:r>
      <w:r>
        <w:rPr/>
        <w:t>presentación, tiene una consistencia blanda, quebradiza y vida útil corta</w:t>
      </w:r>
      <w:r>
        <w:rPr>
          <w:position w:val="8"/>
          <w:sz w:val="16"/>
        </w:rPr>
        <w:t>(8,1)</w:t>
      </w:r>
      <w:r>
        <w:rPr/>
        <w:t>, su sabor suave es influido por la microflora y composición de la leche</w:t>
      </w:r>
      <w:r>
        <w:rPr>
          <w:position w:val="8"/>
          <w:sz w:val="16"/>
        </w:rPr>
        <w:t>(11)</w:t>
      </w:r>
      <w:r>
        <w:rPr/>
        <w:t>, alto contenido de humedad, pH ligeramente ácido, sabor lácteo, poco dulce y salado</w:t>
      </w:r>
      <w:r>
        <w:rPr>
          <w:position w:val="8"/>
          <w:sz w:val="16"/>
        </w:rPr>
        <w:t>(12)</w:t>
      </w:r>
      <w:r>
        <w:rPr/>
        <w:t>. Históricamente la producción</w:t>
      </w:r>
      <w:r>
        <w:rPr>
          <w:spacing w:val="-6"/>
        </w:rPr>
        <w:t> </w:t>
      </w:r>
      <w:r>
        <w:rPr/>
        <w:t>del</w:t>
      </w:r>
      <w:r>
        <w:rPr>
          <w:spacing w:val="-5"/>
        </w:rPr>
        <w:t> </w:t>
      </w:r>
      <w:r>
        <w:rPr/>
        <w:t>queso</w:t>
      </w:r>
      <w:r>
        <w:rPr>
          <w:spacing w:val="-6"/>
        </w:rPr>
        <w:t> </w:t>
      </w:r>
      <w:r>
        <w:rPr/>
        <w:t>fresco</w:t>
      </w:r>
      <w:r>
        <w:rPr>
          <w:spacing w:val="-3"/>
        </w:rPr>
        <w:t> </w:t>
      </w:r>
      <w:r>
        <w:rPr/>
        <w:t>en</w:t>
      </w:r>
      <w:r>
        <w:rPr>
          <w:spacing w:val="-6"/>
        </w:rPr>
        <w:t> </w:t>
      </w:r>
      <w:r>
        <w:rPr/>
        <w:t>el</w:t>
      </w:r>
      <w:r>
        <w:rPr>
          <w:spacing w:val="-5"/>
        </w:rPr>
        <w:t> </w:t>
      </w:r>
      <w:r>
        <w:rPr/>
        <w:t>Valle</w:t>
      </w:r>
      <w:r>
        <w:rPr>
          <w:spacing w:val="-6"/>
        </w:rPr>
        <w:t> </w:t>
      </w:r>
      <w:r>
        <w:rPr/>
        <w:t>de</w:t>
      </w:r>
      <w:r>
        <w:rPr>
          <w:spacing w:val="-6"/>
        </w:rPr>
        <w:t> </w:t>
      </w:r>
      <w:r>
        <w:rPr/>
        <w:t>Toluca</w:t>
      </w:r>
      <w:r>
        <w:rPr>
          <w:spacing w:val="-3"/>
        </w:rPr>
        <w:t> </w:t>
      </w:r>
      <w:r>
        <w:rPr/>
        <w:t>surgió</w:t>
      </w:r>
      <w:r>
        <w:rPr>
          <w:spacing w:val="-6"/>
        </w:rPr>
        <w:t> </w:t>
      </w:r>
      <w:r>
        <w:rPr/>
        <w:t>en</w:t>
      </w:r>
      <w:r>
        <w:rPr>
          <w:spacing w:val="-6"/>
        </w:rPr>
        <w:t> </w:t>
      </w:r>
      <w:r>
        <w:rPr/>
        <w:t>la</w:t>
      </w:r>
      <w:r>
        <w:rPr>
          <w:spacing w:val="-4"/>
        </w:rPr>
        <w:t> </w:t>
      </w:r>
      <w:r>
        <w:rPr/>
        <w:t>laguna</w:t>
      </w:r>
      <w:r>
        <w:rPr>
          <w:spacing w:val="-4"/>
        </w:rPr>
        <w:t> </w:t>
      </w:r>
      <w:r>
        <w:rPr/>
        <w:t>de</w:t>
      </w:r>
      <w:r>
        <w:rPr>
          <w:spacing w:val="-6"/>
        </w:rPr>
        <w:t> </w:t>
      </w:r>
      <w:r>
        <w:rPr/>
        <w:t>Lerma,</w:t>
      </w:r>
      <w:r>
        <w:rPr>
          <w:spacing w:val="-6"/>
        </w:rPr>
        <w:t> </w:t>
      </w:r>
      <w:r>
        <w:rPr/>
        <w:t>en Atenco propiedad de Hernán Cortés quién tras el aprovechamiento de los recursos locales para la alimentación del ganado, aportó leche y derivados lácteos como quesos molidos en metate, requesón y queso fresco, este último incorporado en la gastronomía</w:t>
      </w:r>
      <w:r>
        <w:rPr>
          <w:spacing w:val="-14"/>
        </w:rPr>
        <w:t> </w:t>
      </w:r>
      <w:r>
        <w:rPr/>
        <w:t>local</w:t>
      </w:r>
      <w:r>
        <w:rPr>
          <w:spacing w:val="-15"/>
        </w:rPr>
        <w:t> </w:t>
      </w:r>
      <w:r>
        <w:rPr/>
        <w:t>en</w:t>
      </w:r>
      <w:r>
        <w:rPr>
          <w:spacing w:val="-14"/>
        </w:rPr>
        <w:t> </w:t>
      </w:r>
      <w:r>
        <w:rPr/>
        <w:t>los</w:t>
      </w:r>
      <w:r>
        <w:rPr>
          <w:spacing w:val="-15"/>
        </w:rPr>
        <w:t> </w:t>
      </w:r>
      <w:r>
        <w:rPr/>
        <w:t>chiles</w:t>
      </w:r>
      <w:r>
        <w:rPr>
          <w:spacing w:val="-15"/>
        </w:rPr>
        <w:t> </w:t>
      </w:r>
      <w:r>
        <w:rPr/>
        <w:t>en</w:t>
      </w:r>
      <w:r>
        <w:rPr>
          <w:spacing w:val="-14"/>
        </w:rPr>
        <w:t> </w:t>
      </w:r>
      <w:r>
        <w:rPr/>
        <w:t>nogada</w:t>
      </w:r>
      <w:r>
        <w:rPr>
          <w:spacing w:val="-14"/>
        </w:rPr>
        <w:t> </w:t>
      </w:r>
      <w:r>
        <w:rPr/>
        <w:t>sustituyendo</w:t>
      </w:r>
      <w:r>
        <w:rPr>
          <w:spacing w:val="-17"/>
        </w:rPr>
        <w:t> </w:t>
      </w:r>
      <w:r>
        <w:rPr/>
        <w:t>a</w:t>
      </w:r>
      <w:r>
        <w:rPr>
          <w:spacing w:val="-14"/>
        </w:rPr>
        <w:t> </w:t>
      </w:r>
      <w:r>
        <w:rPr/>
        <w:t>la</w:t>
      </w:r>
      <w:r>
        <w:rPr>
          <w:spacing w:val="-14"/>
        </w:rPr>
        <w:t> </w:t>
      </w:r>
      <w:r>
        <w:rPr/>
        <w:t>crema</w:t>
      </w:r>
      <w:r>
        <w:rPr>
          <w:position w:val="8"/>
          <w:sz w:val="16"/>
        </w:rPr>
        <w:t>(13)</w:t>
      </w:r>
      <w:r>
        <w:rPr/>
        <w:t>.</w:t>
      </w:r>
      <w:r>
        <w:rPr>
          <w:spacing w:val="-14"/>
        </w:rPr>
        <w:t> </w:t>
      </w:r>
      <w:r>
        <w:rPr/>
        <w:t>Este</w:t>
      </w:r>
      <w:r>
        <w:rPr>
          <w:spacing w:val="-16"/>
        </w:rPr>
        <w:t> </w:t>
      </w:r>
      <w:r>
        <w:rPr/>
        <w:t>producto en Toluca no está diferenciado y afecta su condición genuina, además es susceptible de ser opacado por la imitación debido al menor precio y accesibilidad</w:t>
      </w:r>
      <w:r>
        <w:rPr>
          <w:position w:val="8"/>
          <w:sz w:val="16"/>
        </w:rPr>
        <w:t>(14)</w:t>
      </w:r>
      <w:r>
        <w:rPr/>
        <w:t>.Este</w:t>
      </w:r>
      <w:r>
        <w:rPr>
          <w:spacing w:val="-19"/>
        </w:rPr>
        <w:t> </w:t>
      </w:r>
      <w:r>
        <w:rPr/>
        <w:t>estudio</w:t>
      </w:r>
      <w:r>
        <w:rPr>
          <w:spacing w:val="-17"/>
        </w:rPr>
        <w:t> </w:t>
      </w:r>
      <w:r>
        <w:rPr/>
        <w:t>se</w:t>
      </w:r>
      <w:r>
        <w:rPr>
          <w:spacing w:val="-17"/>
        </w:rPr>
        <w:t> </w:t>
      </w:r>
      <w:r>
        <w:rPr/>
        <w:t>realizó</w:t>
      </w:r>
      <w:r>
        <w:rPr>
          <w:spacing w:val="-17"/>
        </w:rPr>
        <w:t> </w:t>
      </w:r>
      <w:r>
        <w:rPr/>
        <w:t>para</w:t>
      </w:r>
      <w:r>
        <w:rPr>
          <w:spacing w:val="-17"/>
        </w:rPr>
        <w:t> </w:t>
      </w:r>
      <w:r>
        <w:rPr/>
        <w:t>establecer</w:t>
      </w:r>
      <w:r>
        <w:rPr>
          <w:spacing w:val="-18"/>
        </w:rPr>
        <w:t> </w:t>
      </w:r>
      <w:r>
        <w:rPr/>
        <w:t>la</w:t>
      </w:r>
      <w:r>
        <w:rPr>
          <w:spacing w:val="-19"/>
        </w:rPr>
        <w:t> </w:t>
      </w:r>
      <w:r>
        <w:rPr/>
        <w:t>forma</w:t>
      </w:r>
      <w:r>
        <w:rPr>
          <w:spacing w:val="-19"/>
        </w:rPr>
        <w:t> </w:t>
      </w:r>
      <w:r>
        <w:rPr/>
        <w:t>de</w:t>
      </w:r>
      <w:r>
        <w:rPr>
          <w:spacing w:val="-19"/>
        </w:rPr>
        <w:t> </w:t>
      </w:r>
      <w:r>
        <w:rPr/>
        <w:t>comercialización y  la  caracterización  del  queso  fresco  dada  la  complejidad  de  factores     </w:t>
      </w:r>
      <w:r>
        <w:rPr>
          <w:spacing w:val="1"/>
        </w:rPr>
        <w:t> </w:t>
      </w:r>
      <w:r>
        <w:rPr/>
        <w:t>que</w:t>
      </w:r>
    </w:p>
    <w:p>
      <w:pPr>
        <w:spacing w:after="0" w:line="477" w:lineRule="auto"/>
        <w:jc w:val="both"/>
        <w:sectPr>
          <w:footerReference w:type="default" r:id="rId67"/>
          <w:pgSz w:w="12240" w:h="15840"/>
          <w:pgMar w:footer="710" w:header="728" w:top="1200" w:bottom="900" w:left="1560" w:right="1560"/>
        </w:sectPr>
      </w:pPr>
    </w:p>
    <w:p>
      <w:pPr>
        <w:pStyle w:val="BodyText"/>
        <w:spacing w:before="7"/>
        <w:rPr>
          <w:sz w:val="12"/>
        </w:rPr>
      </w:pPr>
    </w:p>
    <w:p>
      <w:pPr>
        <w:pStyle w:val="BodyText"/>
        <w:spacing w:line="480" w:lineRule="auto" w:before="69"/>
        <w:ind w:left="142" w:right="145"/>
        <w:jc w:val="both"/>
      </w:pPr>
      <w:r>
        <w:rPr/>
        <w:t>intervienen en la producción y su valor nutricional en la dieta de la población en el valle de Toluca, es necesario promover su rescate cultural como alimento regional. MATERIAL Y METODOS</w:t>
      </w:r>
    </w:p>
    <w:p>
      <w:pPr>
        <w:pStyle w:val="BodyText"/>
        <w:spacing w:before="8"/>
        <w:ind w:left="142"/>
        <w:jc w:val="both"/>
      </w:pPr>
      <w:r>
        <w:rPr/>
        <w:t>LOCALIZACIÓN Y SELECCIÓN DE MUESTRAS</w:t>
      </w:r>
    </w:p>
    <w:p>
      <w:pPr>
        <w:pStyle w:val="BodyText"/>
      </w:pPr>
    </w:p>
    <w:p>
      <w:pPr>
        <w:pStyle w:val="BodyText"/>
        <w:spacing w:line="480" w:lineRule="auto"/>
        <w:ind w:left="142" w:right="138"/>
        <w:jc w:val="both"/>
      </w:pPr>
      <w:r>
        <w:rPr/>
        <w:t>El presente estudio se llevó a cabo durante los meses de agosto-octubre de 2014 en</w:t>
      </w:r>
      <w:r>
        <w:rPr>
          <w:spacing w:val="-7"/>
        </w:rPr>
        <w:t> </w:t>
      </w:r>
      <w:r>
        <w:rPr/>
        <w:t>el</w:t>
      </w:r>
      <w:r>
        <w:rPr>
          <w:spacing w:val="-11"/>
        </w:rPr>
        <w:t> </w:t>
      </w:r>
      <w:r>
        <w:rPr/>
        <w:t>municipio</w:t>
      </w:r>
      <w:r>
        <w:rPr>
          <w:spacing w:val="-7"/>
        </w:rPr>
        <w:t> </w:t>
      </w:r>
      <w:r>
        <w:rPr/>
        <w:t>de</w:t>
      </w:r>
      <w:r>
        <w:rPr>
          <w:spacing w:val="-9"/>
        </w:rPr>
        <w:t> </w:t>
      </w:r>
      <w:r>
        <w:rPr/>
        <w:t>Toluca,</w:t>
      </w:r>
      <w:r>
        <w:rPr>
          <w:spacing w:val="-7"/>
        </w:rPr>
        <w:t> </w:t>
      </w:r>
      <w:r>
        <w:rPr/>
        <w:t>que</w:t>
      </w:r>
      <w:r>
        <w:rPr>
          <w:spacing w:val="-7"/>
        </w:rPr>
        <w:t> </w:t>
      </w:r>
      <w:r>
        <w:rPr/>
        <w:t>territorialmente</w:t>
      </w:r>
      <w:r>
        <w:rPr>
          <w:spacing w:val="-9"/>
        </w:rPr>
        <w:t> </w:t>
      </w:r>
      <w:r>
        <w:rPr/>
        <w:t>se</w:t>
      </w:r>
      <w:r>
        <w:rPr>
          <w:spacing w:val="-7"/>
        </w:rPr>
        <w:t> </w:t>
      </w:r>
      <w:r>
        <w:rPr/>
        <w:t>organiza</w:t>
      </w:r>
      <w:r>
        <w:rPr>
          <w:spacing w:val="-7"/>
        </w:rPr>
        <w:t> </w:t>
      </w:r>
      <w:r>
        <w:rPr/>
        <w:t>en</w:t>
      </w:r>
      <w:r>
        <w:rPr>
          <w:spacing w:val="-9"/>
        </w:rPr>
        <w:t> </w:t>
      </w:r>
      <w:r>
        <w:rPr/>
        <w:t>47</w:t>
      </w:r>
      <w:r>
        <w:rPr>
          <w:spacing w:val="-7"/>
        </w:rPr>
        <w:t> </w:t>
      </w:r>
      <w:r>
        <w:rPr/>
        <w:t>delegaciones</w:t>
      </w:r>
      <w:r>
        <w:rPr>
          <w:spacing w:val="-8"/>
        </w:rPr>
        <w:t> </w:t>
      </w:r>
      <w:r>
        <w:rPr/>
        <w:t>y</w:t>
      </w:r>
      <w:r>
        <w:rPr>
          <w:spacing w:val="-10"/>
        </w:rPr>
        <w:t> </w:t>
      </w:r>
      <w:r>
        <w:rPr/>
        <w:t>97 localidades</w:t>
      </w:r>
      <w:r>
        <w:rPr>
          <w:spacing w:val="-13"/>
        </w:rPr>
        <w:t> </w:t>
      </w:r>
      <w:r>
        <w:rPr/>
        <w:t>con</w:t>
      </w:r>
      <w:r>
        <w:rPr>
          <w:spacing w:val="-12"/>
        </w:rPr>
        <w:t> </w:t>
      </w:r>
      <w:r>
        <w:rPr/>
        <w:t>una</w:t>
      </w:r>
      <w:r>
        <w:rPr>
          <w:spacing w:val="-12"/>
        </w:rPr>
        <w:t> </w:t>
      </w:r>
      <w:r>
        <w:rPr/>
        <w:t>población</w:t>
      </w:r>
      <w:r>
        <w:rPr>
          <w:spacing w:val="-12"/>
        </w:rPr>
        <w:t> </w:t>
      </w:r>
      <w:r>
        <w:rPr/>
        <w:t>de</w:t>
      </w:r>
      <w:r>
        <w:rPr>
          <w:spacing w:val="-12"/>
        </w:rPr>
        <w:t> </w:t>
      </w:r>
      <w:r>
        <w:rPr/>
        <w:t>819</w:t>
      </w:r>
      <w:r>
        <w:rPr>
          <w:spacing w:val="-12"/>
        </w:rPr>
        <w:t> </w:t>
      </w:r>
      <w:r>
        <w:rPr/>
        <w:t>561</w:t>
      </w:r>
      <w:r>
        <w:rPr>
          <w:spacing w:val="-14"/>
        </w:rPr>
        <w:t> </w:t>
      </w:r>
      <w:r>
        <w:rPr/>
        <w:t>habitantes,</w:t>
      </w:r>
      <w:r>
        <w:rPr>
          <w:spacing w:val="-12"/>
        </w:rPr>
        <w:t> </w:t>
      </w:r>
      <w:r>
        <w:rPr/>
        <w:t>una</w:t>
      </w:r>
      <w:r>
        <w:rPr>
          <w:spacing w:val="-12"/>
        </w:rPr>
        <w:t> </w:t>
      </w:r>
      <w:r>
        <w:rPr/>
        <w:t>superficie</w:t>
      </w:r>
      <w:r>
        <w:rPr>
          <w:spacing w:val="-14"/>
        </w:rPr>
        <w:t> </w:t>
      </w:r>
      <w:r>
        <w:rPr/>
        <w:t>total</w:t>
      </w:r>
      <w:r>
        <w:rPr>
          <w:spacing w:val="-13"/>
        </w:rPr>
        <w:t> </w:t>
      </w:r>
      <w:r>
        <w:rPr/>
        <w:t>de</w:t>
      </w:r>
      <w:r>
        <w:rPr>
          <w:spacing w:val="-12"/>
        </w:rPr>
        <w:t> </w:t>
      </w:r>
      <w:r>
        <w:rPr/>
        <w:t>420.14 km</w:t>
      </w:r>
      <w:r>
        <w:rPr>
          <w:position w:val="8"/>
          <w:sz w:val="16"/>
        </w:rPr>
        <w:t>2</w:t>
      </w:r>
      <w:r>
        <w:rPr/>
        <w:t>;</w:t>
      </w:r>
      <w:r>
        <w:rPr>
          <w:spacing w:val="-11"/>
        </w:rPr>
        <w:t> </w:t>
      </w:r>
      <w:r>
        <w:rPr/>
        <w:t>ubicándose</w:t>
      </w:r>
      <w:r>
        <w:rPr>
          <w:spacing w:val="47"/>
        </w:rPr>
        <w:t> </w:t>
      </w:r>
      <w:r>
        <w:rPr/>
        <w:t>entre</w:t>
      </w:r>
      <w:r>
        <w:rPr>
          <w:spacing w:val="-11"/>
        </w:rPr>
        <w:t> </w:t>
      </w:r>
      <w:r>
        <w:rPr/>
        <w:t>los</w:t>
      </w:r>
      <w:r>
        <w:rPr>
          <w:spacing w:val="-9"/>
        </w:rPr>
        <w:t> </w:t>
      </w:r>
      <w:r>
        <w:rPr/>
        <w:t>paralelos</w:t>
      </w:r>
      <w:r>
        <w:rPr>
          <w:spacing w:val="-11"/>
        </w:rPr>
        <w:t> </w:t>
      </w:r>
      <w:r>
        <w:rPr/>
        <w:t>18°59´</w:t>
      </w:r>
      <w:r>
        <w:rPr>
          <w:spacing w:val="-10"/>
        </w:rPr>
        <w:t> </w:t>
      </w:r>
      <w:r>
        <w:rPr/>
        <w:t>y</w:t>
      </w:r>
      <w:r>
        <w:rPr>
          <w:spacing w:val="-14"/>
        </w:rPr>
        <w:t> </w:t>
      </w:r>
      <w:r>
        <w:rPr/>
        <w:t>19°29´</w:t>
      </w:r>
      <w:r>
        <w:rPr>
          <w:spacing w:val="-10"/>
        </w:rPr>
        <w:t> </w:t>
      </w:r>
      <w:r>
        <w:rPr/>
        <w:t>de</w:t>
      </w:r>
      <w:r>
        <w:rPr>
          <w:spacing w:val="-11"/>
        </w:rPr>
        <w:t> </w:t>
      </w:r>
      <w:r>
        <w:rPr/>
        <w:t>latitud</w:t>
      </w:r>
      <w:r>
        <w:rPr>
          <w:spacing w:val="-11"/>
        </w:rPr>
        <w:t> </w:t>
      </w:r>
      <w:r>
        <w:rPr/>
        <w:t>norte;</w:t>
      </w:r>
      <w:r>
        <w:rPr>
          <w:spacing w:val="-11"/>
        </w:rPr>
        <w:t> </w:t>
      </w:r>
      <w:r>
        <w:rPr/>
        <w:t>los</w:t>
      </w:r>
      <w:r>
        <w:rPr>
          <w:spacing w:val="-11"/>
        </w:rPr>
        <w:t> </w:t>
      </w:r>
      <w:r>
        <w:rPr/>
        <w:t>meridianos 99°32´y 99°47´ de longitud oeste; la altitud fluctúa entre 2 400 y 4 700 m., sobre el nivel del mar, el promedio de humedad ambiental es de 73.29%, con un rango de temperatura de 4 a 14°C, un clima templado subhúmedo con lluvias en verano, marcado invierno y frío de altura con semifrío</w:t>
      </w:r>
      <w:r>
        <w:rPr>
          <w:spacing w:val="-20"/>
        </w:rPr>
        <w:t> </w:t>
      </w:r>
      <w:r>
        <w:rPr/>
        <w:t>subhúmedo</w:t>
      </w:r>
      <w:r>
        <w:rPr>
          <w:position w:val="8"/>
          <w:sz w:val="16"/>
        </w:rPr>
        <w:t>(15)</w:t>
      </w:r>
      <w:r>
        <w:rPr/>
        <w:t>.</w:t>
      </w:r>
    </w:p>
    <w:p>
      <w:pPr>
        <w:pStyle w:val="BodyText"/>
        <w:ind w:left="142"/>
        <w:jc w:val="both"/>
      </w:pPr>
      <w:r>
        <w:rPr/>
        <w:t>AREA DE ESTUDIO Y OBTENCIÓN DE LA MUESTRA</w:t>
      </w:r>
    </w:p>
    <w:p>
      <w:pPr>
        <w:pStyle w:val="BodyText"/>
      </w:pPr>
    </w:p>
    <w:p>
      <w:pPr>
        <w:pStyle w:val="BodyText"/>
        <w:spacing w:line="480" w:lineRule="auto"/>
        <w:ind w:left="142" w:right="136"/>
        <w:jc w:val="both"/>
      </w:pPr>
      <w:r>
        <w:rPr/>
        <w:t>Se realizó un estudio transversal descriptivo durante el periodo de agosto-octubre de 2014. Mediante un muestreo por conveniencia, en los 52 tianguis y 4 mercados fijos registrados (SEDECO, 2014)</w:t>
      </w:r>
      <w:r>
        <w:rPr>
          <w:position w:val="8"/>
          <w:sz w:val="16"/>
        </w:rPr>
        <w:t>(16)</w:t>
      </w:r>
      <w:r>
        <w:rPr/>
        <w:t>. Se aplicó una encuesta cerrada por consentimiento a los comerciantes de queso de la localidad orientada a identificar: los puntos de venta, procedencia del queso, productor y comercializador, proceso de elaboración y condiciones de venta. Durante el muestreo se determinó la temperatura del producto en el sitio de venta con un termómetro infrarrojo manual (DT8380 OEM, China). El pH se midió con un potenciómetro portátil de rango de pH de 0 a 14 (Hanna, EUA), obteniendo 3 lecturas de diferentes partes del queso. El método de muestro se llevó a cabo por el método señalado en la NMX-F-718- COFOCALEC-2006</w:t>
      </w:r>
      <w:r>
        <w:rPr>
          <w:position w:val="8"/>
          <w:sz w:val="16"/>
        </w:rPr>
        <w:t>(17)</w:t>
      </w:r>
      <w:r>
        <w:rPr/>
        <w:t>.  Las  muestras  de  queso  fueron  transportadas  en      un</w:t>
      </w:r>
    </w:p>
    <w:p>
      <w:pPr>
        <w:spacing w:after="0" w:line="480" w:lineRule="auto"/>
        <w:jc w:val="both"/>
        <w:sectPr>
          <w:footerReference w:type="default" r:id="rId68"/>
          <w:pgSz w:w="12240" w:h="15840"/>
          <w:pgMar w:footer="710" w:header="728" w:top="1200" w:bottom="900" w:left="1560" w:right="1560"/>
          <w:pgNumType w:start="71"/>
        </w:sectPr>
      </w:pPr>
    </w:p>
    <w:p>
      <w:pPr>
        <w:pStyle w:val="BodyText"/>
        <w:spacing w:before="7"/>
        <w:rPr>
          <w:sz w:val="12"/>
        </w:rPr>
      </w:pPr>
    </w:p>
    <w:p>
      <w:pPr>
        <w:pStyle w:val="BodyText"/>
        <w:spacing w:line="480" w:lineRule="auto" w:before="69"/>
        <w:ind w:left="142" w:right="143"/>
        <w:jc w:val="both"/>
      </w:pPr>
      <w:r>
        <w:rPr/>
        <w:t>contenedor térmico, en bolsas de plástico estériles a una temperatura de 4°C para su análisis inmediato.</w:t>
      </w:r>
    </w:p>
    <w:p>
      <w:pPr>
        <w:pStyle w:val="BodyText"/>
        <w:spacing w:before="8"/>
        <w:ind w:left="142"/>
        <w:jc w:val="both"/>
      </w:pPr>
      <w:r>
        <w:rPr/>
        <w:t>ANALISIS FISICOQUIMICO</w:t>
      </w:r>
    </w:p>
    <w:p>
      <w:pPr>
        <w:pStyle w:val="BodyText"/>
        <w:spacing w:before="6"/>
        <w:rPr>
          <w:sz w:val="23"/>
        </w:rPr>
      </w:pPr>
    </w:p>
    <w:p>
      <w:pPr>
        <w:pStyle w:val="BodyText"/>
        <w:spacing w:line="480" w:lineRule="auto"/>
        <w:ind w:left="142" w:right="134"/>
        <w:jc w:val="both"/>
      </w:pPr>
      <w:r>
        <w:rPr/>
        <w:t>Para determinar humedad se utilizó la NMX-F-083-198</w:t>
      </w:r>
      <w:r>
        <w:rPr>
          <w:position w:val="8"/>
          <w:sz w:val="16"/>
        </w:rPr>
        <w:t>(18)</w:t>
      </w:r>
      <w:r>
        <w:rPr/>
        <w:t>, una muestra de 5 g. se mantuvo en una estufa de secado a 100 °C </w:t>
      </w:r>
      <w:r>
        <w:rPr>
          <w:spacing w:val="-5"/>
        </w:rPr>
        <w:t>±5 </w:t>
      </w:r>
      <w:r>
        <w:rPr/>
        <w:t>por 4 horas y se repitió el proceso hasta obtener un peso constante los valores fueron expresados en porcentaje. El contenido de cenizas se determinó utilizando el procedimiento descrito en la NMX- F-094-1984</w:t>
      </w:r>
      <w:r>
        <w:rPr>
          <w:position w:val="8"/>
          <w:sz w:val="16"/>
        </w:rPr>
        <w:t>(19)</w:t>
      </w:r>
      <w:r>
        <w:rPr/>
        <w:t>, a partir de la muestra de húmedad del queso y se sometió a incineración a una temperatura de 550 °C por un periodo de 4 horas. La determinación de cloruro de sodio (NaCl), se llevó a cabo por el método Volhard</w:t>
      </w:r>
      <w:r>
        <w:rPr>
          <w:position w:val="8"/>
          <w:sz w:val="16"/>
        </w:rPr>
        <w:t>(20) </w:t>
      </w:r>
      <w:r>
        <w:rPr/>
        <w:t>que se basa en la determinación indirecta para cloruros, al añadir un exceso de nitrato de plata, en relación a la cantidad de cloruros presente en la muestra, al valorar el exceso de ión de plata con solución de tiocianato de amonio y sulfato férrico. El contenido total de grasa se determinó en 1 gr. ±0.001 de queso por el método de Gerber-Van Gulik</w:t>
      </w:r>
      <w:r>
        <w:rPr>
          <w:position w:val="8"/>
          <w:sz w:val="16"/>
        </w:rPr>
        <w:t>(21)</w:t>
      </w:r>
      <w:r>
        <w:rPr/>
        <w:t>, el contenido total de grasa se expresó en porcentaje.</w:t>
      </w:r>
      <w:r>
        <w:rPr>
          <w:spacing w:val="-8"/>
        </w:rPr>
        <w:t> </w:t>
      </w:r>
      <w:r>
        <w:rPr/>
        <w:t>La</w:t>
      </w:r>
      <w:r>
        <w:rPr>
          <w:spacing w:val="-8"/>
        </w:rPr>
        <w:t> </w:t>
      </w:r>
      <w:r>
        <w:rPr/>
        <w:t>proteína</w:t>
      </w:r>
      <w:r>
        <w:rPr>
          <w:spacing w:val="-6"/>
        </w:rPr>
        <w:t> </w:t>
      </w:r>
      <w:r>
        <w:rPr/>
        <w:t>cruda</w:t>
      </w:r>
      <w:r>
        <w:rPr>
          <w:spacing w:val="-6"/>
        </w:rPr>
        <w:t> </w:t>
      </w:r>
      <w:r>
        <w:rPr/>
        <w:t>se</w:t>
      </w:r>
      <w:r>
        <w:rPr>
          <w:spacing w:val="-8"/>
        </w:rPr>
        <w:t> </w:t>
      </w:r>
      <w:r>
        <w:rPr/>
        <w:t>obtuvo</w:t>
      </w:r>
      <w:r>
        <w:rPr>
          <w:spacing w:val="-6"/>
        </w:rPr>
        <w:t> </w:t>
      </w:r>
      <w:r>
        <w:rPr/>
        <w:t>del</w:t>
      </w:r>
      <w:r>
        <w:rPr>
          <w:spacing w:val="-12"/>
        </w:rPr>
        <w:t> </w:t>
      </w:r>
      <w:r>
        <w:rPr/>
        <w:t>promedio</w:t>
      </w:r>
      <w:r>
        <w:rPr>
          <w:spacing w:val="-9"/>
        </w:rPr>
        <w:t> </w:t>
      </w:r>
      <w:r>
        <w:rPr/>
        <w:t>de</w:t>
      </w:r>
      <w:r>
        <w:rPr>
          <w:spacing w:val="-8"/>
        </w:rPr>
        <w:t> </w:t>
      </w:r>
      <w:r>
        <w:rPr/>
        <w:t>nitrógeno</w:t>
      </w:r>
      <w:r>
        <w:rPr>
          <w:spacing w:val="-8"/>
        </w:rPr>
        <w:t> </w:t>
      </w:r>
      <w:r>
        <w:rPr/>
        <w:t>presente</w:t>
      </w:r>
      <w:r>
        <w:rPr>
          <w:spacing w:val="-8"/>
        </w:rPr>
        <w:t> </w:t>
      </w:r>
      <w:r>
        <w:rPr/>
        <w:t>en</w:t>
      </w:r>
      <w:r>
        <w:rPr>
          <w:spacing w:val="-8"/>
        </w:rPr>
        <w:t> </w:t>
      </w:r>
      <w:r>
        <w:rPr/>
        <w:t>una muestra</w:t>
      </w:r>
      <w:r>
        <w:rPr>
          <w:spacing w:val="-7"/>
        </w:rPr>
        <w:t> </w:t>
      </w:r>
      <w:r>
        <w:rPr/>
        <w:t>de</w:t>
      </w:r>
      <w:r>
        <w:rPr>
          <w:spacing w:val="-7"/>
        </w:rPr>
        <w:t> </w:t>
      </w:r>
      <w:r>
        <w:rPr/>
        <w:t>0.25</w:t>
      </w:r>
      <w:r>
        <w:rPr>
          <w:spacing w:val="-7"/>
        </w:rPr>
        <w:t> </w:t>
      </w:r>
      <w:r>
        <w:rPr/>
        <w:t>gr.</w:t>
      </w:r>
      <w:r>
        <w:rPr>
          <w:spacing w:val="-6"/>
        </w:rPr>
        <w:t> </w:t>
      </w:r>
      <w:r>
        <w:rPr/>
        <w:t>±0.001</w:t>
      </w:r>
      <w:r>
        <w:rPr>
          <w:spacing w:val="-7"/>
        </w:rPr>
        <w:t> </w:t>
      </w:r>
      <w:r>
        <w:rPr/>
        <w:t>por</w:t>
      </w:r>
      <w:r>
        <w:rPr>
          <w:spacing w:val="-6"/>
        </w:rPr>
        <w:t> </w:t>
      </w:r>
      <w:r>
        <w:rPr/>
        <w:t>el</w:t>
      </w:r>
      <w:r>
        <w:rPr>
          <w:spacing w:val="-8"/>
        </w:rPr>
        <w:t> </w:t>
      </w:r>
      <w:r>
        <w:rPr/>
        <w:t>método</w:t>
      </w:r>
      <w:r>
        <w:rPr>
          <w:spacing w:val="-7"/>
        </w:rPr>
        <w:t> </w:t>
      </w:r>
      <w:r>
        <w:rPr/>
        <w:t>Kjeldahl</w:t>
      </w:r>
      <w:r>
        <w:rPr>
          <w:spacing w:val="-2"/>
        </w:rPr>
        <w:t> </w:t>
      </w:r>
      <w:r>
        <w:rPr/>
        <w:t>(NMX-F-098-1976)</w:t>
      </w:r>
      <w:r>
        <w:rPr>
          <w:position w:val="8"/>
          <w:sz w:val="16"/>
        </w:rPr>
        <w:t>(22)</w:t>
      </w:r>
      <w:r>
        <w:rPr/>
        <w:t>.</w:t>
      </w:r>
      <w:r>
        <w:rPr>
          <w:spacing w:val="-5"/>
        </w:rPr>
        <w:t> </w:t>
      </w:r>
      <w:r>
        <w:rPr/>
        <w:t>Todos</w:t>
      </w:r>
      <w:r>
        <w:rPr>
          <w:spacing w:val="-8"/>
        </w:rPr>
        <w:t> </w:t>
      </w:r>
      <w:r>
        <w:rPr/>
        <w:t>los análisis fisicoquímicos se realizaron por</w:t>
      </w:r>
      <w:r>
        <w:rPr>
          <w:spacing w:val="-19"/>
        </w:rPr>
        <w:t> </w:t>
      </w:r>
      <w:r>
        <w:rPr/>
        <w:t>duplicado.</w:t>
      </w:r>
    </w:p>
    <w:p>
      <w:pPr>
        <w:pStyle w:val="BodyText"/>
        <w:spacing w:before="6"/>
        <w:ind w:left="142"/>
        <w:jc w:val="both"/>
      </w:pPr>
      <w:r>
        <w:rPr/>
        <w:t>RESULTADOS Y DISCUSIÓN</w:t>
      </w:r>
    </w:p>
    <w:p>
      <w:pPr>
        <w:pStyle w:val="BodyText"/>
      </w:pPr>
    </w:p>
    <w:p>
      <w:pPr>
        <w:pStyle w:val="BodyText"/>
        <w:spacing w:line="480" w:lineRule="auto"/>
        <w:ind w:left="142" w:right="136"/>
        <w:jc w:val="both"/>
      </w:pPr>
      <w:r>
        <w:rPr/>
        <w:t>En el estudio se obtuvieron 64 muestras de quesos frescos en los mercados y tianguis</w:t>
      </w:r>
      <w:r>
        <w:rPr>
          <w:spacing w:val="-17"/>
        </w:rPr>
        <w:t> </w:t>
      </w:r>
      <w:r>
        <w:rPr/>
        <w:t>del</w:t>
      </w:r>
      <w:r>
        <w:rPr>
          <w:spacing w:val="-19"/>
        </w:rPr>
        <w:t> </w:t>
      </w:r>
      <w:r>
        <w:rPr/>
        <w:t>municipio</w:t>
      </w:r>
      <w:r>
        <w:rPr>
          <w:spacing w:val="-18"/>
        </w:rPr>
        <w:t> </w:t>
      </w:r>
      <w:r>
        <w:rPr/>
        <w:t>de</w:t>
      </w:r>
      <w:r>
        <w:rPr>
          <w:spacing w:val="-16"/>
        </w:rPr>
        <w:t> </w:t>
      </w:r>
      <w:r>
        <w:rPr/>
        <w:t>Toluca.</w:t>
      </w:r>
      <w:r>
        <w:rPr>
          <w:spacing w:val="-18"/>
        </w:rPr>
        <w:t> </w:t>
      </w:r>
      <w:r>
        <w:rPr/>
        <w:t>La</w:t>
      </w:r>
      <w:r>
        <w:rPr>
          <w:spacing w:val="-18"/>
        </w:rPr>
        <w:t> </w:t>
      </w:r>
      <w:r>
        <w:rPr/>
        <w:t>procedencia</w:t>
      </w:r>
      <w:r>
        <w:rPr>
          <w:spacing w:val="-16"/>
        </w:rPr>
        <w:t> </w:t>
      </w:r>
      <w:r>
        <w:rPr/>
        <w:t>de</w:t>
      </w:r>
      <w:r>
        <w:rPr>
          <w:spacing w:val="-16"/>
        </w:rPr>
        <w:t> </w:t>
      </w:r>
      <w:r>
        <w:rPr/>
        <w:t>los</w:t>
      </w:r>
      <w:r>
        <w:rPr>
          <w:spacing w:val="-16"/>
        </w:rPr>
        <w:t> </w:t>
      </w:r>
      <w:r>
        <w:rPr/>
        <w:t>quesos</w:t>
      </w:r>
      <w:r>
        <w:rPr>
          <w:spacing w:val="-16"/>
        </w:rPr>
        <w:t> </w:t>
      </w:r>
      <w:r>
        <w:rPr/>
        <w:t>se</w:t>
      </w:r>
      <w:r>
        <w:rPr>
          <w:spacing w:val="-16"/>
        </w:rPr>
        <w:t> </w:t>
      </w:r>
      <w:r>
        <w:rPr/>
        <w:t>estableció</w:t>
      </w:r>
      <w:r>
        <w:rPr>
          <w:spacing w:val="-18"/>
        </w:rPr>
        <w:t> </w:t>
      </w:r>
      <w:r>
        <w:rPr/>
        <w:t>a</w:t>
      </w:r>
      <w:r>
        <w:rPr>
          <w:spacing w:val="-16"/>
        </w:rPr>
        <w:t> </w:t>
      </w:r>
      <w:r>
        <w:rPr/>
        <w:t>partir de</w:t>
      </w:r>
      <w:r>
        <w:rPr>
          <w:spacing w:val="-16"/>
        </w:rPr>
        <w:t> </w:t>
      </w:r>
      <w:r>
        <w:rPr/>
        <w:t>la</w:t>
      </w:r>
      <w:r>
        <w:rPr>
          <w:spacing w:val="-18"/>
        </w:rPr>
        <w:t> </w:t>
      </w:r>
      <w:r>
        <w:rPr/>
        <w:t>fuente</w:t>
      </w:r>
      <w:r>
        <w:rPr>
          <w:spacing w:val="-16"/>
        </w:rPr>
        <w:t> </w:t>
      </w:r>
      <w:r>
        <w:rPr/>
        <w:t>de</w:t>
      </w:r>
      <w:r>
        <w:rPr>
          <w:spacing w:val="-16"/>
        </w:rPr>
        <w:t> </w:t>
      </w:r>
      <w:r>
        <w:rPr/>
        <w:t>suministro</w:t>
      </w:r>
      <w:r>
        <w:rPr>
          <w:spacing w:val="-16"/>
        </w:rPr>
        <w:t> </w:t>
      </w:r>
      <w:r>
        <w:rPr/>
        <w:t>(Figura</w:t>
      </w:r>
      <w:r>
        <w:rPr>
          <w:spacing w:val="-16"/>
        </w:rPr>
        <w:t> </w:t>
      </w:r>
      <w:r>
        <w:rPr/>
        <w:t>1),</w:t>
      </w:r>
      <w:r>
        <w:rPr>
          <w:spacing w:val="-17"/>
        </w:rPr>
        <w:t> </w:t>
      </w:r>
      <w:r>
        <w:rPr/>
        <w:t>en</w:t>
      </w:r>
      <w:r>
        <w:rPr>
          <w:spacing w:val="-16"/>
        </w:rPr>
        <w:t> </w:t>
      </w:r>
      <w:r>
        <w:rPr/>
        <w:t>cuatro</w:t>
      </w:r>
      <w:r>
        <w:rPr>
          <w:spacing w:val="-16"/>
        </w:rPr>
        <w:t> </w:t>
      </w:r>
      <w:r>
        <w:rPr/>
        <w:t>regiones:</w:t>
      </w:r>
      <w:r>
        <w:rPr>
          <w:spacing w:val="-16"/>
        </w:rPr>
        <w:t> </w:t>
      </w:r>
      <w:r>
        <w:rPr/>
        <w:t>(A),</w:t>
      </w:r>
      <w:r>
        <w:rPr>
          <w:spacing w:val="-16"/>
        </w:rPr>
        <w:t> </w:t>
      </w:r>
      <w:r>
        <w:rPr/>
        <w:t>Valle</w:t>
      </w:r>
      <w:r>
        <w:rPr>
          <w:spacing w:val="-18"/>
        </w:rPr>
        <w:t> </w:t>
      </w:r>
      <w:r>
        <w:rPr/>
        <w:t>de</w:t>
      </w:r>
      <w:r>
        <w:rPr>
          <w:spacing w:val="-16"/>
        </w:rPr>
        <w:t> </w:t>
      </w:r>
      <w:r>
        <w:rPr/>
        <w:t>Toluca</w:t>
      </w:r>
      <w:r>
        <w:rPr>
          <w:spacing w:val="-16"/>
        </w:rPr>
        <w:t> </w:t>
      </w:r>
      <w:r>
        <w:rPr/>
        <w:t>incluyó a los municipios de Almoloya de Juárez, Metepec, San Mateo Atenco, Toluca, Villa Victoria y Zinacantepec; (B), los quesos originarios de otros municipios del</w:t>
      </w:r>
      <w:r>
        <w:rPr>
          <w:spacing w:val="64"/>
        </w:rPr>
        <w:t> </w:t>
      </w:r>
      <w:r>
        <w:rPr/>
        <w:t>Estado</w:t>
      </w:r>
    </w:p>
    <w:p>
      <w:pPr>
        <w:spacing w:after="0" w:line="480" w:lineRule="auto"/>
        <w:jc w:val="both"/>
        <w:sectPr>
          <w:pgSz w:w="12240" w:h="15840"/>
          <w:pgMar w:header="728" w:footer="710" w:top="1200" w:bottom="900" w:left="1560" w:right="1560"/>
        </w:sectPr>
      </w:pPr>
    </w:p>
    <w:p>
      <w:pPr>
        <w:pStyle w:val="BodyText"/>
        <w:spacing w:before="7"/>
        <w:rPr>
          <w:sz w:val="12"/>
        </w:rPr>
      </w:pPr>
    </w:p>
    <w:p>
      <w:pPr>
        <w:pStyle w:val="BodyText"/>
        <w:spacing w:line="480" w:lineRule="auto" w:before="69"/>
        <w:ind w:left="142" w:right="137"/>
        <w:jc w:val="both"/>
      </w:pPr>
      <w:r>
        <w:rPr/>
        <w:t>de México tales como Aculco, Ecatepec, Texcatitlán e Ixtlahuaca; (C), quesos de origen desconocido y (D), que comprendió muestras procedentes de otros estados del país (Guadalajara, Jalisco).</w:t>
      </w:r>
    </w:p>
    <w:p>
      <w:pPr>
        <w:pStyle w:val="BodyText"/>
        <w:spacing w:line="480" w:lineRule="auto" w:before="8"/>
        <w:ind w:left="142" w:right="138"/>
        <w:jc w:val="both"/>
      </w:pPr>
      <w:r>
        <w:rPr/>
        <w:t>En el cuadro 1, se observa la frecuencia y procedencia del queso fresco que se comercializa en el municipio de Toluca. El abasto es local en su mayoría proviene de los municipios del Valle de Toluca, seguida de otros municipios del Estado de México y en menor proporción de origen desconocido y de fuera de la entidad.</w:t>
      </w:r>
    </w:p>
    <w:p>
      <w:pPr>
        <w:pStyle w:val="BodyText"/>
        <w:spacing w:line="480" w:lineRule="auto" w:before="8"/>
        <w:ind w:left="142" w:right="140"/>
        <w:jc w:val="both"/>
      </w:pPr>
      <w:r>
        <w:rPr/>
        <w:t>Los valores generales de los parámetros del análisis fisicoquímico del queso se muestran en el cuadro 2. Los valores mostrados para el pH, humedad, proteína y grasa caracterizan al queso fresco que se comercializa en el municipio de Toluca fueron</w:t>
      </w:r>
      <w:r>
        <w:rPr>
          <w:spacing w:val="-7"/>
        </w:rPr>
        <w:t> </w:t>
      </w:r>
      <w:r>
        <w:rPr/>
        <w:t>heterogéneos</w:t>
      </w:r>
      <w:r>
        <w:rPr>
          <w:spacing w:val="-5"/>
        </w:rPr>
        <w:t> </w:t>
      </w:r>
      <w:r>
        <w:rPr/>
        <w:t>en</w:t>
      </w:r>
      <w:r>
        <w:rPr>
          <w:spacing w:val="-5"/>
        </w:rPr>
        <w:t> </w:t>
      </w:r>
      <w:r>
        <w:rPr/>
        <w:t>los</w:t>
      </w:r>
      <w:r>
        <w:rPr>
          <w:spacing w:val="-5"/>
        </w:rPr>
        <w:t> </w:t>
      </w:r>
      <w:r>
        <w:rPr/>
        <w:t>diferentes</w:t>
      </w:r>
      <w:r>
        <w:rPr>
          <w:spacing w:val="-5"/>
        </w:rPr>
        <w:t> </w:t>
      </w:r>
      <w:r>
        <w:rPr/>
        <w:t>parámetros</w:t>
      </w:r>
      <w:r>
        <w:rPr>
          <w:spacing w:val="-5"/>
        </w:rPr>
        <w:t> </w:t>
      </w:r>
      <w:r>
        <w:rPr/>
        <w:t>por</w:t>
      </w:r>
      <w:r>
        <w:rPr>
          <w:spacing w:val="-6"/>
        </w:rPr>
        <w:t> </w:t>
      </w:r>
      <w:r>
        <w:rPr/>
        <w:t>lo</w:t>
      </w:r>
      <w:r>
        <w:rPr>
          <w:spacing w:val="-5"/>
        </w:rPr>
        <w:t> </w:t>
      </w:r>
      <w:r>
        <w:rPr/>
        <w:t>que</w:t>
      </w:r>
      <w:r>
        <w:rPr>
          <w:spacing w:val="-5"/>
        </w:rPr>
        <w:t> </w:t>
      </w:r>
      <w:r>
        <w:rPr/>
        <w:t>se</w:t>
      </w:r>
      <w:r>
        <w:rPr>
          <w:spacing w:val="-5"/>
        </w:rPr>
        <w:t> </w:t>
      </w:r>
      <w:r>
        <w:rPr/>
        <w:t>decidió</w:t>
      </w:r>
      <w:r>
        <w:rPr>
          <w:spacing w:val="-5"/>
        </w:rPr>
        <w:t> </w:t>
      </w:r>
      <w:r>
        <w:rPr/>
        <w:t>mostrar</w:t>
      </w:r>
      <w:r>
        <w:rPr>
          <w:spacing w:val="-6"/>
        </w:rPr>
        <w:t> </w:t>
      </w:r>
      <w:r>
        <w:rPr/>
        <w:t>los valores por región de abasto en el cuadro 3. En la distribución de las regiones de abasto,</w:t>
      </w:r>
      <w:r>
        <w:rPr>
          <w:spacing w:val="-4"/>
        </w:rPr>
        <w:t> </w:t>
      </w:r>
      <w:r>
        <w:rPr/>
        <w:t>en</w:t>
      </w:r>
      <w:r>
        <w:rPr>
          <w:spacing w:val="-4"/>
        </w:rPr>
        <w:t> </w:t>
      </w:r>
      <w:r>
        <w:rPr/>
        <w:t>la</w:t>
      </w:r>
      <w:r>
        <w:rPr>
          <w:spacing w:val="-4"/>
        </w:rPr>
        <w:t> </w:t>
      </w:r>
      <w:r>
        <w:rPr/>
        <w:t>región</w:t>
      </w:r>
      <w:r>
        <w:rPr>
          <w:spacing w:val="-6"/>
        </w:rPr>
        <w:t> </w:t>
      </w:r>
      <w:r>
        <w:rPr/>
        <w:t>A</w:t>
      </w:r>
      <w:r>
        <w:rPr>
          <w:spacing w:val="-6"/>
        </w:rPr>
        <w:t> </w:t>
      </w:r>
      <w:r>
        <w:rPr/>
        <w:t>resalta</w:t>
      </w:r>
      <w:r>
        <w:rPr>
          <w:spacing w:val="-4"/>
        </w:rPr>
        <w:t> </w:t>
      </w:r>
      <w:r>
        <w:rPr/>
        <w:t>del</w:t>
      </w:r>
      <w:r>
        <w:rPr>
          <w:spacing w:val="-5"/>
        </w:rPr>
        <w:t> </w:t>
      </w:r>
      <w:r>
        <w:rPr/>
        <w:t>producto</w:t>
      </w:r>
      <w:r>
        <w:rPr>
          <w:spacing w:val="-5"/>
        </w:rPr>
        <w:t> </w:t>
      </w:r>
      <w:r>
        <w:rPr/>
        <w:t>el</w:t>
      </w:r>
      <w:r>
        <w:rPr>
          <w:spacing w:val="-7"/>
        </w:rPr>
        <w:t> </w:t>
      </w:r>
      <w:r>
        <w:rPr/>
        <w:t>mayor</w:t>
      </w:r>
      <w:r>
        <w:rPr>
          <w:spacing w:val="-5"/>
        </w:rPr>
        <w:t> </w:t>
      </w:r>
      <w:r>
        <w:rPr/>
        <w:t>peso</w:t>
      </w:r>
      <w:r>
        <w:rPr>
          <w:spacing w:val="-6"/>
        </w:rPr>
        <w:t> </w:t>
      </w:r>
      <w:r>
        <w:rPr/>
        <w:t>(gr.),</w:t>
      </w:r>
      <w:r>
        <w:rPr>
          <w:spacing w:val="-4"/>
        </w:rPr>
        <w:t> </w:t>
      </w:r>
      <w:r>
        <w:rPr/>
        <w:t>su</w:t>
      </w:r>
      <w:r>
        <w:rPr>
          <w:spacing w:val="-4"/>
        </w:rPr>
        <w:t> </w:t>
      </w:r>
      <w:r>
        <w:rPr/>
        <w:t>alto</w:t>
      </w:r>
      <w:r>
        <w:rPr>
          <w:spacing w:val="-4"/>
        </w:rPr>
        <w:t> </w:t>
      </w:r>
      <w:r>
        <w:rPr/>
        <w:t>contenido</w:t>
      </w:r>
      <w:r>
        <w:rPr>
          <w:spacing w:val="-6"/>
        </w:rPr>
        <w:t> </w:t>
      </w:r>
      <w:r>
        <w:rPr/>
        <w:t>de humedad (%) como valor máximo y el alto contenido de NaCl. En tanto la región B sobresalieron los contenidos porcentuales de materia seca, grasa, proteínas y cenizas.</w:t>
      </w:r>
      <w:r>
        <w:rPr>
          <w:spacing w:val="-10"/>
        </w:rPr>
        <w:t> </w:t>
      </w:r>
      <w:r>
        <w:rPr/>
        <w:t>En</w:t>
      </w:r>
      <w:r>
        <w:rPr>
          <w:spacing w:val="-12"/>
        </w:rPr>
        <w:t> </w:t>
      </w:r>
      <w:r>
        <w:rPr/>
        <w:t>la</w:t>
      </w:r>
      <w:r>
        <w:rPr>
          <w:spacing w:val="-10"/>
        </w:rPr>
        <w:t> </w:t>
      </w:r>
      <w:r>
        <w:rPr/>
        <w:t>región</w:t>
      </w:r>
      <w:r>
        <w:rPr>
          <w:spacing w:val="-11"/>
        </w:rPr>
        <w:t> </w:t>
      </w:r>
      <w:r>
        <w:rPr/>
        <w:t>C</w:t>
      </w:r>
      <w:r>
        <w:rPr>
          <w:spacing w:val="-13"/>
        </w:rPr>
        <w:t> </w:t>
      </w:r>
      <w:r>
        <w:rPr/>
        <w:t>se</w:t>
      </w:r>
      <w:r>
        <w:rPr>
          <w:spacing w:val="-9"/>
        </w:rPr>
        <w:t> </w:t>
      </w:r>
      <w:r>
        <w:rPr/>
        <w:t>identificó</w:t>
      </w:r>
      <w:r>
        <w:rPr>
          <w:spacing w:val="-9"/>
        </w:rPr>
        <w:t> </w:t>
      </w:r>
      <w:r>
        <w:rPr/>
        <w:t>un</w:t>
      </w:r>
      <w:r>
        <w:rPr>
          <w:spacing w:val="-9"/>
        </w:rPr>
        <w:t> </w:t>
      </w:r>
      <w:r>
        <w:rPr/>
        <w:t>queso</w:t>
      </w:r>
      <w:r>
        <w:rPr>
          <w:spacing w:val="-12"/>
        </w:rPr>
        <w:t> </w:t>
      </w:r>
      <w:r>
        <w:rPr/>
        <w:t>referido</w:t>
      </w:r>
      <w:r>
        <w:rPr>
          <w:spacing w:val="-9"/>
        </w:rPr>
        <w:t> </w:t>
      </w:r>
      <w:r>
        <w:rPr/>
        <w:t>como</w:t>
      </w:r>
      <w:r>
        <w:rPr>
          <w:spacing w:val="-12"/>
        </w:rPr>
        <w:t> </w:t>
      </w:r>
      <w:r>
        <w:rPr/>
        <w:t>de</w:t>
      </w:r>
      <w:r>
        <w:rPr>
          <w:spacing w:val="-12"/>
        </w:rPr>
        <w:t> </w:t>
      </w:r>
      <w:r>
        <w:rPr/>
        <w:t>origen</w:t>
      </w:r>
      <w:r>
        <w:rPr>
          <w:spacing w:val="-9"/>
        </w:rPr>
        <w:t> </w:t>
      </w:r>
      <w:r>
        <w:rPr/>
        <w:t>desconocido, el cual mostró un contenido de NaCl cercano al mostrado por el queso de la región A, en tanto que los otros parámetros evaluados se mantuvieron constantes en comparación</w:t>
      </w:r>
      <w:r>
        <w:rPr>
          <w:spacing w:val="-12"/>
        </w:rPr>
        <w:t> </w:t>
      </w:r>
      <w:r>
        <w:rPr/>
        <w:t>con</w:t>
      </w:r>
      <w:r>
        <w:rPr>
          <w:spacing w:val="-13"/>
        </w:rPr>
        <w:t> </w:t>
      </w:r>
      <w:r>
        <w:rPr/>
        <w:t>otras</w:t>
      </w:r>
      <w:r>
        <w:rPr>
          <w:spacing w:val="-14"/>
        </w:rPr>
        <w:t> </w:t>
      </w:r>
      <w:r>
        <w:rPr/>
        <w:t>regiones.</w:t>
      </w:r>
      <w:r>
        <w:rPr>
          <w:spacing w:val="-12"/>
        </w:rPr>
        <w:t> </w:t>
      </w:r>
      <w:r>
        <w:rPr/>
        <w:t>El</w:t>
      </w:r>
      <w:r>
        <w:rPr>
          <w:spacing w:val="-13"/>
        </w:rPr>
        <w:t> </w:t>
      </w:r>
      <w:r>
        <w:rPr/>
        <w:t>queso</w:t>
      </w:r>
      <w:r>
        <w:rPr>
          <w:spacing w:val="-13"/>
        </w:rPr>
        <w:t> </w:t>
      </w:r>
      <w:r>
        <w:rPr/>
        <w:t>procedente</w:t>
      </w:r>
      <w:r>
        <w:rPr>
          <w:spacing w:val="-13"/>
        </w:rPr>
        <w:t> </w:t>
      </w:r>
      <w:r>
        <w:rPr/>
        <w:t>de</w:t>
      </w:r>
      <w:r>
        <w:rPr>
          <w:spacing w:val="-12"/>
        </w:rPr>
        <w:t> </w:t>
      </w:r>
      <w:r>
        <w:rPr/>
        <w:t>otra</w:t>
      </w:r>
      <w:r>
        <w:rPr>
          <w:spacing w:val="-12"/>
        </w:rPr>
        <w:t> </w:t>
      </w:r>
      <w:r>
        <w:rPr/>
        <w:t>entidad</w:t>
      </w:r>
      <w:r>
        <w:rPr>
          <w:spacing w:val="-13"/>
        </w:rPr>
        <w:t> </w:t>
      </w:r>
      <w:r>
        <w:rPr/>
        <w:t>federativa</w:t>
      </w:r>
      <w:r>
        <w:rPr>
          <w:spacing w:val="-12"/>
        </w:rPr>
        <w:t> </w:t>
      </w:r>
      <w:r>
        <w:rPr/>
        <w:t>fue identificado y considerado en la región D, en cuya muestra se obtuvieron valores superiores para proteína, grasa y materia seca; además el costo fue superior en comparación con los quesos de las otras regiones municipales de abasto estudiadas.</w:t>
      </w:r>
    </w:p>
    <w:p>
      <w:pPr>
        <w:spacing w:after="0" w:line="480" w:lineRule="auto"/>
        <w:jc w:val="both"/>
        <w:sectPr>
          <w:pgSz w:w="12240" w:h="15840"/>
          <w:pgMar w:header="728" w:footer="710" w:top="1200" w:bottom="900" w:left="1560" w:right="1560"/>
        </w:sectPr>
      </w:pPr>
    </w:p>
    <w:p>
      <w:pPr>
        <w:pStyle w:val="BodyText"/>
        <w:spacing w:before="7"/>
        <w:rPr>
          <w:sz w:val="12"/>
        </w:rPr>
      </w:pPr>
    </w:p>
    <w:p>
      <w:pPr>
        <w:pStyle w:val="BodyText"/>
        <w:spacing w:line="480" w:lineRule="auto" w:before="69"/>
        <w:ind w:left="142" w:right="135"/>
        <w:jc w:val="both"/>
      </w:pPr>
      <w:r>
        <w:rPr/>
        <w:t>Los resultados generales obtenidos de la encuesta aplicada a los comerciantes del queso</w:t>
      </w:r>
      <w:r>
        <w:rPr>
          <w:spacing w:val="-17"/>
        </w:rPr>
        <w:t> </w:t>
      </w:r>
      <w:r>
        <w:rPr/>
        <w:t>en</w:t>
      </w:r>
      <w:r>
        <w:rPr>
          <w:spacing w:val="-16"/>
        </w:rPr>
        <w:t> </w:t>
      </w:r>
      <w:r>
        <w:rPr/>
        <w:t>los</w:t>
      </w:r>
      <w:r>
        <w:rPr>
          <w:spacing w:val="-14"/>
        </w:rPr>
        <w:t> </w:t>
      </w:r>
      <w:r>
        <w:rPr/>
        <w:t>centros</w:t>
      </w:r>
      <w:r>
        <w:rPr>
          <w:spacing w:val="-17"/>
        </w:rPr>
        <w:t> </w:t>
      </w:r>
      <w:r>
        <w:rPr/>
        <w:t>de</w:t>
      </w:r>
      <w:r>
        <w:rPr>
          <w:spacing w:val="-14"/>
        </w:rPr>
        <w:t> </w:t>
      </w:r>
      <w:r>
        <w:rPr/>
        <w:t>abasto,</w:t>
      </w:r>
      <w:r>
        <w:rPr>
          <w:spacing w:val="-17"/>
        </w:rPr>
        <w:t> </w:t>
      </w:r>
      <w:r>
        <w:rPr/>
        <w:t>se</w:t>
      </w:r>
      <w:r>
        <w:rPr>
          <w:spacing w:val="-16"/>
        </w:rPr>
        <w:t> </w:t>
      </w:r>
      <w:r>
        <w:rPr/>
        <w:t>muestran</w:t>
      </w:r>
      <w:r>
        <w:rPr>
          <w:spacing w:val="-17"/>
        </w:rPr>
        <w:t> </w:t>
      </w:r>
      <w:r>
        <w:rPr/>
        <w:t>en</w:t>
      </w:r>
      <w:r>
        <w:rPr>
          <w:spacing w:val="-17"/>
        </w:rPr>
        <w:t> </w:t>
      </w:r>
      <w:r>
        <w:rPr/>
        <w:t>el</w:t>
      </w:r>
      <w:r>
        <w:rPr>
          <w:spacing w:val="-15"/>
        </w:rPr>
        <w:t> </w:t>
      </w:r>
      <w:r>
        <w:rPr/>
        <w:t>cuadro</w:t>
      </w:r>
      <w:r>
        <w:rPr>
          <w:spacing w:val="-17"/>
        </w:rPr>
        <w:t> </w:t>
      </w:r>
      <w:r>
        <w:rPr/>
        <w:t>4,</w:t>
      </w:r>
      <w:r>
        <w:rPr>
          <w:spacing w:val="-11"/>
        </w:rPr>
        <w:t> </w:t>
      </w:r>
      <w:r>
        <w:rPr/>
        <w:t>en</w:t>
      </w:r>
      <w:r>
        <w:rPr>
          <w:spacing w:val="-16"/>
        </w:rPr>
        <w:t> </w:t>
      </w:r>
      <w:r>
        <w:rPr/>
        <w:t>donde</w:t>
      </w:r>
      <w:r>
        <w:rPr>
          <w:spacing w:val="-14"/>
        </w:rPr>
        <w:t> </w:t>
      </w:r>
      <w:r>
        <w:rPr/>
        <w:t>se</w:t>
      </w:r>
      <w:r>
        <w:rPr>
          <w:spacing w:val="-17"/>
        </w:rPr>
        <w:t> </w:t>
      </w:r>
      <w:r>
        <w:rPr/>
        <w:t>detectaron un total de 10 vendedores fijos y 54 ambulantes demostrando que hay un mayor volumen de comercialización en los mercados populares o “tianguis” comparados con los mercados municipales fijos, situación que puede comprometer la trazabilidad del producto</w:t>
      </w:r>
      <w:r>
        <w:rPr>
          <w:position w:val="8"/>
          <w:sz w:val="16"/>
        </w:rPr>
        <w:t>(24)</w:t>
      </w:r>
      <w:r>
        <w:rPr/>
        <w:t>. En cuanto a las condiciones de venta se observó que solamente en los mercados fijos los quesos se mantenían en refrigeración, aunque en el caso estudiado no significó que la temperatura y conservación fuera adecuadas considerando los criterios sanitarios para los productos lácteos</w:t>
      </w:r>
      <w:r>
        <w:rPr>
          <w:position w:val="8"/>
          <w:sz w:val="16"/>
        </w:rPr>
        <w:t>(25)</w:t>
      </w:r>
      <w:r>
        <w:rPr/>
        <w:t>, debido a que durante la medición de la temperatura en el sitio de comercialización del queso, todos mostraron una temperatura superior a los 4°C, además de no contar con embalaje. El 50% de los sitios de venta de quesos frescos tenían de manera paralela la venta de alimentos preparados, el 32.8%, además otros derivados lácteos: crema, leche, yogurt y otros quesos comerciales; 11% vendía además productos agrícolas de temporada. Cabe resaltar que sólo el 1.6% de los comerciantes se dedica a la venta exclusiva de</w:t>
      </w:r>
      <w:r>
        <w:rPr>
          <w:spacing w:val="-20"/>
        </w:rPr>
        <w:t> </w:t>
      </w:r>
      <w:r>
        <w:rPr/>
        <w:t>quesos.</w:t>
      </w:r>
    </w:p>
    <w:p>
      <w:pPr>
        <w:pStyle w:val="BodyText"/>
        <w:spacing w:line="480" w:lineRule="auto" w:before="128"/>
        <w:ind w:left="142" w:right="139"/>
        <w:jc w:val="both"/>
      </w:pPr>
      <w:r>
        <w:rPr/>
        <w:t>Los quesos frescos que se expendían junto a otros productos alimenticios pueden propiciar una contaminación cruzada en el expendio del queso y a otros alimentos vendidos sin embalaje y a temperatura ambiente con una manipulación deficiente de</w:t>
      </w:r>
      <w:r>
        <w:rPr>
          <w:spacing w:val="-9"/>
        </w:rPr>
        <w:t> </w:t>
      </w:r>
      <w:r>
        <w:rPr/>
        <w:t>los</w:t>
      </w:r>
      <w:r>
        <w:rPr>
          <w:spacing w:val="-10"/>
        </w:rPr>
        <w:t> </w:t>
      </w:r>
      <w:r>
        <w:rPr/>
        <w:t>del</w:t>
      </w:r>
      <w:r>
        <w:rPr>
          <w:spacing w:val="-10"/>
        </w:rPr>
        <w:t> </w:t>
      </w:r>
      <w:r>
        <w:rPr/>
        <w:t>producto</w:t>
      </w:r>
      <w:r>
        <w:rPr>
          <w:spacing w:val="-10"/>
        </w:rPr>
        <w:t> </w:t>
      </w:r>
      <w:r>
        <w:rPr/>
        <w:t>por</w:t>
      </w:r>
      <w:r>
        <w:rPr>
          <w:spacing w:val="-12"/>
        </w:rPr>
        <w:t> </w:t>
      </w:r>
      <w:r>
        <w:rPr/>
        <w:t>los</w:t>
      </w:r>
      <w:r>
        <w:rPr>
          <w:spacing w:val="-10"/>
        </w:rPr>
        <w:t> </w:t>
      </w:r>
      <w:r>
        <w:rPr/>
        <w:t>vendedores.</w:t>
      </w:r>
      <w:r>
        <w:rPr>
          <w:spacing w:val="-10"/>
        </w:rPr>
        <w:t> </w:t>
      </w:r>
      <w:r>
        <w:rPr/>
        <w:t>El</w:t>
      </w:r>
      <w:r>
        <w:rPr>
          <w:spacing w:val="-10"/>
        </w:rPr>
        <w:t> </w:t>
      </w:r>
      <w:r>
        <w:rPr/>
        <w:t>escenario</w:t>
      </w:r>
      <w:r>
        <w:rPr>
          <w:spacing w:val="-9"/>
        </w:rPr>
        <w:t> </w:t>
      </w:r>
      <w:r>
        <w:rPr/>
        <w:t>que</w:t>
      </w:r>
      <w:r>
        <w:rPr>
          <w:spacing w:val="-11"/>
        </w:rPr>
        <w:t> </w:t>
      </w:r>
      <w:r>
        <w:rPr/>
        <w:t>prevalece</w:t>
      </w:r>
      <w:r>
        <w:rPr>
          <w:spacing w:val="-9"/>
        </w:rPr>
        <w:t> </w:t>
      </w:r>
      <w:r>
        <w:rPr/>
        <w:t>en</w:t>
      </w:r>
      <w:r>
        <w:rPr>
          <w:spacing w:val="-9"/>
        </w:rPr>
        <w:t> </w:t>
      </w:r>
      <w:r>
        <w:rPr/>
        <w:t>los</w:t>
      </w:r>
      <w:r>
        <w:rPr>
          <w:spacing w:val="-10"/>
        </w:rPr>
        <w:t> </w:t>
      </w:r>
      <w:r>
        <w:rPr/>
        <w:t>“tianguis” del municipio de Toluca, propicia la contaminación fisicoquímica y microbiana incrementando el riesgo de enfermedades transmitidas por alimentos, particularmente</w:t>
      </w:r>
      <w:r>
        <w:rPr>
          <w:spacing w:val="51"/>
        </w:rPr>
        <w:t> </w:t>
      </w:r>
      <w:r>
        <w:rPr/>
        <w:t>por</w:t>
      </w:r>
      <w:r>
        <w:rPr>
          <w:spacing w:val="49"/>
        </w:rPr>
        <w:t> </w:t>
      </w:r>
      <w:r>
        <w:rPr/>
        <w:t>los</w:t>
      </w:r>
      <w:r>
        <w:rPr>
          <w:spacing w:val="50"/>
        </w:rPr>
        <w:t> </w:t>
      </w:r>
      <w:r>
        <w:rPr/>
        <w:t>productos</w:t>
      </w:r>
      <w:r>
        <w:rPr>
          <w:spacing w:val="50"/>
        </w:rPr>
        <w:t> </w:t>
      </w:r>
      <w:r>
        <w:rPr/>
        <w:t>lácteos</w:t>
      </w:r>
      <w:r>
        <w:rPr>
          <w:position w:val="8"/>
          <w:sz w:val="16"/>
        </w:rPr>
        <w:t>(26)</w:t>
      </w:r>
      <w:r>
        <w:rPr/>
        <w:t>,</w:t>
      </w:r>
      <w:r>
        <w:rPr>
          <w:spacing w:val="50"/>
        </w:rPr>
        <w:t> </w:t>
      </w:r>
      <w:r>
        <w:rPr/>
        <w:t>este</w:t>
      </w:r>
      <w:r>
        <w:rPr>
          <w:spacing w:val="51"/>
        </w:rPr>
        <w:t> </w:t>
      </w:r>
      <w:r>
        <w:rPr/>
        <w:t>hecho</w:t>
      </w:r>
      <w:r>
        <w:rPr>
          <w:spacing w:val="48"/>
        </w:rPr>
        <w:t> </w:t>
      </w:r>
      <w:r>
        <w:rPr/>
        <w:t>podría</w:t>
      </w:r>
      <w:r>
        <w:rPr>
          <w:spacing w:val="51"/>
        </w:rPr>
        <w:t> </w:t>
      </w:r>
      <w:r>
        <w:rPr/>
        <w:t>representar</w:t>
      </w:r>
      <w:r>
        <w:rPr>
          <w:spacing w:val="47"/>
        </w:rPr>
        <w:t> </w:t>
      </w:r>
      <w:r>
        <w:rPr/>
        <w:t>un</w:t>
      </w:r>
    </w:p>
    <w:p>
      <w:pPr>
        <w:spacing w:after="0" w:line="480" w:lineRule="auto"/>
        <w:jc w:val="both"/>
        <w:sectPr>
          <w:pgSz w:w="12240" w:h="15840"/>
          <w:pgMar w:header="728" w:footer="710" w:top="1200" w:bottom="900" w:left="1560" w:right="1560"/>
        </w:sectPr>
      </w:pPr>
    </w:p>
    <w:p>
      <w:pPr>
        <w:pStyle w:val="BodyText"/>
        <w:spacing w:before="7"/>
        <w:rPr>
          <w:sz w:val="12"/>
        </w:rPr>
      </w:pPr>
    </w:p>
    <w:p>
      <w:pPr>
        <w:pStyle w:val="BodyText"/>
        <w:spacing w:line="480" w:lineRule="auto" w:before="69"/>
        <w:ind w:left="142" w:right="136"/>
        <w:jc w:val="both"/>
      </w:pPr>
      <w:r>
        <w:rPr/>
        <w:t>riesgo importante a la salud pública afectando seriamente la comercialización y el interés de los consumidores por los quesos artesanales</w:t>
      </w:r>
      <w:r>
        <w:rPr>
          <w:position w:val="8"/>
          <w:sz w:val="16"/>
        </w:rPr>
        <w:t>(1)</w:t>
      </w:r>
      <w:r>
        <w:rPr/>
        <w:t>, por lo que las instituciones sanitarias deberían poner énfasis en la comercialización de alimentos en los mercados y tianguis a fin de salvaguardar la salud de los consumidores en los centros de abasto de alimentos. La red comercial observada del queso fresco en</w:t>
      </w:r>
      <w:r>
        <w:rPr>
          <w:spacing w:val="-7"/>
        </w:rPr>
        <w:t> </w:t>
      </w:r>
      <w:r>
        <w:rPr/>
        <w:t>los</w:t>
      </w:r>
      <w:r>
        <w:rPr>
          <w:spacing w:val="-8"/>
        </w:rPr>
        <w:t> </w:t>
      </w:r>
      <w:r>
        <w:rPr/>
        <w:t>centros</w:t>
      </w:r>
      <w:r>
        <w:rPr>
          <w:spacing w:val="-8"/>
        </w:rPr>
        <w:t> </w:t>
      </w:r>
      <w:r>
        <w:rPr/>
        <w:t>regionales</w:t>
      </w:r>
      <w:r>
        <w:rPr>
          <w:spacing w:val="-8"/>
        </w:rPr>
        <w:t> </w:t>
      </w:r>
      <w:r>
        <w:rPr/>
        <w:t>de</w:t>
      </w:r>
      <w:r>
        <w:rPr>
          <w:spacing w:val="-9"/>
        </w:rPr>
        <w:t> </w:t>
      </w:r>
      <w:r>
        <w:rPr/>
        <w:t>abasto</w:t>
      </w:r>
      <w:r>
        <w:rPr>
          <w:spacing w:val="-7"/>
        </w:rPr>
        <w:t> </w:t>
      </w:r>
      <w:r>
        <w:rPr/>
        <w:t>en</w:t>
      </w:r>
      <w:r>
        <w:rPr>
          <w:spacing w:val="-7"/>
        </w:rPr>
        <w:t> </w:t>
      </w:r>
      <w:r>
        <w:rPr/>
        <w:t>el</w:t>
      </w:r>
      <w:r>
        <w:rPr>
          <w:spacing w:val="-11"/>
        </w:rPr>
        <w:t> </w:t>
      </w:r>
      <w:r>
        <w:rPr/>
        <w:t>municipio,</w:t>
      </w:r>
      <w:r>
        <w:rPr>
          <w:spacing w:val="-7"/>
        </w:rPr>
        <w:t> </w:t>
      </w:r>
      <w:r>
        <w:rPr/>
        <w:t>está</w:t>
      </w:r>
      <w:r>
        <w:rPr>
          <w:spacing w:val="-7"/>
        </w:rPr>
        <w:t> </w:t>
      </w:r>
      <w:r>
        <w:rPr/>
        <w:t>constituida</w:t>
      </w:r>
      <w:r>
        <w:rPr>
          <w:spacing w:val="-7"/>
        </w:rPr>
        <w:t> </w:t>
      </w:r>
      <w:r>
        <w:rPr/>
        <w:t>principalmente por intermediarios con el 80% y solamente el 20% son productores y comerciantes del queso; la actividad comercial se realiza en los puntos de venta en tianguis y mercados</w:t>
      </w:r>
      <w:r>
        <w:rPr>
          <w:spacing w:val="-15"/>
        </w:rPr>
        <w:t> </w:t>
      </w:r>
      <w:r>
        <w:rPr/>
        <w:t>del</w:t>
      </w:r>
      <w:r>
        <w:rPr>
          <w:spacing w:val="-14"/>
        </w:rPr>
        <w:t> </w:t>
      </w:r>
      <w:r>
        <w:rPr/>
        <w:t>municipio.</w:t>
      </w:r>
      <w:r>
        <w:rPr>
          <w:spacing w:val="-14"/>
        </w:rPr>
        <w:t> </w:t>
      </w:r>
      <w:r>
        <w:rPr/>
        <w:t>Esta</w:t>
      </w:r>
      <w:r>
        <w:rPr>
          <w:spacing w:val="-14"/>
        </w:rPr>
        <w:t> </w:t>
      </w:r>
      <w:r>
        <w:rPr/>
        <w:t>situación</w:t>
      </w:r>
      <w:r>
        <w:rPr>
          <w:spacing w:val="-14"/>
        </w:rPr>
        <w:t> </w:t>
      </w:r>
      <w:r>
        <w:rPr/>
        <w:t>coincide</w:t>
      </w:r>
      <w:r>
        <w:rPr>
          <w:spacing w:val="-14"/>
        </w:rPr>
        <w:t> </w:t>
      </w:r>
      <w:r>
        <w:rPr/>
        <w:t>con</w:t>
      </w:r>
      <w:r>
        <w:rPr>
          <w:spacing w:val="-14"/>
        </w:rPr>
        <w:t> </w:t>
      </w:r>
      <w:r>
        <w:rPr/>
        <w:t>el</w:t>
      </w:r>
      <w:r>
        <w:rPr>
          <w:spacing w:val="-15"/>
        </w:rPr>
        <w:t> </w:t>
      </w:r>
      <w:r>
        <w:rPr/>
        <w:t>estudio</w:t>
      </w:r>
      <w:r>
        <w:rPr>
          <w:spacing w:val="-14"/>
        </w:rPr>
        <w:t> </w:t>
      </w:r>
      <w:r>
        <w:rPr/>
        <w:t>realizado</w:t>
      </w:r>
      <w:r>
        <w:rPr>
          <w:spacing w:val="-17"/>
        </w:rPr>
        <w:t> </w:t>
      </w:r>
      <w:r>
        <w:rPr/>
        <w:t>en</w:t>
      </w:r>
      <w:r>
        <w:rPr>
          <w:spacing w:val="-14"/>
        </w:rPr>
        <w:t> </w:t>
      </w:r>
      <w:r>
        <w:rPr/>
        <w:t>Chiautla de Tapia, México</w:t>
      </w:r>
      <w:r>
        <w:rPr>
          <w:position w:val="8"/>
          <w:sz w:val="16"/>
        </w:rPr>
        <w:t>(3)</w:t>
      </w:r>
      <w:r>
        <w:rPr/>
        <w:t>, donde se estudió la venta de queso fresco, denotando que el número de intermediarios es muy superior al de los productores que realizan la venta directa afectando la rentabilidad de pequeños</w:t>
      </w:r>
      <w:r>
        <w:rPr>
          <w:spacing w:val="-21"/>
        </w:rPr>
        <w:t> </w:t>
      </w:r>
      <w:r>
        <w:rPr/>
        <w:t>productores.</w:t>
      </w:r>
    </w:p>
    <w:p>
      <w:pPr>
        <w:pStyle w:val="BodyText"/>
        <w:spacing w:line="480" w:lineRule="auto" w:before="128"/>
        <w:ind w:left="142" w:right="136"/>
        <w:jc w:val="both"/>
      </w:pPr>
      <w:r>
        <w:rPr/>
        <w:t>En el presente estudio las muestras de queso fresco de origen desconocido se atribuyeron a una red comercial en los mercados con los queseros conocidos de antaño</w:t>
      </w:r>
      <w:r>
        <w:rPr>
          <w:spacing w:val="-11"/>
        </w:rPr>
        <w:t> </w:t>
      </w:r>
      <w:r>
        <w:rPr/>
        <w:t>en</w:t>
      </w:r>
      <w:r>
        <w:rPr>
          <w:spacing w:val="-11"/>
        </w:rPr>
        <w:t> </w:t>
      </w:r>
      <w:r>
        <w:rPr/>
        <w:t>donde</w:t>
      </w:r>
      <w:r>
        <w:rPr>
          <w:spacing w:val="-11"/>
        </w:rPr>
        <w:t> </w:t>
      </w:r>
      <w:r>
        <w:rPr/>
        <w:t>estos</w:t>
      </w:r>
      <w:r>
        <w:rPr>
          <w:spacing w:val="-12"/>
        </w:rPr>
        <w:t> </w:t>
      </w:r>
      <w:r>
        <w:rPr/>
        <w:t>entregan</w:t>
      </w:r>
      <w:r>
        <w:rPr>
          <w:spacing w:val="-8"/>
        </w:rPr>
        <w:t> </w:t>
      </w:r>
      <w:r>
        <w:rPr/>
        <w:t>su</w:t>
      </w:r>
      <w:r>
        <w:rPr>
          <w:spacing w:val="-11"/>
        </w:rPr>
        <w:t> </w:t>
      </w:r>
      <w:r>
        <w:rPr/>
        <w:t>producto</w:t>
      </w:r>
      <w:r>
        <w:rPr>
          <w:spacing w:val="-13"/>
        </w:rPr>
        <w:t> </w:t>
      </w:r>
      <w:r>
        <w:rPr/>
        <w:t>a</w:t>
      </w:r>
      <w:r>
        <w:rPr>
          <w:spacing w:val="-8"/>
        </w:rPr>
        <w:t> </w:t>
      </w:r>
      <w:r>
        <w:rPr/>
        <w:t>los</w:t>
      </w:r>
      <w:r>
        <w:rPr>
          <w:spacing w:val="-11"/>
        </w:rPr>
        <w:t> </w:t>
      </w:r>
      <w:r>
        <w:rPr/>
        <w:t>establecimientos</w:t>
      </w:r>
      <w:r>
        <w:rPr>
          <w:spacing w:val="-14"/>
        </w:rPr>
        <w:t> </w:t>
      </w:r>
      <w:r>
        <w:rPr/>
        <w:t>periódicamente sin brindar información adicional del origen del producto, este hecho refleja que el queso fresco goza de una buena aceptación entre los consumidores. La comercialización</w:t>
      </w:r>
      <w:r>
        <w:rPr>
          <w:spacing w:val="-7"/>
        </w:rPr>
        <w:t> </w:t>
      </w:r>
      <w:r>
        <w:rPr/>
        <w:t>itinerante</w:t>
      </w:r>
      <w:r>
        <w:rPr>
          <w:spacing w:val="-8"/>
        </w:rPr>
        <w:t> </w:t>
      </w:r>
      <w:r>
        <w:rPr/>
        <w:t>de</w:t>
      </w:r>
      <w:r>
        <w:rPr>
          <w:spacing w:val="-7"/>
        </w:rPr>
        <w:t> </w:t>
      </w:r>
      <w:r>
        <w:rPr/>
        <w:t>queso</w:t>
      </w:r>
      <w:r>
        <w:rPr>
          <w:spacing w:val="-7"/>
        </w:rPr>
        <w:t> </w:t>
      </w:r>
      <w:r>
        <w:rPr/>
        <w:t>en</w:t>
      </w:r>
      <w:r>
        <w:rPr>
          <w:spacing w:val="-7"/>
        </w:rPr>
        <w:t> </w:t>
      </w:r>
      <w:r>
        <w:rPr/>
        <w:t>los</w:t>
      </w:r>
      <w:r>
        <w:rPr>
          <w:spacing w:val="-8"/>
        </w:rPr>
        <w:t> </w:t>
      </w:r>
      <w:r>
        <w:rPr/>
        <w:t>“tianguis”</w:t>
      </w:r>
      <w:r>
        <w:rPr>
          <w:spacing w:val="-8"/>
        </w:rPr>
        <w:t> </w:t>
      </w:r>
      <w:r>
        <w:rPr/>
        <w:t>no</w:t>
      </w:r>
      <w:r>
        <w:rPr>
          <w:spacing w:val="-7"/>
        </w:rPr>
        <w:t> </w:t>
      </w:r>
      <w:r>
        <w:rPr/>
        <w:t>es</w:t>
      </w:r>
      <w:r>
        <w:rPr>
          <w:spacing w:val="-8"/>
        </w:rPr>
        <w:t> </w:t>
      </w:r>
      <w:r>
        <w:rPr/>
        <w:t>una</w:t>
      </w:r>
      <w:r>
        <w:rPr>
          <w:spacing w:val="-7"/>
        </w:rPr>
        <w:t> </w:t>
      </w:r>
      <w:r>
        <w:rPr/>
        <w:t>actividad</w:t>
      </w:r>
      <w:r>
        <w:rPr>
          <w:spacing w:val="-7"/>
        </w:rPr>
        <w:t> </w:t>
      </w:r>
      <w:r>
        <w:rPr/>
        <w:t>constante a diferencia de la que se observa en los mercados fijos que reciben una entrega periódica en las cremerías del municipio de Toluca, que puede afectar el comercio del queso genuinamente local debido a las pobres condiciones de presentación y calidad higiénica de los</w:t>
      </w:r>
      <w:r>
        <w:rPr>
          <w:spacing w:val="-9"/>
        </w:rPr>
        <w:t> </w:t>
      </w:r>
      <w:r>
        <w:rPr/>
        <w:t>mismos.</w:t>
      </w:r>
    </w:p>
    <w:p>
      <w:pPr>
        <w:spacing w:after="0" w:line="480" w:lineRule="auto"/>
        <w:jc w:val="both"/>
        <w:sectPr>
          <w:pgSz w:w="12240" w:h="15840"/>
          <w:pgMar w:header="728" w:footer="710" w:top="1200" w:bottom="900" w:left="1560" w:right="1560"/>
        </w:sectPr>
      </w:pPr>
    </w:p>
    <w:p>
      <w:pPr>
        <w:pStyle w:val="BodyText"/>
        <w:spacing w:before="7"/>
        <w:rPr>
          <w:sz w:val="12"/>
        </w:rPr>
      </w:pPr>
    </w:p>
    <w:p>
      <w:pPr>
        <w:pStyle w:val="BodyText"/>
        <w:spacing w:line="480" w:lineRule="auto" w:before="69"/>
        <w:ind w:left="142" w:right="135"/>
        <w:jc w:val="both"/>
      </w:pPr>
      <w:r>
        <w:rPr/>
        <w:t>Un</w:t>
      </w:r>
      <w:r>
        <w:rPr>
          <w:spacing w:val="-12"/>
        </w:rPr>
        <w:t> </w:t>
      </w:r>
      <w:r>
        <w:rPr/>
        <w:t>fenómeno</w:t>
      </w:r>
      <w:r>
        <w:rPr>
          <w:spacing w:val="-12"/>
        </w:rPr>
        <w:t> </w:t>
      </w:r>
      <w:r>
        <w:rPr/>
        <w:t>similar</w:t>
      </w:r>
      <w:r>
        <w:rPr>
          <w:spacing w:val="-13"/>
        </w:rPr>
        <w:t> </w:t>
      </w:r>
      <w:r>
        <w:rPr/>
        <w:t>en</w:t>
      </w:r>
      <w:r>
        <w:rPr>
          <w:spacing w:val="-9"/>
        </w:rPr>
        <w:t> </w:t>
      </w:r>
      <w:r>
        <w:rPr/>
        <w:t>la</w:t>
      </w:r>
      <w:r>
        <w:rPr>
          <w:spacing w:val="-12"/>
        </w:rPr>
        <w:t> </w:t>
      </w:r>
      <w:r>
        <w:rPr/>
        <w:t>comercialización</w:t>
      </w:r>
      <w:r>
        <w:rPr>
          <w:spacing w:val="-11"/>
        </w:rPr>
        <w:t> </w:t>
      </w:r>
      <w:r>
        <w:rPr/>
        <w:t>de</w:t>
      </w:r>
      <w:r>
        <w:rPr>
          <w:spacing w:val="-9"/>
        </w:rPr>
        <w:t> </w:t>
      </w:r>
      <w:r>
        <w:rPr/>
        <w:t>los</w:t>
      </w:r>
      <w:r>
        <w:rPr>
          <w:spacing w:val="-12"/>
        </w:rPr>
        <w:t> </w:t>
      </w:r>
      <w:r>
        <w:rPr/>
        <w:t>quesos</w:t>
      </w:r>
      <w:r>
        <w:rPr>
          <w:spacing w:val="-15"/>
        </w:rPr>
        <w:t> </w:t>
      </w:r>
      <w:r>
        <w:rPr/>
        <w:t>frescos</w:t>
      </w:r>
      <w:r>
        <w:rPr>
          <w:spacing w:val="-13"/>
        </w:rPr>
        <w:t> </w:t>
      </w:r>
      <w:r>
        <w:rPr/>
        <w:t>fue</w:t>
      </w:r>
      <w:r>
        <w:rPr>
          <w:spacing w:val="-9"/>
        </w:rPr>
        <w:t> </w:t>
      </w:r>
      <w:r>
        <w:rPr/>
        <w:t>observado</w:t>
      </w:r>
      <w:r>
        <w:rPr>
          <w:spacing w:val="-12"/>
        </w:rPr>
        <w:t> </w:t>
      </w:r>
      <w:r>
        <w:rPr/>
        <w:t>en el estudio realizado en 2007 en Tetlatlahuca en el Estado de Tlaxcala</w:t>
      </w:r>
      <w:r>
        <w:rPr>
          <w:position w:val="8"/>
          <w:sz w:val="16"/>
        </w:rPr>
        <w:t>(27)</w:t>
      </w:r>
      <w:r>
        <w:rPr/>
        <w:t>. En el estudio realizado en el municipio de Toluca, solamente en un mercado fijo, en 8 tianguis</w:t>
      </w:r>
      <w:r>
        <w:rPr>
          <w:spacing w:val="-14"/>
        </w:rPr>
        <w:t> </w:t>
      </w:r>
      <w:r>
        <w:rPr/>
        <w:t>y</w:t>
      </w:r>
      <w:r>
        <w:rPr>
          <w:spacing w:val="-16"/>
        </w:rPr>
        <w:t> </w:t>
      </w:r>
      <w:r>
        <w:rPr/>
        <w:t>en</w:t>
      </w:r>
      <w:r>
        <w:rPr>
          <w:spacing w:val="-13"/>
        </w:rPr>
        <w:t> </w:t>
      </w:r>
      <w:r>
        <w:rPr/>
        <w:t>la</w:t>
      </w:r>
      <w:r>
        <w:rPr>
          <w:spacing w:val="-13"/>
        </w:rPr>
        <w:t> </w:t>
      </w:r>
      <w:r>
        <w:rPr/>
        <w:t>Central</w:t>
      </w:r>
      <w:r>
        <w:rPr>
          <w:spacing w:val="-12"/>
        </w:rPr>
        <w:t> </w:t>
      </w:r>
      <w:r>
        <w:rPr/>
        <w:t>de</w:t>
      </w:r>
      <w:r>
        <w:rPr>
          <w:spacing w:val="-13"/>
        </w:rPr>
        <w:t> </w:t>
      </w:r>
      <w:r>
        <w:rPr/>
        <w:t>abasto,</w:t>
      </w:r>
      <w:r>
        <w:rPr>
          <w:spacing w:val="-16"/>
        </w:rPr>
        <w:t> </w:t>
      </w:r>
      <w:r>
        <w:rPr/>
        <w:t>no</w:t>
      </w:r>
      <w:r>
        <w:rPr>
          <w:spacing w:val="-13"/>
        </w:rPr>
        <w:t> </w:t>
      </w:r>
      <w:r>
        <w:rPr/>
        <w:t>se</w:t>
      </w:r>
      <w:r>
        <w:rPr>
          <w:spacing w:val="-13"/>
        </w:rPr>
        <w:t> </w:t>
      </w:r>
      <w:r>
        <w:rPr/>
        <w:t>identificaron</w:t>
      </w:r>
      <w:r>
        <w:rPr>
          <w:spacing w:val="-13"/>
        </w:rPr>
        <w:t> </w:t>
      </w:r>
      <w:r>
        <w:rPr/>
        <w:t>comerciantes</w:t>
      </w:r>
      <w:r>
        <w:rPr>
          <w:spacing w:val="-14"/>
        </w:rPr>
        <w:t> </w:t>
      </w:r>
      <w:r>
        <w:rPr/>
        <w:t>de</w:t>
      </w:r>
      <w:r>
        <w:rPr>
          <w:spacing w:val="-13"/>
        </w:rPr>
        <w:t> </w:t>
      </w:r>
      <w:r>
        <w:rPr/>
        <w:t>queso</w:t>
      </w:r>
      <w:r>
        <w:rPr>
          <w:spacing w:val="-16"/>
        </w:rPr>
        <w:t> </w:t>
      </w:r>
      <w:r>
        <w:rPr/>
        <w:t>fresco, si bien esto no significa que nunca fuera vendido este producto, debido a la venta esporádica que puede tener el producto en estos lugares. En contraste con la presencia de un mayor número de comerciantes de queso fresco apreciada en el principal mercado, Aviación-Autopan como el centro regional de mayor jerarquía y de mercadeo es el único “tianguis” que se realiza sus actividades comerciales los viernes en el Alto Lerma toluqueño concentrando el comercio con todos “tianguis” de la región que incluye a 26 municipios</w:t>
      </w:r>
      <w:r>
        <w:rPr>
          <w:spacing w:val="-16"/>
        </w:rPr>
        <w:t> </w:t>
      </w:r>
      <w:r>
        <w:rPr/>
        <w:t>mexiquenses</w:t>
      </w:r>
      <w:r>
        <w:rPr>
          <w:position w:val="8"/>
          <w:sz w:val="16"/>
        </w:rPr>
        <w:t>(13)</w:t>
      </w:r>
      <w:r>
        <w:rPr/>
        <w:t>.</w:t>
      </w:r>
    </w:p>
    <w:p>
      <w:pPr>
        <w:pStyle w:val="BodyText"/>
        <w:spacing w:line="480" w:lineRule="auto"/>
        <w:ind w:left="142" w:right="138"/>
        <w:jc w:val="both"/>
      </w:pPr>
      <w:r>
        <w:rPr/>
        <w:t>Dentro</w:t>
      </w:r>
      <w:r>
        <w:rPr>
          <w:spacing w:val="-11"/>
        </w:rPr>
        <w:t> </w:t>
      </w:r>
      <w:r>
        <w:rPr/>
        <w:t>de</w:t>
      </w:r>
      <w:r>
        <w:rPr>
          <w:spacing w:val="-8"/>
        </w:rPr>
        <w:t> </w:t>
      </w:r>
      <w:r>
        <w:rPr/>
        <w:t>las</w:t>
      </w:r>
      <w:r>
        <w:rPr>
          <w:spacing w:val="-9"/>
        </w:rPr>
        <w:t> </w:t>
      </w:r>
      <w:r>
        <w:rPr/>
        <w:t>características</w:t>
      </w:r>
      <w:r>
        <w:rPr>
          <w:spacing w:val="-9"/>
        </w:rPr>
        <w:t> </w:t>
      </w:r>
      <w:r>
        <w:rPr/>
        <w:t>del</w:t>
      </w:r>
      <w:r>
        <w:rPr>
          <w:spacing w:val="-10"/>
        </w:rPr>
        <w:t> </w:t>
      </w:r>
      <w:r>
        <w:rPr/>
        <w:t>queso</w:t>
      </w:r>
      <w:r>
        <w:rPr>
          <w:spacing w:val="-13"/>
        </w:rPr>
        <w:t> </w:t>
      </w:r>
      <w:r>
        <w:rPr/>
        <w:t>fresco</w:t>
      </w:r>
      <w:r>
        <w:rPr>
          <w:spacing w:val="-10"/>
        </w:rPr>
        <w:t> </w:t>
      </w:r>
      <w:r>
        <w:rPr/>
        <w:t>típico</w:t>
      </w:r>
      <w:r>
        <w:rPr>
          <w:spacing w:val="-9"/>
        </w:rPr>
        <w:t> </w:t>
      </w:r>
      <w:r>
        <w:rPr/>
        <w:t>de</w:t>
      </w:r>
      <w:r>
        <w:rPr>
          <w:spacing w:val="-8"/>
        </w:rPr>
        <w:t> </w:t>
      </w:r>
      <w:r>
        <w:rPr/>
        <w:t>la</w:t>
      </w:r>
      <w:r>
        <w:rPr>
          <w:spacing w:val="-11"/>
        </w:rPr>
        <w:t> </w:t>
      </w:r>
      <w:r>
        <w:rPr/>
        <w:t>región</w:t>
      </w:r>
      <w:r>
        <w:rPr>
          <w:spacing w:val="-8"/>
        </w:rPr>
        <w:t> </w:t>
      </w:r>
      <w:r>
        <w:rPr/>
        <w:t>estudiada,</w:t>
      </w:r>
      <w:r>
        <w:rPr>
          <w:spacing w:val="-9"/>
        </w:rPr>
        <w:t> </w:t>
      </w:r>
      <w:r>
        <w:rPr/>
        <w:t>la</w:t>
      </w:r>
      <w:r>
        <w:rPr>
          <w:spacing w:val="-13"/>
        </w:rPr>
        <w:t> </w:t>
      </w:r>
      <w:r>
        <w:rPr/>
        <w:t>forma de</w:t>
      </w:r>
      <w:r>
        <w:rPr>
          <w:spacing w:val="-7"/>
        </w:rPr>
        <w:t> </w:t>
      </w:r>
      <w:r>
        <w:rPr/>
        <w:t>presentación</w:t>
      </w:r>
      <w:r>
        <w:rPr>
          <w:spacing w:val="-5"/>
        </w:rPr>
        <w:t> </w:t>
      </w:r>
      <w:r>
        <w:rPr/>
        <w:t>del</w:t>
      </w:r>
      <w:r>
        <w:rPr>
          <w:spacing w:val="-6"/>
        </w:rPr>
        <w:t> </w:t>
      </w:r>
      <w:r>
        <w:rPr/>
        <w:t>producto</w:t>
      </w:r>
      <w:r>
        <w:rPr>
          <w:spacing w:val="-5"/>
        </w:rPr>
        <w:t> </w:t>
      </w:r>
      <w:r>
        <w:rPr/>
        <w:t>también</w:t>
      </w:r>
      <w:r>
        <w:rPr>
          <w:spacing w:val="-9"/>
        </w:rPr>
        <w:t> </w:t>
      </w:r>
      <w:r>
        <w:rPr/>
        <w:t>fue</w:t>
      </w:r>
      <w:r>
        <w:rPr>
          <w:spacing w:val="-5"/>
        </w:rPr>
        <w:t> </w:t>
      </w:r>
      <w:r>
        <w:rPr/>
        <w:t>circular</w:t>
      </w:r>
      <w:r>
        <w:rPr>
          <w:spacing w:val="-6"/>
        </w:rPr>
        <w:t> </w:t>
      </w:r>
      <w:r>
        <w:rPr/>
        <w:t>en</w:t>
      </w:r>
      <w:r>
        <w:rPr>
          <w:spacing w:val="-7"/>
        </w:rPr>
        <w:t> </w:t>
      </w:r>
      <w:r>
        <w:rPr/>
        <w:t>todos</w:t>
      </w:r>
      <w:r>
        <w:rPr>
          <w:spacing w:val="-8"/>
        </w:rPr>
        <w:t> </w:t>
      </w:r>
      <w:r>
        <w:rPr/>
        <w:t>los</w:t>
      </w:r>
      <w:r>
        <w:rPr>
          <w:spacing w:val="-5"/>
        </w:rPr>
        <w:t> </w:t>
      </w:r>
      <w:r>
        <w:rPr/>
        <w:t>puntos</w:t>
      </w:r>
      <w:r>
        <w:rPr>
          <w:spacing w:val="-5"/>
        </w:rPr>
        <w:t> </w:t>
      </w:r>
      <w:r>
        <w:rPr/>
        <w:t>de</w:t>
      </w:r>
      <w:r>
        <w:rPr>
          <w:spacing w:val="-7"/>
        </w:rPr>
        <w:t> </w:t>
      </w:r>
      <w:r>
        <w:rPr/>
        <w:t>muestreo, con</w:t>
      </w:r>
      <w:r>
        <w:rPr>
          <w:spacing w:val="-9"/>
        </w:rPr>
        <w:t> </w:t>
      </w:r>
      <w:r>
        <w:rPr/>
        <w:t>un</w:t>
      </w:r>
      <w:r>
        <w:rPr>
          <w:spacing w:val="-9"/>
        </w:rPr>
        <w:t> </w:t>
      </w:r>
      <w:r>
        <w:rPr/>
        <w:t>peso</w:t>
      </w:r>
      <w:r>
        <w:rPr>
          <w:spacing w:val="-7"/>
        </w:rPr>
        <w:t> </w:t>
      </w:r>
      <w:r>
        <w:rPr/>
        <w:t>aproximado</w:t>
      </w:r>
      <w:r>
        <w:rPr>
          <w:spacing w:val="-9"/>
        </w:rPr>
        <w:t> </w:t>
      </w:r>
      <w:r>
        <w:rPr/>
        <w:t>entre</w:t>
      </w:r>
      <w:r>
        <w:rPr>
          <w:spacing w:val="-9"/>
        </w:rPr>
        <w:t> </w:t>
      </w:r>
      <w:r>
        <w:rPr/>
        <w:t>los</w:t>
      </w:r>
      <w:r>
        <w:rPr>
          <w:spacing w:val="-10"/>
        </w:rPr>
        <w:t> </w:t>
      </w:r>
      <w:r>
        <w:rPr/>
        <w:t>100</w:t>
      </w:r>
      <w:r>
        <w:rPr>
          <w:spacing w:val="-9"/>
        </w:rPr>
        <w:t> </w:t>
      </w:r>
      <w:r>
        <w:rPr/>
        <w:t>y</w:t>
      </w:r>
      <w:r>
        <w:rPr>
          <w:spacing w:val="-10"/>
        </w:rPr>
        <w:t> </w:t>
      </w:r>
      <w:r>
        <w:rPr/>
        <w:t>250</w:t>
      </w:r>
      <w:r>
        <w:rPr>
          <w:spacing w:val="-11"/>
        </w:rPr>
        <w:t> </w:t>
      </w:r>
      <w:r>
        <w:rPr/>
        <w:t>gr.,</w:t>
      </w:r>
      <w:r>
        <w:rPr>
          <w:spacing w:val="-8"/>
        </w:rPr>
        <w:t> </w:t>
      </w:r>
      <w:r>
        <w:rPr/>
        <w:t>que</w:t>
      </w:r>
      <w:r>
        <w:rPr>
          <w:spacing w:val="-7"/>
        </w:rPr>
        <w:t> </w:t>
      </w:r>
      <w:r>
        <w:rPr/>
        <w:t>corresponde</w:t>
      </w:r>
      <w:r>
        <w:rPr>
          <w:spacing w:val="-7"/>
        </w:rPr>
        <w:t> </w:t>
      </w:r>
      <w:r>
        <w:rPr/>
        <w:t>parcialmente</w:t>
      </w:r>
      <w:r>
        <w:rPr>
          <w:spacing w:val="-9"/>
        </w:rPr>
        <w:t> </w:t>
      </w:r>
      <w:r>
        <w:rPr/>
        <w:t>a</w:t>
      </w:r>
      <w:r>
        <w:rPr>
          <w:spacing w:val="-7"/>
        </w:rPr>
        <w:t> </w:t>
      </w:r>
      <w:r>
        <w:rPr/>
        <w:t>lo descrito</w:t>
      </w:r>
      <w:r>
        <w:rPr>
          <w:spacing w:val="46"/>
        </w:rPr>
        <w:t> </w:t>
      </w:r>
      <w:r>
        <w:rPr/>
        <w:t>en</w:t>
      </w:r>
      <w:r>
        <w:rPr>
          <w:spacing w:val="-11"/>
        </w:rPr>
        <w:t> </w:t>
      </w:r>
      <w:r>
        <w:rPr/>
        <w:t>el</w:t>
      </w:r>
      <w:r>
        <w:rPr>
          <w:spacing w:val="-12"/>
        </w:rPr>
        <w:t> </w:t>
      </w:r>
      <w:r>
        <w:rPr/>
        <w:t>libro</w:t>
      </w:r>
      <w:r>
        <w:rPr>
          <w:spacing w:val="-14"/>
        </w:rPr>
        <w:t> </w:t>
      </w:r>
      <w:r>
        <w:rPr/>
        <w:t>de</w:t>
      </w:r>
      <w:r>
        <w:rPr>
          <w:spacing w:val="-11"/>
        </w:rPr>
        <w:t> </w:t>
      </w:r>
      <w:r>
        <w:rPr/>
        <w:t>Los</w:t>
      </w:r>
      <w:r>
        <w:rPr>
          <w:spacing w:val="-12"/>
        </w:rPr>
        <w:t> </w:t>
      </w:r>
      <w:r>
        <w:rPr/>
        <w:t>quesos</w:t>
      </w:r>
      <w:r>
        <w:rPr>
          <w:spacing w:val="-14"/>
        </w:rPr>
        <w:t> </w:t>
      </w:r>
      <w:r>
        <w:rPr/>
        <w:t>mexicanos</w:t>
      </w:r>
      <w:r>
        <w:rPr>
          <w:spacing w:val="-14"/>
        </w:rPr>
        <w:t> </w:t>
      </w:r>
      <w:r>
        <w:rPr/>
        <w:t>genuinos</w:t>
      </w:r>
      <w:r>
        <w:rPr>
          <w:position w:val="8"/>
          <w:sz w:val="16"/>
        </w:rPr>
        <w:t>(10)</w:t>
      </w:r>
      <w:r>
        <w:rPr>
          <w:spacing w:val="10"/>
          <w:position w:val="8"/>
          <w:sz w:val="16"/>
        </w:rPr>
        <w:t> </w:t>
      </w:r>
      <w:r>
        <w:rPr/>
        <w:t>ya</w:t>
      </w:r>
      <w:r>
        <w:rPr>
          <w:spacing w:val="-11"/>
        </w:rPr>
        <w:t> </w:t>
      </w:r>
      <w:r>
        <w:rPr/>
        <w:t>que</w:t>
      </w:r>
      <w:r>
        <w:rPr>
          <w:spacing w:val="-11"/>
        </w:rPr>
        <w:t> </w:t>
      </w:r>
      <w:r>
        <w:rPr/>
        <w:t>no</w:t>
      </w:r>
      <w:r>
        <w:rPr>
          <w:spacing w:val="-13"/>
        </w:rPr>
        <w:t> </w:t>
      </w:r>
      <w:r>
        <w:rPr/>
        <w:t>se</w:t>
      </w:r>
      <w:r>
        <w:rPr>
          <w:spacing w:val="-11"/>
        </w:rPr>
        <w:t> </w:t>
      </w:r>
      <w:r>
        <w:rPr/>
        <w:t>encontraron piezas grandes. En el estudio se observó que el producto comercializado en los “tianguis” y mercados corresponden a un queso fresco genuino </w:t>
      </w:r>
      <w:r>
        <w:rPr>
          <w:spacing w:val="4"/>
        </w:rPr>
        <w:t>de </w:t>
      </w:r>
      <w:r>
        <w:rPr/>
        <w:t>la región de Toluca, México, la calidad fisicoquímica de los quesos deriva de la calidad de la leche,</w:t>
      </w:r>
      <w:r>
        <w:rPr>
          <w:spacing w:val="-6"/>
        </w:rPr>
        <w:t> </w:t>
      </w:r>
      <w:r>
        <w:rPr/>
        <w:t>la</w:t>
      </w:r>
      <w:r>
        <w:rPr>
          <w:spacing w:val="-9"/>
        </w:rPr>
        <w:t> </w:t>
      </w:r>
      <w:r>
        <w:rPr/>
        <w:t>disminución</w:t>
      </w:r>
      <w:r>
        <w:rPr>
          <w:spacing w:val="-8"/>
        </w:rPr>
        <w:t> </w:t>
      </w:r>
      <w:r>
        <w:rPr/>
        <w:t>de</w:t>
      </w:r>
      <w:r>
        <w:rPr>
          <w:spacing w:val="-6"/>
        </w:rPr>
        <w:t> </w:t>
      </w:r>
      <w:r>
        <w:rPr/>
        <w:t>pH</w:t>
      </w:r>
      <w:r>
        <w:rPr>
          <w:spacing w:val="-7"/>
        </w:rPr>
        <w:t> </w:t>
      </w:r>
      <w:r>
        <w:rPr/>
        <w:t>por</w:t>
      </w:r>
      <w:r>
        <w:rPr>
          <w:spacing w:val="-7"/>
        </w:rPr>
        <w:t> </w:t>
      </w:r>
      <w:r>
        <w:rPr/>
        <w:t>la</w:t>
      </w:r>
      <w:r>
        <w:rPr>
          <w:spacing w:val="-9"/>
        </w:rPr>
        <w:t> </w:t>
      </w:r>
      <w:r>
        <w:rPr/>
        <w:t>acidificación</w:t>
      </w:r>
      <w:r>
        <w:rPr>
          <w:spacing w:val="-6"/>
        </w:rPr>
        <w:t> </w:t>
      </w:r>
      <w:r>
        <w:rPr/>
        <w:t>previa</w:t>
      </w:r>
      <w:r>
        <w:rPr>
          <w:spacing w:val="-6"/>
        </w:rPr>
        <w:t> </w:t>
      </w:r>
      <w:r>
        <w:rPr/>
        <w:t>al</w:t>
      </w:r>
      <w:r>
        <w:rPr>
          <w:spacing w:val="-7"/>
        </w:rPr>
        <w:t> </w:t>
      </w:r>
      <w:r>
        <w:rPr/>
        <w:t>cuajado</w:t>
      </w:r>
      <w:r>
        <w:rPr>
          <w:spacing w:val="-6"/>
        </w:rPr>
        <w:t> </w:t>
      </w:r>
      <w:r>
        <w:rPr/>
        <w:t>y</w:t>
      </w:r>
      <w:r>
        <w:rPr>
          <w:spacing w:val="-9"/>
        </w:rPr>
        <w:t> </w:t>
      </w:r>
      <w:r>
        <w:rPr/>
        <w:t>que</w:t>
      </w:r>
      <w:r>
        <w:rPr>
          <w:spacing w:val="-6"/>
        </w:rPr>
        <w:t> </w:t>
      </w:r>
      <w:r>
        <w:rPr/>
        <w:t>depende</w:t>
      </w:r>
      <w:r>
        <w:rPr>
          <w:spacing w:val="-8"/>
        </w:rPr>
        <w:t> </w:t>
      </w:r>
      <w:r>
        <w:rPr/>
        <w:t>del tiempo</w:t>
      </w:r>
      <w:r>
        <w:rPr>
          <w:spacing w:val="-6"/>
        </w:rPr>
        <w:t> </w:t>
      </w:r>
      <w:r>
        <w:rPr/>
        <w:t>que</w:t>
      </w:r>
      <w:r>
        <w:rPr>
          <w:spacing w:val="-8"/>
        </w:rPr>
        <w:t> </w:t>
      </w:r>
      <w:r>
        <w:rPr/>
        <w:t>tarda</w:t>
      </w:r>
      <w:r>
        <w:rPr>
          <w:spacing w:val="-8"/>
        </w:rPr>
        <w:t> </w:t>
      </w:r>
      <w:r>
        <w:rPr/>
        <w:t>en</w:t>
      </w:r>
      <w:r>
        <w:rPr>
          <w:spacing w:val="-8"/>
        </w:rPr>
        <w:t> </w:t>
      </w:r>
      <w:r>
        <w:rPr/>
        <w:t>comenzar</w:t>
      </w:r>
      <w:r>
        <w:rPr>
          <w:spacing w:val="-7"/>
        </w:rPr>
        <w:t> </w:t>
      </w:r>
      <w:r>
        <w:rPr/>
        <w:t>la</w:t>
      </w:r>
      <w:r>
        <w:rPr>
          <w:spacing w:val="-9"/>
        </w:rPr>
        <w:t> </w:t>
      </w:r>
      <w:r>
        <w:rPr/>
        <w:t>producción</w:t>
      </w:r>
      <w:r>
        <w:rPr>
          <w:spacing w:val="-10"/>
        </w:rPr>
        <w:t> </w:t>
      </w:r>
      <w:r>
        <w:rPr/>
        <w:t>cuando</w:t>
      </w:r>
      <w:r>
        <w:rPr>
          <w:spacing w:val="-6"/>
        </w:rPr>
        <w:t> </w:t>
      </w:r>
      <w:r>
        <w:rPr/>
        <w:t>se</w:t>
      </w:r>
      <w:r>
        <w:rPr>
          <w:spacing w:val="-8"/>
        </w:rPr>
        <w:t> </w:t>
      </w:r>
      <w:r>
        <w:rPr/>
        <w:t>adiciona</w:t>
      </w:r>
      <w:r>
        <w:rPr>
          <w:spacing w:val="-6"/>
        </w:rPr>
        <w:t> </w:t>
      </w:r>
      <w:r>
        <w:rPr/>
        <w:t>el</w:t>
      </w:r>
      <w:r>
        <w:rPr>
          <w:spacing w:val="-12"/>
        </w:rPr>
        <w:t> </w:t>
      </w:r>
      <w:r>
        <w:rPr/>
        <w:t>cuajo</w:t>
      </w:r>
      <w:r>
        <w:rPr>
          <w:spacing w:val="-9"/>
        </w:rPr>
        <w:t> </w:t>
      </w:r>
      <w:r>
        <w:rPr/>
        <w:t>por</w:t>
      </w:r>
      <w:r>
        <w:rPr>
          <w:spacing w:val="-7"/>
        </w:rPr>
        <w:t> </w:t>
      </w:r>
      <w:r>
        <w:rPr/>
        <w:t>lo</w:t>
      </w:r>
      <w:r>
        <w:rPr>
          <w:spacing w:val="-9"/>
        </w:rPr>
        <w:t> </w:t>
      </w:r>
      <w:r>
        <w:rPr/>
        <w:t>que las</w:t>
      </w:r>
      <w:r>
        <w:rPr>
          <w:spacing w:val="-6"/>
        </w:rPr>
        <w:t> </w:t>
      </w:r>
      <w:r>
        <w:rPr/>
        <w:t>características</w:t>
      </w:r>
      <w:r>
        <w:rPr>
          <w:spacing w:val="-9"/>
        </w:rPr>
        <w:t> </w:t>
      </w:r>
      <w:r>
        <w:rPr/>
        <w:t>fisicoquímicas</w:t>
      </w:r>
      <w:r>
        <w:rPr>
          <w:spacing w:val="-6"/>
        </w:rPr>
        <w:t> </w:t>
      </w:r>
      <w:r>
        <w:rPr/>
        <w:t>de</w:t>
      </w:r>
      <w:r>
        <w:rPr>
          <w:spacing w:val="-6"/>
        </w:rPr>
        <w:t> </w:t>
      </w:r>
      <w:r>
        <w:rPr/>
        <w:t>los</w:t>
      </w:r>
      <w:r>
        <w:rPr>
          <w:spacing w:val="-6"/>
        </w:rPr>
        <w:t> </w:t>
      </w:r>
      <w:r>
        <w:rPr/>
        <w:t>quesos</w:t>
      </w:r>
      <w:r>
        <w:rPr>
          <w:spacing w:val="-7"/>
        </w:rPr>
        <w:t> </w:t>
      </w:r>
      <w:r>
        <w:rPr/>
        <w:t>que</w:t>
      </w:r>
      <w:r>
        <w:rPr>
          <w:spacing w:val="-6"/>
        </w:rPr>
        <w:t> </w:t>
      </w:r>
      <w:r>
        <w:rPr/>
        <w:t>producen</w:t>
      </w:r>
      <w:r>
        <w:rPr>
          <w:spacing w:val="-6"/>
        </w:rPr>
        <w:t> </w:t>
      </w:r>
      <w:r>
        <w:rPr/>
        <w:t>y</w:t>
      </w:r>
      <w:r>
        <w:rPr>
          <w:spacing w:val="-9"/>
        </w:rPr>
        <w:t> </w:t>
      </w:r>
      <w:r>
        <w:rPr/>
        <w:t>comercializan</w:t>
      </w:r>
      <w:r>
        <w:rPr>
          <w:spacing w:val="-6"/>
        </w:rPr>
        <w:t> </w:t>
      </w:r>
      <w:r>
        <w:rPr/>
        <w:t>en</w:t>
      </w:r>
      <w:r>
        <w:rPr>
          <w:spacing w:val="-6"/>
        </w:rPr>
        <w:t> </w:t>
      </w:r>
      <w:r>
        <w:rPr/>
        <w:t>el Valle</w:t>
      </w:r>
      <w:r>
        <w:rPr>
          <w:spacing w:val="-6"/>
        </w:rPr>
        <w:t> </w:t>
      </w:r>
      <w:r>
        <w:rPr/>
        <w:t>de</w:t>
      </w:r>
      <w:r>
        <w:rPr>
          <w:spacing w:val="-8"/>
        </w:rPr>
        <w:t> </w:t>
      </w:r>
      <w:r>
        <w:rPr/>
        <w:t>Toluca</w:t>
      </w:r>
      <w:r>
        <w:rPr>
          <w:spacing w:val="-8"/>
        </w:rPr>
        <w:t> </w:t>
      </w:r>
      <w:r>
        <w:rPr/>
        <w:t>muestran</w:t>
      </w:r>
      <w:r>
        <w:rPr>
          <w:spacing w:val="-6"/>
        </w:rPr>
        <w:t> </w:t>
      </w:r>
      <w:r>
        <w:rPr/>
        <w:t>valores</w:t>
      </w:r>
      <w:r>
        <w:rPr>
          <w:spacing w:val="-7"/>
        </w:rPr>
        <w:t> </w:t>
      </w:r>
      <w:r>
        <w:rPr/>
        <w:t>similares</w:t>
      </w:r>
      <w:r>
        <w:rPr>
          <w:spacing w:val="-9"/>
        </w:rPr>
        <w:t> </w:t>
      </w:r>
      <w:r>
        <w:rPr/>
        <w:t>a</w:t>
      </w:r>
      <w:r>
        <w:rPr>
          <w:spacing w:val="-6"/>
        </w:rPr>
        <w:t> </w:t>
      </w:r>
      <w:r>
        <w:rPr/>
        <w:t>los</w:t>
      </w:r>
      <w:r>
        <w:rPr>
          <w:spacing w:val="-7"/>
        </w:rPr>
        <w:t> </w:t>
      </w:r>
      <w:r>
        <w:rPr/>
        <w:t>reportados</w:t>
      </w:r>
      <w:r>
        <w:rPr>
          <w:spacing w:val="-9"/>
        </w:rPr>
        <w:t> </w:t>
      </w:r>
      <w:r>
        <w:rPr/>
        <w:t>en</w:t>
      </w:r>
      <w:r>
        <w:rPr>
          <w:spacing w:val="-8"/>
        </w:rPr>
        <w:t> </w:t>
      </w:r>
      <w:r>
        <w:rPr/>
        <w:t>el</w:t>
      </w:r>
      <w:r>
        <w:rPr>
          <w:spacing w:val="-7"/>
        </w:rPr>
        <w:t> </w:t>
      </w:r>
      <w:r>
        <w:rPr/>
        <w:t>estudio</w:t>
      </w:r>
      <w:r>
        <w:rPr>
          <w:spacing w:val="-6"/>
        </w:rPr>
        <w:t> </w:t>
      </w:r>
      <w:r>
        <w:rPr/>
        <w:t>del</w:t>
      </w:r>
      <w:r>
        <w:rPr>
          <w:spacing w:val="-7"/>
        </w:rPr>
        <w:t> </w:t>
      </w:r>
      <w:r>
        <w:rPr/>
        <w:t>queso ranchero</w:t>
      </w:r>
      <w:r>
        <w:rPr>
          <w:spacing w:val="-7"/>
        </w:rPr>
        <w:t> </w:t>
      </w:r>
      <w:r>
        <w:rPr/>
        <w:t>artesanal</w:t>
      </w:r>
      <w:r>
        <w:rPr>
          <w:spacing w:val="-7"/>
        </w:rPr>
        <w:t> </w:t>
      </w:r>
      <w:r>
        <w:rPr/>
        <w:t>del</w:t>
      </w:r>
      <w:r>
        <w:rPr>
          <w:spacing w:val="-7"/>
        </w:rPr>
        <w:t> </w:t>
      </w:r>
      <w:r>
        <w:rPr/>
        <w:t>Centro</w:t>
      </w:r>
      <w:r>
        <w:rPr>
          <w:spacing w:val="-6"/>
        </w:rPr>
        <w:t> </w:t>
      </w:r>
      <w:r>
        <w:rPr/>
        <w:t>de</w:t>
      </w:r>
      <w:r>
        <w:rPr>
          <w:spacing w:val="-4"/>
        </w:rPr>
        <w:t> </w:t>
      </w:r>
      <w:r>
        <w:rPr/>
        <w:t>México</w:t>
      </w:r>
      <w:r>
        <w:rPr>
          <w:i/>
          <w:position w:val="7"/>
          <w:sz w:val="16"/>
        </w:rPr>
        <w:t>(</w:t>
      </w:r>
      <w:r>
        <w:rPr>
          <w:position w:val="8"/>
          <w:sz w:val="16"/>
        </w:rPr>
        <w:t>2)</w:t>
      </w:r>
      <w:r>
        <w:rPr/>
        <w:t>,</w:t>
      </w:r>
      <w:r>
        <w:rPr>
          <w:spacing w:val="-4"/>
        </w:rPr>
        <w:t> </w:t>
      </w:r>
      <w:r>
        <w:rPr/>
        <w:t>que</w:t>
      </w:r>
      <w:r>
        <w:rPr>
          <w:spacing w:val="-6"/>
        </w:rPr>
        <w:t> </w:t>
      </w:r>
      <w:r>
        <w:rPr/>
        <w:t>muestran</w:t>
      </w:r>
      <w:r>
        <w:rPr>
          <w:spacing w:val="-6"/>
        </w:rPr>
        <w:t> </w:t>
      </w:r>
      <w:r>
        <w:rPr/>
        <w:t>valores</w:t>
      </w:r>
      <w:r>
        <w:rPr>
          <w:spacing w:val="-4"/>
        </w:rPr>
        <w:t> </w:t>
      </w:r>
      <w:r>
        <w:rPr/>
        <w:t>de</w:t>
      </w:r>
      <w:r>
        <w:rPr>
          <w:spacing w:val="-4"/>
        </w:rPr>
        <w:t> </w:t>
      </w:r>
      <w:r>
        <w:rPr/>
        <w:t>proteína</w:t>
      </w:r>
      <w:r>
        <w:rPr>
          <w:spacing w:val="-4"/>
        </w:rPr>
        <w:t> </w:t>
      </w:r>
      <w:r>
        <w:rPr/>
        <w:t>(22.6 a</w:t>
      </w:r>
      <w:r>
        <w:rPr>
          <w:spacing w:val="-11"/>
        </w:rPr>
        <w:t> </w:t>
      </w:r>
      <w:r>
        <w:rPr/>
        <w:t>25.6%),</w:t>
      </w:r>
      <w:r>
        <w:rPr>
          <w:spacing w:val="-12"/>
        </w:rPr>
        <w:t> </w:t>
      </w:r>
      <w:r>
        <w:rPr/>
        <w:t>grasa</w:t>
      </w:r>
      <w:r>
        <w:rPr>
          <w:spacing w:val="-11"/>
        </w:rPr>
        <w:t> </w:t>
      </w:r>
      <w:r>
        <w:rPr/>
        <w:t>(18.9</w:t>
      </w:r>
      <w:r>
        <w:rPr>
          <w:spacing w:val="-13"/>
        </w:rPr>
        <w:t> </w:t>
      </w:r>
      <w:r>
        <w:rPr/>
        <w:t>a</w:t>
      </w:r>
      <w:r>
        <w:rPr>
          <w:spacing w:val="-11"/>
        </w:rPr>
        <w:t> </w:t>
      </w:r>
      <w:r>
        <w:rPr/>
        <w:t>22.5%),</w:t>
      </w:r>
      <w:r>
        <w:rPr>
          <w:spacing w:val="-8"/>
        </w:rPr>
        <w:t> </w:t>
      </w:r>
      <w:r>
        <w:rPr/>
        <w:t>pH</w:t>
      </w:r>
      <w:r>
        <w:rPr>
          <w:spacing w:val="-12"/>
        </w:rPr>
        <w:t> </w:t>
      </w:r>
      <w:r>
        <w:rPr/>
        <w:t>(5.0</w:t>
      </w:r>
      <w:r>
        <w:rPr>
          <w:spacing w:val="-10"/>
        </w:rPr>
        <w:t> </w:t>
      </w:r>
      <w:r>
        <w:rPr/>
        <w:t>a</w:t>
      </w:r>
      <w:r>
        <w:rPr>
          <w:spacing w:val="-13"/>
        </w:rPr>
        <w:t> </w:t>
      </w:r>
      <w:r>
        <w:rPr/>
        <w:t>5.2),</w:t>
      </w:r>
      <w:r>
        <w:rPr>
          <w:spacing w:val="-12"/>
        </w:rPr>
        <w:t> </w:t>
      </w:r>
      <w:r>
        <w:rPr/>
        <w:t>humedad</w:t>
      </w:r>
      <w:r>
        <w:rPr>
          <w:spacing w:val="-11"/>
        </w:rPr>
        <w:t> </w:t>
      </w:r>
      <w:r>
        <w:rPr/>
        <w:t>(50.1</w:t>
      </w:r>
      <w:r>
        <w:rPr>
          <w:spacing w:val="-11"/>
        </w:rPr>
        <w:t> </w:t>
      </w:r>
      <w:r>
        <w:rPr/>
        <w:t>a</w:t>
      </w:r>
      <w:r>
        <w:rPr>
          <w:spacing w:val="-11"/>
        </w:rPr>
        <w:t> </w:t>
      </w:r>
      <w:r>
        <w:rPr/>
        <w:t>53.8%)</w:t>
      </w:r>
      <w:r>
        <w:rPr>
          <w:spacing w:val="-12"/>
        </w:rPr>
        <w:t> </w:t>
      </w:r>
      <w:r>
        <w:rPr/>
        <w:t>y</w:t>
      </w:r>
      <w:r>
        <w:rPr>
          <w:spacing w:val="-13"/>
        </w:rPr>
        <w:t> </w:t>
      </w:r>
      <w:r>
        <w:rPr/>
        <w:t>NaCl</w:t>
      </w:r>
      <w:r>
        <w:rPr>
          <w:spacing w:val="-10"/>
        </w:rPr>
        <w:t> </w:t>
      </w:r>
      <w:r>
        <w:rPr/>
        <w:t>(0.8</w:t>
      </w:r>
    </w:p>
    <w:p>
      <w:pPr>
        <w:spacing w:after="0" w:line="480" w:lineRule="auto"/>
        <w:jc w:val="both"/>
        <w:sectPr>
          <w:pgSz w:w="12240" w:h="15840"/>
          <w:pgMar w:header="728" w:footer="710" w:top="1200" w:bottom="900" w:left="1560" w:right="1560"/>
        </w:sectPr>
      </w:pPr>
    </w:p>
    <w:p>
      <w:pPr>
        <w:pStyle w:val="BodyText"/>
        <w:spacing w:before="1"/>
        <w:rPr>
          <w:sz w:val="11"/>
        </w:rPr>
      </w:pPr>
    </w:p>
    <w:p>
      <w:pPr>
        <w:pStyle w:val="BodyText"/>
        <w:spacing w:line="482" w:lineRule="auto" w:before="79"/>
        <w:ind w:left="142" w:right="136"/>
        <w:jc w:val="both"/>
      </w:pPr>
      <w:r>
        <w:rPr/>
        <w:t>a 1.8%), y en el estudio del queso de Zacazonapan, Estado de México</w:t>
      </w:r>
      <w:r>
        <w:rPr>
          <w:i/>
        </w:rPr>
        <w:t>.</w:t>
      </w:r>
      <w:r>
        <w:rPr>
          <w:position w:val="8"/>
          <w:sz w:val="16"/>
        </w:rPr>
        <w:t>(28)</w:t>
      </w:r>
      <w:r>
        <w:rPr/>
        <w:t>, donde se reportaron valores de proteína (23.4 a 30.4%), grasa (7.5 a 28.5%), pH (5.1 a</w:t>
      </w:r>
    </w:p>
    <w:p>
      <w:pPr>
        <w:pStyle w:val="BodyText"/>
        <w:spacing w:before="5"/>
        <w:ind w:left="142"/>
        <w:jc w:val="both"/>
      </w:pPr>
      <w:r>
        <w:rPr/>
        <w:t>5.8), humedad (34.6 a 55%) y NaCl (0.8 a 3.2%) y cenizas (1.2 a 3.2%).</w:t>
      </w:r>
    </w:p>
    <w:p>
      <w:pPr>
        <w:pStyle w:val="BodyText"/>
      </w:pPr>
    </w:p>
    <w:p>
      <w:pPr>
        <w:pStyle w:val="BodyText"/>
        <w:spacing w:line="477" w:lineRule="auto"/>
        <w:ind w:left="142" w:right="138"/>
        <w:jc w:val="both"/>
      </w:pPr>
      <w:r>
        <w:rPr/>
        <w:t>Las diferencias en los quesos artesanales es común y se debe al proceso de elaboración</w:t>
      </w:r>
      <w:r>
        <w:rPr>
          <w:position w:val="8"/>
          <w:sz w:val="16"/>
        </w:rPr>
        <w:t>(28)</w:t>
      </w:r>
      <w:r>
        <w:rPr/>
        <w:t>,</w:t>
      </w:r>
      <w:r>
        <w:rPr>
          <w:spacing w:val="-20"/>
        </w:rPr>
        <w:t> </w:t>
      </w:r>
      <w:r>
        <w:rPr/>
        <w:t>una</w:t>
      </w:r>
      <w:r>
        <w:rPr>
          <w:spacing w:val="-20"/>
        </w:rPr>
        <w:t> </w:t>
      </w:r>
      <w:r>
        <w:rPr/>
        <w:t>característica</w:t>
      </w:r>
      <w:r>
        <w:rPr>
          <w:spacing w:val="-20"/>
        </w:rPr>
        <w:t> </w:t>
      </w:r>
      <w:r>
        <w:rPr/>
        <w:t>importante</w:t>
      </w:r>
      <w:r>
        <w:rPr>
          <w:spacing w:val="-22"/>
        </w:rPr>
        <w:t> </w:t>
      </w:r>
      <w:r>
        <w:rPr/>
        <w:t>es</w:t>
      </w:r>
      <w:r>
        <w:rPr>
          <w:spacing w:val="-21"/>
        </w:rPr>
        <w:t> </w:t>
      </w:r>
      <w:r>
        <w:rPr/>
        <w:t>que</w:t>
      </w:r>
      <w:r>
        <w:rPr>
          <w:spacing w:val="-20"/>
        </w:rPr>
        <w:t> </w:t>
      </w:r>
      <w:r>
        <w:rPr/>
        <w:t>algunos</w:t>
      </w:r>
      <w:r>
        <w:rPr>
          <w:spacing w:val="-21"/>
        </w:rPr>
        <w:t> </w:t>
      </w:r>
      <w:r>
        <w:rPr/>
        <w:t>quesos</w:t>
      </w:r>
      <w:r>
        <w:rPr>
          <w:spacing w:val="-22"/>
        </w:rPr>
        <w:t> </w:t>
      </w:r>
      <w:r>
        <w:rPr/>
        <w:t>frescos</w:t>
      </w:r>
      <w:r>
        <w:rPr>
          <w:spacing w:val="-21"/>
        </w:rPr>
        <w:t> </w:t>
      </w:r>
      <w:r>
        <w:rPr/>
        <w:t>poseen capacidad</w:t>
      </w:r>
      <w:r>
        <w:rPr>
          <w:spacing w:val="-11"/>
        </w:rPr>
        <w:t> </w:t>
      </w:r>
      <w:r>
        <w:rPr/>
        <w:t>para</w:t>
      </w:r>
      <w:r>
        <w:rPr>
          <w:spacing w:val="-13"/>
        </w:rPr>
        <w:t> </w:t>
      </w:r>
      <w:r>
        <w:rPr/>
        <w:t>fundido</w:t>
      </w:r>
      <w:r>
        <w:rPr>
          <w:spacing w:val="-11"/>
        </w:rPr>
        <w:t> </w:t>
      </w:r>
      <w:r>
        <w:rPr/>
        <w:t>al</w:t>
      </w:r>
      <w:r>
        <w:rPr>
          <w:spacing w:val="-12"/>
        </w:rPr>
        <w:t> </w:t>
      </w:r>
      <w:r>
        <w:rPr/>
        <w:t>tener</w:t>
      </w:r>
      <w:r>
        <w:rPr>
          <w:spacing w:val="-12"/>
        </w:rPr>
        <w:t> </w:t>
      </w:r>
      <w:r>
        <w:rPr/>
        <w:t>un</w:t>
      </w:r>
      <w:r>
        <w:rPr>
          <w:spacing w:val="-11"/>
        </w:rPr>
        <w:t> </w:t>
      </w:r>
      <w:r>
        <w:rPr/>
        <w:t>pH</w:t>
      </w:r>
      <w:r>
        <w:rPr>
          <w:spacing w:val="-12"/>
        </w:rPr>
        <w:t> </w:t>
      </w:r>
      <w:r>
        <w:rPr/>
        <w:t>de</w:t>
      </w:r>
      <w:r>
        <w:rPr>
          <w:spacing w:val="-11"/>
        </w:rPr>
        <w:t> </w:t>
      </w:r>
      <w:r>
        <w:rPr/>
        <w:t>5.1</w:t>
      </w:r>
      <w:r>
        <w:rPr>
          <w:spacing w:val="-12"/>
        </w:rPr>
        <w:t> </w:t>
      </w:r>
      <w:r>
        <w:rPr/>
        <w:t>a</w:t>
      </w:r>
      <w:r>
        <w:rPr>
          <w:spacing w:val="-11"/>
        </w:rPr>
        <w:t> </w:t>
      </w:r>
      <w:r>
        <w:rPr/>
        <w:t>5.3</w:t>
      </w:r>
      <w:r>
        <w:rPr>
          <w:position w:val="8"/>
          <w:sz w:val="16"/>
        </w:rPr>
        <w:t>(12)</w:t>
      </w:r>
      <w:r>
        <w:rPr/>
        <w:t>,</w:t>
      </w:r>
      <w:r>
        <w:rPr>
          <w:spacing w:val="-11"/>
        </w:rPr>
        <w:t> </w:t>
      </w:r>
      <w:r>
        <w:rPr/>
        <w:t>atributo</w:t>
      </w:r>
      <w:r>
        <w:rPr>
          <w:spacing w:val="-10"/>
        </w:rPr>
        <w:t> </w:t>
      </w:r>
      <w:r>
        <w:rPr/>
        <w:t>que</w:t>
      </w:r>
      <w:r>
        <w:rPr>
          <w:spacing w:val="-10"/>
        </w:rPr>
        <w:t> </w:t>
      </w:r>
      <w:r>
        <w:rPr/>
        <w:t>los</w:t>
      </w:r>
      <w:r>
        <w:rPr>
          <w:spacing w:val="-12"/>
        </w:rPr>
        <w:t> </w:t>
      </w:r>
      <w:r>
        <w:rPr/>
        <w:t>comerciantes utilizan para la promover la venta de sus</w:t>
      </w:r>
      <w:r>
        <w:rPr>
          <w:spacing w:val="-16"/>
        </w:rPr>
        <w:t> </w:t>
      </w:r>
      <w:r>
        <w:rPr/>
        <w:t>productos.</w:t>
      </w:r>
    </w:p>
    <w:p>
      <w:pPr>
        <w:pStyle w:val="BodyText"/>
      </w:pPr>
    </w:p>
    <w:p>
      <w:pPr>
        <w:pStyle w:val="BodyText"/>
        <w:spacing w:before="4"/>
        <w:rPr>
          <w:sz w:val="35"/>
        </w:rPr>
      </w:pPr>
    </w:p>
    <w:p>
      <w:pPr>
        <w:pStyle w:val="BodyText"/>
        <w:ind w:left="142"/>
        <w:jc w:val="both"/>
      </w:pPr>
      <w:r>
        <w:rPr/>
        <w:t>CONCLUSIÓN</w:t>
      </w:r>
    </w:p>
    <w:p>
      <w:pPr>
        <w:pStyle w:val="BodyText"/>
      </w:pPr>
    </w:p>
    <w:p>
      <w:pPr>
        <w:pStyle w:val="BodyText"/>
        <w:spacing w:line="480" w:lineRule="auto"/>
        <w:ind w:left="142" w:right="143"/>
        <w:jc w:val="both"/>
      </w:pPr>
      <w:r>
        <w:rPr/>
        <w:t>Los quesos frescos tienen una importancia gastronómica, cultural y económica indiscutible</w:t>
      </w:r>
      <w:r>
        <w:rPr>
          <w:spacing w:val="-16"/>
        </w:rPr>
        <w:t> </w:t>
      </w:r>
      <w:r>
        <w:rPr/>
        <w:t>sin</w:t>
      </w:r>
      <w:r>
        <w:rPr>
          <w:spacing w:val="-17"/>
        </w:rPr>
        <w:t> </w:t>
      </w:r>
      <w:r>
        <w:rPr/>
        <w:t>embargo</w:t>
      </w:r>
      <w:r>
        <w:rPr>
          <w:spacing w:val="-14"/>
        </w:rPr>
        <w:t> </w:t>
      </w:r>
      <w:r>
        <w:rPr/>
        <w:t>hace</w:t>
      </w:r>
      <w:r>
        <w:rPr>
          <w:spacing w:val="-19"/>
        </w:rPr>
        <w:t> </w:t>
      </w:r>
      <w:r>
        <w:rPr/>
        <w:t>falta</w:t>
      </w:r>
      <w:r>
        <w:rPr>
          <w:spacing w:val="-14"/>
        </w:rPr>
        <w:t> </w:t>
      </w:r>
      <w:r>
        <w:rPr/>
        <w:t>la</w:t>
      </w:r>
      <w:r>
        <w:rPr>
          <w:spacing w:val="-17"/>
        </w:rPr>
        <w:t> </w:t>
      </w:r>
      <w:r>
        <w:rPr/>
        <w:t>implementación</w:t>
      </w:r>
      <w:r>
        <w:rPr>
          <w:spacing w:val="-14"/>
        </w:rPr>
        <w:t> </w:t>
      </w:r>
      <w:r>
        <w:rPr/>
        <w:t>de</w:t>
      </w:r>
      <w:r>
        <w:rPr>
          <w:spacing w:val="-17"/>
        </w:rPr>
        <w:t> </w:t>
      </w:r>
      <w:r>
        <w:rPr/>
        <w:t>programas</w:t>
      </w:r>
      <w:r>
        <w:rPr>
          <w:spacing w:val="-20"/>
        </w:rPr>
        <w:t> </w:t>
      </w:r>
      <w:r>
        <w:rPr/>
        <w:t>de</w:t>
      </w:r>
      <w:r>
        <w:rPr>
          <w:spacing w:val="-14"/>
        </w:rPr>
        <w:t> </w:t>
      </w:r>
      <w:r>
        <w:rPr/>
        <w:t>capacitación y asistencia que permitan mejorar la calidad sanitaria en la cadena productiva sin perder las características organolépticas de los quesos frescos tradicionales, que como se ha mostrado en diferentes publicaciones poseen atributos nutricionales importantes, además de que son bien aceptados en la</w:t>
      </w:r>
      <w:r>
        <w:rPr>
          <w:spacing w:val="-24"/>
        </w:rPr>
        <w:t> </w:t>
      </w:r>
      <w:r>
        <w:rPr/>
        <w:t>población.</w:t>
      </w:r>
    </w:p>
    <w:p>
      <w:pPr>
        <w:pStyle w:val="BodyText"/>
        <w:spacing w:line="480" w:lineRule="auto" w:before="8"/>
        <w:ind w:left="142" w:right="138"/>
        <w:jc w:val="both"/>
      </w:pPr>
      <w:r>
        <w:rPr/>
        <w:t>El</w:t>
      </w:r>
      <w:r>
        <w:rPr>
          <w:spacing w:val="-8"/>
        </w:rPr>
        <w:t> </w:t>
      </w:r>
      <w:r>
        <w:rPr/>
        <w:t>precio</w:t>
      </w:r>
      <w:r>
        <w:rPr>
          <w:spacing w:val="-8"/>
        </w:rPr>
        <w:t> </w:t>
      </w:r>
      <w:r>
        <w:rPr/>
        <w:t>de</w:t>
      </w:r>
      <w:r>
        <w:rPr>
          <w:spacing w:val="-8"/>
        </w:rPr>
        <w:t> </w:t>
      </w:r>
      <w:r>
        <w:rPr/>
        <w:t>venta</w:t>
      </w:r>
      <w:r>
        <w:rPr>
          <w:spacing w:val="-8"/>
        </w:rPr>
        <w:t> </w:t>
      </w:r>
      <w:r>
        <w:rPr/>
        <w:t>observado</w:t>
      </w:r>
      <w:r>
        <w:rPr>
          <w:spacing w:val="-7"/>
        </w:rPr>
        <w:t> </w:t>
      </w:r>
      <w:r>
        <w:rPr/>
        <w:t>entre</w:t>
      </w:r>
      <w:r>
        <w:rPr>
          <w:spacing w:val="-7"/>
        </w:rPr>
        <w:t> </w:t>
      </w:r>
      <w:r>
        <w:rPr/>
        <w:t>los</w:t>
      </w:r>
      <w:r>
        <w:rPr>
          <w:spacing w:val="-9"/>
        </w:rPr>
        <w:t> </w:t>
      </w:r>
      <w:r>
        <w:rPr/>
        <w:t>8</w:t>
      </w:r>
      <w:r>
        <w:rPr>
          <w:spacing w:val="-8"/>
        </w:rPr>
        <w:t> </w:t>
      </w:r>
      <w:r>
        <w:rPr/>
        <w:t>y</w:t>
      </w:r>
      <w:r>
        <w:rPr>
          <w:spacing w:val="-9"/>
        </w:rPr>
        <w:t> </w:t>
      </w:r>
      <w:r>
        <w:rPr/>
        <w:t>25</w:t>
      </w:r>
      <w:r>
        <w:rPr>
          <w:spacing w:val="-8"/>
        </w:rPr>
        <w:t> </w:t>
      </w:r>
      <w:r>
        <w:rPr/>
        <w:t>pesos</w:t>
      </w:r>
      <w:r>
        <w:rPr>
          <w:spacing w:val="-9"/>
        </w:rPr>
        <w:t> </w:t>
      </w:r>
      <w:r>
        <w:rPr/>
        <w:t>fue</w:t>
      </w:r>
      <w:r>
        <w:rPr>
          <w:spacing w:val="-7"/>
        </w:rPr>
        <w:t> </w:t>
      </w:r>
      <w:r>
        <w:rPr/>
        <w:t>considerado</w:t>
      </w:r>
      <w:r>
        <w:rPr>
          <w:spacing w:val="-7"/>
        </w:rPr>
        <w:t> </w:t>
      </w:r>
      <w:r>
        <w:rPr/>
        <w:t>accesible</w:t>
      </w:r>
      <w:r>
        <w:rPr>
          <w:spacing w:val="-8"/>
        </w:rPr>
        <w:t> </w:t>
      </w:r>
      <w:r>
        <w:rPr/>
        <w:t>para los consumidores locales, si se compara con otros alimentos de menor valor nutricional</w:t>
      </w:r>
      <w:r>
        <w:rPr>
          <w:spacing w:val="-14"/>
        </w:rPr>
        <w:t> </w:t>
      </w:r>
      <w:r>
        <w:rPr/>
        <w:t>ofertados</w:t>
      </w:r>
      <w:r>
        <w:rPr>
          <w:spacing w:val="-12"/>
        </w:rPr>
        <w:t> </w:t>
      </w:r>
      <w:r>
        <w:rPr/>
        <w:t>en</w:t>
      </w:r>
      <w:r>
        <w:rPr>
          <w:spacing w:val="-11"/>
        </w:rPr>
        <w:t> </w:t>
      </w:r>
      <w:r>
        <w:rPr/>
        <w:t>los</w:t>
      </w:r>
      <w:r>
        <w:rPr>
          <w:spacing w:val="-13"/>
        </w:rPr>
        <w:t> </w:t>
      </w:r>
      <w:r>
        <w:rPr/>
        <w:t>mercados</w:t>
      </w:r>
      <w:r>
        <w:rPr>
          <w:spacing w:val="-14"/>
        </w:rPr>
        <w:t> </w:t>
      </w:r>
      <w:r>
        <w:rPr/>
        <w:t>reconociendo</w:t>
      </w:r>
      <w:r>
        <w:rPr>
          <w:spacing w:val="-13"/>
        </w:rPr>
        <w:t> </w:t>
      </w:r>
      <w:r>
        <w:rPr/>
        <w:t>que</w:t>
      </w:r>
      <w:r>
        <w:rPr>
          <w:spacing w:val="-11"/>
        </w:rPr>
        <w:t> </w:t>
      </w:r>
      <w:r>
        <w:rPr/>
        <w:t>los</w:t>
      </w:r>
      <w:r>
        <w:rPr>
          <w:spacing w:val="-13"/>
        </w:rPr>
        <w:t> </w:t>
      </w:r>
      <w:r>
        <w:rPr/>
        <w:t>quesos</w:t>
      </w:r>
      <w:r>
        <w:rPr>
          <w:spacing w:val="-16"/>
        </w:rPr>
        <w:t> </w:t>
      </w:r>
      <w:r>
        <w:rPr/>
        <w:t>artesanales</w:t>
      </w:r>
      <w:r>
        <w:rPr>
          <w:spacing w:val="-11"/>
        </w:rPr>
        <w:t> </w:t>
      </w:r>
      <w:r>
        <w:rPr/>
        <w:t>son una fuente importante en la dieta de sectores de la población con bajos ingresos que enfrentan en precio como factor importante para su incorporación en la dieta diaria</w:t>
      </w:r>
      <w:r>
        <w:rPr>
          <w:spacing w:val="-6"/>
        </w:rPr>
        <w:t> </w:t>
      </w:r>
      <w:r>
        <w:rPr/>
        <w:t>familiar</w:t>
      </w:r>
      <w:r>
        <w:rPr>
          <w:position w:val="8"/>
          <w:sz w:val="16"/>
        </w:rPr>
        <w:t>(3)</w:t>
      </w:r>
      <w:r>
        <w:rPr/>
        <w:t>.</w:t>
      </w:r>
    </w:p>
    <w:p>
      <w:pPr>
        <w:pStyle w:val="BodyText"/>
        <w:spacing w:line="480" w:lineRule="auto"/>
        <w:ind w:left="142" w:right="139"/>
        <w:jc w:val="both"/>
      </w:pPr>
      <w:r>
        <w:rPr/>
        <w:t>En el estudio la oferta del queso fresco en el municipio de Toluca se realiza de manera</w:t>
      </w:r>
      <w:r>
        <w:rPr>
          <w:spacing w:val="-20"/>
        </w:rPr>
        <w:t> </w:t>
      </w:r>
      <w:r>
        <w:rPr/>
        <w:t>paralela</w:t>
      </w:r>
      <w:r>
        <w:rPr>
          <w:spacing w:val="-19"/>
        </w:rPr>
        <w:t> </w:t>
      </w:r>
      <w:r>
        <w:rPr/>
        <w:t>otros</w:t>
      </w:r>
      <w:r>
        <w:rPr>
          <w:spacing w:val="-22"/>
        </w:rPr>
        <w:t> </w:t>
      </w:r>
      <w:r>
        <w:rPr/>
        <w:t>alimentos</w:t>
      </w:r>
      <w:r>
        <w:rPr>
          <w:spacing w:val="-20"/>
        </w:rPr>
        <w:t> </w:t>
      </w:r>
      <w:r>
        <w:rPr/>
        <w:t>de</w:t>
      </w:r>
      <w:r>
        <w:rPr>
          <w:spacing w:val="-19"/>
        </w:rPr>
        <w:t> </w:t>
      </w:r>
      <w:r>
        <w:rPr/>
        <w:t>consumo</w:t>
      </w:r>
      <w:r>
        <w:rPr>
          <w:spacing w:val="-21"/>
        </w:rPr>
        <w:t> </w:t>
      </w:r>
      <w:r>
        <w:rPr/>
        <w:t>perecedero,</w:t>
      </w:r>
      <w:r>
        <w:rPr>
          <w:spacing w:val="-19"/>
        </w:rPr>
        <w:t> </w:t>
      </w:r>
      <w:r>
        <w:rPr/>
        <w:t>como</w:t>
      </w:r>
      <w:r>
        <w:rPr>
          <w:spacing w:val="-19"/>
        </w:rPr>
        <w:t> </w:t>
      </w:r>
      <w:r>
        <w:rPr/>
        <w:t>“guisos”</w:t>
      </w:r>
      <w:r>
        <w:rPr>
          <w:spacing w:val="-18"/>
        </w:rPr>
        <w:t> </w:t>
      </w:r>
      <w:r>
        <w:rPr/>
        <w:t>para</w:t>
      </w:r>
      <w:r>
        <w:rPr>
          <w:spacing w:val="-17"/>
        </w:rPr>
        <w:t> </w:t>
      </w:r>
      <w:r>
        <w:rPr/>
        <w:t>“tacos</w:t>
      </w:r>
    </w:p>
    <w:p>
      <w:pPr>
        <w:spacing w:after="0" w:line="480" w:lineRule="auto"/>
        <w:jc w:val="both"/>
        <w:sectPr>
          <w:pgSz w:w="12240" w:h="15840"/>
          <w:pgMar w:header="728" w:footer="710" w:top="1200" w:bottom="900" w:left="1560" w:right="1560"/>
        </w:sectPr>
      </w:pPr>
    </w:p>
    <w:p>
      <w:pPr>
        <w:pStyle w:val="BodyText"/>
        <w:spacing w:before="7"/>
        <w:rPr>
          <w:sz w:val="12"/>
        </w:rPr>
      </w:pPr>
    </w:p>
    <w:p>
      <w:pPr>
        <w:pStyle w:val="BodyText"/>
        <w:spacing w:line="480" w:lineRule="auto" w:before="69"/>
        <w:ind w:left="142" w:right="138"/>
        <w:jc w:val="both"/>
      </w:pPr>
      <w:r>
        <w:rPr/>
        <w:t>placeros” típicos de la región los que incluyen al queso fresco en su preparación. En una menor proporción se identificaron sitios de venta de queso con otros productos agrícolas y muy pocos comerciantes dedicados solo al abasto de queso fresco y derivados lácteos genuinos de la región.</w:t>
      </w:r>
    </w:p>
    <w:p>
      <w:pPr>
        <w:pStyle w:val="BodyText"/>
        <w:spacing w:line="480" w:lineRule="auto" w:before="8"/>
        <w:ind w:left="142" w:right="134"/>
        <w:jc w:val="both"/>
      </w:pPr>
      <w:r>
        <w:rPr/>
        <w:t>La elaboración regional de queso denota la importancia regional de la producción agropecuaria en las unidades de producción familiar lechera en el Valle de Toluca ya</w:t>
      </w:r>
      <w:r>
        <w:rPr>
          <w:spacing w:val="-7"/>
        </w:rPr>
        <w:t> </w:t>
      </w:r>
      <w:r>
        <w:rPr/>
        <w:t>que</w:t>
      </w:r>
      <w:r>
        <w:rPr>
          <w:spacing w:val="-7"/>
        </w:rPr>
        <w:t> </w:t>
      </w:r>
      <w:r>
        <w:rPr/>
        <w:t>los</w:t>
      </w:r>
      <w:r>
        <w:rPr>
          <w:spacing w:val="-7"/>
        </w:rPr>
        <w:t> </w:t>
      </w:r>
      <w:r>
        <w:rPr/>
        <w:t>principales</w:t>
      </w:r>
      <w:r>
        <w:rPr>
          <w:spacing w:val="-7"/>
        </w:rPr>
        <w:t> </w:t>
      </w:r>
      <w:r>
        <w:rPr/>
        <w:t>centros</w:t>
      </w:r>
      <w:r>
        <w:rPr>
          <w:spacing w:val="-8"/>
        </w:rPr>
        <w:t> </w:t>
      </w:r>
      <w:r>
        <w:rPr/>
        <w:t>de</w:t>
      </w:r>
      <w:r>
        <w:rPr>
          <w:spacing w:val="-7"/>
        </w:rPr>
        <w:t> </w:t>
      </w:r>
      <w:r>
        <w:rPr/>
        <w:t>abasto</w:t>
      </w:r>
      <w:r>
        <w:rPr>
          <w:spacing w:val="-9"/>
        </w:rPr>
        <w:t> </w:t>
      </w:r>
      <w:r>
        <w:rPr/>
        <w:t>de</w:t>
      </w:r>
      <w:r>
        <w:rPr>
          <w:spacing w:val="-7"/>
        </w:rPr>
        <w:t> </w:t>
      </w:r>
      <w:r>
        <w:rPr/>
        <w:t>queso</w:t>
      </w:r>
      <w:r>
        <w:rPr>
          <w:spacing w:val="-9"/>
        </w:rPr>
        <w:t> </w:t>
      </w:r>
      <w:r>
        <w:rPr/>
        <w:t>fresco</w:t>
      </w:r>
      <w:r>
        <w:rPr>
          <w:spacing w:val="-7"/>
        </w:rPr>
        <w:t> </w:t>
      </w:r>
      <w:r>
        <w:rPr/>
        <w:t>son</w:t>
      </w:r>
      <w:r>
        <w:rPr>
          <w:spacing w:val="-7"/>
        </w:rPr>
        <w:t> </w:t>
      </w:r>
      <w:r>
        <w:rPr/>
        <w:t>localidades</w:t>
      </w:r>
      <w:r>
        <w:rPr>
          <w:spacing w:val="-8"/>
        </w:rPr>
        <w:t> </w:t>
      </w:r>
      <w:r>
        <w:rPr/>
        <w:t>aledañas, como lo describe en el estudio de la demanda de los quesos artesanales en la ciudad de Toluca</w:t>
      </w:r>
      <w:r>
        <w:rPr>
          <w:position w:val="8"/>
          <w:sz w:val="16"/>
        </w:rPr>
        <w:t>(14)</w:t>
      </w:r>
      <w:r>
        <w:rPr/>
        <w:t>, pues en este estudio se estableció que la fuente principal de abasto son los municipios del Valle de Toluca. Lo anterior denota la importancia de la elaboración del queso para dar valor agregado al sistema producto leche. La distribución de quesos en el municipio de Toluca se considera una actividad complementaría en la organización comercial del abasto de alimentos en los mercados y “tianguis”. La desaparición de queso genuinos en el municipio se evidenció</w:t>
      </w:r>
      <w:r>
        <w:rPr>
          <w:spacing w:val="-5"/>
        </w:rPr>
        <w:t> </w:t>
      </w:r>
      <w:r>
        <w:rPr/>
        <w:t>al</w:t>
      </w:r>
      <w:r>
        <w:rPr>
          <w:spacing w:val="-6"/>
        </w:rPr>
        <w:t> </w:t>
      </w:r>
      <w:r>
        <w:rPr/>
        <w:t>encontrar</w:t>
      </w:r>
      <w:r>
        <w:rPr>
          <w:spacing w:val="-9"/>
        </w:rPr>
        <w:t> </w:t>
      </w:r>
      <w:r>
        <w:rPr/>
        <w:t>una</w:t>
      </w:r>
      <w:r>
        <w:rPr>
          <w:spacing w:val="-5"/>
        </w:rPr>
        <w:t> </w:t>
      </w:r>
      <w:r>
        <w:rPr/>
        <w:t>baja</w:t>
      </w:r>
      <w:r>
        <w:rPr>
          <w:spacing w:val="-8"/>
        </w:rPr>
        <w:t> </w:t>
      </w:r>
      <w:r>
        <w:rPr/>
        <w:t>frecuencia</w:t>
      </w:r>
      <w:r>
        <w:rPr>
          <w:spacing w:val="-8"/>
        </w:rPr>
        <w:t> </w:t>
      </w:r>
      <w:r>
        <w:rPr/>
        <w:t>en</w:t>
      </w:r>
      <w:r>
        <w:rPr>
          <w:spacing w:val="-7"/>
        </w:rPr>
        <w:t> </w:t>
      </w:r>
      <w:r>
        <w:rPr/>
        <w:t>los</w:t>
      </w:r>
      <w:r>
        <w:rPr>
          <w:spacing w:val="-5"/>
        </w:rPr>
        <w:t> </w:t>
      </w:r>
      <w:r>
        <w:rPr/>
        <w:t>tianguis,</w:t>
      </w:r>
      <w:r>
        <w:rPr>
          <w:spacing w:val="-6"/>
        </w:rPr>
        <w:t> </w:t>
      </w:r>
      <w:r>
        <w:rPr/>
        <w:t>este</w:t>
      </w:r>
      <w:r>
        <w:rPr>
          <w:spacing w:val="-5"/>
        </w:rPr>
        <w:t> </w:t>
      </w:r>
      <w:r>
        <w:rPr/>
        <w:t>escenario</w:t>
      </w:r>
      <w:r>
        <w:rPr>
          <w:spacing w:val="-5"/>
        </w:rPr>
        <w:t> </w:t>
      </w:r>
      <w:r>
        <w:rPr/>
        <w:t>es</w:t>
      </w:r>
      <w:r>
        <w:rPr>
          <w:spacing w:val="-6"/>
        </w:rPr>
        <w:t> </w:t>
      </w:r>
      <w:r>
        <w:rPr/>
        <w:t>similar en</w:t>
      </w:r>
      <w:r>
        <w:rPr>
          <w:spacing w:val="-5"/>
        </w:rPr>
        <w:t> </w:t>
      </w:r>
      <w:r>
        <w:rPr/>
        <w:t>otros</w:t>
      </w:r>
      <w:r>
        <w:rPr>
          <w:spacing w:val="-5"/>
        </w:rPr>
        <w:t> </w:t>
      </w:r>
      <w:r>
        <w:rPr/>
        <w:t>quesos</w:t>
      </w:r>
      <w:r>
        <w:rPr>
          <w:spacing w:val="-5"/>
        </w:rPr>
        <w:t> </w:t>
      </w:r>
      <w:r>
        <w:rPr/>
        <w:t>genuinos</w:t>
      </w:r>
      <w:r>
        <w:rPr>
          <w:spacing w:val="-5"/>
        </w:rPr>
        <w:t> </w:t>
      </w:r>
      <w:r>
        <w:rPr/>
        <w:t>y</w:t>
      </w:r>
      <w:r>
        <w:rPr>
          <w:spacing w:val="-8"/>
        </w:rPr>
        <w:t> </w:t>
      </w:r>
      <w:r>
        <w:rPr/>
        <w:t>los</w:t>
      </w:r>
      <w:r>
        <w:rPr>
          <w:spacing w:val="-5"/>
        </w:rPr>
        <w:t> </w:t>
      </w:r>
      <w:r>
        <w:rPr/>
        <w:t>factores</w:t>
      </w:r>
      <w:r>
        <w:rPr>
          <w:spacing w:val="-5"/>
        </w:rPr>
        <w:t> </w:t>
      </w:r>
      <w:r>
        <w:rPr/>
        <w:t>que</w:t>
      </w:r>
      <w:r>
        <w:rPr>
          <w:spacing w:val="-7"/>
        </w:rPr>
        <w:t> </w:t>
      </w:r>
      <w:r>
        <w:rPr/>
        <w:t>contribuyen</w:t>
      </w:r>
      <w:r>
        <w:rPr>
          <w:spacing w:val="-5"/>
        </w:rPr>
        <w:t> </w:t>
      </w:r>
      <w:r>
        <w:rPr/>
        <w:t>su</w:t>
      </w:r>
      <w:r>
        <w:rPr>
          <w:spacing w:val="-7"/>
        </w:rPr>
        <w:t> </w:t>
      </w:r>
      <w:r>
        <w:rPr/>
        <w:t>desaparición</w:t>
      </w:r>
      <w:r>
        <w:rPr>
          <w:spacing w:val="-4"/>
        </w:rPr>
        <w:t> </w:t>
      </w:r>
      <w:r>
        <w:rPr/>
        <w:t>del</w:t>
      </w:r>
      <w:r>
        <w:rPr>
          <w:spacing w:val="-6"/>
        </w:rPr>
        <w:t> </w:t>
      </w:r>
      <w:r>
        <w:rPr/>
        <w:t>queso son</w:t>
      </w:r>
      <w:r>
        <w:rPr>
          <w:spacing w:val="-12"/>
        </w:rPr>
        <w:t> </w:t>
      </w:r>
      <w:r>
        <w:rPr/>
        <w:t>complejos</w:t>
      </w:r>
      <w:r>
        <w:rPr>
          <w:spacing w:val="-15"/>
        </w:rPr>
        <w:t> </w:t>
      </w:r>
      <w:r>
        <w:rPr/>
        <w:t>y</w:t>
      </w:r>
      <w:r>
        <w:rPr>
          <w:spacing w:val="-15"/>
        </w:rPr>
        <w:t> </w:t>
      </w:r>
      <w:r>
        <w:rPr/>
        <w:t>no</w:t>
      </w:r>
      <w:r>
        <w:rPr>
          <w:spacing w:val="-14"/>
        </w:rPr>
        <w:t> </w:t>
      </w:r>
      <w:r>
        <w:rPr/>
        <w:t>han</w:t>
      </w:r>
      <w:r>
        <w:rPr>
          <w:spacing w:val="-12"/>
        </w:rPr>
        <w:t> </w:t>
      </w:r>
      <w:r>
        <w:rPr/>
        <w:t>sido</w:t>
      </w:r>
      <w:r>
        <w:rPr>
          <w:spacing w:val="-14"/>
        </w:rPr>
        <w:t> </w:t>
      </w:r>
      <w:r>
        <w:rPr/>
        <w:t>suficientemente</w:t>
      </w:r>
      <w:r>
        <w:rPr>
          <w:spacing w:val="-14"/>
        </w:rPr>
        <w:t> </w:t>
      </w:r>
      <w:r>
        <w:rPr/>
        <w:t>estudiados;</w:t>
      </w:r>
      <w:r>
        <w:rPr>
          <w:spacing w:val="-14"/>
        </w:rPr>
        <w:t> </w:t>
      </w:r>
      <w:r>
        <w:rPr/>
        <w:t>su</w:t>
      </w:r>
      <w:r>
        <w:rPr>
          <w:spacing w:val="-14"/>
        </w:rPr>
        <w:t> </w:t>
      </w:r>
      <w:r>
        <w:rPr/>
        <w:t>comprensión</w:t>
      </w:r>
      <w:r>
        <w:rPr>
          <w:spacing w:val="-11"/>
        </w:rPr>
        <w:t> </w:t>
      </w:r>
      <w:r>
        <w:rPr/>
        <w:t>resulta</w:t>
      </w:r>
      <w:r>
        <w:rPr>
          <w:spacing w:val="-16"/>
        </w:rPr>
        <w:t> </w:t>
      </w:r>
      <w:r>
        <w:rPr/>
        <w:t>de gran importancia para diseñar e implementar estrategias para el rescate y la valorización de este patrimonio alimentario</w:t>
      </w:r>
      <w:r>
        <w:rPr>
          <w:position w:val="8"/>
          <w:sz w:val="16"/>
        </w:rPr>
        <w:t>(3)</w:t>
      </w:r>
      <w:r>
        <w:rPr/>
        <w:t>, además del saber-hacer del queso artesanal como patrimonio gastronómico local y su riqueza cultural, que además median la economía familiar en la</w:t>
      </w:r>
      <w:r>
        <w:rPr>
          <w:spacing w:val="-14"/>
        </w:rPr>
        <w:t> </w:t>
      </w:r>
      <w:r>
        <w:rPr/>
        <w:t>comunidad</w:t>
      </w:r>
      <w:r>
        <w:rPr>
          <w:position w:val="8"/>
          <w:sz w:val="16"/>
        </w:rPr>
        <w:t>(8)</w:t>
      </w:r>
      <w:r>
        <w:rPr/>
        <w:t>.</w:t>
      </w:r>
    </w:p>
    <w:p>
      <w:pPr>
        <w:spacing w:after="0" w:line="480" w:lineRule="auto"/>
        <w:jc w:val="both"/>
        <w:sectPr>
          <w:pgSz w:w="12240" w:h="15840"/>
          <w:pgMar w:header="728" w:footer="710" w:top="1200" w:bottom="900" w:left="1560" w:right="1560"/>
        </w:sectPr>
      </w:pPr>
    </w:p>
    <w:p>
      <w:pPr>
        <w:pStyle w:val="BodyText"/>
        <w:spacing w:before="7"/>
        <w:rPr>
          <w:sz w:val="12"/>
        </w:rPr>
      </w:pPr>
    </w:p>
    <w:p>
      <w:pPr>
        <w:pStyle w:val="BodyText"/>
        <w:spacing w:before="69"/>
        <w:ind w:left="142" w:right="1550"/>
      </w:pPr>
      <w:r>
        <w:rPr/>
        <w:t>AGRADECIMIENTOS</w:t>
      </w:r>
    </w:p>
    <w:p>
      <w:pPr>
        <w:pStyle w:val="BodyText"/>
      </w:pPr>
    </w:p>
    <w:p>
      <w:pPr>
        <w:pStyle w:val="BodyText"/>
        <w:spacing w:line="480" w:lineRule="auto"/>
        <w:ind w:left="861" w:right="136"/>
        <w:jc w:val="both"/>
      </w:pPr>
      <w:r>
        <w:rPr/>
        <w:t>Al Consejo Nacional de Ciencia y Tecnología (CONACYT) por la beca para cursar estudios de grado de Maestría (PCARN-UAEM). A la Secretaria de Investigación de la UAEM por el financiamiento otorgado a través del proyecto de investigación “Variación genética de aislamientos de </w:t>
      </w:r>
      <w:r>
        <w:rPr>
          <w:i/>
        </w:rPr>
        <w:t>S. aureus </w:t>
      </w:r>
      <w:r>
        <w:rPr/>
        <w:t>MRSA obtenidos de vacas lecheras en unidades de producción familiar, Clave 3848/2013CHT. Al Consejo Mexiquense de Ciencia y Tecnología del Estado de México (COMECYT) por la beca de titulación otorgada.</w:t>
      </w:r>
    </w:p>
    <w:p>
      <w:pPr>
        <w:pStyle w:val="BodyText"/>
        <w:spacing w:before="128"/>
        <w:ind w:left="142" w:right="1550"/>
      </w:pPr>
      <w:r>
        <w:rPr/>
        <w:t>LITERATURA CITADA</w:t>
      </w:r>
    </w:p>
    <w:p>
      <w:pPr>
        <w:pStyle w:val="BodyText"/>
      </w:pPr>
    </w:p>
    <w:p>
      <w:pPr>
        <w:pStyle w:val="ListParagraph"/>
        <w:numPr>
          <w:ilvl w:val="1"/>
          <w:numId w:val="8"/>
        </w:numPr>
        <w:tabs>
          <w:tab w:pos="862" w:val="left" w:leader="none"/>
        </w:tabs>
        <w:spacing w:line="480" w:lineRule="auto" w:before="0" w:after="0"/>
        <w:ind w:left="862" w:right="136" w:hanging="360"/>
        <w:jc w:val="both"/>
        <w:rPr>
          <w:sz w:val="24"/>
        </w:rPr>
      </w:pPr>
      <w:r>
        <w:rPr>
          <w:sz w:val="24"/>
        </w:rPr>
        <w:t>Villegas DGA. Tecnología quesera. 2ª edición. México. Trillas. 2004:11-25, 242-279,</w:t>
      </w:r>
      <w:r>
        <w:rPr>
          <w:spacing w:val="-8"/>
          <w:sz w:val="24"/>
        </w:rPr>
        <w:t> </w:t>
      </w:r>
      <w:r>
        <w:rPr>
          <w:sz w:val="24"/>
        </w:rPr>
        <w:t>305-309.</w:t>
      </w:r>
    </w:p>
    <w:p>
      <w:pPr>
        <w:pStyle w:val="ListParagraph"/>
        <w:numPr>
          <w:ilvl w:val="1"/>
          <w:numId w:val="8"/>
        </w:numPr>
        <w:tabs>
          <w:tab w:pos="862" w:val="left" w:leader="none"/>
        </w:tabs>
        <w:spacing w:line="480" w:lineRule="auto" w:before="8" w:after="0"/>
        <w:ind w:left="862" w:right="135" w:hanging="360"/>
        <w:jc w:val="both"/>
        <w:rPr>
          <w:sz w:val="24"/>
        </w:rPr>
      </w:pPr>
      <w:r>
        <w:rPr>
          <w:sz w:val="24"/>
        </w:rPr>
        <w:t>Solís-Méndez AD, Estrada-Flores JG, Castelán-Ortega OA. A Study on the texture diversity of the Artisan Ranchero Cheese from Central Mexico. Int J Dairy Technol</w:t>
      </w:r>
      <w:r>
        <w:rPr>
          <w:spacing w:val="-9"/>
          <w:sz w:val="24"/>
        </w:rPr>
        <w:t> </w:t>
      </w:r>
      <w:r>
        <w:rPr>
          <w:sz w:val="24"/>
        </w:rPr>
        <w:t>2013;66(1):37-44.</w:t>
      </w:r>
    </w:p>
    <w:p>
      <w:pPr>
        <w:pStyle w:val="ListParagraph"/>
        <w:numPr>
          <w:ilvl w:val="1"/>
          <w:numId w:val="8"/>
        </w:numPr>
        <w:tabs>
          <w:tab w:pos="862" w:val="left" w:leader="none"/>
        </w:tabs>
        <w:spacing w:line="480" w:lineRule="auto" w:before="166" w:after="0"/>
        <w:ind w:left="862" w:right="140" w:hanging="360"/>
        <w:jc w:val="both"/>
        <w:rPr>
          <w:sz w:val="24"/>
        </w:rPr>
      </w:pPr>
      <w:r>
        <w:rPr>
          <w:sz w:val="24"/>
        </w:rPr>
        <w:t>Grass-Ramírez JF, Cesín-Vargas A. Situación actual y retrospectiva de los quesos genuinos de Chiautla de Tapia, México ASyD.</w:t>
      </w:r>
      <w:r>
        <w:rPr>
          <w:spacing w:val="-20"/>
          <w:sz w:val="24"/>
        </w:rPr>
        <w:t> </w:t>
      </w:r>
      <w:r>
        <w:rPr>
          <w:sz w:val="24"/>
        </w:rPr>
        <w:t>2014;1(2):201-221</w:t>
      </w:r>
    </w:p>
    <w:p>
      <w:pPr>
        <w:pStyle w:val="ListParagraph"/>
        <w:numPr>
          <w:ilvl w:val="1"/>
          <w:numId w:val="8"/>
        </w:numPr>
        <w:tabs>
          <w:tab w:pos="862" w:val="left" w:leader="none"/>
        </w:tabs>
        <w:spacing w:line="480" w:lineRule="auto" w:before="8" w:after="0"/>
        <w:ind w:left="862" w:right="142" w:hanging="360"/>
        <w:jc w:val="both"/>
        <w:rPr>
          <w:sz w:val="24"/>
        </w:rPr>
      </w:pPr>
      <w:r>
        <w:rPr>
          <w:sz w:val="24"/>
        </w:rPr>
        <w:t>Montes de Oca FE, Arriaga JCM, Martínez CAR, Espinoza OA. Perfil sensorial del queso Oaxaca tradicional en el Altiplano Central de México [Resumen]. 13er. Congreso Nacional de Investigación Socioeconómica y Ambiental de la Producción Pecuaria, Colegio de Posgraduados. Puebla, Pue.</w:t>
      </w:r>
      <w:r>
        <w:rPr>
          <w:spacing w:val="-9"/>
          <w:sz w:val="24"/>
        </w:rPr>
        <w:t> </w:t>
      </w:r>
      <w:r>
        <w:rPr>
          <w:sz w:val="24"/>
        </w:rPr>
        <w:t>2012:183.</w:t>
      </w:r>
    </w:p>
    <w:p>
      <w:pPr>
        <w:pStyle w:val="ListParagraph"/>
        <w:numPr>
          <w:ilvl w:val="1"/>
          <w:numId w:val="8"/>
        </w:numPr>
        <w:tabs>
          <w:tab w:pos="862" w:val="left" w:leader="none"/>
        </w:tabs>
        <w:spacing w:line="480" w:lineRule="auto" w:before="168" w:after="0"/>
        <w:ind w:left="862" w:right="139" w:hanging="360"/>
        <w:jc w:val="both"/>
        <w:rPr>
          <w:sz w:val="24"/>
        </w:rPr>
      </w:pPr>
      <w:r>
        <w:rPr>
          <w:sz w:val="24"/>
        </w:rPr>
        <w:t>Manjarrez LAM, Díaz ZS, Salazar GF, Valladares CB, Gutiérrez CADC, Barbabosa PA, Talavera RM, Alonso FMU, Velázquez OV. Identificación</w:t>
      </w:r>
      <w:r>
        <w:rPr>
          <w:spacing w:val="50"/>
          <w:sz w:val="24"/>
        </w:rPr>
        <w:t> </w:t>
      </w:r>
      <w:r>
        <w:rPr>
          <w:sz w:val="24"/>
        </w:rPr>
        <w:t>de</w:t>
      </w:r>
    </w:p>
    <w:p>
      <w:pPr>
        <w:spacing w:after="0" w:line="480" w:lineRule="auto"/>
        <w:jc w:val="both"/>
        <w:rPr>
          <w:sz w:val="24"/>
        </w:rPr>
        <w:sectPr>
          <w:pgSz w:w="12240" w:h="15840"/>
          <w:pgMar w:header="728" w:footer="710" w:top="1200" w:bottom="900" w:left="1560" w:right="1560"/>
        </w:sectPr>
      </w:pPr>
    </w:p>
    <w:p>
      <w:pPr>
        <w:pStyle w:val="BodyText"/>
        <w:spacing w:before="4"/>
        <w:rPr>
          <w:sz w:val="12"/>
        </w:rPr>
      </w:pPr>
    </w:p>
    <w:p>
      <w:pPr>
        <w:pStyle w:val="BodyText"/>
        <w:spacing w:line="480" w:lineRule="auto" w:before="70"/>
        <w:ind w:left="861" w:right="137"/>
        <w:jc w:val="both"/>
      </w:pPr>
      <w:r>
        <w:rPr/>
        <w:t>biotipos de </w:t>
      </w:r>
      <w:r>
        <w:rPr>
          <w:i/>
        </w:rPr>
        <w:t>Staphylococcus aureus </w:t>
      </w:r>
      <w:r>
        <w:rPr/>
        <w:t>en vacas lecheras de producción</w:t>
      </w:r>
      <w:r>
        <w:rPr>
          <w:spacing w:val="-27"/>
        </w:rPr>
        <w:t> </w:t>
      </w:r>
      <w:r>
        <w:rPr/>
        <w:t>familiar con mastitis subclínica en la región centro-oeste del Estado de México. Rev Mex Cienc Pecu</w:t>
      </w:r>
      <w:r>
        <w:rPr>
          <w:spacing w:val="-11"/>
        </w:rPr>
        <w:t> </w:t>
      </w:r>
      <w:r>
        <w:rPr/>
        <w:t>2012;3(2):265-274.</w:t>
      </w:r>
    </w:p>
    <w:p>
      <w:pPr>
        <w:pStyle w:val="ListParagraph"/>
        <w:numPr>
          <w:ilvl w:val="1"/>
          <w:numId w:val="8"/>
        </w:numPr>
        <w:tabs>
          <w:tab w:pos="862" w:val="left" w:leader="none"/>
        </w:tabs>
        <w:spacing w:line="480" w:lineRule="auto" w:before="8" w:after="0"/>
        <w:ind w:left="862" w:right="136" w:hanging="360"/>
        <w:jc w:val="both"/>
        <w:rPr>
          <w:sz w:val="24"/>
        </w:rPr>
      </w:pPr>
      <w:r>
        <w:rPr>
          <w:sz w:val="24"/>
        </w:rPr>
        <w:t>Barajas</w:t>
      </w:r>
      <w:r>
        <w:rPr>
          <w:spacing w:val="-9"/>
          <w:sz w:val="24"/>
        </w:rPr>
        <w:t> </w:t>
      </w:r>
      <w:r>
        <w:rPr>
          <w:sz w:val="24"/>
        </w:rPr>
        <w:t>G.</w:t>
      </w:r>
      <w:r>
        <w:rPr>
          <w:spacing w:val="-10"/>
          <w:sz w:val="24"/>
        </w:rPr>
        <w:t> </w:t>
      </w:r>
      <w:r>
        <w:rPr>
          <w:sz w:val="24"/>
        </w:rPr>
        <w:t>El</w:t>
      </w:r>
      <w:r>
        <w:rPr>
          <w:spacing w:val="-9"/>
          <w:sz w:val="24"/>
        </w:rPr>
        <w:t> </w:t>
      </w:r>
      <w:r>
        <w:rPr>
          <w:sz w:val="24"/>
        </w:rPr>
        <w:t>sistema</w:t>
      </w:r>
      <w:r>
        <w:rPr>
          <w:spacing w:val="-8"/>
          <w:sz w:val="24"/>
        </w:rPr>
        <w:t> </w:t>
      </w:r>
      <w:r>
        <w:rPr>
          <w:sz w:val="24"/>
        </w:rPr>
        <w:t>lechero</w:t>
      </w:r>
      <w:r>
        <w:rPr>
          <w:spacing w:val="-10"/>
          <w:sz w:val="24"/>
        </w:rPr>
        <w:t> </w:t>
      </w:r>
      <w:r>
        <w:rPr>
          <w:sz w:val="24"/>
        </w:rPr>
        <w:t>de</w:t>
      </w:r>
      <w:r>
        <w:rPr>
          <w:spacing w:val="-8"/>
          <w:sz w:val="24"/>
        </w:rPr>
        <w:t> </w:t>
      </w:r>
      <w:r>
        <w:rPr>
          <w:sz w:val="24"/>
        </w:rPr>
        <w:t>la</w:t>
      </w:r>
      <w:r>
        <w:rPr>
          <w:spacing w:val="-9"/>
          <w:sz w:val="24"/>
        </w:rPr>
        <w:t> </w:t>
      </w:r>
      <w:r>
        <w:rPr>
          <w:sz w:val="24"/>
        </w:rPr>
        <w:t>región</w:t>
      </w:r>
      <w:r>
        <w:rPr>
          <w:spacing w:val="-8"/>
          <w:sz w:val="24"/>
        </w:rPr>
        <w:t> </w:t>
      </w:r>
      <w:r>
        <w:rPr>
          <w:sz w:val="24"/>
        </w:rPr>
        <w:t>de</w:t>
      </w:r>
      <w:r>
        <w:rPr>
          <w:spacing w:val="-10"/>
          <w:sz w:val="24"/>
        </w:rPr>
        <w:t> </w:t>
      </w:r>
      <w:r>
        <w:rPr>
          <w:sz w:val="24"/>
        </w:rPr>
        <w:t>Martínez</w:t>
      </w:r>
      <w:r>
        <w:rPr>
          <w:spacing w:val="-11"/>
          <w:sz w:val="24"/>
        </w:rPr>
        <w:t> </w:t>
      </w:r>
      <w:r>
        <w:rPr>
          <w:sz w:val="24"/>
        </w:rPr>
        <w:t>de</w:t>
      </w:r>
      <w:r>
        <w:rPr>
          <w:spacing w:val="-8"/>
          <w:sz w:val="24"/>
        </w:rPr>
        <w:t> </w:t>
      </w:r>
      <w:r>
        <w:rPr>
          <w:sz w:val="24"/>
        </w:rPr>
        <w:t>la</w:t>
      </w:r>
      <w:r>
        <w:rPr>
          <w:spacing w:val="-9"/>
          <w:sz w:val="24"/>
        </w:rPr>
        <w:t> </w:t>
      </w:r>
      <w:r>
        <w:rPr>
          <w:sz w:val="24"/>
        </w:rPr>
        <w:t>Torre,</w:t>
      </w:r>
      <w:r>
        <w:rPr>
          <w:spacing w:val="-3"/>
          <w:sz w:val="24"/>
        </w:rPr>
        <w:t> </w:t>
      </w:r>
      <w:r>
        <w:rPr>
          <w:sz w:val="24"/>
        </w:rPr>
        <w:t>Veracruz: los grandes ganaderos y sus interacciones. En Martínez B., Salas Q., coordinadores. Globalización e integración regional en la producción y desarrollo tecnológico de la lechería humana. UNAM, México, Porrúa Editores.</w:t>
      </w:r>
      <w:r>
        <w:rPr>
          <w:spacing w:val="-9"/>
          <w:sz w:val="24"/>
        </w:rPr>
        <w:t> </w:t>
      </w:r>
      <w:r>
        <w:rPr>
          <w:sz w:val="24"/>
        </w:rPr>
        <w:t>2002:181-240.</w:t>
      </w:r>
    </w:p>
    <w:p>
      <w:pPr>
        <w:pStyle w:val="ListParagraph"/>
        <w:numPr>
          <w:ilvl w:val="1"/>
          <w:numId w:val="8"/>
        </w:numPr>
        <w:tabs>
          <w:tab w:pos="862" w:val="left" w:leader="none"/>
        </w:tabs>
        <w:spacing w:line="480" w:lineRule="auto" w:before="8" w:after="0"/>
        <w:ind w:left="862" w:right="138" w:hanging="360"/>
        <w:jc w:val="both"/>
        <w:rPr>
          <w:sz w:val="24"/>
        </w:rPr>
      </w:pPr>
      <w:r>
        <w:rPr>
          <w:sz w:val="24"/>
        </w:rPr>
        <w:t>Hernández MC, Hernández MA, Villegas DGAZ, Aguirre ME. El proceso socio-técnico de producción de Queso Añejo de Zacazonapan, Estado de México. Rev Mex Cienc Pecu.</w:t>
      </w:r>
      <w:r>
        <w:rPr>
          <w:spacing w:val="-14"/>
          <w:sz w:val="24"/>
        </w:rPr>
        <w:t> </w:t>
      </w:r>
      <w:r>
        <w:rPr>
          <w:sz w:val="24"/>
        </w:rPr>
        <w:t>2011;2(2):161-176.</w:t>
      </w:r>
    </w:p>
    <w:p>
      <w:pPr>
        <w:pStyle w:val="ListParagraph"/>
        <w:numPr>
          <w:ilvl w:val="1"/>
          <w:numId w:val="8"/>
        </w:numPr>
        <w:tabs>
          <w:tab w:pos="862" w:val="left" w:leader="none"/>
        </w:tabs>
        <w:spacing w:line="477" w:lineRule="auto" w:before="8" w:after="0"/>
        <w:ind w:left="862" w:right="140" w:hanging="360"/>
        <w:jc w:val="both"/>
        <w:rPr>
          <w:sz w:val="24"/>
        </w:rPr>
      </w:pPr>
      <w:r>
        <w:rPr>
          <w:sz w:val="24"/>
        </w:rPr>
        <w:t>Cervantes</w:t>
      </w:r>
      <w:r>
        <w:rPr>
          <w:spacing w:val="-19"/>
          <w:sz w:val="24"/>
        </w:rPr>
        <w:t> </w:t>
      </w:r>
      <w:r>
        <w:rPr>
          <w:sz w:val="24"/>
        </w:rPr>
        <w:t>EF,</w:t>
      </w:r>
      <w:r>
        <w:rPr>
          <w:spacing w:val="-19"/>
          <w:sz w:val="24"/>
        </w:rPr>
        <w:t> </w:t>
      </w:r>
      <w:r>
        <w:rPr>
          <w:sz w:val="24"/>
        </w:rPr>
        <w:t>Villegas</w:t>
      </w:r>
      <w:r>
        <w:rPr>
          <w:spacing w:val="-21"/>
          <w:sz w:val="24"/>
        </w:rPr>
        <w:t> </w:t>
      </w:r>
      <w:r>
        <w:rPr>
          <w:sz w:val="24"/>
        </w:rPr>
        <w:t>DGA,</w:t>
      </w:r>
      <w:r>
        <w:rPr>
          <w:spacing w:val="-18"/>
          <w:sz w:val="24"/>
        </w:rPr>
        <w:t> </w:t>
      </w:r>
      <w:r>
        <w:rPr>
          <w:sz w:val="24"/>
        </w:rPr>
        <w:t>Cesín</w:t>
      </w:r>
      <w:r>
        <w:rPr>
          <w:spacing w:val="-18"/>
          <w:sz w:val="24"/>
        </w:rPr>
        <w:t> </w:t>
      </w:r>
      <w:r>
        <w:rPr>
          <w:sz w:val="24"/>
        </w:rPr>
        <w:t>VA,</w:t>
      </w:r>
      <w:r>
        <w:rPr>
          <w:spacing w:val="-21"/>
          <w:sz w:val="24"/>
        </w:rPr>
        <w:t> </w:t>
      </w:r>
      <w:r>
        <w:rPr>
          <w:sz w:val="24"/>
        </w:rPr>
        <w:t>Espinoza</w:t>
      </w:r>
      <w:r>
        <w:rPr>
          <w:spacing w:val="-18"/>
          <w:sz w:val="24"/>
        </w:rPr>
        <w:t> </w:t>
      </w:r>
      <w:r>
        <w:rPr>
          <w:sz w:val="24"/>
        </w:rPr>
        <w:t>OA.</w:t>
      </w:r>
      <w:r>
        <w:rPr>
          <w:spacing w:val="-18"/>
          <w:sz w:val="24"/>
        </w:rPr>
        <w:t> </w:t>
      </w:r>
      <w:r>
        <w:rPr>
          <w:sz w:val="24"/>
        </w:rPr>
        <w:t>Los</w:t>
      </w:r>
      <w:r>
        <w:rPr>
          <w:spacing w:val="-21"/>
          <w:sz w:val="24"/>
        </w:rPr>
        <w:t> </w:t>
      </w:r>
      <w:r>
        <w:rPr>
          <w:sz w:val="24"/>
        </w:rPr>
        <w:t>quesos</w:t>
      </w:r>
      <w:r>
        <w:rPr>
          <w:spacing w:val="-21"/>
          <w:sz w:val="24"/>
        </w:rPr>
        <w:t> </w:t>
      </w:r>
      <w:r>
        <w:rPr>
          <w:sz w:val="24"/>
        </w:rPr>
        <w:t>mexicanos genuinos, Patrimonio cultural que debe rescatarse. 2</w:t>
      </w:r>
      <w:r>
        <w:rPr>
          <w:position w:val="8"/>
          <w:sz w:val="16"/>
        </w:rPr>
        <w:t>a </w:t>
      </w:r>
      <w:r>
        <w:rPr>
          <w:sz w:val="24"/>
        </w:rPr>
        <w:t>edición. México, Colegio de Posgraduados.</w:t>
      </w:r>
      <w:r>
        <w:rPr>
          <w:spacing w:val="-9"/>
          <w:sz w:val="24"/>
        </w:rPr>
        <w:t> </w:t>
      </w:r>
      <w:r>
        <w:rPr>
          <w:sz w:val="24"/>
        </w:rPr>
        <w:t>2008.</w:t>
      </w:r>
    </w:p>
    <w:p>
      <w:pPr>
        <w:pStyle w:val="ListParagraph"/>
        <w:numPr>
          <w:ilvl w:val="1"/>
          <w:numId w:val="8"/>
        </w:numPr>
        <w:tabs>
          <w:tab w:pos="862" w:val="left" w:leader="none"/>
        </w:tabs>
        <w:spacing w:line="480" w:lineRule="auto" w:before="10" w:after="0"/>
        <w:ind w:left="862" w:right="136" w:hanging="360"/>
        <w:jc w:val="both"/>
        <w:rPr>
          <w:sz w:val="24"/>
        </w:rPr>
      </w:pPr>
      <w:r>
        <w:rPr>
          <w:sz w:val="24"/>
        </w:rPr>
        <w:t>Cervantes EF, Gómez AA, Altamirano CJR. Impacto económico y ambiental de</w:t>
      </w:r>
      <w:r>
        <w:rPr>
          <w:spacing w:val="-7"/>
          <w:sz w:val="24"/>
        </w:rPr>
        <w:t> </w:t>
      </w:r>
      <w:r>
        <w:rPr>
          <w:sz w:val="24"/>
        </w:rPr>
        <w:t>la</w:t>
      </w:r>
      <w:r>
        <w:rPr>
          <w:spacing w:val="-10"/>
          <w:sz w:val="24"/>
        </w:rPr>
        <w:t> </w:t>
      </w:r>
      <w:r>
        <w:rPr>
          <w:sz w:val="24"/>
        </w:rPr>
        <w:t>quesería</w:t>
      </w:r>
      <w:r>
        <w:rPr>
          <w:spacing w:val="-9"/>
          <w:sz w:val="24"/>
        </w:rPr>
        <w:t> </w:t>
      </w:r>
      <w:r>
        <w:rPr>
          <w:sz w:val="24"/>
        </w:rPr>
        <w:t>en</w:t>
      </w:r>
      <w:r>
        <w:rPr>
          <w:spacing w:val="-9"/>
          <w:sz w:val="24"/>
        </w:rPr>
        <w:t> </w:t>
      </w:r>
      <w:r>
        <w:rPr>
          <w:sz w:val="24"/>
        </w:rPr>
        <w:t>el</w:t>
      </w:r>
      <w:r>
        <w:rPr>
          <w:spacing w:val="-8"/>
          <w:sz w:val="24"/>
        </w:rPr>
        <w:t> </w:t>
      </w:r>
      <w:r>
        <w:rPr>
          <w:sz w:val="24"/>
        </w:rPr>
        <w:t>Valle</w:t>
      </w:r>
      <w:r>
        <w:rPr>
          <w:spacing w:val="-7"/>
          <w:sz w:val="24"/>
        </w:rPr>
        <w:t> </w:t>
      </w:r>
      <w:r>
        <w:rPr>
          <w:sz w:val="24"/>
        </w:rPr>
        <w:t>de</w:t>
      </w:r>
      <w:r>
        <w:rPr>
          <w:spacing w:val="-12"/>
          <w:sz w:val="24"/>
        </w:rPr>
        <w:t> </w:t>
      </w:r>
      <w:r>
        <w:rPr>
          <w:sz w:val="24"/>
        </w:rPr>
        <w:t>Tulancingo,</w:t>
      </w:r>
      <w:r>
        <w:rPr>
          <w:spacing w:val="-7"/>
          <w:sz w:val="24"/>
        </w:rPr>
        <w:t> </w:t>
      </w:r>
      <w:r>
        <w:rPr>
          <w:sz w:val="24"/>
        </w:rPr>
        <w:t>Hidalgo</w:t>
      </w:r>
      <w:r>
        <w:rPr>
          <w:spacing w:val="-7"/>
          <w:sz w:val="24"/>
        </w:rPr>
        <w:t> </w:t>
      </w:r>
      <w:r>
        <w:rPr>
          <w:sz w:val="24"/>
        </w:rPr>
        <w:t>(México)</w:t>
      </w:r>
      <w:r>
        <w:rPr>
          <w:spacing w:val="-8"/>
          <w:sz w:val="24"/>
        </w:rPr>
        <w:t> </w:t>
      </w:r>
      <w:r>
        <w:rPr>
          <w:sz w:val="24"/>
        </w:rPr>
        <w:t>[Resumen].</w:t>
      </w:r>
      <w:r>
        <w:rPr>
          <w:spacing w:val="-9"/>
          <w:sz w:val="24"/>
        </w:rPr>
        <w:t> </w:t>
      </w:r>
      <w:r>
        <w:rPr>
          <w:sz w:val="24"/>
        </w:rPr>
        <w:t>116th EAAE Seminar "Spatial dynamics in agrifood systems: implications for sustainability and consumer welfare. Parma, Italia.</w:t>
      </w:r>
      <w:r>
        <w:rPr>
          <w:spacing w:val="-23"/>
          <w:sz w:val="24"/>
        </w:rPr>
        <w:t> </w:t>
      </w:r>
      <w:r>
        <w:rPr>
          <w:sz w:val="24"/>
        </w:rPr>
        <w:t>2010.</w:t>
      </w:r>
    </w:p>
    <w:p>
      <w:pPr>
        <w:pStyle w:val="ListParagraph"/>
        <w:numPr>
          <w:ilvl w:val="1"/>
          <w:numId w:val="8"/>
        </w:numPr>
        <w:tabs>
          <w:tab w:pos="862" w:val="left" w:leader="none"/>
          <w:tab w:pos="1389" w:val="left" w:leader="none"/>
          <w:tab w:pos="2247" w:val="left" w:leader="none"/>
          <w:tab w:pos="3611" w:val="left" w:leader="none"/>
          <w:tab w:pos="4136" w:val="left" w:leader="none"/>
          <w:tab w:pos="4583" w:val="left" w:leader="none"/>
          <w:tab w:pos="5693" w:val="left" w:leader="none"/>
          <w:tab w:pos="6220" w:val="left" w:leader="none"/>
          <w:tab w:pos="7304" w:val="left" w:leader="none"/>
          <w:tab w:pos="8642" w:val="left" w:leader="none"/>
        </w:tabs>
        <w:spacing w:line="480" w:lineRule="auto" w:before="167" w:after="0"/>
        <w:ind w:left="862" w:right="143" w:hanging="360"/>
        <w:jc w:val="left"/>
        <w:rPr>
          <w:sz w:val="24"/>
        </w:rPr>
      </w:pPr>
      <w:r>
        <w:rPr>
          <w:sz w:val="24"/>
        </w:rPr>
        <w:t>Servicio</w:t>
      </w:r>
      <w:r>
        <w:rPr>
          <w:spacing w:val="-7"/>
          <w:sz w:val="24"/>
        </w:rPr>
        <w:t> </w:t>
      </w:r>
      <w:r>
        <w:rPr>
          <w:sz w:val="24"/>
        </w:rPr>
        <w:t>de</w:t>
      </w:r>
      <w:r>
        <w:rPr>
          <w:spacing w:val="-7"/>
          <w:sz w:val="24"/>
        </w:rPr>
        <w:t> </w:t>
      </w:r>
      <w:r>
        <w:rPr>
          <w:sz w:val="24"/>
        </w:rPr>
        <w:t>Información</w:t>
      </w:r>
      <w:r>
        <w:rPr>
          <w:spacing w:val="-7"/>
          <w:sz w:val="24"/>
        </w:rPr>
        <w:t> </w:t>
      </w:r>
      <w:r>
        <w:rPr>
          <w:sz w:val="24"/>
        </w:rPr>
        <w:t>Agroalimentaria</w:t>
      </w:r>
      <w:r>
        <w:rPr>
          <w:spacing w:val="-9"/>
          <w:sz w:val="24"/>
        </w:rPr>
        <w:t> </w:t>
      </w:r>
      <w:r>
        <w:rPr>
          <w:sz w:val="24"/>
        </w:rPr>
        <w:t>y</w:t>
      </w:r>
      <w:r>
        <w:rPr>
          <w:spacing w:val="-10"/>
          <w:sz w:val="24"/>
        </w:rPr>
        <w:t> </w:t>
      </w:r>
      <w:r>
        <w:rPr>
          <w:sz w:val="24"/>
        </w:rPr>
        <w:t>Pesquera</w:t>
      </w:r>
      <w:r>
        <w:rPr>
          <w:spacing w:val="-8"/>
          <w:sz w:val="24"/>
        </w:rPr>
        <w:t> </w:t>
      </w:r>
      <w:r>
        <w:rPr>
          <w:sz w:val="24"/>
        </w:rPr>
        <w:t>(SIAP).</w:t>
      </w:r>
      <w:r>
        <w:rPr>
          <w:spacing w:val="-10"/>
          <w:sz w:val="24"/>
        </w:rPr>
        <w:t> </w:t>
      </w:r>
      <w:r>
        <w:rPr>
          <w:sz w:val="24"/>
        </w:rPr>
        <w:t>Boletín</w:t>
      </w:r>
      <w:r>
        <w:rPr>
          <w:spacing w:val="-9"/>
          <w:sz w:val="24"/>
        </w:rPr>
        <w:t> </w:t>
      </w:r>
      <w:r>
        <w:rPr>
          <w:sz w:val="24"/>
        </w:rPr>
        <w:t>de</w:t>
      </w:r>
      <w:r>
        <w:rPr>
          <w:spacing w:val="-7"/>
          <w:sz w:val="24"/>
        </w:rPr>
        <w:t> </w:t>
      </w:r>
      <w:r>
        <w:rPr>
          <w:sz w:val="24"/>
        </w:rPr>
        <w:t>Junio de</w:t>
        <w:tab/>
        <w:t>2015.</w:t>
        <w:tab/>
        <w:t>Panorama</w:t>
        <w:tab/>
        <w:t>de</w:t>
        <w:tab/>
        <w:t>la</w:t>
        <w:tab/>
        <w:t>lechería</w:t>
        <w:tab/>
        <w:t>en</w:t>
        <w:tab/>
        <w:t>México,</w:t>
        <w:tab/>
        <w:t>disponible</w:t>
        <w:tab/>
      </w:r>
      <w:r>
        <w:rPr>
          <w:spacing w:val="-1"/>
          <w:sz w:val="24"/>
        </w:rPr>
        <w:t>en: </w:t>
      </w:r>
      <w:hyperlink r:id="rId70">
        <w:r>
          <w:rPr>
            <w:sz w:val="24"/>
          </w:rPr>
          <w:t>http://www.siap.gob.mx/pdfjs/web/viewer.php?file=b_leche_abrjun2015.pdf</w:t>
        </w:r>
      </w:hyperlink>
      <w:r>
        <w:rPr>
          <w:sz w:val="24"/>
        </w:rPr>
        <w:t> </w:t>
      </w:r>
      <w:r>
        <w:rPr>
          <w:sz w:val="24"/>
          <w:u w:val="single"/>
        </w:rPr>
        <w:t>(Consultado el 12 de Noviembre de</w:t>
      </w:r>
      <w:r>
        <w:rPr>
          <w:spacing w:val="-12"/>
          <w:sz w:val="24"/>
          <w:u w:val="single"/>
        </w:rPr>
        <w:t> </w:t>
      </w:r>
      <w:r>
        <w:rPr>
          <w:sz w:val="24"/>
          <w:u w:val="single"/>
        </w:rPr>
        <w:t>2015).</w:t>
      </w:r>
    </w:p>
    <w:p>
      <w:pPr>
        <w:spacing w:after="0" w:line="480" w:lineRule="auto"/>
        <w:jc w:val="left"/>
        <w:rPr>
          <w:sz w:val="24"/>
        </w:rPr>
        <w:sectPr>
          <w:footerReference w:type="default" r:id="rId69"/>
          <w:pgSz w:w="12240" w:h="15840"/>
          <w:pgMar w:footer="710" w:header="728" w:top="1200" w:bottom="900" w:left="1560" w:right="1560"/>
        </w:sectPr>
      </w:pPr>
    </w:p>
    <w:p>
      <w:pPr>
        <w:pStyle w:val="BodyText"/>
        <w:spacing w:before="7"/>
        <w:rPr>
          <w:sz w:val="12"/>
        </w:rPr>
      </w:pPr>
    </w:p>
    <w:p>
      <w:pPr>
        <w:pStyle w:val="ListParagraph"/>
        <w:numPr>
          <w:ilvl w:val="1"/>
          <w:numId w:val="8"/>
        </w:numPr>
        <w:tabs>
          <w:tab w:pos="862" w:val="left" w:leader="none"/>
        </w:tabs>
        <w:spacing w:line="480" w:lineRule="auto" w:before="69" w:after="0"/>
        <w:ind w:left="862" w:right="144" w:hanging="360"/>
        <w:jc w:val="both"/>
        <w:rPr>
          <w:sz w:val="24"/>
        </w:rPr>
      </w:pPr>
      <w:r>
        <w:rPr>
          <w:sz w:val="24"/>
        </w:rPr>
        <w:t>Picos GJ, Torres VMDJ. Quesos frescos y madurados Microbiología en alimentos:59-82.</w:t>
      </w:r>
    </w:p>
    <w:p>
      <w:pPr>
        <w:pStyle w:val="ListParagraph"/>
        <w:numPr>
          <w:ilvl w:val="1"/>
          <w:numId w:val="8"/>
        </w:numPr>
        <w:tabs>
          <w:tab w:pos="862" w:val="left" w:leader="none"/>
        </w:tabs>
        <w:spacing w:line="480" w:lineRule="auto" w:before="8" w:after="0"/>
        <w:ind w:left="862" w:right="138" w:hanging="360"/>
        <w:jc w:val="both"/>
        <w:rPr>
          <w:sz w:val="24"/>
        </w:rPr>
      </w:pPr>
      <w:r>
        <w:rPr>
          <w:sz w:val="24"/>
        </w:rPr>
        <w:t>Ramírez-López C, Vélez-Ruíz J. Quesos frescos: propiedades, métodos de determinación y factores que afectan su calidad. Temas selectos de Ingeniería en Alimentos</w:t>
      </w:r>
      <w:r>
        <w:rPr>
          <w:spacing w:val="-14"/>
          <w:sz w:val="24"/>
        </w:rPr>
        <w:t> </w:t>
      </w:r>
      <w:r>
        <w:rPr>
          <w:sz w:val="24"/>
        </w:rPr>
        <w:t>2012;6(2):131-148.</w:t>
      </w:r>
    </w:p>
    <w:p>
      <w:pPr>
        <w:pStyle w:val="ListParagraph"/>
        <w:numPr>
          <w:ilvl w:val="1"/>
          <w:numId w:val="8"/>
        </w:numPr>
        <w:tabs>
          <w:tab w:pos="862" w:val="left" w:leader="none"/>
        </w:tabs>
        <w:spacing w:line="480" w:lineRule="auto" w:before="8" w:after="0"/>
        <w:ind w:left="862" w:right="143" w:hanging="360"/>
        <w:jc w:val="both"/>
        <w:rPr>
          <w:sz w:val="24"/>
        </w:rPr>
      </w:pPr>
      <w:r>
        <w:rPr>
          <w:sz w:val="24"/>
        </w:rPr>
        <w:t>Romero CAT, Viesca GFC, Hernández TM. Formación del patrimonio gastronómico del Valle de Toluca, México. Ciencia Ergo Sum 2010;17(3):239-252.</w:t>
      </w:r>
    </w:p>
    <w:p>
      <w:pPr>
        <w:pStyle w:val="ListParagraph"/>
        <w:numPr>
          <w:ilvl w:val="1"/>
          <w:numId w:val="8"/>
        </w:numPr>
        <w:tabs>
          <w:tab w:pos="862" w:val="left" w:leader="none"/>
        </w:tabs>
        <w:spacing w:line="480" w:lineRule="auto" w:before="8" w:after="0"/>
        <w:ind w:left="862" w:right="138" w:hanging="360"/>
        <w:jc w:val="both"/>
        <w:rPr>
          <w:sz w:val="24"/>
        </w:rPr>
      </w:pPr>
      <w:r>
        <w:rPr>
          <w:sz w:val="24"/>
        </w:rPr>
        <w:t>González DJG, Esteban CM, Ponce GN, Contreras PM, Colín NV.</w:t>
      </w:r>
      <w:r>
        <w:rPr>
          <w:spacing w:val="-36"/>
          <w:sz w:val="24"/>
        </w:rPr>
        <w:t> </w:t>
      </w:r>
      <w:r>
        <w:rPr>
          <w:sz w:val="24"/>
        </w:rPr>
        <w:t>Demanda potencial de los quesos artesanales en la ciudad de Toluca, Estado de México. En Álvarez MA, Boucher F, Cervantes EF, Espinoza OA Coord. Agroindustria rural y territorio. Tomo II. México: Universidad Autónoma del Estado de México;</w:t>
      </w:r>
      <w:r>
        <w:rPr>
          <w:spacing w:val="-10"/>
          <w:sz w:val="24"/>
        </w:rPr>
        <w:t> </w:t>
      </w:r>
      <w:r>
        <w:rPr>
          <w:sz w:val="24"/>
        </w:rPr>
        <w:t>2007:305-316.</w:t>
      </w:r>
    </w:p>
    <w:p>
      <w:pPr>
        <w:pStyle w:val="ListParagraph"/>
        <w:numPr>
          <w:ilvl w:val="1"/>
          <w:numId w:val="8"/>
        </w:numPr>
        <w:tabs>
          <w:tab w:pos="862" w:val="left" w:leader="none"/>
          <w:tab w:pos="4440" w:val="left" w:leader="none"/>
          <w:tab w:pos="7790" w:val="left" w:leader="none"/>
        </w:tabs>
        <w:spacing w:line="480" w:lineRule="auto" w:before="8" w:after="0"/>
        <w:ind w:left="862" w:right="138" w:hanging="360"/>
        <w:jc w:val="both"/>
        <w:rPr>
          <w:sz w:val="24"/>
        </w:rPr>
      </w:pPr>
      <w:r>
        <w:rPr>
          <w:sz w:val="24"/>
        </w:rPr>
        <w:t>INEGI. Instituto Nacional de Estadística y Geografía. Prontuario de información geográfica municipal de los Estados Unidos Mexicanos. Toluca, México.</w:t>
        <w:tab/>
        <w:t>2009.</w:t>
        <w:tab/>
        <w:t>Disponible: </w:t>
      </w:r>
      <w:hyperlink r:id="rId72">
        <w:r>
          <w:rPr>
            <w:sz w:val="24"/>
            <w:u w:val="single"/>
          </w:rPr>
          <w:t>http://www3.inegi.org.mx/sistemas/mexicocifras/datos-</w:t>
        </w:r>
      </w:hyperlink>
    </w:p>
    <w:p>
      <w:pPr>
        <w:pStyle w:val="BodyText"/>
        <w:spacing w:before="8"/>
        <w:ind w:left="861" w:right="1550"/>
      </w:pPr>
      <w:hyperlink r:id="rId72">
        <w:r>
          <w:rPr>
            <w:u w:val="single"/>
          </w:rPr>
          <w:t>geograficos/15/15106.pdf</w:t>
        </w:r>
      </w:hyperlink>
      <w:r>
        <w:rPr/>
        <w:t>. Consultado 24 Nov, 2015.</w:t>
      </w:r>
    </w:p>
    <w:p>
      <w:pPr>
        <w:pStyle w:val="BodyText"/>
        <w:spacing w:before="9"/>
        <w:rPr>
          <w:sz w:val="17"/>
        </w:rPr>
      </w:pPr>
    </w:p>
    <w:p>
      <w:pPr>
        <w:pStyle w:val="ListParagraph"/>
        <w:numPr>
          <w:ilvl w:val="1"/>
          <w:numId w:val="8"/>
        </w:numPr>
        <w:tabs>
          <w:tab w:pos="862" w:val="left" w:leader="none"/>
        </w:tabs>
        <w:spacing w:line="480" w:lineRule="auto" w:before="69" w:after="0"/>
        <w:ind w:left="862" w:right="136" w:hanging="360"/>
        <w:jc w:val="both"/>
        <w:rPr>
          <w:sz w:val="24"/>
        </w:rPr>
      </w:pPr>
      <w:r>
        <w:rPr>
          <w:sz w:val="24"/>
        </w:rPr>
        <w:t>Secretaria de Desarrollo Económico (SEDECO), Tianguis del municipio de Toluca, ubicación en Delegaciones, Subdelegaciones y Colonias. Subdirección de Mercados. 12 Jun</w:t>
      </w:r>
      <w:r>
        <w:rPr>
          <w:spacing w:val="-17"/>
          <w:sz w:val="24"/>
        </w:rPr>
        <w:t> </w:t>
      </w:r>
      <w:r>
        <w:rPr>
          <w:sz w:val="24"/>
        </w:rPr>
        <w:t>2014.</w:t>
      </w:r>
    </w:p>
    <w:p>
      <w:pPr>
        <w:pStyle w:val="ListParagraph"/>
        <w:numPr>
          <w:ilvl w:val="1"/>
          <w:numId w:val="8"/>
        </w:numPr>
        <w:tabs>
          <w:tab w:pos="862" w:val="left" w:leader="none"/>
        </w:tabs>
        <w:spacing w:line="480" w:lineRule="auto" w:before="168" w:after="0"/>
        <w:ind w:left="862" w:right="136" w:hanging="360"/>
        <w:jc w:val="both"/>
        <w:rPr>
          <w:sz w:val="24"/>
        </w:rPr>
      </w:pPr>
      <w:r>
        <w:rPr>
          <w:sz w:val="24"/>
        </w:rPr>
        <w:t>NMX-F-718-COFOCALEC-2006 Sistema Producto Leche – Alimentos – Lácteos – Guía para el muestreo de leche y productos</w:t>
      </w:r>
      <w:r>
        <w:rPr>
          <w:spacing w:val="-16"/>
          <w:sz w:val="24"/>
        </w:rPr>
        <w:t> </w:t>
      </w:r>
      <w:r>
        <w:rPr>
          <w:sz w:val="24"/>
        </w:rPr>
        <w:t>lácteos.</w:t>
      </w:r>
    </w:p>
    <w:p>
      <w:pPr>
        <w:spacing w:after="0" w:line="480" w:lineRule="auto"/>
        <w:jc w:val="both"/>
        <w:rPr>
          <w:sz w:val="24"/>
        </w:rPr>
        <w:sectPr>
          <w:footerReference w:type="default" r:id="rId71"/>
          <w:pgSz w:w="12240" w:h="15840"/>
          <w:pgMar w:footer="710" w:header="728" w:top="1200" w:bottom="900" w:left="1560" w:right="1560"/>
          <w:pgNumType w:start="81"/>
        </w:sectPr>
      </w:pPr>
    </w:p>
    <w:p>
      <w:pPr>
        <w:pStyle w:val="BodyText"/>
        <w:spacing w:before="7"/>
        <w:rPr>
          <w:sz w:val="12"/>
        </w:rPr>
      </w:pPr>
    </w:p>
    <w:p>
      <w:pPr>
        <w:pStyle w:val="ListParagraph"/>
        <w:numPr>
          <w:ilvl w:val="1"/>
          <w:numId w:val="8"/>
        </w:numPr>
        <w:tabs>
          <w:tab w:pos="862" w:val="left" w:leader="none"/>
        </w:tabs>
        <w:spacing w:line="480" w:lineRule="auto" w:before="69" w:after="0"/>
        <w:ind w:left="862" w:right="141" w:hanging="360"/>
        <w:jc w:val="both"/>
        <w:rPr>
          <w:sz w:val="24"/>
        </w:rPr>
      </w:pPr>
      <w:r>
        <w:rPr>
          <w:sz w:val="24"/>
        </w:rPr>
        <w:t>NXM-F-083-1986. Alimentos. Determinación de humedad en productos alimenticios. Foods. Moisture in Food Products Determination. normas mexicanas. dirección general de</w:t>
      </w:r>
      <w:r>
        <w:rPr>
          <w:spacing w:val="-16"/>
          <w:sz w:val="24"/>
        </w:rPr>
        <w:t> </w:t>
      </w:r>
      <w:r>
        <w:rPr>
          <w:sz w:val="24"/>
        </w:rPr>
        <w:t>normas.</w:t>
      </w:r>
    </w:p>
    <w:p>
      <w:pPr>
        <w:pStyle w:val="ListParagraph"/>
        <w:numPr>
          <w:ilvl w:val="1"/>
          <w:numId w:val="8"/>
        </w:numPr>
        <w:tabs>
          <w:tab w:pos="862" w:val="left" w:leader="none"/>
        </w:tabs>
        <w:spacing w:line="240" w:lineRule="auto" w:before="8" w:after="0"/>
        <w:ind w:left="862" w:right="0" w:hanging="360"/>
        <w:jc w:val="left"/>
        <w:rPr>
          <w:sz w:val="24"/>
        </w:rPr>
      </w:pPr>
      <w:r>
        <w:rPr>
          <w:sz w:val="24"/>
        </w:rPr>
        <w:t>NMX-F-094-1984.</w:t>
      </w:r>
      <w:r>
        <w:rPr>
          <w:spacing w:val="-9"/>
          <w:sz w:val="24"/>
        </w:rPr>
        <w:t> </w:t>
      </w:r>
      <w:r>
        <w:rPr>
          <w:sz w:val="24"/>
        </w:rPr>
        <w:t>Alimentos.</w:t>
      </w:r>
      <w:r>
        <w:rPr>
          <w:spacing w:val="-9"/>
          <w:sz w:val="24"/>
        </w:rPr>
        <w:t> </w:t>
      </w:r>
      <w:r>
        <w:rPr>
          <w:sz w:val="24"/>
        </w:rPr>
        <w:t>Lácteos.</w:t>
      </w:r>
      <w:r>
        <w:rPr>
          <w:spacing w:val="-9"/>
          <w:sz w:val="24"/>
        </w:rPr>
        <w:t> </w:t>
      </w:r>
      <w:r>
        <w:rPr>
          <w:sz w:val="24"/>
        </w:rPr>
        <w:t>Determinación</w:t>
      </w:r>
      <w:r>
        <w:rPr>
          <w:spacing w:val="-9"/>
          <w:sz w:val="24"/>
        </w:rPr>
        <w:t> </w:t>
      </w:r>
      <w:r>
        <w:rPr>
          <w:sz w:val="24"/>
        </w:rPr>
        <w:t>de</w:t>
      </w:r>
      <w:r>
        <w:rPr>
          <w:spacing w:val="-9"/>
          <w:sz w:val="24"/>
        </w:rPr>
        <w:t> </w:t>
      </w:r>
      <w:r>
        <w:rPr>
          <w:sz w:val="24"/>
        </w:rPr>
        <w:t>cenizas</w:t>
      </w:r>
      <w:r>
        <w:rPr>
          <w:spacing w:val="-10"/>
          <w:sz w:val="24"/>
        </w:rPr>
        <w:t> </w:t>
      </w:r>
      <w:r>
        <w:rPr>
          <w:sz w:val="24"/>
        </w:rPr>
        <w:t>en</w:t>
      </w:r>
      <w:r>
        <w:rPr>
          <w:spacing w:val="-9"/>
          <w:sz w:val="24"/>
        </w:rPr>
        <w:t> </w:t>
      </w:r>
      <w:r>
        <w:rPr>
          <w:sz w:val="24"/>
        </w:rPr>
        <w:t>quesos.</w:t>
      </w:r>
    </w:p>
    <w:p>
      <w:pPr>
        <w:pStyle w:val="BodyText"/>
      </w:pPr>
    </w:p>
    <w:p>
      <w:pPr>
        <w:pStyle w:val="BodyText"/>
        <w:tabs>
          <w:tab w:pos="1746" w:val="left" w:leader="none"/>
          <w:tab w:pos="3002" w:val="left" w:leader="none"/>
          <w:tab w:pos="4046" w:val="left" w:leader="none"/>
          <w:tab w:pos="4931" w:val="left" w:leader="none"/>
          <w:tab w:pos="6705" w:val="left" w:leader="none"/>
          <w:tab w:pos="7761" w:val="left" w:leader="none"/>
        </w:tabs>
        <w:spacing w:line="480" w:lineRule="auto"/>
        <w:ind w:left="861" w:right="145"/>
      </w:pPr>
      <w:r>
        <w:rPr/>
        <w:t>Foods</w:t>
        <w:tab/>
        <w:t>Lacteous.</w:t>
        <w:tab/>
        <w:t>Cheese</w:t>
        <w:tab/>
        <w:t>Ashes</w:t>
        <w:tab/>
        <w:t>Determination.</w:t>
        <w:tab/>
        <w:t>Normas</w:t>
        <w:tab/>
      </w:r>
      <w:r>
        <w:rPr>
          <w:spacing w:val="-1"/>
        </w:rPr>
        <w:t>Mexicanas. </w:t>
      </w:r>
      <w:r>
        <w:rPr/>
        <w:t>Dirección General de</w:t>
      </w:r>
      <w:r>
        <w:rPr>
          <w:spacing w:val="-6"/>
        </w:rPr>
        <w:t> </w:t>
      </w:r>
      <w:r>
        <w:rPr/>
        <w:t>Normas.</w:t>
      </w:r>
    </w:p>
    <w:p>
      <w:pPr>
        <w:pStyle w:val="ListParagraph"/>
        <w:numPr>
          <w:ilvl w:val="1"/>
          <w:numId w:val="8"/>
        </w:numPr>
        <w:tabs>
          <w:tab w:pos="862" w:val="left" w:leader="none"/>
        </w:tabs>
        <w:spacing w:line="480" w:lineRule="auto" w:before="8" w:after="0"/>
        <w:ind w:left="862" w:right="142" w:hanging="360"/>
        <w:jc w:val="both"/>
        <w:rPr>
          <w:sz w:val="24"/>
        </w:rPr>
      </w:pPr>
      <w:r>
        <w:rPr>
          <w:sz w:val="24"/>
        </w:rPr>
        <w:t>NMX-F-360-S-1981. Alimentos para humanos. Determinación de cloruros como Cloruro de Sodio (Método de Volhard).Foods for humans. Determination of chlorides as Sodium Chloride (Volhard method).Normas Mexicanas. Dirección General de</w:t>
      </w:r>
      <w:r>
        <w:rPr>
          <w:spacing w:val="-14"/>
          <w:sz w:val="24"/>
        </w:rPr>
        <w:t> </w:t>
      </w:r>
      <w:r>
        <w:rPr>
          <w:sz w:val="24"/>
        </w:rPr>
        <w:t>Normas.</w:t>
      </w:r>
    </w:p>
    <w:p>
      <w:pPr>
        <w:pStyle w:val="ListParagraph"/>
        <w:numPr>
          <w:ilvl w:val="1"/>
          <w:numId w:val="8"/>
        </w:numPr>
        <w:tabs>
          <w:tab w:pos="862" w:val="left" w:leader="none"/>
        </w:tabs>
        <w:spacing w:line="480" w:lineRule="auto" w:before="8" w:after="0"/>
        <w:ind w:left="862" w:right="141" w:hanging="360"/>
        <w:jc w:val="both"/>
        <w:rPr>
          <w:sz w:val="24"/>
        </w:rPr>
      </w:pPr>
      <w:r>
        <w:rPr>
          <w:sz w:val="24"/>
        </w:rPr>
        <w:t>NMX-F-100-1984. Alimentos Lácteos. Determinación de grasa butírica en quesos. Foods Lacteous. Cheese butter fat determination. Normas Mexicanas. Dirección General de</w:t>
      </w:r>
      <w:r>
        <w:rPr>
          <w:spacing w:val="-14"/>
          <w:sz w:val="24"/>
        </w:rPr>
        <w:t> </w:t>
      </w:r>
      <w:r>
        <w:rPr>
          <w:sz w:val="24"/>
        </w:rPr>
        <w:t>Normas.</w:t>
      </w:r>
    </w:p>
    <w:p>
      <w:pPr>
        <w:pStyle w:val="ListParagraph"/>
        <w:numPr>
          <w:ilvl w:val="1"/>
          <w:numId w:val="8"/>
        </w:numPr>
        <w:tabs>
          <w:tab w:pos="862" w:val="left" w:leader="none"/>
        </w:tabs>
        <w:spacing w:line="480" w:lineRule="auto" w:before="8" w:after="0"/>
        <w:ind w:left="862" w:right="142" w:hanging="360"/>
        <w:jc w:val="both"/>
        <w:rPr>
          <w:sz w:val="24"/>
        </w:rPr>
      </w:pPr>
      <w:r>
        <w:rPr>
          <w:sz w:val="24"/>
        </w:rPr>
        <w:t>NMX-F-098-1976. Determinación de proteínas en quesos. Method of test for protein in cheese. Normas Mexicanas. Dirección General de</w:t>
      </w:r>
      <w:r>
        <w:rPr>
          <w:spacing w:val="-21"/>
          <w:sz w:val="24"/>
        </w:rPr>
        <w:t> </w:t>
      </w:r>
      <w:r>
        <w:rPr>
          <w:sz w:val="24"/>
        </w:rPr>
        <w:t>Normas.</w:t>
      </w:r>
    </w:p>
    <w:p>
      <w:pPr>
        <w:pStyle w:val="ListParagraph"/>
        <w:numPr>
          <w:ilvl w:val="1"/>
          <w:numId w:val="8"/>
        </w:numPr>
        <w:tabs>
          <w:tab w:pos="862" w:val="left" w:leader="none"/>
        </w:tabs>
        <w:spacing w:line="480" w:lineRule="auto" w:before="8" w:after="0"/>
        <w:ind w:left="862" w:right="202" w:hanging="360"/>
        <w:jc w:val="left"/>
        <w:rPr>
          <w:sz w:val="24"/>
        </w:rPr>
      </w:pPr>
      <w:r>
        <w:rPr>
          <w:sz w:val="24"/>
        </w:rPr>
        <w:t>INEGI. Instituto Nacional de Estadística y Geografía. Mapa del Estado de México. Disponible: </w:t>
      </w:r>
      <w:hyperlink r:id="rId73">
        <w:r>
          <w:rPr>
            <w:spacing w:val="-1"/>
            <w:sz w:val="24"/>
            <w:u w:val="single"/>
          </w:rPr>
          <w:t>http://cuentame.inegi.org.mx/mapas/pdf/entidades/div_municipal/mexicompi</w:t>
        </w:r>
      </w:hyperlink>
    </w:p>
    <w:p>
      <w:pPr>
        <w:pStyle w:val="BodyText"/>
        <w:spacing w:before="6"/>
        <w:ind w:left="861" w:right="1550"/>
      </w:pPr>
      <w:hyperlink r:id="rId73">
        <w:r>
          <w:rPr>
            <w:u w:val="single"/>
          </w:rPr>
          <w:t>os.pdf</w:t>
        </w:r>
      </w:hyperlink>
      <w:r>
        <w:rPr>
          <w:u w:val="single"/>
        </w:rPr>
        <w:t>.</w:t>
      </w:r>
      <w:r>
        <w:rPr/>
        <w:t>Consultado 24 Nov, 2015.</w:t>
      </w:r>
    </w:p>
    <w:p>
      <w:pPr>
        <w:pStyle w:val="BodyText"/>
        <w:spacing w:before="11"/>
        <w:rPr>
          <w:sz w:val="17"/>
        </w:rPr>
      </w:pPr>
    </w:p>
    <w:p>
      <w:pPr>
        <w:pStyle w:val="ListParagraph"/>
        <w:numPr>
          <w:ilvl w:val="1"/>
          <w:numId w:val="8"/>
        </w:numPr>
        <w:tabs>
          <w:tab w:pos="862" w:val="left" w:leader="none"/>
        </w:tabs>
        <w:spacing w:line="480" w:lineRule="auto" w:before="69" w:after="0"/>
        <w:ind w:left="862" w:right="143" w:hanging="360"/>
        <w:jc w:val="left"/>
        <w:rPr>
          <w:sz w:val="24"/>
        </w:rPr>
      </w:pPr>
      <w:r>
        <w:rPr>
          <w:sz w:val="24"/>
        </w:rPr>
        <w:t>Sepúlveda D, Olivas GI, Molina J. Productos lácteos. Gardea BAA, González GA, Higuera-Ciapara I, Cuamea NF editores. Buenas prácticas en la producción de alimentos, México: Editorial Trillas;</w:t>
      </w:r>
      <w:r>
        <w:rPr>
          <w:spacing w:val="-23"/>
          <w:sz w:val="24"/>
        </w:rPr>
        <w:t> </w:t>
      </w:r>
      <w:r>
        <w:rPr>
          <w:sz w:val="24"/>
        </w:rPr>
        <w:t>2007:351-379.</w:t>
      </w:r>
    </w:p>
    <w:p>
      <w:pPr>
        <w:spacing w:after="0" w:line="480" w:lineRule="auto"/>
        <w:jc w:val="left"/>
        <w:rPr>
          <w:sz w:val="24"/>
        </w:rPr>
        <w:sectPr>
          <w:pgSz w:w="12240" w:h="15840"/>
          <w:pgMar w:header="728" w:footer="710" w:top="1200" w:bottom="900" w:left="1560" w:right="1560"/>
        </w:sectPr>
      </w:pPr>
    </w:p>
    <w:p>
      <w:pPr>
        <w:pStyle w:val="BodyText"/>
        <w:spacing w:before="7"/>
        <w:rPr>
          <w:sz w:val="12"/>
        </w:rPr>
      </w:pPr>
    </w:p>
    <w:p>
      <w:pPr>
        <w:pStyle w:val="ListParagraph"/>
        <w:numPr>
          <w:ilvl w:val="1"/>
          <w:numId w:val="8"/>
        </w:numPr>
        <w:tabs>
          <w:tab w:pos="862" w:val="left" w:leader="none"/>
        </w:tabs>
        <w:spacing w:line="480" w:lineRule="auto" w:before="69" w:after="0"/>
        <w:ind w:left="862" w:right="144" w:hanging="360"/>
        <w:jc w:val="both"/>
        <w:rPr>
          <w:sz w:val="24"/>
        </w:rPr>
      </w:pPr>
      <w:r>
        <w:rPr>
          <w:sz w:val="24"/>
        </w:rPr>
        <w:t>Food and Agriculture Organization of the United Nations, World Healht Organization. Codex alimentarius. Código de prácticas de higiene para la leche y los productos lácteos. CAC/RCP</w:t>
      </w:r>
      <w:r>
        <w:rPr>
          <w:spacing w:val="-11"/>
          <w:sz w:val="24"/>
        </w:rPr>
        <w:t> </w:t>
      </w:r>
      <w:r>
        <w:rPr>
          <w:sz w:val="24"/>
        </w:rPr>
        <w:t>57-2004.</w:t>
      </w:r>
    </w:p>
    <w:p>
      <w:pPr>
        <w:pStyle w:val="ListParagraph"/>
        <w:numPr>
          <w:ilvl w:val="1"/>
          <w:numId w:val="8"/>
        </w:numPr>
        <w:tabs>
          <w:tab w:pos="862" w:val="left" w:leader="none"/>
        </w:tabs>
        <w:spacing w:line="480" w:lineRule="auto" w:before="8" w:after="0"/>
        <w:ind w:left="862" w:right="428" w:hanging="360"/>
        <w:jc w:val="left"/>
        <w:rPr>
          <w:sz w:val="24"/>
        </w:rPr>
      </w:pPr>
      <w:r>
        <w:rPr>
          <w:sz w:val="24"/>
        </w:rPr>
        <w:t>Velázquez-Ordoñez V, Valladares CB, Gutiérrez CADC, Talavera RM, Pescador SN, Valés R. Milk production and Safety food. Švarc-GajiӔ . Editor. In : Nutritional Insights and Food Safety. Nova Science</w:t>
      </w:r>
      <w:r>
        <w:rPr>
          <w:spacing w:val="-27"/>
          <w:sz w:val="24"/>
        </w:rPr>
        <w:t> </w:t>
      </w:r>
      <w:r>
        <w:rPr>
          <w:sz w:val="24"/>
        </w:rPr>
        <w:t>Publishers, New York;</w:t>
      </w:r>
      <w:r>
        <w:rPr>
          <w:spacing w:val="-5"/>
          <w:sz w:val="24"/>
        </w:rPr>
        <w:t> </w:t>
      </w:r>
      <w:r>
        <w:rPr>
          <w:sz w:val="24"/>
        </w:rPr>
        <w:t>2011:335-359.</w:t>
      </w:r>
    </w:p>
    <w:p>
      <w:pPr>
        <w:pStyle w:val="ListParagraph"/>
        <w:numPr>
          <w:ilvl w:val="1"/>
          <w:numId w:val="8"/>
        </w:numPr>
        <w:tabs>
          <w:tab w:pos="862" w:val="left" w:leader="none"/>
        </w:tabs>
        <w:spacing w:line="480" w:lineRule="auto" w:before="8" w:after="0"/>
        <w:ind w:left="862" w:right="293" w:hanging="360"/>
        <w:jc w:val="left"/>
        <w:rPr>
          <w:sz w:val="24"/>
        </w:rPr>
      </w:pPr>
      <w:r>
        <w:rPr>
          <w:sz w:val="24"/>
        </w:rPr>
        <w:t>Cesín VA, Aliphat FM, Ramírez VB, Herrera HJG, Martínez CD. Ganadería lechera familiar y producción de queso. Estudio en tres comunidades del municipio de Tetlatlahuca en el estado de Tlaxcala, México. Téc Pecu Mex 2007;</w:t>
      </w:r>
      <w:r>
        <w:rPr>
          <w:spacing w:val="-6"/>
          <w:sz w:val="24"/>
        </w:rPr>
        <w:t> </w:t>
      </w:r>
      <w:r>
        <w:rPr>
          <w:sz w:val="24"/>
        </w:rPr>
        <w:t>45(1):61-76.</w:t>
      </w:r>
    </w:p>
    <w:p>
      <w:pPr>
        <w:pStyle w:val="ListParagraph"/>
        <w:numPr>
          <w:ilvl w:val="1"/>
          <w:numId w:val="8"/>
        </w:numPr>
        <w:tabs>
          <w:tab w:pos="862" w:val="left" w:leader="none"/>
        </w:tabs>
        <w:spacing w:line="480" w:lineRule="auto" w:before="8" w:after="0"/>
        <w:ind w:left="862" w:right="189" w:hanging="360"/>
        <w:jc w:val="left"/>
        <w:rPr>
          <w:sz w:val="24"/>
        </w:rPr>
      </w:pPr>
      <w:r>
        <w:rPr>
          <w:sz w:val="24"/>
        </w:rPr>
        <w:t>Sánchez VJJ, Colín NV, López GF, Avilés NF, Castelán OOA, Estrada</w:t>
      </w:r>
      <w:r>
        <w:rPr>
          <w:spacing w:val="-24"/>
          <w:sz w:val="24"/>
        </w:rPr>
        <w:t> </w:t>
      </w:r>
      <w:r>
        <w:rPr>
          <w:sz w:val="24"/>
        </w:rPr>
        <w:t>FJG. Caracterización del queso madurado Zacazonapan producido en el Estado de México [Resumen]. 13er. Congreso Nacional de Investigación Socioeconómica y Ambiental de la Producción Pecuaria, Colegio de Posgraduados. Puebla, Pue.</w:t>
      </w:r>
      <w:r>
        <w:rPr>
          <w:spacing w:val="-18"/>
          <w:sz w:val="24"/>
        </w:rPr>
        <w:t> </w:t>
      </w:r>
      <w:r>
        <w:rPr>
          <w:sz w:val="24"/>
        </w:rPr>
        <w:t>2012:183.</w:t>
      </w:r>
    </w:p>
    <w:p>
      <w:pPr>
        <w:spacing w:after="0" w:line="480" w:lineRule="auto"/>
        <w:jc w:val="left"/>
        <w:rPr>
          <w:sz w:val="24"/>
        </w:rPr>
        <w:sectPr>
          <w:pgSz w:w="12240" w:h="15840"/>
          <w:pgMar w:header="728" w:footer="710" w:top="1200" w:bottom="900" w:left="1560" w:right="1560"/>
        </w:sectPr>
      </w:pPr>
    </w:p>
    <w:p>
      <w:pPr>
        <w:pStyle w:val="BodyText"/>
        <w:spacing w:before="7"/>
        <w:rPr>
          <w:sz w:val="12"/>
        </w:rPr>
      </w:pPr>
    </w:p>
    <w:p>
      <w:pPr>
        <w:pStyle w:val="BodyText"/>
        <w:spacing w:before="69"/>
        <w:ind w:left="861" w:right="1550"/>
      </w:pPr>
      <w:r>
        <w:rPr/>
        <w:drawing>
          <wp:anchor distT="0" distB="0" distL="0" distR="0" allowOverlap="1" layoutInCell="1" locked="0" behindDoc="0" simplePos="0" relativeHeight="2560">
            <wp:simplePos x="0" y="0"/>
            <wp:positionH relativeFrom="page">
              <wp:posOffset>4395215</wp:posOffset>
            </wp:positionH>
            <wp:positionV relativeFrom="paragraph">
              <wp:posOffset>1405710</wp:posOffset>
            </wp:positionV>
            <wp:extent cx="131274" cy="119062"/>
            <wp:effectExtent l="0" t="0" r="0" b="0"/>
            <wp:wrapNone/>
            <wp:docPr id="31" name="image41.png" descr=""/>
            <wp:cNvGraphicFramePr>
              <a:graphicFrameLocks noChangeAspect="1"/>
            </wp:cNvGraphicFramePr>
            <a:graphic>
              <a:graphicData uri="http://schemas.openxmlformats.org/drawingml/2006/picture">
                <pic:pic>
                  <pic:nvPicPr>
                    <pic:cNvPr id="32" name="image41.png"/>
                    <pic:cNvPicPr/>
                  </pic:nvPicPr>
                  <pic:blipFill>
                    <a:blip r:embed="rId74" cstate="print"/>
                    <a:stretch>
                      <a:fillRect/>
                    </a:stretch>
                  </pic:blipFill>
                  <pic:spPr>
                    <a:xfrm>
                      <a:off x="0" y="0"/>
                      <a:ext cx="131274" cy="119062"/>
                    </a:xfrm>
                    <a:prstGeom prst="rect">
                      <a:avLst/>
                    </a:prstGeom>
                  </pic:spPr>
                </pic:pic>
              </a:graphicData>
            </a:graphic>
          </wp:anchor>
        </w:drawing>
      </w:r>
      <w:r>
        <w:rPr/>
        <w:t>FIGURAS Y CUADROS</w:t>
      </w:r>
    </w:p>
    <w:p>
      <w:pPr>
        <w:pStyle w:val="BodyText"/>
        <w:spacing w:before="10"/>
        <w:rPr>
          <w:sz w:val="20"/>
        </w:rPr>
      </w:pPr>
      <w:r>
        <w:rPr/>
        <w:drawing>
          <wp:anchor distT="0" distB="0" distL="0" distR="0" allowOverlap="1" layoutInCell="1" locked="0" behindDoc="0" simplePos="0" relativeHeight="2536">
            <wp:simplePos x="0" y="0"/>
            <wp:positionH relativeFrom="page">
              <wp:posOffset>1537716</wp:posOffset>
            </wp:positionH>
            <wp:positionV relativeFrom="paragraph">
              <wp:posOffset>177762</wp:posOffset>
            </wp:positionV>
            <wp:extent cx="2611490" cy="2046351"/>
            <wp:effectExtent l="0" t="0" r="0" b="0"/>
            <wp:wrapTopAndBottom/>
            <wp:docPr id="33" name="image17.jpeg" descr=""/>
            <wp:cNvGraphicFramePr>
              <a:graphicFrameLocks noChangeAspect="1"/>
            </wp:cNvGraphicFramePr>
            <a:graphic>
              <a:graphicData uri="http://schemas.openxmlformats.org/drawingml/2006/picture">
                <pic:pic>
                  <pic:nvPicPr>
                    <pic:cNvPr id="34" name="image17.jpeg"/>
                    <pic:cNvPicPr/>
                  </pic:nvPicPr>
                  <pic:blipFill>
                    <a:blip r:embed="rId39" cstate="print"/>
                    <a:stretch>
                      <a:fillRect/>
                    </a:stretch>
                  </pic:blipFill>
                  <pic:spPr>
                    <a:xfrm>
                      <a:off x="0" y="0"/>
                      <a:ext cx="2611490" cy="2046351"/>
                    </a:xfrm>
                    <a:prstGeom prst="rect">
                      <a:avLst/>
                    </a:prstGeom>
                  </pic:spPr>
                </pic:pic>
              </a:graphicData>
            </a:graphic>
          </wp:anchor>
        </w:drawing>
      </w:r>
      <w:r>
        <w:rPr/>
        <w:pict>
          <v:shape style="position:absolute;margin-left:344.709991pt;margin-top:72.217049pt;width:86.3pt;height:67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11"/>
                  </w:tblGrid>
                  <w:tr>
                    <w:trPr>
                      <w:trHeight w:val="348" w:hRule="exact"/>
                    </w:trPr>
                    <w:tc>
                      <w:tcPr>
                        <w:tcW w:w="1711" w:type="dxa"/>
                        <w:shd w:val="clear" w:color="auto" w:fill="000000"/>
                      </w:tcPr>
                      <w:p>
                        <w:pPr/>
                      </w:p>
                    </w:tc>
                  </w:tr>
                  <w:tr>
                    <w:trPr>
                      <w:trHeight w:val="336" w:hRule="exact"/>
                    </w:trPr>
                    <w:tc>
                      <w:tcPr>
                        <w:tcW w:w="1711" w:type="dxa"/>
                        <w:tcBorders>
                          <w:left w:val="single" w:sz="4" w:space="0" w:color="000000"/>
                          <w:bottom w:val="single" w:sz="4" w:space="0" w:color="000000"/>
                          <w:right w:val="single" w:sz="4" w:space="0" w:color="000000"/>
                        </w:tcBorders>
                      </w:tcPr>
                      <w:p>
                        <w:pPr>
                          <w:pStyle w:val="TableParagraph"/>
                          <w:spacing w:line="183" w:lineRule="exact"/>
                          <w:ind w:left="338"/>
                          <w:jc w:val="left"/>
                          <w:rPr>
                            <w:sz w:val="16"/>
                          </w:rPr>
                        </w:pPr>
                        <w:r>
                          <w:rPr>
                            <w:sz w:val="16"/>
                          </w:rPr>
                          <w:t>Valle de Toluca</w:t>
                        </w:r>
                      </w:p>
                    </w:tc>
                  </w:tr>
                  <w:tr>
                    <w:trPr>
                      <w:trHeight w:val="312" w:hRule="exact"/>
                    </w:trPr>
                    <w:tc>
                      <w:tcPr>
                        <w:tcW w:w="1711" w:type="dxa"/>
                        <w:tcBorders>
                          <w:top w:val="single" w:sz="4" w:space="0" w:color="000000"/>
                          <w:left w:val="single" w:sz="4" w:space="0" w:color="000000"/>
                          <w:bottom w:val="single" w:sz="4" w:space="0" w:color="000000"/>
                          <w:right w:val="single" w:sz="4" w:space="0" w:color="000000"/>
                        </w:tcBorders>
                      </w:tcPr>
                      <w:p>
                        <w:pPr>
                          <w:pStyle w:val="TableParagraph"/>
                          <w:spacing w:line="245" w:lineRule="exact"/>
                          <w:ind w:left="10"/>
                          <w:jc w:val="left"/>
                          <w:rPr>
                            <w:sz w:val="16"/>
                          </w:rPr>
                        </w:pPr>
                        <w:r>
                          <w:rPr>
                            <w:position w:val="-9"/>
                          </w:rPr>
                          <w:drawing>
                            <wp:inline distT="0" distB="0" distL="0" distR="0">
                              <wp:extent cx="131274" cy="119062"/>
                              <wp:effectExtent l="0" t="0" r="0" b="0"/>
                              <wp:docPr id="35" name="image18.png" descr=""/>
                              <wp:cNvGraphicFramePr>
                                <a:graphicFrameLocks noChangeAspect="1"/>
                              </wp:cNvGraphicFramePr>
                              <a:graphic>
                                <a:graphicData uri="http://schemas.openxmlformats.org/drawingml/2006/picture">
                                  <pic:pic>
                                    <pic:nvPicPr>
                                      <pic:cNvPr id="36" name="image18.png"/>
                                      <pic:cNvPicPr/>
                                    </pic:nvPicPr>
                                    <pic:blipFill>
                                      <a:blip r:embed="rId40" cstate="print"/>
                                      <a:stretch>
                                        <a:fillRect/>
                                      </a:stretch>
                                    </pic:blipFill>
                                    <pic:spPr>
                                      <a:xfrm>
                                        <a:off x="0" y="0"/>
                                        <a:ext cx="131274" cy="119062"/>
                                      </a:xfrm>
                                      <a:prstGeom prst="rect">
                                        <a:avLst/>
                                      </a:prstGeom>
                                    </pic:spPr>
                                  </pic:pic>
                                </a:graphicData>
                              </a:graphic>
                            </wp:inline>
                          </w:drawing>
                        </w:r>
                        <w:r>
                          <w:rPr>
                            <w:position w:val="-9"/>
                          </w:rPr>
                        </w:r>
                        <w:r>
                          <w:rPr>
                            <w:rFonts w:ascii="Times New Roman" w:hAnsi="Times New Roman"/>
                            <w:sz w:val="20"/>
                          </w:rPr>
                          <w:t> </w:t>
                        </w:r>
                        <w:r>
                          <w:rPr>
                            <w:sz w:val="16"/>
                          </w:rPr>
                          <w:t>Estado de</w:t>
                        </w:r>
                        <w:r>
                          <w:rPr>
                            <w:spacing w:val="-20"/>
                            <w:sz w:val="16"/>
                          </w:rPr>
                          <w:t> </w:t>
                        </w:r>
                        <w:r>
                          <w:rPr>
                            <w:sz w:val="16"/>
                          </w:rPr>
                          <w:t>México</w:t>
                        </w:r>
                      </w:p>
                    </w:tc>
                  </w:tr>
                  <w:tr>
                    <w:trPr>
                      <w:trHeight w:val="338" w:hRule="exact"/>
                    </w:trPr>
                    <w:tc>
                      <w:tcPr>
                        <w:tcW w:w="1711" w:type="dxa"/>
                        <w:tcBorders>
                          <w:top w:val="single" w:sz="4" w:space="0" w:color="000000"/>
                          <w:left w:val="single" w:sz="4" w:space="0" w:color="000000"/>
                          <w:bottom w:val="single" w:sz="4" w:space="0" w:color="000000"/>
                          <w:right w:val="single" w:sz="4" w:space="0" w:color="000000"/>
                        </w:tcBorders>
                      </w:tcPr>
                      <w:p>
                        <w:pPr>
                          <w:pStyle w:val="TableParagraph"/>
                          <w:spacing w:line="250" w:lineRule="exact"/>
                          <w:ind w:left="34"/>
                          <w:jc w:val="left"/>
                          <w:rPr>
                            <w:sz w:val="16"/>
                          </w:rPr>
                        </w:pPr>
                        <w:r>
                          <w:rPr>
                            <w:position w:val="-9"/>
                          </w:rPr>
                          <w:drawing>
                            <wp:inline distT="0" distB="0" distL="0" distR="0">
                              <wp:extent cx="117997" cy="128587"/>
                              <wp:effectExtent l="0" t="0" r="0" b="0"/>
                              <wp:docPr id="37" name="image42.png" descr=""/>
                              <wp:cNvGraphicFramePr>
                                <a:graphicFrameLocks noChangeAspect="1"/>
                              </wp:cNvGraphicFramePr>
                              <a:graphic>
                                <a:graphicData uri="http://schemas.openxmlformats.org/drawingml/2006/picture">
                                  <pic:pic>
                                    <pic:nvPicPr>
                                      <pic:cNvPr id="38" name="image42.png"/>
                                      <pic:cNvPicPr/>
                                    </pic:nvPicPr>
                                    <pic:blipFill>
                                      <a:blip r:embed="rId75" cstate="print"/>
                                      <a:stretch>
                                        <a:fillRect/>
                                      </a:stretch>
                                    </pic:blipFill>
                                    <pic:spPr>
                                      <a:xfrm>
                                        <a:off x="0" y="0"/>
                                        <a:ext cx="117997" cy="128587"/>
                                      </a:xfrm>
                                      <a:prstGeom prst="rect">
                                        <a:avLst/>
                                      </a:prstGeom>
                                    </pic:spPr>
                                  </pic:pic>
                                </a:graphicData>
                              </a:graphic>
                            </wp:inline>
                          </w:drawing>
                        </w:r>
                        <w:r>
                          <w:rPr>
                            <w:position w:val="-9"/>
                          </w:rPr>
                        </w:r>
                        <w:r>
                          <w:rPr>
                            <w:rFonts w:ascii="Times New Roman"/>
                            <w:sz w:val="20"/>
                          </w:rPr>
                          <w:t> </w:t>
                        </w:r>
                        <w:r>
                          <w:rPr>
                            <w:spacing w:val="-3"/>
                            <w:sz w:val="16"/>
                          </w:rPr>
                          <w:t>Toluca</w:t>
                        </w:r>
                      </w:p>
                    </w:tc>
                  </w:tr>
                </w:tbl>
                <w:p>
                  <w:pPr>
                    <w:pStyle w:val="BodyText"/>
                  </w:pPr>
                </w:p>
              </w:txbxContent>
            </v:textbox>
            <w10:wrap type="topAndBottom"/>
          </v:shape>
        </w:pict>
      </w:r>
    </w:p>
    <w:p>
      <w:pPr>
        <w:pStyle w:val="BodyText"/>
        <w:spacing w:before="6"/>
        <w:rPr>
          <w:sz w:val="35"/>
        </w:rPr>
      </w:pPr>
    </w:p>
    <w:p>
      <w:pPr>
        <w:pStyle w:val="BodyText"/>
        <w:spacing w:line="276" w:lineRule="exact" w:before="1"/>
        <w:ind w:left="861" w:right="63"/>
      </w:pPr>
      <w:r>
        <w:rPr/>
        <w:t>Figura</w:t>
      </w:r>
      <w:r>
        <w:rPr>
          <w:spacing w:val="-17"/>
        </w:rPr>
        <w:t> </w:t>
      </w:r>
      <w:r>
        <w:rPr/>
        <w:t>1:</w:t>
      </w:r>
      <w:r>
        <w:rPr>
          <w:spacing w:val="-17"/>
        </w:rPr>
        <w:t> </w:t>
      </w:r>
      <w:r>
        <w:rPr/>
        <w:t>Procedencia</w:t>
      </w:r>
      <w:r>
        <w:rPr>
          <w:spacing w:val="-21"/>
        </w:rPr>
        <w:t> </w:t>
      </w:r>
      <w:r>
        <w:rPr/>
        <w:t>de</w:t>
      </w:r>
      <w:r>
        <w:rPr>
          <w:spacing w:val="-17"/>
        </w:rPr>
        <w:t> </w:t>
      </w:r>
      <w:r>
        <w:rPr/>
        <w:t>los</w:t>
      </w:r>
      <w:r>
        <w:rPr>
          <w:spacing w:val="-18"/>
        </w:rPr>
        <w:t> </w:t>
      </w:r>
      <w:r>
        <w:rPr/>
        <w:t>quesos</w:t>
      </w:r>
      <w:r>
        <w:rPr>
          <w:spacing w:val="-19"/>
        </w:rPr>
        <w:t> </w:t>
      </w:r>
      <w:r>
        <w:rPr/>
        <w:t>en</w:t>
      </w:r>
      <w:r>
        <w:rPr>
          <w:spacing w:val="-18"/>
        </w:rPr>
        <w:t> </w:t>
      </w:r>
      <w:r>
        <w:rPr/>
        <w:t>mercados</w:t>
      </w:r>
      <w:r>
        <w:rPr>
          <w:spacing w:val="-19"/>
        </w:rPr>
        <w:t> </w:t>
      </w:r>
      <w:r>
        <w:rPr/>
        <w:t>y</w:t>
      </w:r>
      <w:r>
        <w:rPr>
          <w:spacing w:val="-19"/>
        </w:rPr>
        <w:t> </w:t>
      </w:r>
      <w:r>
        <w:rPr/>
        <w:t>tianguis</w:t>
      </w:r>
      <w:r>
        <w:rPr>
          <w:spacing w:val="-18"/>
        </w:rPr>
        <w:t> </w:t>
      </w:r>
      <w:r>
        <w:rPr/>
        <w:t>en</w:t>
      </w:r>
      <w:r>
        <w:rPr>
          <w:spacing w:val="-18"/>
        </w:rPr>
        <w:t> </w:t>
      </w:r>
      <w:r>
        <w:rPr/>
        <w:t>Toluca</w:t>
      </w:r>
      <w:r>
        <w:rPr>
          <w:spacing w:val="-17"/>
        </w:rPr>
        <w:t> </w:t>
      </w:r>
      <w:r>
        <w:rPr/>
        <w:t>(mapa INEGI</w:t>
      </w:r>
      <w:r>
        <w:rPr>
          <w:spacing w:val="-4"/>
        </w:rPr>
        <w:t> </w:t>
      </w:r>
      <w:r>
        <w:rPr/>
        <w:t>2015)</w:t>
      </w:r>
      <w:r>
        <w:rPr>
          <w:position w:val="8"/>
          <w:sz w:val="16"/>
        </w:rPr>
        <w:t>(23)</w:t>
      </w:r>
      <w:r>
        <w:rPr/>
        <w:t>.</w:t>
      </w:r>
    </w:p>
    <w:p>
      <w:pPr>
        <w:pStyle w:val="BodyText"/>
      </w:pPr>
    </w:p>
    <w:tbl>
      <w:tblPr>
        <w:tblW w:w="0" w:type="auto"/>
        <w:jc w:val="left"/>
        <w:tblInd w:w="24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84"/>
        <w:gridCol w:w="2086"/>
      </w:tblGrid>
      <w:tr>
        <w:trPr>
          <w:trHeight w:val="516" w:hRule="exact"/>
        </w:trPr>
        <w:tc>
          <w:tcPr>
            <w:tcW w:w="2084" w:type="dxa"/>
          </w:tcPr>
          <w:p>
            <w:pPr>
              <w:pStyle w:val="TableParagraph"/>
              <w:spacing w:line="251" w:lineRule="exact"/>
              <w:ind w:left="86" w:right="198"/>
              <w:rPr>
                <w:sz w:val="22"/>
              </w:rPr>
            </w:pPr>
            <w:r>
              <w:rPr>
                <w:sz w:val="22"/>
              </w:rPr>
              <w:t>Región de Abasto</w:t>
            </w:r>
          </w:p>
        </w:tc>
        <w:tc>
          <w:tcPr>
            <w:tcW w:w="2086" w:type="dxa"/>
          </w:tcPr>
          <w:p>
            <w:pPr>
              <w:pStyle w:val="TableParagraph"/>
              <w:tabs>
                <w:tab w:pos="1727" w:val="left" w:leader="none"/>
              </w:tabs>
              <w:spacing w:line="242" w:lineRule="auto"/>
              <w:ind w:right="101" w:firstLine="62"/>
              <w:jc w:val="left"/>
              <w:rPr>
                <w:sz w:val="22"/>
              </w:rPr>
            </w:pPr>
            <w:r>
              <w:rPr>
                <w:sz w:val="22"/>
              </w:rPr>
              <w:t>Muestras</w:t>
              <w:tab/>
              <w:t>de queso %</w:t>
            </w:r>
          </w:p>
        </w:tc>
      </w:tr>
      <w:tr>
        <w:trPr>
          <w:trHeight w:val="516" w:hRule="exact"/>
        </w:trPr>
        <w:tc>
          <w:tcPr>
            <w:tcW w:w="2084" w:type="dxa"/>
          </w:tcPr>
          <w:p>
            <w:pPr>
              <w:pStyle w:val="TableParagraph"/>
              <w:spacing w:line="251" w:lineRule="exact"/>
              <w:ind w:left="0"/>
              <w:rPr>
                <w:sz w:val="22"/>
              </w:rPr>
            </w:pPr>
            <w:r>
              <w:rPr>
                <w:w w:val="100"/>
                <w:sz w:val="22"/>
              </w:rPr>
              <w:t>A</w:t>
            </w:r>
          </w:p>
        </w:tc>
        <w:tc>
          <w:tcPr>
            <w:tcW w:w="2086" w:type="dxa"/>
          </w:tcPr>
          <w:p>
            <w:pPr>
              <w:pStyle w:val="TableParagraph"/>
              <w:spacing w:line="251" w:lineRule="exact"/>
              <w:ind w:left="804" w:right="804"/>
              <w:rPr>
                <w:sz w:val="22"/>
              </w:rPr>
            </w:pPr>
            <w:r>
              <w:rPr>
                <w:sz w:val="22"/>
              </w:rPr>
              <w:t>64.2</w:t>
            </w:r>
          </w:p>
        </w:tc>
      </w:tr>
      <w:tr>
        <w:trPr>
          <w:trHeight w:val="516" w:hRule="exact"/>
        </w:trPr>
        <w:tc>
          <w:tcPr>
            <w:tcW w:w="2084" w:type="dxa"/>
          </w:tcPr>
          <w:p>
            <w:pPr>
              <w:pStyle w:val="TableParagraph"/>
              <w:spacing w:line="251" w:lineRule="exact"/>
              <w:ind w:left="0"/>
              <w:rPr>
                <w:sz w:val="22"/>
              </w:rPr>
            </w:pPr>
            <w:r>
              <w:rPr>
                <w:w w:val="100"/>
                <w:sz w:val="22"/>
              </w:rPr>
              <w:t>B</w:t>
            </w:r>
          </w:p>
        </w:tc>
        <w:tc>
          <w:tcPr>
            <w:tcW w:w="2086" w:type="dxa"/>
          </w:tcPr>
          <w:p>
            <w:pPr>
              <w:pStyle w:val="TableParagraph"/>
              <w:spacing w:line="251" w:lineRule="exact"/>
              <w:ind w:left="804" w:right="804"/>
              <w:rPr>
                <w:sz w:val="22"/>
              </w:rPr>
            </w:pPr>
            <w:r>
              <w:rPr>
                <w:sz w:val="22"/>
              </w:rPr>
              <w:t>23.4</w:t>
            </w:r>
          </w:p>
        </w:tc>
      </w:tr>
      <w:tr>
        <w:trPr>
          <w:trHeight w:val="420" w:hRule="exact"/>
        </w:trPr>
        <w:tc>
          <w:tcPr>
            <w:tcW w:w="2084" w:type="dxa"/>
          </w:tcPr>
          <w:p>
            <w:pPr>
              <w:pStyle w:val="TableParagraph"/>
              <w:spacing w:line="251" w:lineRule="exact"/>
              <w:ind w:left="1"/>
              <w:rPr>
                <w:sz w:val="22"/>
              </w:rPr>
            </w:pPr>
            <w:r>
              <w:rPr>
                <w:w w:val="100"/>
                <w:sz w:val="22"/>
              </w:rPr>
              <w:t>C</w:t>
            </w:r>
          </w:p>
        </w:tc>
        <w:tc>
          <w:tcPr>
            <w:tcW w:w="2086" w:type="dxa"/>
          </w:tcPr>
          <w:p>
            <w:pPr>
              <w:pStyle w:val="TableParagraph"/>
              <w:spacing w:line="251" w:lineRule="exact"/>
              <w:ind w:left="804" w:right="804"/>
              <w:rPr>
                <w:sz w:val="22"/>
              </w:rPr>
            </w:pPr>
            <w:r>
              <w:rPr>
                <w:sz w:val="22"/>
              </w:rPr>
              <w:t>11.8</w:t>
            </w:r>
          </w:p>
        </w:tc>
      </w:tr>
      <w:tr>
        <w:trPr>
          <w:trHeight w:val="422" w:hRule="exact"/>
        </w:trPr>
        <w:tc>
          <w:tcPr>
            <w:tcW w:w="2084" w:type="dxa"/>
          </w:tcPr>
          <w:p>
            <w:pPr>
              <w:pStyle w:val="TableParagraph"/>
              <w:spacing w:line="251" w:lineRule="exact"/>
              <w:ind w:left="1"/>
              <w:rPr>
                <w:sz w:val="22"/>
              </w:rPr>
            </w:pPr>
            <w:r>
              <w:rPr>
                <w:w w:val="100"/>
                <w:sz w:val="22"/>
              </w:rPr>
              <w:t>D</w:t>
            </w:r>
          </w:p>
        </w:tc>
        <w:tc>
          <w:tcPr>
            <w:tcW w:w="2086" w:type="dxa"/>
          </w:tcPr>
          <w:p>
            <w:pPr>
              <w:pStyle w:val="TableParagraph"/>
              <w:spacing w:line="251" w:lineRule="exact"/>
              <w:ind w:left="804" w:right="804"/>
              <w:rPr>
                <w:sz w:val="22"/>
              </w:rPr>
            </w:pPr>
            <w:r>
              <w:rPr>
                <w:sz w:val="22"/>
              </w:rPr>
              <w:t>1.6</w:t>
            </w:r>
          </w:p>
        </w:tc>
      </w:tr>
    </w:tbl>
    <w:p>
      <w:pPr>
        <w:pStyle w:val="BodyText"/>
        <w:spacing w:before="6"/>
        <w:rPr>
          <w:sz w:val="17"/>
        </w:rPr>
      </w:pPr>
    </w:p>
    <w:p>
      <w:pPr>
        <w:pStyle w:val="BodyText"/>
        <w:spacing w:before="70"/>
        <w:ind w:left="1097" w:right="63"/>
      </w:pPr>
      <w:r>
        <w:rPr/>
        <w:t>Cuadro 1: Procedencia del queso fresco en mercados populares.</w:t>
      </w:r>
    </w:p>
    <w:p>
      <w:pPr>
        <w:pStyle w:val="BodyText"/>
        <w:rPr>
          <w:sz w:val="20"/>
        </w:rPr>
      </w:pPr>
    </w:p>
    <w:p>
      <w:pPr>
        <w:pStyle w:val="BodyText"/>
        <w:spacing w:before="4"/>
        <w:rPr>
          <w:sz w:val="28"/>
        </w:rPr>
      </w:pPr>
    </w:p>
    <w:tbl>
      <w:tblPr>
        <w:tblW w:w="0" w:type="auto"/>
        <w:jc w:val="left"/>
        <w:tblInd w:w="2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13"/>
        <w:gridCol w:w="1712"/>
      </w:tblGrid>
      <w:tr>
        <w:trPr>
          <w:trHeight w:val="295" w:hRule="exact"/>
        </w:trPr>
        <w:tc>
          <w:tcPr>
            <w:tcW w:w="2713" w:type="dxa"/>
            <w:tcBorders>
              <w:bottom w:val="single" w:sz="12" w:space="0" w:color="666666"/>
              <w:right w:val="single" w:sz="4" w:space="0" w:color="999999"/>
            </w:tcBorders>
          </w:tcPr>
          <w:p>
            <w:pPr>
              <w:pStyle w:val="TableParagraph"/>
              <w:spacing w:line="272" w:lineRule="exact"/>
              <w:jc w:val="left"/>
              <w:rPr>
                <w:b/>
                <w:sz w:val="24"/>
              </w:rPr>
            </w:pPr>
            <w:r>
              <w:rPr>
                <w:b/>
                <w:sz w:val="24"/>
              </w:rPr>
              <w:t>Parámetro</w:t>
            </w:r>
          </w:p>
        </w:tc>
        <w:tc>
          <w:tcPr>
            <w:tcW w:w="1712" w:type="dxa"/>
            <w:tcBorders>
              <w:left w:val="single" w:sz="4" w:space="0" w:color="999999"/>
              <w:bottom w:val="single" w:sz="12" w:space="0" w:color="666666"/>
            </w:tcBorders>
          </w:tcPr>
          <w:p>
            <w:pPr>
              <w:pStyle w:val="TableParagraph"/>
              <w:spacing w:line="272" w:lineRule="exact"/>
              <w:ind w:left="100"/>
              <w:jc w:val="left"/>
              <w:rPr>
                <w:b/>
                <w:sz w:val="24"/>
              </w:rPr>
            </w:pPr>
            <w:r>
              <w:rPr>
                <w:b/>
                <w:sz w:val="24"/>
              </w:rPr>
              <w:t>Valor</w:t>
            </w:r>
          </w:p>
        </w:tc>
      </w:tr>
      <w:tr>
        <w:trPr>
          <w:trHeight w:val="2861" w:hRule="exact"/>
        </w:trPr>
        <w:tc>
          <w:tcPr>
            <w:tcW w:w="2713" w:type="dxa"/>
            <w:tcBorders>
              <w:top w:val="single" w:sz="12" w:space="0" w:color="666666"/>
              <w:right w:val="nil"/>
            </w:tcBorders>
          </w:tcPr>
          <w:p>
            <w:pPr>
              <w:pStyle w:val="TableParagraph"/>
              <w:ind w:right="90"/>
              <w:jc w:val="left"/>
              <w:rPr>
                <w:b/>
                <w:sz w:val="24"/>
              </w:rPr>
            </w:pPr>
            <w:r>
              <w:rPr>
                <w:b/>
                <w:sz w:val="24"/>
              </w:rPr>
              <w:t>Temperatura de venta pH</w:t>
            </w:r>
          </w:p>
          <w:p>
            <w:pPr>
              <w:pStyle w:val="TableParagraph"/>
              <w:ind w:right="1491"/>
              <w:jc w:val="left"/>
              <w:rPr>
                <w:b/>
                <w:sz w:val="24"/>
              </w:rPr>
            </w:pPr>
            <w:r>
              <w:rPr>
                <w:b/>
                <w:sz w:val="24"/>
              </w:rPr>
              <w:t>Forma Peso Humedad</w:t>
            </w:r>
          </w:p>
          <w:p>
            <w:pPr>
              <w:pStyle w:val="TableParagraph"/>
              <w:ind w:right="1150"/>
              <w:jc w:val="left"/>
              <w:rPr>
                <w:b/>
                <w:sz w:val="24"/>
              </w:rPr>
            </w:pPr>
            <w:r>
              <w:rPr>
                <w:b/>
                <w:sz w:val="24"/>
              </w:rPr>
              <w:t>Materia seca Cenizas NaCl Proteínas Grasa</w:t>
            </w:r>
          </w:p>
        </w:tc>
        <w:tc>
          <w:tcPr>
            <w:tcW w:w="1712" w:type="dxa"/>
            <w:tcBorders>
              <w:top w:val="single" w:sz="12" w:space="0" w:color="666666"/>
              <w:left w:val="nil"/>
            </w:tcBorders>
          </w:tcPr>
          <w:p>
            <w:pPr>
              <w:pStyle w:val="TableParagraph"/>
              <w:spacing w:line="274" w:lineRule="exact"/>
              <w:ind w:left="105"/>
              <w:jc w:val="left"/>
              <w:rPr>
                <w:sz w:val="24"/>
              </w:rPr>
            </w:pPr>
            <w:r>
              <w:rPr>
                <w:sz w:val="24"/>
              </w:rPr>
              <w:t>7.8-26.2 °C</w:t>
            </w:r>
          </w:p>
          <w:p>
            <w:pPr>
              <w:pStyle w:val="TableParagraph"/>
              <w:spacing w:line="275" w:lineRule="exact"/>
              <w:ind w:left="105"/>
              <w:jc w:val="left"/>
              <w:rPr>
                <w:sz w:val="24"/>
              </w:rPr>
            </w:pPr>
            <w:r>
              <w:rPr>
                <w:sz w:val="24"/>
              </w:rPr>
              <w:t>4.84-6.07</w:t>
            </w:r>
          </w:p>
          <w:p>
            <w:pPr>
              <w:pStyle w:val="TableParagraph"/>
              <w:ind w:left="105" w:right="370"/>
              <w:jc w:val="left"/>
              <w:rPr>
                <w:sz w:val="24"/>
              </w:rPr>
            </w:pPr>
            <w:r>
              <w:rPr>
                <w:sz w:val="24"/>
              </w:rPr>
              <w:t>Circular 100-250 gr.</w:t>
            </w:r>
          </w:p>
          <w:p>
            <w:pPr>
              <w:pStyle w:val="TableParagraph"/>
              <w:ind w:left="105"/>
              <w:jc w:val="left"/>
              <w:rPr>
                <w:sz w:val="24"/>
              </w:rPr>
            </w:pPr>
            <w:r>
              <w:rPr>
                <w:sz w:val="24"/>
              </w:rPr>
              <w:t>42.71-66.66%</w:t>
            </w:r>
          </w:p>
          <w:p>
            <w:pPr>
              <w:pStyle w:val="TableParagraph"/>
              <w:ind w:left="105"/>
              <w:jc w:val="left"/>
              <w:rPr>
                <w:sz w:val="24"/>
              </w:rPr>
            </w:pPr>
            <w:r>
              <w:rPr>
                <w:sz w:val="24"/>
              </w:rPr>
              <w:t>1.68-3.38%</w:t>
            </w:r>
          </w:p>
          <w:p>
            <w:pPr>
              <w:pStyle w:val="TableParagraph"/>
              <w:ind w:left="105"/>
              <w:jc w:val="left"/>
              <w:rPr>
                <w:sz w:val="24"/>
              </w:rPr>
            </w:pPr>
            <w:r>
              <w:rPr>
                <w:sz w:val="24"/>
              </w:rPr>
              <w:t>2.65-5.24%</w:t>
            </w:r>
          </w:p>
          <w:p>
            <w:pPr>
              <w:pStyle w:val="TableParagraph"/>
              <w:ind w:left="105"/>
              <w:jc w:val="left"/>
              <w:rPr>
                <w:sz w:val="24"/>
              </w:rPr>
            </w:pPr>
            <w:r>
              <w:rPr>
                <w:sz w:val="24"/>
              </w:rPr>
              <w:t>0.29-1.44%</w:t>
            </w:r>
          </w:p>
          <w:p>
            <w:pPr>
              <w:pStyle w:val="TableParagraph"/>
              <w:ind w:left="105"/>
              <w:jc w:val="left"/>
              <w:rPr>
                <w:sz w:val="24"/>
              </w:rPr>
            </w:pPr>
            <w:r>
              <w:rPr>
                <w:sz w:val="24"/>
              </w:rPr>
              <w:t>16.81-26.62%</w:t>
            </w:r>
          </w:p>
          <w:p>
            <w:pPr>
              <w:pStyle w:val="TableParagraph"/>
              <w:ind w:left="105"/>
              <w:jc w:val="left"/>
              <w:rPr>
                <w:sz w:val="24"/>
              </w:rPr>
            </w:pPr>
            <w:r>
              <w:rPr>
                <w:sz w:val="24"/>
              </w:rPr>
              <w:t>12-32 %</w:t>
            </w:r>
          </w:p>
        </w:tc>
      </w:tr>
    </w:tbl>
    <w:p>
      <w:pPr>
        <w:pStyle w:val="BodyText"/>
        <w:rPr>
          <w:sz w:val="20"/>
        </w:rPr>
      </w:pPr>
    </w:p>
    <w:p>
      <w:pPr>
        <w:pStyle w:val="BodyText"/>
        <w:spacing w:before="8"/>
        <w:rPr>
          <w:sz w:val="19"/>
        </w:rPr>
      </w:pPr>
    </w:p>
    <w:p>
      <w:pPr>
        <w:pStyle w:val="BodyText"/>
        <w:spacing w:line="256" w:lineRule="auto"/>
        <w:ind w:left="3459" w:right="63" w:hanging="2850"/>
      </w:pPr>
      <w:r>
        <w:rPr/>
        <w:t>Cuadro 2.Características fisicoquímicas del queso fresco en mercados del municipio de Toluca.</w:t>
      </w:r>
    </w:p>
    <w:p>
      <w:pPr>
        <w:spacing w:after="0" w:line="256" w:lineRule="auto"/>
        <w:sectPr>
          <w:pgSz w:w="12240" w:h="15840"/>
          <w:pgMar w:header="728" w:footer="710" w:top="1200" w:bottom="900" w:left="1560" w:right="1560"/>
        </w:sectPr>
      </w:pPr>
    </w:p>
    <w:p>
      <w:pPr>
        <w:pStyle w:val="BodyText"/>
        <w:rPr>
          <w:sz w:val="20"/>
        </w:rPr>
      </w:pPr>
    </w:p>
    <w:p>
      <w:pPr>
        <w:pStyle w:val="BodyText"/>
        <w:rPr>
          <w:sz w:val="20"/>
        </w:rPr>
      </w:pPr>
    </w:p>
    <w:p>
      <w:pPr>
        <w:pStyle w:val="BodyText"/>
        <w:spacing w:before="10"/>
        <w:rPr>
          <w:sz w:val="18"/>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5"/>
        <w:gridCol w:w="683"/>
        <w:gridCol w:w="683"/>
        <w:gridCol w:w="987"/>
        <w:gridCol w:w="974"/>
        <w:gridCol w:w="1019"/>
        <w:gridCol w:w="841"/>
        <w:gridCol w:w="850"/>
        <w:gridCol w:w="700"/>
        <w:gridCol w:w="856"/>
      </w:tblGrid>
      <w:tr>
        <w:trPr>
          <w:trHeight w:val="492" w:hRule="exact"/>
        </w:trPr>
        <w:tc>
          <w:tcPr>
            <w:tcW w:w="1235" w:type="dxa"/>
            <w:tcBorders>
              <w:right w:val="nil"/>
            </w:tcBorders>
          </w:tcPr>
          <w:p>
            <w:pPr>
              <w:pStyle w:val="TableParagraph"/>
              <w:tabs>
                <w:tab w:pos="966" w:val="left" w:leader="none"/>
              </w:tabs>
              <w:ind w:right="107"/>
              <w:jc w:val="left"/>
              <w:rPr>
                <w:sz w:val="14"/>
              </w:rPr>
            </w:pPr>
            <w:r>
              <w:rPr>
                <w:sz w:val="14"/>
              </w:rPr>
              <w:t>Región</w:t>
              <w:tab/>
              <w:t>de</w:t>
            </w:r>
            <w:r>
              <w:rPr>
                <w:w w:val="99"/>
                <w:sz w:val="14"/>
              </w:rPr>
              <w:t> </w:t>
            </w:r>
            <w:r>
              <w:rPr>
                <w:sz w:val="14"/>
              </w:rPr>
              <w:t>abasto</w:t>
            </w:r>
          </w:p>
        </w:tc>
        <w:tc>
          <w:tcPr>
            <w:tcW w:w="683" w:type="dxa"/>
            <w:tcBorders>
              <w:left w:val="nil"/>
              <w:right w:val="nil"/>
            </w:tcBorders>
          </w:tcPr>
          <w:p>
            <w:pPr>
              <w:pStyle w:val="TableParagraph"/>
              <w:ind w:left="109" w:right="250"/>
              <w:jc w:val="left"/>
              <w:rPr>
                <w:sz w:val="14"/>
              </w:rPr>
            </w:pPr>
            <w:r>
              <w:rPr>
                <w:w w:val="95"/>
                <w:sz w:val="14"/>
              </w:rPr>
              <w:t>Peso </w:t>
            </w:r>
            <w:r>
              <w:rPr>
                <w:sz w:val="14"/>
              </w:rPr>
              <w:t>(g)</w:t>
            </w:r>
          </w:p>
        </w:tc>
        <w:tc>
          <w:tcPr>
            <w:tcW w:w="683" w:type="dxa"/>
            <w:tcBorders>
              <w:left w:val="nil"/>
              <w:right w:val="nil"/>
            </w:tcBorders>
          </w:tcPr>
          <w:p>
            <w:pPr>
              <w:pStyle w:val="TableParagraph"/>
              <w:spacing w:line="159" w:lineRule="exact"/>
              <w:ind w:left="110" w:right="87"/>
              <w:jc w:val="left"/>
              <w:rPr>
                <w:sz w:val="14"/>
              </w:rPr>
            </w:pPr>
            <w:r>
              <w:rPr>
                <w:sz w:val="14"/>
              </w:rPr>
              <w:t>pH</w:t>
            </w:r>
          </w:p>
        </w:tc>
        <w:tc>
          <w:tcPr>
            <w:tcW w:w="987" w:type="dxa"/>
            <w:tcBorders>
              <w:left w:val="nil"/>
              <w:right w:val="nil"/>
            </w:tcBorders>
          </w:tcPr>
          <w:p>
            <w:pPr>
              <w:pStyle w:val="TableParagraph"/>
              <w:spacing w:line="159" w:lineRule="exact"/>
              <w:ind w:left="109"/>
              <w:jc w:val="left"/>
              <w:rPr>
                <w:sz w:val="14"/>
              </w:rPr>
            </w:pPr>
            <w:r>
              <w:rPr>
                <w:sz w:val="14"/>
              </w:rPr>
              <w:t>Humedad %</w:t>
            </w:r>
          </w:p>
        </w:tc>
        <w:tc>
          <w:tcPr>
            <w:tcW w:w="974" w:type="dxa"/>
            <w:tcBorders>
              <w:left w:val="nil"/>
              <w:right w:val="nil"/>
            </w:tcBorders>
          </w:tcPr>
          <w:p>
            <w:pPr>
              <w:pStyle w:val="TableParagraph"/>
              <w:ind w:left="110" w:right="300"/>
              <w:jc w:val="left"/>
              <w:rPr>
                <w:sz w:val="14"/>
              </w:rPr>
            </w:pPr>
            <w:r>
              <w:rPr>
                <w:sz w:val="14"/>
              </w:rPr>
              <w:t>Materia Seca %</w:t>
            </w:r>
          </w:p>
        </w:tc>
        <w:tc>
          <w:tcPr>
            <w:tcW w:w="1019" w:type="dxa"/>
            <w:tcBorders>
              <w:left w:val="nil"/>
              <w:right w:val="nil"/>
            </w:tcBorders>
          </w:tcPr>
          <w:p>
            <w:pPr>
              <w:pStyle w:val="TableParagraph"/>
              <w:spacing w:line="159" w:lineRule="exact"/>
              <w:ind w:left="243"/>
              <w:jc w:val="left"/>
              <w:rPr>
                <w:sz w:val="14"/>
              </w:rPr>
            </w:pPr>
            <w:r>
              <w:rPr>
                <w:sz w:val="14"/>
              </w:rPr>
              <w:t>Cenizas %</w:t>
            </w:r>
          </w:p>
        </w:tc>
        <w:tc>
          <w:tcPr>
            <w:tcW w:w="841" w:type="dxa"/>
            <w:tcBorders>
              <w:left w:val="nil"/>
              <w:right w:val="nil"/>
            </w:tcBorders>
          </w:tcPr>
          <w:p>
            <w:pPr>
              <w:pStyle w:val="TableParagraph"/>
              <w:ind w:left="109" w:right="182"/>
              <w:jc w:val="left"/>
              <w:rPr>
                <w:sz w:val="14"/>
              </w:rPr>
            </w:pPr>
            <w:r>
              <w:rPr>
                <w:sz w:val="14"/>
              </w:rPr>
              <w:t>Proteína (%)</w:t>
            </w:r>
          </w:p>
        </w:tc>
        <w:tc>
          <w:tcPr>
            <w:tcW w:w="850" w:type="dxa"/>
            <w:tcBorders>
              <w:left w:val="nil"/>
              <w:right w:val="nil"/>
            </w:tcBorders>
          </w:tcPr>
          <w:p>
            <w:pPr>
              <w:pStyle w:val="TableParagraph"/>
              <w:ind w:left="188" w:right="101"/>
              <w:jc w:val="left"/>
              <w:rPr>
                <w:sz w:val="14"/>
              </w:rPr>
            </w:pPr>
            <w:r>
              <w:rPr>
                <w:w w:val="95"/>
                <w:sz w:val="14"/>
              </w:rPr>
              <w:t>Grasa </w:t>
            </w:r>
            <w:r>
              <w:rPr>
                <w:sz w:val="14"/>
              </w:rPr>
              <w:t>(%)</w:t>
            </w:r>
          </w:p>
        </w:tc>
        <w:tc>
          <w:tcPr>
            <w:tcW w:w="700" w:type="dxa"/>
            <w:tcBorders>
              <w:left w:val="nil"/>
              <w:right w:val="nil"/>
            </w:tcBorders>
          </w:tcPr>
          <w:p>
            <w:pPr>
              <w:pStyle w:val="TableParagraph"/>
              <w:spacing w:line="159" w:lineRule="exact"/>
              <w:ind w:left="118"/>
              <w:jc w:val="left"/>
              <w:rPr>
                <w:sz w:val="14"/>
              </w:rPr>
            </w:pPr>
            <w:r>
              <w:rPr>
                <w:sz w:val="14"/>
              </w:rPr>
              <w:t>NaCl %</w:t>
            </w:r>
          </w:p>
        </w:tc>
        <w:tc>
          <w:tcPr>
            <w:tcW w:w="856" w:type="dxa"/>
            <w:tcBorders>
              <w:left w:val="nil"/>
            </w:tcBorders>
          </w:tcPr>
          <w:p>
            <w:pPr>
              <w:pStyle w:val="TableParagraph"/>
              <w:tabs>
                <w:tab w:pos="594" w:val="left" w:leader="none"/>
              </w:tabs>
              <w:spacing w:line="159" w:lineRule="exact"/>
              <w:ind w:left="110"/>
              <w:jc w:val="left"/>
              <w:rPr>
                <w:sz w:val="14"/>
              </w:rPr>
            </w:pPr>
            <w:r>
              <w:rPr>
                <w:sz w:val="14"/>
              </w:rPr>
              <w:t>T°</w:t>
              <w:tab/>
              <w:t>de</w:t>
            </w:r>
          </w:p>
          <w:p>
            <w:pPr>
              <w:pStyle w:val="TableParagraph"/>
              <w:ind w:left="110"/>
              <w:jc w:val="left"/>
              <w:rPr>
                <w:sz w:val="14"/>
              </w:rPr>
            </w:pPr>
            <w:r>
              <w:rPr>
                <w:sz w:val="14"/>
              </w:rPr>
              <w:t>venta</w:t>
            </w:r>
          </w:p>
        </w:tc>
      </w:tr>
      <w:tr>
        <w:trPr>
          <w:trHeight w:val="493" w:hRule="exact"/>
        </w:trPr>
        <w:tc>
          <w:tcPr>
            <w:tcW w:w="1235" w:type="dxa"/>
            <w:tcBorders>
              <w:bottom w:val="nil"/>
              <w:right w:val="nil"/>
            </w:tcBorders>
          </w:tcPr>
          <w:p>
            <w:pPr>
              <w:pStyle w:val="TableParagraph"/>
              <w:spacing w:line="159" w:lineRule="exact"/>
              <w:jc w:val="left"/>
              <w:rPr>
                <w:sz w:val="14"/>
              </w:rPr>
            </w:pPr>
            <w:r>
              <w:rPr>
                <w:w w:val="99"/>
                <w:sz w:val="14"/>
              </w:rPr>
              <w:t>A</w:t>
            </w:r>
          </w:p>
        </w:tc>
        <w:tc>
          <w:tcPr>
            <w:tcW w:w="683" w:type="dxa"/>
            <w:tcBorders>
              <w:left w:val="nil"/>
              <w:bottom w:val="nil"/>
              <w:right w:val="nil"/>
            </w:tcBorders>
          </w:tcPr>
          <w:p>
            <w:pPr>
              <w:pStyle w:val="TableParagraph"/>
              <w:ind w:left="109"/>
              <w:jc w:val="left"/>
              <w:rPr>
                <w:sz w:val="14"/>
              </w:rPr>
            </w:pPr>
            <w:r>
              <w:rPr>
                <w:sz w:val="14"/>
              </w:rPr>
              <w:t>173±32 m:105</w:t>
            </w:r>
          </w:p>
          <w:p>
            <w:pPr>
              <w:pStyle w:val="TableParagraph"/>
              <w:ind w:left="109"/>
              <w:jc w:val="left"/>
              <w:rPr>
                <w:sz w:val="14"/>
              </w:rPr>
            </w:pPr>
            <w:r>
              <w:rPr>
                <w:sz w:val="14"/>
              </w:rPr>
              <w:t>M:305</w:t>
            </w:r>
          </w:p>
        </w:tc>
        <w:tc>
          <w:tcPr>
            <w:tcW w:w="683" w:type="dxa"/>
            <w:tcBorders>
              <w:left w:val="nil"/>
              <w:bottom w:val="nil"/>
              <w:right w:val="nil"/>
            </w:tcBorders>
          </w:tcPr>
          <w:p>
            <w:pPr>
              <w:pStyle w:val="TableParagraph"/>
              <w:ind w:left="110" w:right="87"/>
              <w:jc w:val="left"/>
              <w:rPr>
                <w:sz w:val="14"/>
              </w:rPr>
            </w:pPr>
            <w:r>
              <w:rPr>
                <w:sz w:val="14"/>
              </w:rPr>
              <w:t>5.3±0.3 m:4.9</w:t>
            </w:r>
          </w:p>
          <w:p>
            <w:pPr>
              <w:pStyle w:val="TableParagraph"/>
              <w:ind w:left="110" w:right="87"/>
              <w:jc w:val="left"/>
              <w:rPr>
                <w:sz w:val="14"/>
              </w:rPr>
            </w:pPr>
            <w:r>
              <w:rPr>
                <w:sz w:val="14"/>
              </w:rPr>
              <w:t>M:5.9</w:t>
            </w:r>
          </w:p>
        </w:tc>
        <w:tc>
          <w:tcPr>
            <w:tcW w:w="987" w:type="dxa"/>
            <w:tcBorders>
              <w:left w:val="nil"/>
              <w:bottom w:val="nil"/>
              <w:right w:val="nil"/>
            </w:tcBorders>
          </w:tcPr>
          <w:p>
            <w:pPr>
              <w:pStyle w:val="TableParagraph"/>
              <w:ind w:left="109" w:right="314"/>
              <w:jc w:val="left"/>
              <w:rPr>
                <w:sz w:val="14"/>
              </w:rPr>
            </w:pPr>
            <w:r>
              <w:rPr>
                <w:sz w:val="14"/>
              </w:rPr>
              <w:t>50.5±6.5 m:31.1</w:t>
            </w:r>
          </w:p>
          <w:p>
            <w:pPr>
              <w:pStyle w:val="TableParagraph"/>
              <w:ind w:left="109"/>
              <w:jc w:val="left"/>
              <w:rPr>
                <w:sz w:val="14"/>
              </w:rPr>
            </w:pPr>
            <w:r>
              <w:rPr>
                <w:sz w:val="14"/>
              </w:rPr>
              <w:t>M:66.7</w:t>
            </w:r>
          </w:p>
        </w:tc>
        <w:tc>
          <w:tcPr>
            <w:tcW w:w="974" w:type="dxa"/>
            <w:tcBorders>
              <w:left w:val="nil"/>
              <w:bottom w:val="nil"/>
              <w:right w:val="nil"/>
            </w:tcBorders>
          </w:tcPr>
          <w:p>
            <w:pPr>
              <w:pStyle w:val="TableParagraph"/>
              <w:ind w:left="110" w:right="300"/>
              <w:jc w:val="left"/>
              <w:rPr>
                <w:sz w:val="14"/>
              </w:rPr>
            </w:pPr>
            <w:r>
              <w:rPr>
                <w:sz w:val="14"/>
              </w:rPr>
              <w:t>49.3±5.3 m:33.3</w:t>
            </w:r>
          </w:p>
          <w:p>
            <w:pPr>
              <w:pStyle w:val="TableParagraph"/>
              <w:ind w:left="110" w:right="300"/>
              <w:jc w:val="left"/>
              <w:rPr>
                <w:sz w:val="14"/>
              </w:rPr>
            </w:pPr>
            <w:r>
              <w:rPr>
                <w:sz w:val="14"/>
              </w:rPr>
              <w:t>M:68.9</w:t>
            </w:r>
          </w:p>
        </w:tc>
        <w:tc>
          <w:tcPr>
            <w:tcW w:w="1019" w:type="dxa"/>
            <w:tcBorders>
              <w:left w:val="nil"/>
              <w:bottom w:val="nil"/>
              <w:right w:val="nil"/>
            </w:tcBorders>
          </w:tcPr>
          <w:p>
            <w:pPr>
              <w:pStyle w:val="TableParagraph"/>
              <w:ind w:left="243" w:right="290"/>
              <w:jc w:val="left"/>
              <w:rPr>
                <w:sz w:val="14"/>
              </w:rPr>
            </w:pPr>
            <w:r>
              <w:rPr>
                <w:sz w:val="14"/>
              </w:rPr>
              <w:t>3.2±0.3 m:2.6</w:t>
            </w:r>
          </w:p>
          <w:p>
            <w:pPr>
              <w:pStyle w:val="TableParagraph"/>
              <w:ind w:left="243"/>
              <w:jc w:val="left"/>
              <w:rPr>
                <w:sz w:val="14"/>
              </w:rPr>
            </w:pPr>
            <w:r>
              <w:rPr>
                <w:sz w:val="14"/>
              </w:rPr>
              <w:t>M:4.1</w:t>
            </w:r>
          </w:p>
        </w:tc>
        <w:tc>
          <w:tcPr>
            <w:tcW w:w="841" w:type="dxa"/>
            <w:tcBorders>
              <w:left w:val="nil"/>
              <w:bottom w:val="nil"/>
              <w:right w:val="nil"/>
            </w:tcBorders>
          </w:tcPr>
          <w:p>
            <w:pPr>
              <w:pStyle w:val="TableParagraph"/>
              <w:ind w:left="109" w:right="167"/>
              <w:jc w:val="left"/>
              <w:rPr>
                <w:sz w:val="14"/>
              </w:rPr>
            </w:pPr>
            <w:r>
              <w:rPr>
                <w:sz w:val="14"/>
              </w:rPr>
              <w:t>20.1±1.8 m:16.1</w:t>
            </w:r>
          </w:p>
          <w:p>
            <w:pPr>
              <w:pStyle w:val="TableParagraph"/>
              <w:ind w:left="109" w:right="182"/>
              <w:jc w:val="left"/>
              <w:rPr>
                <w:sz w:val="14"/>
              </w:rPr>
            </w:pPr>
            <w:r>
              <w:rPr>
                <w:sz w:val="14"/>
              </w:rPr>
              <w:t>M:24.1</w:t>
            </w:r>
          </w:p>
        </w:tc>
        <w:tc>
          <w:tcPr>
            <w:tcW w:w="850" w:type="dxa"/>
            <w:tcBorders>
              <w:left w:val="nil"/>
              <w:bottom w:val="nil"/>
              <w:right w:val="nil"/>
            </w:tcBorders>
          </w:tcPr>
          <w:p>
            <w:pPr>
              <w:pStyle w:val="TableParagraph"/>
              <w:ind w:left="188" w:right="97"/>
              <w:jc w:val="left"/>
              <w:rPr>
                <w:sz w:val="14"/>
              </w:rPr>
            </w:pPr>
            <w:r>
              <w:rPr>
                <w:sz w:val="14"/>
              </w:rPr>
              <w:t>19.6±3.3 m:11</w:t>
            </w:r>
          </w:p>
          <w:p>
            <w:pPr>
              <w:pStyle w:val="TableParagraph"/>
              <w:ind w:left="188" w:right="101"/>
              <w:jc w:val="left"/>
              <w:rPr>
                <w:sz w:val="14"/>
              </w:rPr>
            </w:pPr>
            <w:r>
              <w:rPr>
                <w:sz w:val="14"/>
              </w:rPr>
              <w:t>M:27</w:t>
            </w:r>
          </w:p>
        </w:tc>
        <w:tc>
          <w:tcPr>
            <w:tcW w:w="700" w:type="dxa"/>
            <w:tcBorders>
              <w:left w:val="nil"/>
              <w:bottom w:val="nil"/>
              <w:right w:val="nil"/>
            </w:tcBorders>
          </w:tcPr>
          <w:p>
            <w:pPr>
              <w:pStyle w:val="TableParagraph"/>
              <w:ind w:left="118" w:right="96"/>
              <w:jc w:val="left"/>
              <w:rPr>
                <w:sz w:val="14"/>
              </w:rPr>
            </w:pPr>
            <w:r>
              <w:rPr>
                <w:sz w:val="14"/>
              </w:rPr>
              <w:t>0.9±0.2 m:0.4</w:t>
            </w:r>
          </w:p>
          <w:p>
            <w:pPr>
              <w:pStyle w:val="TableParagraph"/>
              <w:ind w:left="118"/>
              <w:jc w:val="left"/>
              <w:rPr>
                <w:sz w:val="14"/>
              </w:rPr>
            </w:pPr>
            <w:r>
              <w:rPr>
                <w:sz w:val="14"/>
              </w:rPr>
              <w:t>M:1.4</w:t>
            </w:r>
          </w:p>
        </w:tc>
        <w:tc>
          <w:tcPr>
            <w:tcW w:w="856" w:type="dxa"/>
            <w:tcBorders>
              <w:left w:val="nil"/>
              <w:bottom w:val="nil"/>
            </w:tcBorders>
          </w:tcPr>
          <w:p>
            <w:pPr>
              <w:pStyle w:val="TableParagraph"/>
              <w:ind w:left="110"/>
              <w:jc w:val="left"/>
              <w:rPr>
                <w:sz w:val="14"/>
              </w:rPr>
            </w:pPr>
            <w:r>
              <w:rPr>
                <w:sz w:val="14"/>
              </w:rPr>
              <w:t>18±3.72 m:7.8</w:t>
            </w:r>
          </w:p>
          <w:p>
            <w:pPr>
              <w:pStyle w:val="TableParagraph"/>
              <w:ind w:left="110"/>
              <w:jc w:val="left"/>
              <w:rPr>
                <w:sz w:val="14"/>
              </w:rPr>
            </w:pPr>
            <w:r>
              <w:rPr>
                <w:sz w:val="14"/>
              </w:rPr>
              <w:t>M:26.2</w:t>
            </w:r>
          </w:p>
        </w:tc>
      </w:tr>
      <w:tr>
        <w:trPr>
          <w:trHeight w:val="485" w:hRule="exact"/>
        </w:trPr>
        <w:tc>
          <w:tcPr>
            <w:tcW w:w="1235" w:type="dxa"/>
            <w:tcBorders>
              <w:top w:val="nil"/>
              <w:bottom w:val="nil"/>
              <w:right w:val="nil"/>
            </w:tcBorders>
          </w:tcPr>
          <w:p>
            <w:pPr>
              <w:pStyle w:val="TableParagraph"/>
              <w:spacing w:line="153" w:lineRule="exact"/>
              <w:jc w:val="left"/>
              <w:rPr>
                <w:sz w:val="14"/>
              </w:rPr>
            </w:pPr>
            <w:r>
              <w:rPr>
                <w:w w:val="99"/>
                <w:sz w:val="14"/>
              </w:rPr>
              <w:t>B</w:t>
            </w:r>
          </w:p>
        </w:tc>
        <w:tc>
          <w:tcPr>
            <w:tcW w:w="683" w:type="dxa"/>
            <w:tcBorders>
              <w:top w:val="nil"/>
              <w:left w:val="nil"/>
              <w:bottom w:val="nil"/>
              <w:right w:val="nil"/>
            </w:tcBorders>
          </w:tcPr>
          <w:p>
            <w:pPr>
              <w:pStyle w:val="TableParagraph"/>
              <w:ind w:left="109"/>
              <w:jc w:val="left"/>
              <w:rPr>
                <w:sz w:val="14"/>
              </w:rPr>
            </w:pPr>
            <w:r>
              <w:rPr>
                <w:sz w:val="14"/>
              </w:rPr>
              <w:t>176±45 m:100</w:t>
            </w:r>
          </w:p>
          <w:p>
            <w:pPr>
              <w:pStyle w:val="TableParagraph"/>
              <w:spacing w:before="2"/>
              <w:ind w:left="109"/>
              <w:jc w:val="left"/>
              <w:rPr>
                <w:sz w:val="14"/>
              </w:rPr>
            </w:pPr>
            <w:r>
              <w:rPr>
                <w:sz w:val="14"/>
              </w:rPr>
              <w:t>M:266</w:t>
            </w:r>
          </w:p>
        </w:tc>
        <w:tc>
          <w:tcPr>
            <w:tcW w:w="683" w:type="dxa"/>
            <w:tcBorders>
              <w:top w:val="nil"/>
              <w:left w:val="nil"/>
              <w:bottom w:val="nil"/>
              <w:right w:val="nil"/>
            </w:tcBorders>
          </w:tcPr>
          <w:p>
            <w:pPr>
              <w:pStyle w:val="TableParagraph"/>
              <w:ind w:left="110" w:right="87"/>
              <w:jc w:val="left"/>
              <w:rPr>
                <w:sz w:val="14"/>
              </w:rPr>
            </w:pPr>
            <w:r>
              <w:rPr>
                <w:sz w:val="14"/>
              </w:rPr>
              <w:t>5.2±0.2 m:4.8</w:t>
            </w:r>
          </w:p>
          <w:p>
            <w:pPr>
              <w:pStyle w:val="TableParagraph"/>
              <w:spacing w:before="2"/>
              <w:ind w:left="110" w:right="87"/>
              <w:jc w:val="left"/>
              <w:rPr>
                <w:sz w:val="14"/>
              </w:rPr>
            </w:pPr>
            <w:r>
              <w:rPr>
                <w:sz w:val="14"/>
              </w:rPr>
              <w:t>M:5.6</w:t>
            </w:r>
          </w:p>
        </w:tc>
        <w:tc>
          <w:tcPr>
            <w:tcW w:w="987" w:type="dxa"/>
            <w:tcBorders>
              <w:top w:val="nil"/>
              <w:left w:val="nil"/>
              <w:bottom w:val="nil"/>
              <w:right w:val="nil"/>
            </w:tcBorders>
          </w:tcPr>
          <w:p>
            <w:pPr>
              <w:pStyle w:val="TableParagraph"/>
              <w:ind w:left="109" w:right="314"/>
              <w:jc w:val="left"/>
              <w:rPr>
                <w:sz w:val="14"/>
              </w:rPr>
            </w:pPr>
            <w:r>
              <w:rPr>
                <w:sz w:val="14"/>
              </w:rPr>
              <w:t>48.1±5.9 m:32</w:t>
            </w:r>
          </w:p>
          <w:p>
            <w:pPr>
              <w:pStyle w:val="TableParagraph"/>
              <w:spacing w:before="2"/>
              <w:ind w:left="109"/>
              <w:jc w:val="left"/>
              <w:rPr>
                <w:sz w:val="14"/>
              </w:rPr>
            </w:pPr>
            <w:r>
              <w:rPr>
                <w:sz w:val="14"/>
              </w:rPr>
              <w:t>M:56.8</w:t>
            </w:r>
          </w:p>
        </w:tc>
        <w:tc>
          <w:tcPr>
            <w:tcW w:w="974" w:type="dxa"/>
            <w:tcBorders>
              <w:top w:val="nil"/>
              <w:left w:val="nil"/>
              <w:bottom w:val="nil"/>
              <w:right w:val="nil"/>
            </w:tcBorders>
          </w:tcPr>
          <w:p>
            <w:pPr>
              <w:pStyle w:val="TableParagraph"/>
              <w:ind w:left="110" w:right="222"/>
              <w:jc w:val="left"/>
              <w:rPr>
                <w:sz w:val="14"/>
              </w:rPr>
            </w:pPr>
            <w:r>
              <w:rPr>
                <w:sz w:val="14"/>
              </w:rPr>
              <w:t>51.89±5.9 m:43.2</w:t>
            </w:r>
          </w:p>
          <w:p>
            <w:pPr>
              <w:pStyle w:val="TableParagraph"/>
              <w:spacing w:before="2"/>
              <w:ind w:left="110" w:right="300"/>
              <w:jc w:val="left"/>
              <w:rPr>
                <w:sz w:val="14"/>
              </w:rPr>
            </w:pPr>
            <w:r>
              <w:rPr>
                <w:sz w:val="14"/>
              </w:rPr>
              <w:t>M:68</w:t>
            </w:r>
          </w:p>
        </w:tc>
        <w:tc>
          <w:tcPr>
            <w:tcW w:w="1019" w:type="dxa"/>
            <w:tcBorders>
              <w:top w:val="nil"/>
              <w:left w:val="nil"/>
              <w:bottom w:val="nil"/>
              <w:right w:val="nil"/>
            </w:tcBorders>
          </w:tcPr>
          <w:p>
            <w:pPr>
              <w:pStyle w:val="TableParagraph"/>
              <w:ind w:left="243" w:right="290"/>
              <w:jc w:val="left"/>
              <w:rPr>
                <w:sz w:val="14"/>
              </w:rPr>
            </w:pPr>
            <w:r>
              <w:rPr>
                <w:sz w:val="14"/>
              </w:rPr>
              <w:t>3.8±1.4 m:2.8</w:t>
            </w:r>
          </w:p>
          <w:p>
            <w:pPr>
              <w:pStyle w:val="TableParagraph"/>
              <w:spacing w:before="2"/>
              <w:ind w:left="243"/>
              <w:jc w:val="left"/>
              <w:rPr>
                <w:sz w:val="14"/>
              </w:rPr>
            </w:pPr>
            <w:r>
              <w:rPr>
                <w:sz w:val="14"/>
              </w:rPr>
              <w:t>M:8.4</w:t>
            </w:r>
          </w:p>
        </w:tc>
        <w:tc>
          <w:tcPr>
            <w:tcW w:w="841" w:type="dxa"/>
            <w:tcBorders>
              <w:top w:val="nil"/>
              <w:left w:val="nil"/>
              <w:bottom w:val="nil"/>
              <w:right w:val="nil"/>
            </w:tcBorders>
          </w:tcPr>
          <w:p>
            <w:pPr>
              <w:pStyle w:val="TableParagraph"/>
              <w:ind w:left="109" w:right="167"/>
              <w:jc w:val="left"/>
              <w:rPr>
                <w:sz w:val="14"/>
              </w:rPr>
            </w:pPr>
            <w:r>
              <w:rPr>
                <w:sz w:val="14"/>
              </w:rPr>
              <w:t>20.9±2.5 m:17.5</w:t>
            </w:r>
          </w:p>
          <w:p>
            <w:pPr>
              <w:pStyle w:val="TableParagraph"/>
              <w:spacing w:before="2"/>
              <w:ind w:left="109" w:right="182"/>
              <w:jc w:val="left"/>
              <w:rPr>
                <w:sz w:val="14"/>
              </w:rPr>
            </w:pPr>
            <w:r>
              <w:rPr>
                <w:sz w:val="14"/>
              </w:rPr>
              <w:t>M:26.6</w:t>
            </w:r>
          </w:p>
        </w:tc>
        <w:tc>
          <w:tcPr>
            <w:tcW w:w="850" w:type="dxa"/>
            <w:tcBorders>
              <w:top w:val="nil"/>
              <w:left w:val="nil"/>
              <w:bottom w:val="nil"/>
              <w:right w:val="nil"/>
            </w:tcBorders>
          </w:tcPr>
          <w:p>
            <w:pPr>
              <w:pStyle w:val="TableParagraph"/>
              <w:ind w:left="188" w:right="97"/>
              <w:jc w:val="left"/>
              <w:rPr>
                <w:sz w:val="14"/>
              </w:rPr>
            </w:pPr>
            <w:r>
              <w:rPr>
                <w:sz w:val="14"/>
              </w:rPr>
              <w:t>20.4±4.1 m:13</w:t>
            </w:r>
          </w:p>
          <w:p>
            <w:pPr>
              <w:pStyle w:val="TableParagraph"/>
              <w:spacing w:before="2"/>
              <w:ind w:left="188" w:right="101"/>
              <w:jc w:val="left"/>
              <w:rPr>
                <w:sz w:val="14"/>
              </w:rPr>
            </w:pPr>
            <w:r>
              <w:rPr>
                <w:sz w:val="14"/>
              </w:rPr>
              <w:t>M:32</w:t>
            </w:r>
          </w:p>
        </w:tc>
        <w:tc>
          <w:tcPr>
            <w:tcW w:w="700" w:type="dxa"/>
            <w:tcBorders>
              <w:top w:val="nil"/>
              <w:left w:val="nil"/>
              <w:bottom w:val="nil"/>
              <w:right w:val="nil"/>
            </w:tcBorders>
          </w:tcPr>
          <w:p>
            <w:pPr>
              <w:pStyle w:val="TableParagraph"/>
              <w:ind w:left="118" w:right="96"/>
              <w:jc w:val="left"/>
              <w:rPr>
                <w:sz w:val="14"/>
              </w:rPr>
            </w:pPr>
            <w:r>
              <w:rPr>
                <w:sz w:val="14"/>
              </w:rPr>
              <w:t>0.8±0.2 m:0.5</w:t>
            </w:r>
          </w:p>
          <w:p>
            <w:pPr>
              <w:pStyle w:val="TableParagraph"/>
              <w:spacing w:before="2"/>
              <w:ind w:left="118"/>
              <w:jc w:val="left"/>
              <w:rPr>
                <w:sz w:val="14"/>
              </w:rPr>
            </w:pPr>
            <w:r>
              <w:rPr>
                <w:sz w:val="14"/>
              </w:rPr>
              <w:t>M:1.1</w:t>
            </w:r>
          </w:p>
        </w:tc>
        <w:tc>
          <w:tcPr>
            <w:tcW w:w="856" w:type="dxa"/>
            <w:tcBorders>
              <w:top w:val="nil"/>
              <w:left w:val="nil"/>
              <w:bottom w:val="nil"/>
            </w:tcBorders>
          </w:tcPr>
          <w:p>
            <w:pPr>
              <w:pStyle w:val="TableParagraph"/>
              <w:ind w:left="110" w:right="177"/>
              <w:jc w:val="left"/>
              <w:rPr>
                <w:sz w:val="14"/>
              </w:rPr>
            </w:pPr>
            <w:r>
              <w:rPr>
                <w:sz w:val="14"/>
              </w:rPr>
              <w:t>17.1±4.1 m:9.3</w:t>
            </w:r>
          </w:p>
          <w:p>
            <w:pPr>
              <w:pStyle w:val="TableParagraph"/>
              <w:spacing w:before="2"/>
              <w:ind w:left="110"/>
              <w:jc w:val="left"/>
              <w:rPr>
                <w:sz w:val="14"/>
              </w:rPr>
            </w:pPr>
            <w:r>
              <w:rPr>
                <w:sz w:val="14"/>
              </w:rPr>
              <w:t>M:25.4</w:t>
            </w:r>
          </w:p>
        </w:tc>
      </w:tr>
      <w:tr>
        <w:trPr>
          <w:trHeight w:val="482" w:hRule="exact"/>
        </w:trPr>
        <w:tc>
          <w:tcPr>
            <w:tcW w:w="1235" w:type="dxa"/>
            <w:tcBorders>
              <w:top w:val="nil"/>
              <w:bottom w:val="nil"/>
              <w:right w:val="nil"/>
            </w:tcBorders>
          </w:tcPr>
          <w:p>
            <w:pPr>
              <w:pStyle w:val="TableParagraph"/>
              <w:spacing w:line="153" w:lineRule="exact"/>
              <w:jc w:val="left"/>
              <w:rPr>
                <w:sz w:val="14"/>
              </w:rPr>
            </w:pPr>
            <w:r>
              <w:rPr>
                <w:w w:val="99"/>
                <w:sz w:val="14"/>
              </w:rPr>
              <w:t>C</w:t>
            </w:r>
          </w:p>
        </w:tc>
        <w:tc>
          <w:tcPr>
            <w:tcW w:w="683" w:type="dxa"/>
            <w:tcBorders>
              <w:top w:val="nil"/>
              <w:left w:val="nil"/>
              <w:bottom w:val="nil"/>
              <w:right w:val="nil"/>
            </w:tcBorders>
          </w:tcPr>
          <w:p>
            <w:pPr>
              <w:pStyle w:val="TableParagraph"/>
              <w:ind w:left="109"/>
              <w:jc w:val="left"/>
              <w:rPr>
                <w:sz w:val="14"/>
              </w:rPr>
            </w:pPr>
            <w:r>
              <w:rPr>
                <w:sz w:val="14"/>
              </w:rPr>
              <w:t>171±20 m:150</w:t>
            </w:r>
          </w:p>
          <w:p>
            <w:pPr>
              <w:pStyle w:val="TableParagraph"/>
              <w:ind w:left="109"/>
              <w:jc w:val="left"/>
              <w:rPr>
                <w:sz w:val="14"/>
              </w:rPr>
            </w:pPr>
            <w:r>
              <w:rPr>
                <w:sz w:val="14"/>
              </w:rPr>
              <w:t>M:198</w:t>
            </w:r>
          </w:p>
        </w:tc>
        <w:tc>
          <w:tcPr>
            <w:tcW w:w="683" w:type="dxa"/>
            <w:tcBorders>
              <w:top w:val="nil"/>
              <w:left w:val="nil"/>
              <w:bottom w:val="nil"/>
              <w:right w:val="nil"/>
            </w:tcBorders>
          </w:tcPr>
          <w:p>
            <w:pPr>
              <w:pStyle w:val="TableParagraph"/>
              <w:ind w:left="110" w:right="87"/>
              <w:jc w:val="left"/>
              <w:rPr>
                <w:sz w:val="14"/>
              </w:rPr>
            </w:pPr>
            <w:r>
              <w:rPr>
                <w:sz w:val="14"/>
              </w:rPr>
              <w:t>5.3±0.3 m:4.9</w:t>
            </w:r>
          </w:p>
          <w:p>
            <w:pPr>
              <w:pStyle w:val="TableParagraph"/>
              <w:ind w:left="110" w:right="87"/>
              <w:jc w:val="left"/>
              <w:rPr>
                <w:sz w:val="14"/>
              </w:rPr>
            </w:pPr>
            <w:r>
              <w:rPr>
                <w:sz w:val="14"/>
              </w:rPr>
              <w:t>M:5.9</w:t>
            </w:r>
          </w:p>
        </w:tc>
        <w:tc>
          <w:tcPr>
            <w:tcW w:w="987" w:type="dxa"/>
            <w:tcBorders>
              <w:top w:val="nil"/>
              <w:left w:val="nil"/>
              <w:bottom w:val="nil"/>
              <w:right w:val="nil"/>
            </w:tcBorders>
          </w:tcPr>
          <w:p>
            <w:pPr>
              <w:pStyle w:val="TableParagraph"/>
              <w:ind w:left="109" w:right="314"/>
              <w:jc w:val="left"/>
              <w:rPr>
                <w:sz w:val="14"/>
              </w:rPr>
            </w:pPr>
            <w:r>
              <w:rPr>
                <w:sz w:val="14"/>
              </w:rPr>
              <w:t>47.0±6.7 m:44.8</w:t>
            </w:r>
          </w:p>
          <w:p>
            <w:pPr>
              <w:pStyle w:val="TableParagraph"/>
              <w:ind w:left="109"/>
              <w:jc w:val="left"/>
              <w:rPr>
                <w:sz w:val="14"/>
              </w:rPr>
            </w:pPr>
            <w:r>
              <w:rPr>
                <w:sz w:val="14"/>
              </w:rPr>
              <w:t>M:65.3</w:t>
            </w:r>
          </w:p>
        </w:tc>
        <w:tc>
          <w:tcPr>
            <w:tcW w:w="974" w:type="dxa"/>
            <w:tcBorders>
              <w:top w:val="nil"/>
              <w:left w:val="nil"/>
              <w:bottom w:val="nil"/>
              <w:right w:val="nil"/>
            </w:tcBorders>
          </w:tcPr>
          <w:p>
            <w:pPr>
              <w:pStyle w:val="TableParagraph"/>
              <w:ind w:left="110" w:right="222"/>
              <w:jc w:val="left"/>
              <w:rPr>
                <w:sz w:val="14"/>
              </w:rPr>
            </w:pPr>
            <w:r>
              <w:rPr>
                <w:sz w:val="14"/>
              </w:rPr>
              <w:t>52.96±6.7 m:44.8</w:t>
            </w:r>
          </w:p>
          <w:p>
            <w:pPr>
              <w:pStyle w:val="TableParagraph"/>
              <w:ind w:left="110" w:right="300"/>
              <w:jc w:val="left"/>
              <w:rPr>
                <w:sz w:val="14"/>
              </w:rPr>
            </w:pPr>
            <w:r>
              <w:rPr>
                <w:sz w:val="14"/>
              </w:rPr>
              <w:t>M:65.7</w:t>
            </w:r>
          </w:p>
        </w:tc>
        <w:tc>
          <w:tcPr>
            <w:tcW w:w="1019" w:type="dxa"/>
            <w:tcBorders>
              <w:top w:val="nil"/>
              <w:left w:val="nil"/>
              <w:bottom w:val="nil"/>
              <w:right w:val="nil"/>
            </w:tcBorders>
          </w:tcPr>
          <w:p>
            <w:pPr>
              <w:pStyle w:val="TableParagraph"/>
              <w:ind w:left="243" w:right="290"/>
              <w:jc w:val="left"/>
              <w:rPr>
                <w:sz w:val="14"/>
              </w:rPr>
            </w:pPr>
            <w:r>
              <w:rPr>
                <w:sz w:val="14"/>
              </w:rPr>
              <w:t>3.2±0.6 m:2.7</w:t>
            </w:r>
          </w:p>
          <w:p>
            <w:pPr>
              <w:pStyle w:val="TableParagraph"/>
              <w:ind w:left="243"/>
              <w:jc w:val="left"/>
              <w:rPr>
                <w:sz w:val="14"/>
              </w:rPr>
            </w:pPr>
            <w:r>
              <w:rPr>
                <w:sz w:val="14"/>
              </w:rPr>
              <w:t>M:4.3</w:t>
            </w:r>
          </w:p>
        </w:tc>
        <w:tc>
          <w:tcPr>
            <w:tcW w:w="841" w:type="dxa"/>
            <w:tcBorders>
              <w:top w:val="nil"/>
              <w:left w:val="nil"/>
              <w:bottom w:val="nil"/>
              <w:right w:val="nil"/>
            </w:tcBorders>
          </w:tcPr>
          <w:p>
            <w:pPr>
              <w:pStyle w:val="TableParagraph"/>
              <w:ind w:left="109" w:right="167"/>
              <w:jc w:val="left"/>
              <w:rPr>
                <w:sz w:val="14"/>
              </w:rPr>
            </w:pPr>
            <w:r>
              <w:rPr>
                <w:sz w:val="14"/>
              </w:rPr>
              <w:t>22.0±2.3 m:18.2</w:t>
            </w:r>
          </w:p>
          <w:p>
            <w:pPr>
              <w:pStyle w:val="TableParagraph"/>
              <w:ind w:left="109" w:right="182"/>
              <w:jc w:val="left"/>
              <w:rPr>
                <w:sz w:val="14"/>
              </w:rPr>
            </w:pPr>
            <w:r>
              <w:rPr>
                <w:sz w:val="14"/>
              </w:rPr>
              <w:t>M:25.1</w:t>
            </w:r>
          </w:p>
        </w:tc>
        <w:tc>
          <w:tcPr>
            <w:tcW w:w="850" w:type="dxa"/>
            <w:tcBorders>
              <w:top w:val="nil"/>
              <w:left w:val="nil"/>
              <w:bottom w:val="nil"/>
              <w:right w:val="nil"/>
            </w:tcBorders>
          </w:tcPr>
          <w:p>
            <w:pPr>
              <w:pStyle w:val="TableParagraph"/>
              <w:ind w:left="188" w:right="97"/>
              <w:jc w:val="left"/>
              <w:rPr>
                <w:sz w:val="14"/>
              </w:rPr>
            </w:pPr>
            <w:r>
              <w:rPr>
                <w:sz w:val="14"/>
              </w:rPr>
              <w:t>20.8±5.3 m:14</w:t>
            </w:r>
          </w:p>
          <w:p>
            <w:pPr>
              <w:pStyle w:val="TableParagraph"/>
              <w:ind w:left="188" w:right="101"/>
              <w:jc w:val="left"/>
              <w:rPr>
                <w:sz w:val="14"/>
              </w:rPr>
            </w:pPr>
            <w:r>
              <w:rPr>
                <w:sz w:val="14"/>
              </w:rPr>
              <w:t>M:29</w:t>
            </w:r>
          </w:p>
        </w:tc>
        <w:tc>
          <w:tcPr>
            <w:tcW w:w="700" w:type="dxa"/>
            <w:tcBorders>
              <w:top w:val="nil"/>
              <w:left w:val="nil"/>
              <w:bottom w:val="nil"/>
              <w:right w:val="nil"/>
            </w:tcBorders>
          </w:tcPr>
          <w:p>
            <w:pPr>
              <w:pStyle w:val="TableParagraph"/>
              <w:ind w:left="118" w:right="96"/>
              <w:jc w:val="left"/>
              <w:rPr>
                <w:sz w:val="14"/>
              </w:rPr>
            </w:pPr>
            <w:r>
              <w:rPr>
                <w:sz w:val="14"/>
              </w:rPr>
              <w:t>0.8±0.2 m:0.6</w:t>
            </w:r>
          </w:p>
          <w:p>
            <w:pPr>
              <w:pStyle w:val="TableParagraph"/>
              <w:ind w:left="118"/>
              <w:jc w:val="left"/>
              <w:rPr>
                <w:sz w:val="14"/>
              </w:rPr>
            </w:pPr>
            <w:r>
              <w:rPr>
                <w:sz w:val="14"/>
              </w:rPr>
              <w:t>M:1.2</w:t>
            </w:r>
          </w:p>
        </w:tc>
        <w:tc>
          <w:tcPr>
            <w:tcW w:w="856" w:type="dxa"/>
            <w:tcBorders>
              <w:top w:val="nil"/>
              <w:left w:val="nil"/>
              <w:bottom w:val="nil"/>
            </w:tcBorders>
          </w:tcPr>
          <w:p>
            <w:pPr>
              <w:pStyle w:val="TableParagraph"/>
              <w:ind w:left="110" w:right="177"/>
              <w:jc w:val="left"/>
              <w:rPr>
                <w:sz w:val="14"/>
              </w:rPr>
            </w:pPr>
            <w:r>
              <w:rPr>
                <w:sz w:val="14"/>
              </w:rPr>
              <w:t>14.5±1.9 m:11.5</w:t>
            </w:r>
          </w:p>
          <w:p>
            <w:pPr>
              <w:pStyle w:val="TableParagraph"/>
              <w:ind w:left="110"/>
              <w:jc w:val="left"/>
              <w:rPr>
                <w:sz w:val="14"/>
              </w:rPr>
            </w:pPr>
            <w:r>
              <w:rPr>
                <w:sz w:val="14"/>
              </w:rPr>
              <w:t>M:17</w:t>
            </w:r>
          </w:p>
        </w:tc>
      </w:tr>
      <w:tr>
        <w:trPr>
          <w:trHeight w:val="161" w:hRule="exact"/>
        </w:trPr>
        <w:tc>
          <w:tcPr>
            <w:tcW w:w="1235" w:type="dxa"/>
            <w:tcBorders>
              <w:top w:val="nil"/>
              <w:bottom w:val="nil"/>
              <w:right w:val="nil"/>
            </w:tcBorders>
          </w:tcPr>
          <w:p>
            <w:pPr>
              <w:pStyle w:val="TableParagraph"/>
              <w:spacing w:line="153" w:lineRule="exact"/>
              <w:jc w:val="left"/>
              <w:rPr>
                <w:sz w:val="14"/>
              </w:rPr>
            </w:pPr>
            <w:r>
              <w:rPr>
                <w:w w:val="99"/>
                <w:sz w:val="14"/>
              </w:rPr>
              <w:t>D</w:t>
            </w:r>
          </w:p>
        </w:tc>
        <w:tc>
          <w:tcPr>
            <w:tcW w:w="683" w:type="dxa"/>
            <w:tcBorders>
              <w:top w:val="nil"/>
              <w:left w:val="nil"/>
              <w:bottom w:val="nil"/>
              <w:right w:val="nil"/>
            </w:tcBorders>
          </w:tcPr>
          <w:p>
            <w:pPr>
              <w:pStyle w:val="TableParagraph"/>
              <w:spacing w:line="153" w:lineRule="exact"/>
              <w:ind w:left="109" w:right="250"/>
              <w:jc w:val="left"/>
              <w:rPr>
                <w:sz w:val="14"/>
              </w:rPr>
            </w:pPr>
            <w:r>
              <w:rPr>
                <w:sz w:val="14"/>
              </w:rPr>
              <w:t>180</w:t>
            </w:r>
          </w:p>
        </w:tc>
        <w:tc>
          <w:tcPr>
            <w:tcW w:w="683" w:type="dxa"/>
            <w:tcBorders>
              <w:top w:val="nil"/>
              <w:left w:val="nil"/>
              <w:bottom w:val="nil"/>
              <w:right w:val="nil"/>
            </w:tcBorders>
          </w:tcPr>
          <w:p>
            <w:pPr>
              <w:pStyle w:val="TableParagraph"/>
              <w:spacing w:line="153" w:lineRule="exact"/>
              <w:ind w:left="110" w:right="87"/>
              <w:jc w:val="left"/>
              <w:rPr>
                <w:sz w:val="14"/>
              </w:rPr>
            </w:pPr>
            <w:r>
              <w:rPr>
                <w:sz w:val="14"/>
              </w:rPr>
              <w:t>5.7</w:t>
            </w:r>
          </w:p>
        </w:tc>
        <w:tc>
          <w:tcPr>
            <w:tcW w:w="987" w:type="dxa"/>
            <w:tcBorders>
              <w:top w:val="nil"/>
              <w:left w:val="nil"/>
              <w:bottom w:val="nil"/>
              <w:right w:val="nil"/>
            </w:tcBorders>
          </w:tcPr>
          <w:p>
            <w:pPr>
              <w:pStyle w:val="TableParagraph"/>
              <w:spacing w:line="153" w:lineRule="exact"/>
              <w:ind w:left="109"/>
              <w:jc w:val="left"/>
              <w:rPr>
                <w:sz w:val="14"/>
              </w:rPr>
            </w:pPr>
            <w:r>
              <w:rPr>
                <w:sz w:val="14"/>
              </w:rPr>
              <w:t>45.5</w:t>
            </w:r>
          </w:p>
        </w:tc>
        <w:tc>
          <w:tcPr>
            <w:tcW w:w="974" w:type="dxa"/>
            <w:tcBorders>
              <w:top w:val="nil"/>
              <w:left w:val="nil"/>
              <w:bottom w:val="nil"/>
              <w:right w:val="nil"/>
            </w:tcBorders>
          </w:tcPr>
          <w:p>
            <w:pPr>
              <w:pStyle w:val="TableParagraph"/>
              <w:spacing w:line="153" w:lineRule="exact"/>
              <w:ind w:left="149" w:right="300"/>
              <w:jc w:val="left"/>
              <w:rPr>
                <w:sz w:val="14"/>
              </w:rPr>
            </w:pPr>
            <w:r>
              <w:rPr>
                <w:sz w:val="14"/>
              </w:rPr>
              <w:t>55.5</w:t>
            </w:r>
          </w:p>
        </w:tc>
        <w:tc>
          <w:tcPr>
            <w:tcW w:w="1019" w:type="dxa"/>
            <w:tcBorders>
              <w:top w:val="nil"/>
              <w:left w:val="nil"/>
              <w:bottom w:val="nil"/>
              <w:right w:val="nil"/>
            </w:tcBorders>
          </w:tcPr>
          <w:p>
            <w:pPr>
              <w:pStyle w:val="TableParagraph"/>
              <w:spacing w:line="153" w:lineRule="exact"/>
              <w:ind w:left="243"/>
              <w:jc w:val="left"/>
              <w:rPr>
                <w:sz w:val="14"/>
              </w:rPr>
            </w:pPr>
            <w:r>
              <w:rPr>
                <w:sz w:val="14"/>
              </w:rPr>
              <w:t>3.0</w:t>
            </w:r>
          </w:p>
        </w:tc>
        <w:tc>
          <w:tcPr>
            <w:tcW w:w="841" w:type="dxa"/>
            <w:tcBorders>
              <w:top w:val="nil"/>
              <w:left w:val="nil"/>
              <w:bottom w:val="nil"/>
              <w:right w:val="nil"/>
            </w:tcBorders>
          </w:tcPr>
          <w:p>
            <w:pPr>
              <w:pStyle w:val="TableParagraph"/>
              <w:spacing w:line="153" w:lineRule="exact"/>
              <w:ind w:left="109" w:right="182"/>
              <w:jc w:val="left"/>
              <w:rPr>
                <w:sz w:val="14"/>
              </w:rPr>
            </w:pPr>
            <w:r>
              <w:rPr>
                <w:sz w:val="14"/>
              </w:rPr>
              <w:t>24.9</w:t>
            </w:r>
          </w:p>
        </w:tc>
        <w:tc>
          <w:tcPr>
            <w:tcW w:w="850" w:type="dxa"/>
            <w:tcBorders>
              <w:top w:val="nil"/>
              <w:left w:val="nil"/>
              <w:bottom w:val="nil"/>
              <w:right w:val="nil"/>
            </w:tcBorders>
          </w:tcPr>
          <w:p>
            <w:pPr>
              <w:pStyle w:val="TableParagraph"/>
              <w:spacing w:line="153" w:lineRule="exact"/>
              <w:ind w:left="188" w:right="101"/>
              <w:jc w:val="left"/>
              <w:rPr>
                <w:sz w:val="14"/>
              </w:rPr>
            </w:pPr>
            <w:r>
              <w:rPr>
                <w:sz w:val="14"/>
              </w:rPr>
              <w:t>23.5</w:t>
            </w:r>
          </w:p>
        </w:tc>
        <w:tc>
          <w:tcPr>
            <w:tcW w:w="700" w:type="dxa"/>
            <w:tcBorders>
              <w:top w:val="nil"/>
              <w:left w:val="nil"/>
              <w:bottom w:val="nil"/>
              <w:right w:val="nil"/>
            </w:tcBorders>
          </w:tcPr>
          <w:p>
            <w:pPr>
              <w:pStyle w:val="TableParagraph"/>
              <w:spacing w:line="153" w:lineRule="exact"/>
              <w:ind w:left="118"/>
              <w:jc w:val="left"/>
              <w:rPr>
                <w:sz w:val="14"/>
              </w:rPr>
            </w:pPr>
            <w:r>
              <w:rPr>
                <w:sz w:val="14"/>
              </w:rPr>
              <w:t>0.7</w:t>
            </w:r>
          </w:p>
        </w:tc>
        <w:tc>
          <w:tcPr>
            <w:tcW w:w="856" w:type="dxa"/>
            <w:tcBorders>
              <w:top w:val="nil"/>
              <w:left w:val="nil"/>
              <w:bottom w:val="nil"/>
            </w:tcBorders>
          </w:tcPr>
          <w:p>
            <w:pPr>
              <w:pStyle w:val="TableParagraph"/>
              <w:spacing w:line="153" w:lineRule="exact"/>
              <w:ind w:left="110"/>
              <w:jc w:val="left"/>
              <w:rPr>
                <w:sz w:val="14"/>
              </w:rPr>
            </w:pPr>
            <w:r>
              <w:rPr>
                <w:sz w:val="14"/>
              </w:rPr>
              <w:t>14.8</w:t>
            </w:r>
          </w:p>
        </w:tc>
      </w:tr>
      <w:tr>
        <w:trPr>
          <w:trHeight w:val="320" w:hRule="exact"/>
        </w:trPr>
        <w:tc>
          <w:tcPr>
            <w:tcW w:w="1235" w:type="dxa"/>
            <w:tcBorders>
              <w:top w:val="nil"/>
              <w:right w:val="nil"/>
            </w:tcBorders>
          </w:tcPr>
          <w:p>
            <w:pPr>
              <w:pStyle w:val="TableParagraph"/>
              <w:jc w:val="left"/>
              <w:rPr>
                <w:sz w:val="14"/>
              </w:rPr>
            </w:pPr>
            <w:r>
              <w:rPr>
                <w:w w:val="95"/>
                <w:sz w:val="14"/>
              </w:rPr>
              <w:t>PROMEDIO </w:t>
            </w:r>
            <w:r>
              <w:rPr>
                <w:sz w:val="14"/>
              </w:rPr>
              <w:t>TOTAL</w:t>
            </w:r>
          </w:p>
        </w:tc>
        <w:tc>
          <w:tcPr>
            <w:tcW w:w="683" w:type="dxa"/>
            <w:tcBorders>
              <w:top w:val="nil"/>
              <w:left w:val="nil"/>
              <w:right w:val="nil"/>
            </w:tcBorders>
          </w:tcPr>
          <w:p>
            <w:pPr>
              <w:pStyle w:val="TableParagraph"/>
              <w:spacing w:line="153" w:lineRule="exact"/>
              <w:ind w:left="109" w:right="250"/>
              <w:jc w:val="left"/>
              <w:rPr>
                <w:sz w:val="14"/>
              </w:rPr>
            </w:pPr>
            <w:r>
              <w:rPr>
                <w:sz w:val="14"/>
              </w:rPr>
              <w:t>173</w:t>
            </w:r>
          </w:p>
        </w:tc>
        <w:tc>
          <w:tcPr>
            <w:tcW w:w="683" w:type="dxa"/>
            <w:tcBorders>
              <w:top w:val="nil"/>
              <w:left w:val="nil"/>
              <w:right w:val="nil"/>
            </w:tcBorders>
          </w:tcPr>
          <w:p>
            <w:pPr>
              <w:pStyle w:val="TableParagraph"/>
              <w:spacing w:line="153" w:lineRule="exact"/>
              <w:ind w:left="110" w:right="87"/>
              <w:jc w:val="left"/>
              <w:rPr>
                <w:sz w:val="14"/>
              </w:rPr>
            </w:pPr>
            <w:r>
              <w:rPr>
                <w:sz w:val="14"/>
              </w:rPr>
              <w:t>5.3</w:t>
            </w:r>
          </w:p>
        </w:tc>
        <w:tc>
          <w:tcPr>
            <w:tcW w:w="987" w:type="dxa"/>
            <w:tcBorders>
              <w:top w:val="nil"/>
              <w:left w:val="nil"/>
              <w:right w:val="nil"/>
            </w:tcBorders>
          </w:tcPr>
          <w:p>
            <w:pPr>
              <w:pStyle w:val="TableParagraph"/>
              <w:spacing w:line="153" w:lineRule="exact"/>
              <w:ind w:left="109"/>
              <w:jc w:val="left"/>
              <w:rPr>
                <w:sz w:val="14"/>
              </w:rPr>
            </w:pPr>
            <w:r>
              <w:rPr>
                <w:sz w:val="14"/>
              </w:rPr>
              <w:t>49.5</w:t>
            </w:r>
          </w:p>
        </w:tc>
        <w:tc>
          <w:tcPr>
            <w:tcW w:w="974" w:type="dxa"/>
            <w:tcBorders>
              <w:top w:val="nil"/>
              <w:left w:val="nil"/>
              <w:right w:val="nil"/>
            </w:tcBorders>
          </w:tcPr>
          <w:p>
            <w:pPr>
              <w:pStyle w:val="TableParagraph"/>
              <w:spacing w:line="153" w:lineRule="exact"/>
              <w:ind w:left="110" w:right="300"/>
              <w:jc w:val="left"/>
              <w:rPr>
                <w:sz w:val="14"/>
              </w:rPr>
            </w:pPr>
            <w:r>
              <w:rPr>
                <w:sz w:val="14"/>
              </w:rPr>
              <w:t>50.3</w:t>
            </w:r>
          </w:p>
        </w:tc>
        <w:tc>
          <w:tcPr>
            <w:tcW w:w="1019" w:type="dxa"/>
            <w:tcBorders>
              <w:top w:val="nil"/>
              <w:left w:val="nil"/>
              <w:right w:val="nil"/>
            </w:tcBorders>
          </w:tcPr>
          <w:p>
            <w:pPr>
              <w:pStyle w:val="TableParagraph"/>
              <w:spacing w:line="153" w:lineRule="exact"/>
              <w:ind w:left="243"/>
              <w:jc w:val="left"/>
              <w:rPr>
                <w:sz w:val="14"/>
              </w:rPr>
            </w:pPr>
            <w:r>
              <w:rPr>
                <w:sz w:val="14"/>
              </w:rPr>
              <w:t>3.3</w:t>
            </w:r>
          </w:p>
        </w:tc>
        <w:tc>
          <w:tcPr>
            <w:tcW w:w="841" w:type="dxa"/>
            <w:tcBorders>
              <w:top w:val="nil"/>
              <w:left w:val="nil"/>
              <w:right w:val="nil"/>
            </w:tcBorders>
          </w:tcPr>
          <w:p>
            <w:pPr>
              <w:pStyle w:val="TableParagraph"/>
              <w:spacing w:line="153" w:lineRule="exact"/>
              <w:ind w:left="109" w:right="182"/>
              <w:jc w:val="left"/>
              <w:rPr>
                <w:sz w:val="14"/>
              </w:rPr>
            </w:pPr>
            <w:r>
              <w:rPr>
                <w:sz w:val="14"/>
              </w:rPr>
              <w:t>20.5</w:t>
            </w:r>
          </w:p>
        </w:tc>
        <w:tc>
          <w:tcPr>
            <w:tcW w:w="850" w:type="dxa"/>
            <w:tcBorders>
              <w:top w:val="nil"/>
              <w:left w:val="nil"/>
              <w:right w:val="nil"/>
            </w:tcBorders>
          </w:tcPr>
          <w:p>
            <w:pPr>
              <w:pStyle w:val="TableParagraph"/>
              <w:spacing w:line="153" w:lineRule="exact"/>
              <w:ind w:left="188" w:right="101"/>
              <w:jc w:val="left"/>
              <w:rPr>
                <w:sz w:val="14"/>
              </w:rPr>
            </w:pPr>
            <w:r>
              <w:rPr>
                <w:sz w:val="14"/>
              </w:rPr>
              <w:t>19.7</w:t>
            </w:r>
          </w:p>
        </w:tc>
        <w:tc>
          <w:tcPr>
            <w:tcW w:w="700" w:type="dxa"/>
            <w:tcBorders>
              <w:top w:val="nil"/>
              <w:left w:val="nil"/>
              <w:right w:val="nil"/>
            </w:tcBorders>
          </w:tcPr>
          <w:p>
            <w:pPr>
              <w:pStyle w:val="TableParagraph"/>
              <w:spacing w:line="153" w:lineRule="exact"/>
              <w:ind w:left="118"/>
              <w:jc w:val="left"/>
              <w:rPr>
                <w:sz w:val="14"/>
              </w:rPr>
            </w:pPr>
            <w:r>
              <w:rPr>
                <w:sz w:val="14"/>
              </w:rPr>
              <w:t>0.87</w:t>
            </w:r>
          </w:p>
        </w:tc>
        <w:tc>
          <w:tcPr>
            <w:tcW w:w="856" w:type="dxa"/>
            <w:tcBorders>
              <w:top w:val="nil"/>
              <w:left w:val="nil"/>
            </w:tcBorders>
          </w:tcPr>
          <w:p>
            <w:pPr>
              <w:pStyle w:val="TableParagraph"/>
              <w:spacing w:line="153" w:lineRule="exact"/>
              <w:ind w:left="110"/>
              <w:jc w:val="left"/>
              <w:rPr>
                <w:sz w:val="14"/>
              </w:rPr>
            </w:pPr>
            <w:r>
              <w:rPr>
                <w:sz w:val="14"/>
              </w:rPr>
              <w:t>17.3</w:t>
            </w:r>
          </w:p>
        </w:tc>
      </w:tr>
    </w:tbl>
    <w:p>
      <w:pPr>
        <w:spacing w:before="0"/>
        <w:ind w:left="861" w:right="63" w:firstLine="0"/>
        <w:jc w:val="left"/>
        <w:rPr>
          <w:sz w:val="24"/>
        </w:rPr>
      </w:pPr>
      <w:r>
        <w:rPr>
          <w:sz w:val="18"/>
        </w:rPr>
        <w:t>Regiones de abasto municipal: A, B, C y D; los valores se muestran en m: valor mínimo, y M: valor máximo</w:t>
      </w:r>
      <w:r>
        <w:rPr>
          <w:sz w:val="24"/>
        </w:rPr>
        <w:t>.</w:t>
      </w:r>
    </w:p>
    <w:p>
      <w:pPr>
        <w:pStyle w:val="BodyText"/>
        <w:spacing w:before="9"/>
        <w:rPr>
          <w:sz w:val="23"/>
        </w:rPr>
      </w:pPr>
    </w:p>
    <w:p>
      <w:pPr>
        <w:pStyle w:val="BodyText"/>
        <w:ind w:left="861" w:right="63"/>
      </w:pPr>
      <w:r>
        <w:rPr/>
        <w:t>Cuadro 3: Análisis fisicoquímico del queso fresco por regiones de abasto.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tbl>
      <w:tblPr>
        <w:tblW w:w="0" w:type="auto"/>
        <w:jc w:val="left"/>
        <w:tblInd w:w="7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60"/>
        <w:gridCol w:w="1150"/>
        <w:gridCol w:w="1042"/>
        <w:gridCol w:w="1150"/>
        <w:gridCol w:w="1045"/>
      </w:tblGrid>
      <w:tr>
        <w:trPr>
          <w:trHeight w:val="288" w:hRule="exact"/>
        </w:trPr>
        <w:tc>
          <w:tcPr>
            <w:tcW w:w="3260" w:type="dxa"/>
          </w:tcPr>
          <w:p>
            <w:pPr>
              <w:pStyle w:val="TableParagraph"/>
              <w:spacing w:line="274" w:lineRule="exact"/>
              <w:ind w:left="683" w:right="432"/>
              <w:jc w:val="left"/>
              <w:rPr>
                <w:sz w:val="24"/>
              </w:rPr>
            </w:pPr>
            <w:r>
              <w:rPr>
                <w:sz w:val="24"/>
              </w:rPr>
              <w:t>Región de abasto</w:t>
            </w:r>
          </w:p>
        </w:tc>
        <w:tc>
          <w:tcPr>
            <w:tcW w:w="1150" w:type="dxa"/>
          </w:tcPr>
          <w:p>
            <w:pPr>
              <w:pStyle w:val="TableParagraph"/>
              <w:spacing w:line="274" w:lineRule="exact"/>
              <w:ind w:left="0"/>
              <w:rPr>
                <w:sz w:val="24"/>
              </w:rPr>
            </w:pPr>
            <w:r>
              <w:rPr>
                <w:w w:val="100"/>
                <w:sz w:val="24"/>
              </w:rPr>
              <w:t>A</w:t>
            </w:r>
          </w:p>
        </w:tc>
        <w:tc>
          <w:tcPr>
            <w:tcW w:w="1042" w:type="dxa"/>
          </w:tcPr>
          <w:p>
            <w:pPr>
              <w:pStyle w:val="TableParagraph"/>
              <w:spacing w:line="274" w:lineRule="exact"/>
              <w:ind w:left="0"/>
              <w:rPr>
                <w:sz w:val="24"/>
              </w:rPr>
            </w:pPr>
            <w:r>
              <w:rPr>
                <w:w w:val="100"/>
                <w:sz w:val="24"/>
              </w:rPr>
              <w:t>B</w:t>
            </w:r>
          </w:p>
        </w:tc>
        <w:tc>
          <w:tcPr>
            <w:tcW w:w="1150" w:type="dxa"/>
          </w:tcPr>
          <w:p>
            <w:pPr>
              <w:pStyle w:val="TableParagraph"/>
              <w:spacing w:line="274" w:lineRule="exact"/>
              <w:ind w:left="0" w:right="1"/>
              <w:rPr>
                <w:sz w:val="24"/>
              </w:rPr>
            </w:pPr>
            <w:r>
              <w:rPr>
                <w:w w:val="99"/>
                <w:sz w:val="24"/>
              </w:rPr>
              <w:t>C</w:t>
            </w:r>
          </w:p>
        </w:tc>
        <w:tc>
          <w:tcPr>
            <w:tcW w:w="1045" w:type="dxa"/>
          </w:tcPr>
          <w:p>
            <w:pPr>
              <w:pStyle w:val="TableParagraph"/>
              <w:spacing w:line="274" w:lineRule="exact"/>
              <w:ind w:left="0"/>
              <w:rPr>
                <w:sz w:val="24"/>
              </w:rPr>
            </w:pPr>
            <w:r>
              <w:rPr>
                <w:w w:val="99"/>
                <w:sz w:val="24"/>
              </w:rPr>
              <w:t>D</w:t>
            </w:r>
          </w:p>
        </w:tc>
      </w:tr>
      <w:tr>
        <w:trPr>
          <w:trHeight w:val="1114" w:hRule="exact"/>
        </w:trPr>
        <w:tc>
          <w:tcPr>
            <w:tcW w:w="3260" w:type="dxa"/>
          </w:tcPr>
          <w:p>
            <w:pPr>
              <w:pStyle w:val="TableParagraph"/>
              <w:ind w:left="811" w:right="432" w:hanging="708"/>
              <w:jc w:val="left"/>
              <w:rPr>
                <w:sz w:val="24"/>
              </w:rPr>
            </w:pPr>
            <w:r>
              <w:rPr>
                <w:sz w:val="24"/>
              </w:rPr>
              <w:t>Sitio de Comercialización Mercados fijos Tianguis</w:t>
            </w:r>
          </w:p>
          <w:p>
            <w:pPr>
              <w:pStyle w:val="TableParagraph"/>
              <w:ind w:left="811" w:right="432"/>
              <w:jc w:val="left"/>
              <w:rPr>
                <w:sz w:val="24"/>
              </w:rPr>
            </w:pPr>
            <w:r>
              <w:rPr>
                <w:sz w:val="24"/>
              </w:rPr>
              <w:t>Central de abasto</w:t>
            </w:r>
          </w:p>
        </w:tc>
        <w:tc>
          <w:tcPr>
            <w:tcW w:w="1150" w:type="dxa"/>
          </w:tcPr>
          <w:p>
            <w:pPr>
              <w:pStyle w:val="TableParagraph"/>
              <w:spacing w:before="7"/>
              <w:ind w:left="0"/>
              <w:jc w:val="left"/>
              <w:rPr>
                <w:sz w:val="23"/>
              </w:rPr>
            </w:pPr>
          </w:p>
          <w:p>
            <w:pPr>
              <w:pStyle w:val="TableParagraph"/>
              <w:jc w:val="left"/>
              <w:rPr>
                <w:sz w:val="24"/>
              </w:rPr>
            </w:pPr>
            <w:r>
              <w:rPr>
                <w:w w:val="99"/>
                <w:sz w:val="24"/>
              </w:rPr>
              <w:t>7</w:t>
            </w:r>
          </w:p>
          <w:p>
            <w:pPr>
              <w:pStyle w:val="TableParagraph"/>
              <w:jc w:val="left"/>
              <w:rPr>
                <w:sz w:val="24"/>
              </w:rPr>
            </w:pPr>
            <w:r>
              <w:rPr>
                <w:sz w:val="24"/>
              </w:rPr>
              <w:t>34</w:t>
            </w:r>
          </w:p>
          <w:p>
            <w:pPr>
              <w:pStyle w:val="TableParagraph"/>
              <w:jc w:val="left"/>
              <w:rPr>
                <w:sz w:val="24"/>
              </w:rPr>
            </w:pPr>
            <w:r>
              <w:rPr>
                <w:w w:val="99"/>
                <w:sz w:val="24"/>
              </w:rPr>
              <w:t>0</w:t>
            </w:r>
          </w:p>
        </w:tc>
        <w:tc>
          <w:tcPr>
            <w:tcW w:w="1042" w:type="dxa"/>
          </w:tcPr>
          <w:p>
            <w:pPr>
              <w:pStyle w:val="TableParagraph"/>
              <w:spacing w:before="7"/>
              <w:ind w:left="0"/>
              <w:jc w:val="left"/>
              <w:rPr>
                <w:sz w:val="23"/>
              </w:rPr>
            </w:pPr>
          </w:p>
          <w:p>
            <w:pPr>
              <w:pStyle w:val="TableParagraph"/>
              <w:ind w:left="100"/>
              <w:jc w:val="left"/>
              <w:rPr>
                <w:sz w:val="24"/>
              </w:rPr>
            </w:pPr>
            <w:r>
              <w:rPr>
                <w:w w:val="99"/>
                <w:sz w:val="24"/>
              </w:rPr>
              <w:t>3</w:t>
            </w:r>
          </w:p>
          <w:p>
            <w:pPr>
              <w:pStyle w:val="TableParagraph"/>
              <w:ind w:left="100"/>
              <w:jc w:val="left"/>
              <w:rPr>
                <w:sz w:val="24"/>
              </w:rPr>
            </w:pPr>
            <w:r>
              <w:rPr>
                <w:sz w:val="24"/>
              </w:rPr>
              <w:t>12</w:t>
            </w:r>
          </w:p>
          <w:p>
            <w:pPr>
              <w:pStyle w:val="TableParagraph"/>
              <w:ind w:left="100"/>
              <w:jc w:val="left"/>
              <w:rPr>
                <w:sz w:val="24"/>
              </w:rPr>
            </w:pPr>
            <w:r>
              <w:rPr>
                <w:w w:val="99"/>
                <w:sz w:val="24"/>
              </w:rPr>
              <w:t>0</w:t>
            </w:r>
          </w:p>
        </w:tc>
        <w:tc>
          <w:tcPr>
            <w:tcW w:w="1150" w:type="dxa"/>
          </w:tcPr>
          <w:p>
            <w:pPr>
              <w:pStyle w:val="TableParagraph"/>
              <w:spacing w:before="7"/>
              <w:ind w:left="0"/>
              <w:jc w:val="left"/>
              <w:rPr>
                <w:sz w:val="23"/>
              </w:rPr>
            </w:pPr>
          </w:p>
          <w:p>
            <w:pPr>
              <w:pStyle w:val="TableParagraph"/>
              <w:jc w:val="left"/>
              <w:rPr>
                <w:sz w:val="24"/>
              </w:rPr>
            </w:pPr>
            <w:r>
              <w:rPr>
                <w:w w:val="99"/>
                <w:sz w:val="24"/>
              </w:rPr>
              <w:t>0</w:t>
            </w:r>
          </w:p>
          <w:p>
            <w:pPr>
              <w:pStyle w:val="TableParagraph"/>
              <w:jc w:val="left"/>
              <w:rPr>
                <w:sz w:val="24"/>
              </w:rPr>
            </w:pPr>
            <w:r>
              <w:rPr>
                <w:w w:val="99"/>
                <w:sz w:val="24"/>
              </w:rPr>
              <w:t>7</w:t>
            </w:r>
          </w:p>
          <w:p>
            <w:pPr>
              <w:pStyle w:val="TableParagraph"/>
              <w:jc w:val="left"/>
              <w:rPr>
                <w:sz w:val="24"/>
              </w:rPr>
            </w:pPr>
            <w:r>
              <w:rPr>
                <w:w w:val="99"/>
                <w:sz w:val="24"/>
              </w:rPr>
              <w:t>0</w:t>
            </w:r>
          </w:p>
        </w:tc>
        <w:tc>
          <w:tcPr>
            <w:tcW w:w="1045" w:type="dxa"/>
          </w:tcPr>
          <w:p>
            <w:pPr>
              <w:pStyle w:val="TableParagraph"/>
              <w:spacing w:before="7"/>
              <w:ind w:left="0"/>
              <w:jc w:val="left"/>
              <w:rPr>
                <w:sz w:val="23"/>
              </w:rPr>
            </w:pPr>
          </w:p>
          <w:p>
            <w:pPr>
              <w:pStyle w:val="TableParagraph"/>
              <w:jc w:val="left"/>
              <w:rPr>
                <w:sz w:val="24"/>
              </w:rPr>
            </w:pPr>
            <w:r>
              <w:rPr>
                <w:w w:val="99"/>
                <w:sz w:val="24"/>
              </w:rPr>
              <w:t>0</w:t>
            </w:r>
          </w:p>
          <w:p>
            <w:pPr>
              <w:pStyle w:val="TableParagraph"/>
              <w:jc w:val="left"/>
              <w:rPr>
                <w:sz w:val="24"/>
              </w:rPr>
            </w:pPr>
            <w:r>
              <w:rPr>
                <w:w w:val="99"/>
                <w:sz w:val="24"/>
              </w:rPr>
              <w:t>1</w:t>
            </w:r>
          </w:p>
          <w:p>
            <w:pPr>
              <w:pStyle w:val="TableParagraph"/>
              <w:jc w:val="left"/>
              <w:rPr>
                <w:sz w:val="24"/>
              </w:rPr>
            </w:pPr>
            <w:r>
              <w:rPr>
                <w:w w:val="99"/>
                <w:sz w:val="24"/>
              </w:rPr>
              <w:t>0</w:t>
            </w:r>
          </w:p>
        </w:tc>
      </w:tr>
      <w:tr>
        <w:trPr>
          <w:trHeight w:val="838" w:hRule="exact"/>
        </w:trPr>
        <w:tc>
          <w:tcPr>
            <w:tcW w:w="3260" w:type="dxa"/>
          </w:tcPr>
          <w:p>
            <w:pPr>
              <w:pStyle w:val="TableParagraph"/>
              <w:spacing w:line="272" w:lineRule="exact"/>
              <w:ind w:right="432"/>
              <w:jc w:val="left"/>
              <w:rPr>
                <w:sz w:val="24"/>
              </w:rPr>
            </w:pPr>
            <w:r>
              <w:rPr>
                <w:sz w:val="24"/>
              </w:rPr>
              <w:t>Tipo de vendedores</w:t>
            </w:r>
          </w:p>
          <w:p>
            <w:pPr>
              <w:pStyle w:val="TableParagraph"/>
              <w:ind w:left="811" w:right="898" w:firstLine="26"/>
              <w:jc w:val="left"/>
              <w:rPr>
                <w:sz w:val="24"/>
              </w:rPr>
            </w:pPr>
            <w:r>
              <w:rPr>
                <w:sz w:val="24"/>
              </w:rPr>
              <w:t>Productores Intermediarios</w:t>
            </w:r>
          </w:p>
        </w:tc>
        <w:tc>
          <w:tcPr>
            <w:tcW w:w="1150" w:type="dxa"/>
          </w:tcPr>
          <w:p>
            <w:pPr>
              <w:pStyle w:val="TableParagraph"/>
              <w:spacing w:before="7"/>
              <w:ind w:left="0"/>
              <w:jc w:val="left"/>
              <w:rPr>
                <w:sz w:val="23"/>
              </w:rPr>
            </w:pPr>
          </w:p>
          <w:p>
            <w:pPr>
              <w:pStyle w:val="TableParagraph"/>
              <w:jc w:val="left"/>
              <w:rPr>
                <w:sz w:val="24"/>
              </w:rPr>
            </w:pPr>
            <w:r>
              <w:rPr>
                <w:sz w:val="24"/>
              </w:rPr>
              <w:t>12</w:t>
            </w:r>
          </w:p>
          <w:p>
            <w:pPr>
              <w:pStyle w:val="TableParagraph"/>
              <w:jc w:val="left"/>
              <w:rPr>
                <w:sz w:val="24"/>
              </w:rPr>
            </w:pPr>
            <w:r>
              <w:rPr>
                <w:sz w:val="24"/>
              </w:rPr>
              <w:t>29</w:t>
            </w:r>
          </w:p>
        </w:tc>
        <w:tc>
          <w:tcPr>
            <w:tcW w:w="1042" w:type="dxa"/>
          </w:tcPr>
          <w:p>
            <w:pPr>
              <w:pStyle w:val="TableParagraph"/>
              <w:spacing w:before="7"/>
              <w:ind w:left="0"/>
              <w:jc w:val="left"/>
              <w:rPr>
                <w:sz w:val="23"/>
              </w:rPr>
            </w:pPr>
          </w:p>
          <w:p>
            <w:pPr>
              <w:pStyle w:val="TableParagraph"/>
              <w:ind w:left="100"/>
              <w:jc w:val="left"/>
              <w:rPr>
                <w:sz w:val="24"/>
              </w:rPr>
            </w:pPr>
            <w:r>
              <w:rPr>
                <w:w w:val="99"/>
                <w:sz w:val="24"/>
              </w:rPr>
              <w:t>1</w:t>
            </w:r>
          </w:p>
          <w:p>
            <w:pPr>
              <w:pStyle w:val="TableParagraph"/>
              <w:ind w:left="100"/>
              <w:jc w:val="left"/>
              <w:rPr>
                <w:sz w:val="24"/>
              </w:rPr>
            </w:pPr>
            <w:r>
              <w:rPr>
                <w:sz w:val="24"/>
              </w:rPr>
              <w:t>14</w:t>
            </w:r>
          </w:p>
        </w:tc>
        <w:tc>
          <w:tcPr>
            <w:tcW w:w="1150" w:type="dxa"/>
          </w:tcPr>
          <w:p>
            <w:pPr>
              <w:pStyle w:val="TableParagraph"/>
              <w:ind w:left="0"/>
              <w:jc w:val="left"/>
              <w:rPr>
                <w:sz w:val="24"/>
              </w:rPr>
            </w:pPr>
          </w:p>
          <w:p>
            <w:pPr>
              <w:pStyle w:val="TableParagraph"/>
              <w:spacing w:before="7"/>
              <w:ind w:left="0"/>
              <w:jc w:val="left"/>
              <w:rPr>
                <w:sz w:val="23"/>
              </w:rPr>
            </w:pPr>
          </w:p>
          <w:p>
            <w:pPr>
              <w:pStyle w:val="TableParagraph"/>
              <w:jc w:val="left"/>
              <w:rPr>
                <w:sz w:val="24"/>
              </w:rPr>
            </w:pPr>
            <w:r>
              <w:rPr>
                <w:w w:val="99"/>
                <w:sz w:val="24"/>
              </w:rPr>
              <w:t>7</w:t>
            </w:r>
          </w:p>
        </w:tc>
        <w:tc>
          <w:tcPr>
            <w:tcW w:w="1045" w:type="dxa"/>
          </w:tcPr>
          <w:p>
            <w:pPr>
              <w:pStyle w:val="TableParagraph"/>
              <w:ind w:left="0"/>
              <w:jc w:val="left"/>
              <w:rPr>
                <w:sz w:val="24"/>
              </w:rPr>
            </w:pPr>
          </w:p>
          <w:p>
            <w:pPr>
              <w:pStyle w:val="TableParagraph"/>
              <w:spacing w:before="7"/>
              <w:ind w:left="0"/>
              <w:jc w:val="left"/>
              <w:rPr>
                <w:sz w:val="23"/>
              </w:rPr>
            </w:pPr>
          </w:p>
          <w:p>
            <w:pPr>
              <w:pStyle w:val="TableParagraph"/>
              <w:jc w:val="left"/>
              <w:rPr>
                <w:sz w:val="24"/>
              </w:rPr>
            </w:pPr>
            <w:r>
              <w:rPr>
                <w:w w:val="99"/>
                <w:sz w:val="24"/>
              </w:rPr>
              <w:t>1</w:t>
            </w:r>
          </w:p>
        </w:tc>
      </w:tr>
      <w:tr>
        <w:trPr>
          <w:trHeight w:val="1666" w:hRule="exact"/>
        </w:trPr>
        <w:tc>
          <w:tcPr>
            <w:tcW w:w="3260" w:type="dxa"/>
          </w:tcPr>
          <w:p>
            <w:pPr>
              <w:pStyle w:val="TableParagraph"/>
              <w:spacing w:line="272" w:lineRule="exact"/>
              <w:ind w:right="432"/>
              <w:jc w:val="left"/>
              <w:rPr>
                <w:sz w:val="24"/>
              </w:rPr>
            </w:pPr>
            <w:r>
              <w:rPr>
                <w:sz w:val="24"/>
              </w:rPr>
              <w:t>Condiciones de Venta</w:t>
            </w:r>
          </w:p>
          <w:p>
            <w:pPr>
              <w:pStyle w:val="TableParagraph"/>
              <w:ind w:left="811" w:right="84"/>
              <w:jc w:val="left"/>
              <w:rPr>
                <w:sz w:val="24"/>
              </w:rPr>
            </w:pPr>
            <w:r>
              <w:rPr>
                <w:sz w:val="24"/>
              </w:rPr>
              <w:t>Venta de lácteos Alimentos preparados Solamente quesos Productos agrícolas Otros</w:t>
            </w:r>
          </w:p>
        </w:tc>
        <w:tc>
          <w:tcPr>
            <w:tcW w:w="1150" w:type="dxa"/>
          </w:tcPr>
          <w:p>
            <w:pPr>
              <w:pStyle w:val="TableParagraph"/>
              <w:spacing w:before="7"/>
              <w:ind w:left="0"/>
              <w:jc w:val="left"/>
              <w:rPr>
                <w:sz w:val="23"/>
              </w:rPr>
            </w:pPr>
          </w:p>
          <w:p>
            <w:pPr>
              <w:pStyle w:val="TableParagraph"/>
              <w:jc w:val="left"/>
              <w:rPr>
                <w:sz w:val="24"/>
              </w:rPr>
            </w:pPr>
            <w:r>
              <w:rPr>
                <w:sz w:val="24"/>
              </w:rPr>
              <w:t>14</w:t>
            </w:r>
          </w:p>
          <w:p>
            <w:pPr>
              <w:pStyle w:val="TableParagraph"/>
              <w:jc w:val="left"/>
              <w:rPr>
                <w:sz w:val="24"/>
              </w:rPr>
            </w:pPr>
            <w:r>
              <w:rPr>
                <w:sz w:val="24"/>
              </w:rPr>
              <w:t>17</w:t>
            </w:r>
          </w:p>
          <w:p>
            <w:pPr>
              <w:pStyle w:val="TableParagraph"/>
              <w:jc w:val="left"/>
              <w:rPr>
                <w:sz w:val="24"/>
              </w:rPr>
            </w:pPr>
            <w:r>
              <w:rPr>
                <w:w w:val="99"/>
                <w:sz w:val="24"/>
              </w:rPr>
              <w:t>1</w:t>
            </w:r>
          </w:p>
          <w:p>
            <w:pPr>
              <w:pStyle w:val="TableParagraph"/>
              <w:jc w:val="left"/>
              <w:rPr>
                <w:sz w:val="24"/>
              </w:rPr>
            </w:pPr>
            <w:r>
              <w:rPr>
                <w:w w:val="99"/>
                <w:sz w:val="24"/>
              </w:rPr>
              <w:t>7</w:t>
            </w:r>
          </w:p>
          <w:p>
            <w:pPr>
              <w:pStyle w:val="TableParagraph"/>
              <w:jc w:val="left"/>
              <w:rPr>
                <w:sz w:val="24"/>
              </w:rPr>
            </w:pPr>
            <w:r>
              <w:rPr>
                <w:w w:val="99"/>
                <w:sz w:val="24"/>
              </w:rPr>
              <w:t>2</w:t>
            </w:r>
          </w:p>
        </w:tc>
        <w:tc>
          <w:tcPr>
            <w:tcW w:w="1042" w:type="dxa"/>
          </w:tcPr>
          <w:p>
            <w:pPr>
              <w:pStyle w:val="TableParagraph"/>
              <w:spacing w:before="7"/>
              <w:ind w:left="0"/>
              <w:jc w:val="left"/>
              <w:rPr>
                <w:sz w:val="23"/>
              </w:rPr>
            </w:pPr>
          </w:p>
          <w:p>
            <w:pPr>
              <w:pStyle w:val="TableParagraph"/>
              <w:ind w:left="100"/>
              <w:jc w:val="left"/>
              <w:rPr>
                <w:sz w:val="24"/>
              </w:rPr>
            </w:pPr>
            <w:r>
              <w:rPr>
                <w:w w:val="99"/>
                <w:sz w:val="24"/>
              </w:rPr>
              <w:t>6</w:t>
            </w:r>
          </w:p>
          <w:p>
            <w:pPr>
              <w:pStyle w:val="TableParagraph"/>
              <w:ind w:left="100"/>
              <w:jc w:val="left"/>
              <w:rPr>
                <w:sz w:val="24"/>
              </w:rPr>
            </w:pPr>
            <w:r>
              <w:rPr>
                <w:w w:val="99"/>
                <w:sz w:val="24"/>
              </w:rPr>
              <w:t>8</w:t>
            </w:r>
          </w:p>
          <w:p>
            <w:pPr>
              <w:pStyle w:val="TableParagraph"/>
              <w:ind w:left="0"/>
              <w:jc w:val="left"/>
              <w:rPr>
                <w:sz w:val="24"/>
              </w:rPr>
            </w:pPr>
          </w:p>
          <w:p>
            <w:pPr>
              <w:pStyle w:val="TableParagraph"/>
              <w:ind w:left="0"/>
              <w:jc w:val="left"/>
              <w:rPr>
                <w:sz w:val="24"/>
              </w:rPr>
            </w:pPr>
          </w:p>
          <w:p>
            <w:pPr>
              <w:pStyle w:val="TableParagraph"/>
              <w:ind w:left="100"/>
              <w:jc w:val="left"/>
              <w:rPr>
                <w:sz w:val="24"/>
              </w:rPr>
            </w:pPr>
            <w:r>
              <w:rPr>
                <w:w w:val="99"/>
                <w:sz w:val="24"/>
              </w:rPr>
              <w:t>1</w:t>
            </w:r>
          </w:p>
        </w:tc>
        <w:tc>
          <w:tcPr>
            <w:tcW w:w="1150" w:type="dxa"/>
          </w:tcPr>
          <w:p>
            <w:pPr>
              <w:pStyle w:val="TableParagraph"/>
              <w:ind w:left="0"/>
              <w:jc w:val="left"/>
              <w:rPr>
                <w:sz w:val="24"/>
              </w:rPr>
            </w:pPr>
          </w:p>
          <w:p>
            <w:pPr>
              <w:pStyle w:val="TableParagraph"/>
              <w:spacing w:before="7"/>
              <w:ind w:left="0"/>
              <w:jc w:val="left"/>
              <w:rPr>
                <w:sz w:val="23"/>
              </w:rPr>
            </w:pPr>
          </w:p>
          <w:p>
            <w:pPr>
              <w:pStyle w:val="TableParagraph"/>
              <w:jc w:val="left"/>
              <w:rPr>
                <w:sz w:val="24"/>
              </w:rPr>
            </w:pPr>
            <w:r>
              <w:rPr>
                <w:w w:val="99"/>
                <w:sz w:val="24"/>
              </w:rPr>
              <w:t>7</w:t>
            </w:r>
          </w:p>
        </w:tc>
        <w:tc>
          <w:tcPr>
            <w:tcW w:w="1045" w:type="dxa"/>
          </w:tcPr>
          <w:p>
            <w:pPr>
              <w:pStyle w:val="TableParagraph"/>
              <w:spacing w:before="7"/>
              <w:ind w:left="0"/>
              <w:jc w:val="left"/>
              <w:rPr>
                <w:sz w:val="23"/>
              </w:rPr>
            </w:pPr>
          </w:p>
          <w:p>
            <w:pPr>
              <w:pStyle w:val="TableParagraph"/>
              <w:jc w:val="left"/>
              <w:rPr>
                <w:sz w:val="24"/>
              </w:rPr>
            </w:pPr>
            <w:r>
              <w:rPr>
                <w:w w:val="99"/>
                <w:sz w:val="24"/>
              </w:rPr>
              <w:t>1</w:t>
            </w:r>
          </w:p>
        </w:tc>
      </w:tr>
      <w:tr>
        <w:trPr>
          <w:trHeight w:val="838" w:hRule="exact"/>
        </w:trPr>
        <w:tc>
          <w:tcPr>
            <w:tcW w:w="3260" w:type="dxa"/>
          </w:tcPr>
          <w:p>
            <w:pPr>
              <w:pStyle w:val="TableParagraph"/>
              <w:spacing w:line="272" w:lineRule="exact"/>
              <w:ind w:right="432"/>
              <w:jc w:val="left"/>
              <w:rPr>
                <w:sz w:val="24"/>
              </w:rPr>
            </w:pPr>
            <w:r>
              <w:rPr>
                <w:sz w:val="24"/>
              </w:rPr>
              <w:t>Embalaje</w:t>
            </w:r>
          </w:p>
          <w:p>
            <w:pPr>
              <w:pStyle w:val="TableParagraph"/>
              <w:ind w:left="811" w:right="351"/>
              <w:jc w:val="left"/>
              <w:rPr>
                <w:sz w:val="24"/>
              </w:rPr>
            </w:pPr>
            <w:r>
              <w:rPr>
                <w:sz w:val="24"/>
              </w:rPr>
              <w:t>Película de plástico Ninguno</w:t>
            </w:r>
          </w:p>
        </w:tc>
        <w:tc>
          <w:tcPr>
            <w:tcW w:w="1150" w:type="dxa"/>
          </w:tcPr>
          <w:p>
            <w:pPr>
              <w:pStyle w:val="TableParagraph"/>
              <w:spacing w:before="7"/>
              <w:ind w:left="0"/>
              <w:jc w:val="left"/>
              <w:rPr>
                <w:sz w:val="23"/>
              </w:rPr>
            </w:pPr>
          </w:p>
          <w:p>
            <w:pPr>
              <w:pStyle w:val="TableParagraph"/>
              <w:jc w:val="left"/>
              <w:rPr>
                <w:sz w:val="24"/>
              </w:rPr>
            </w:pPr>
            <w:r>
              <w:rPr>
                <w:sz w:val="24"/>
              </w:rPr>
              <w:t>23</w:t>
            </w:r>
          </w:p>
          <w:p>
            <w:pPr>
              <w:pStyle w:val="TableParagraph"/>
              <w:jc w:val="left"/>
              <w:rPr>
                <w:sz w:val="24"/>
              </w:rPr>
            </w:pPr>
            <w:r>
              <w:rPr>
                <w:sz w:val="24"/>
              </w:rPr>
              <w:t>18</w:t>
            </w:r>
          </w:p>
        </w:tc>
        <w:tc>
          <w:tcPr>
            <w:tcW w:w="1042" w:type="dxa"/>
          </w:tcPr>
          <w:p>
            <w:pPr>
              <w:pStyle w:val="TableParagraph"/>
              <w:spacing w:before="7"/>
              <w:ind w:left="0"/>
              <w:jc w:val="left"/>
              <w:rPr>
                <w:sz w:val="23"/>
              </w:rPr>
            </w:pPr>
          </w:p>
          <w:p>
            <w:pPr>
              <w:pStyle w:val="TableParagraph"/>
              <w:ind w:left="100"/>
              <w:jc w:val="left"/>
              <w:rPr>
                <w:sz w:val="24"/>
              </w:rPr>
            </w:pPr>
            <w:r>
              <w:rPr>
                <w:sz w:val="24"/>
              </w:rPr>
              <w:t>12</w:t>
            </w:r>
          </w:p>
          <w:p>
            <w:pPr>
              <w:pStyle w:val="TableParagraph"/>
              <w:ind w:left="100"/>
              <w:jc w:val="left"/>
              <w:rPr>
                <w:sz w:val="24"/>
              </w:rPr>
            </w:pPr>
            <w:r>
              <w:rPr>
                <w:w w:val="99"/>
                <w:sz w:val="24"/>
              </w:rPr>
              <w:t>3</w:t>
            </w:r>
          </w:p>
        </w:tc>
        <w:tc>
          <w:tcPr>
            <w:tcW w:w="1150" w:type="dxa"/>
          </w:tcPr>
          <w:p>
            <w:pPr>
              <w:pStyle w:val="TableParagraph"/>
              <w:spacing w:before="7"/>
              <w:ind w:left="0"/>
              <w:jc w:val="left"/>
              <w:rPr>
                <w:sz w:val="23"/>
              </w:rPr>
            </w:pPr>
          </w:p>
          <w:p>
            <w:pPr>
              <w:pStyle w:val="TableParagraph"/>
              <w:jc w:val="left"/>
              <w:rPr>
                <w:sz w:val="24"/>
              </w:rPr>
            </w:pPr>
            <w:r>
              <w:rPr>
                <w:w w:val="99"/>
                <w:sz w:val="24"/>
              </w:rPr>
              <w:t>3</w:t>
            </w:r>
          </w:p>
          <w:p>
            <w:pPr>
              <w:pStyle w:val="TableParagraph"/>
              <w:jc w:val="left"/>
              <w:rPr>
                <w:sz w:val="24"/>
              </w:rPr>
            </w:pPr>
            <w:r>
              <w:rPr>
                <w:w w:val="99"/>
                <w:sz w:val="24"/>
              </w:rPr>
              <w:t>4</w:t>
            </w:r>
          </w:p>
        </w:tc>
        <w:tc>
          <w:tcPr>
            <w:tcW w:w="1045" w:type="dxa"/>
          </w:tcPr>
          <w:p>
            <w:pPr>
              <w:pStyle w:val="TableParagraph"/>
              <w:spacing w:before="7"/>
              <w:ind w:left="0"/>
              <w:jc w:val="left"/>
              <w:rPr>
                <w:sz w:val="23"/>
              </w:rPr>
            </w:pPr>
          </w:p>
          <w:p>
            <w:pPr>
              <w:pStyle w:val="TableParagraph"/>
              <w:jc w:val="left"/>
              <w:rPr>
                <w:sz w:val="24"/>
              </w:rPr>
            </w:pPr>
            <w:r>
              <w:rPr>
                <w:w w:val="99"/>
                <w:sz w:val="24"/>
              </w:rPr>
              <w:t>1</w:t>
            </w:r>
          </w:p>
        </w:tc>
      </w:tr>
      <w:tr>
        <w:trPr>
          <w:trHeight w:val="286" w:hRule="exact"/>
        </w:trPr>
        <w:tc>
          <w:tcPr>
            <w:tcW w:w="3260" w:type="dxa"/>
          </w:tcPr>
          <w:p>
            <w:pPr>
              <w:pStyle w:val="TableParagraph"/>
              <w:spacing w:line="272" w:lineRule="exact"/>
              <w:ind w:right="432"/>
              <w:jc w:val="left"/>
              <w:rPr>
                <w:sz w:val="24"/>
              </w:rPr>
            </w:pPr>
            <w:r>
              <w:rPr>
                <w:sz w:val="24"/>
              </w:rPr>
              <w:t>Presentación</w:t>
            </w:r>
          </w:p>
        </w:tc>
        <w:tc>
          <w:tcPr>
            <w:tcW w:w="1150" w:type="dxa"/>
          </w:tcPr>
          <w:p>
            <w:pPr>
              <w:pStyle w:val="TableParagraph"/>
              <w:spacing w:line="272" w:lineRule="exact"/>
              <w:jc w:val="left"/>
              <w:rPr>
                <w:sz w:val="24"/>
              </w:rPr>
            </w:pPr>
            <w:r>
              <w:rPr>
                <w:sz w:val="24"/>
              </w:rPr>
              <w:t>Circular</w:t>
            </w:r>
          </w:p>
        </w:tc>
        <w:tc>
          <w:tcPr>
            <w:tcW w:w="1042" w:type="dxa"/>
          </w:tcPr>
          <w:p>
            <w:pPr>
              <w:pStyle w:val="TableParagraph"/>
              <w:spacing w:line="272" w:lineRule="exact"/>
              <w:ind w:left="81" w:right="83"/>
              <w:rPr>
                <w:sz w:val="24"/>
              </w:rPr>
            </w:pPr>
            <w:r>
              <w:rPr>
                <w:sz w:val="24"/>
              </w:rPr>
              <w:t>Circular</w:t>
            </w:r>
          </w:p>
        </w:tc>
        <w:tc>
          <w:tcPr>
            <w:tcW w:w="1150" w:type="dxa"/>
          </w:tcPr>
          <w:p>
            <w:pPr>
              <w:pStyle w:val="TableParagraph"/>
              <w:spacing w:line="272" w:lineRule="exact"/>
              <w:jc w:val="left"/>
              <w:rPr>
                <w:sz w:val="24"/>
              </w:rPr>
            </w:pPr>
            <w:r>
              <w:rPr>
                <w:sz w:val="24"/>
              </w:rPr>
              <w:t>Circular</w:t>
            </w:r>
          </w:p>
        </w:tc>
        <w:tc>
          <w:tcPr>
            <w:tcW w:w="1045" w:type="dxa"/>
          </w:tcPr>
          <w:p>
            <w:pPr>
              <w:pStyle w:val="TableParagraph"/>
              <w:spacing w:line="272" w:lineRule="exact"/>
              <w:jc w:val="left"/>
              <w:rPr>
                <w:sz w:val="24"/>
              </w:rPr>
            </w:pPr>
            <w:r>
              <w:rPr>
                <w:sz w:val="24"/>
              </w:rPr>
              <w:t>Circular</w:t>
            </w:r>
          </w:p>
        </w:tc>
      </w:tr>
      <w:tr>
        <w:trPr>
          <w:trHeight w:val="288" w:hRule="exact"/>
        </w:trPr>
        <w:tc>
          <w:tcPr>
            <w:tcW w:w="3260" w:type="dxa"/>
          </w:tcPr>
          <w:p>
            <w:pPr>
              <w:pStyle w:val="TableParagraph"/>
              <w:spacing w:line="272" w:lineRule="exact"/>
              <w:ind w:right="432"/>
              <w:jc w:val="left"/>
              <w:rPr>
                <w:sz w:val="24"/>
              </w:rPr>
            </w:pPr>
            <w:r>
              <w:rPr>
                <w:sz w:val="24"/>
              </w:rPr>
              <w:t>Precio</w:t>
            </w:r>
          </w:p>
        </w:tc>
        <w:tc>
          <w:tcPr>
            <w:tcW w:w="1150" w:type="dxa"/>
          </w:tcPr>
          <w:p>
            <w:pPr>
              <w:pStyle w:val="TableParagraph"/>
              <w:spacing w:line="272" w:lineRule="exact"/>
              <w:jc w:val="left"/>
              <w:rPr>
                <w:sz w:val="24"/>
              </w:rPr>
            </w:pPr>
            <w:r>
              <w:rPr>
                <w:sz w:val="24"/>
              </w:rPr>
              <w:t>15.8±3.5</w:t>
            </w:r>
          </w:p>
        </w:tc>
        <w:tc>
          <w:tcPr>
            <w:tcW w:w="1042" w:type="dxa"/>
          </w:tcPr>
          <w:p>
            <w:pPr>
              <w:pStyle w:val="TableParagraph"/>
              <w:spacing w:line="272" w:lineRule="exact"/>
              <w:ind w:left="81" w:right="177"/>
              <w:rPr>
                <w:sz w:val="24"/>
              </w:rPr>
            </w:pPr>
            <w:r>
              <w:rPr>
                <w:sz w:val="24"/>
              </w:rPr>
              <w:t>18±4.2</w:t>
            </w:r>
          </w:p>
        </w:tc>
        <w:tc>
          <w:tcPr>
            <w:tcW w:w="1150" w:type="dxa"/>
          </w:tcPr>
          <w:p>
            <w:pPr>
              <w:pStyle w:val="TableParagraph"/>
              <w:spacing w:line="272" w:lineRule="exact"/>
              <w:jc w:val="left"/>
              <w:rPr>
                <w:sz w:val="24"/>
              </w:rPr>
            </w:pPr>
            <w:r>
              <w:rPr>
                <w:sz w:val="24"/>
              </w:rPr>
              <w:t>16.9±2.2</w:t>
            </w:r>
          </w:p>
        </w:tc>
        <w:tc>
          <w:tcPr>
            <w:tcW w:w="1045" w:type="dxa"/>
          </w:tcPr>
          <w:p>
            <w:pPr>
              <w:pStyle w:val="TableParagraph"/>
              <w:spacing w:line="272" w:lineRule="exact"/>
              <w:jc w:val="left"/>
              <w:rPr>
                <w:sz w:val="24"/>
              </w:rPr>
            </w:pPr>
            <w:r>
              <w:rPr>
                <w:sz w:val="24"/>
              </w:rPr>
              <w:t>30</w:t>
            </w:r>
          </w:p>
        </w:tc>
      </w:tr>
    </w:tbl>
    <w:p>
      <w:pPr>
        <w:pStyle w:val="BodyText"/>
        <w:rPr>
          <w:sz w:val="20"/>
        </w:rPr>
      </w:pPr>
    </w:p>
    <w:p>
      <w:pPr>
        <w:pStyle w:val="BodyText"/>
        <w:spacing w:before="5"/>
        <w:rPr>
          <w:sz w:val="19"/>
        </w:rPr>
      </w:pPr>
    </w:p>
    <w:p>
      <w:pPr>
        <w:pStyle w:val="BodyText"/>
        <w:spacing w:line="256" w:lineRule="auto"/>
        <w:ind w:left="2705" w:right="452" w:hanging="2235"/>
      </w:pPr>
      <w:r>
        <w:rPr/>
        <w:t>Cuadro 4: Características de comercialización del queso fresco en mercados populares del municipio de Toluca.</w:t>
      </w:r>
    </w:p>
    <w:p>
      <w:pPr>
        <w:spacing w:after="0" w:line="256" w:lineRule="auto"/>
        <w:sectPr>
          <w:pgSz w:w="12240" w:h="15840"/>
          <w:pgMar w:header="728" w:footer="710" w:top="1200" w:bottom="900" w:left="1560" w:right="1560"/>
        </w:sectPr>
      </w:pPr>
    </w:p>
    <w:p>
      <w:pPr>
        <w:pStyle w:val="BodyText"/>
        <w:spacing w:before="9"/>
        <w:rPr>
          <w:sz w:val="12"/>
        </w:rPr>
      </w:pPr>
    </w:p>
    <w:p>
      <w:pPr>
        <w:pStyle w:val="Heading2"/>
        <w:numPr>
          <w:ilvl w:val="1"/>
          <w:numId w:val="3"/>
        </w:numPr>
        <w:tabs>
          <w:tab w:pos="4077" w:val="left" w:leader="none"/>
        </w:tabs>
        <w:spacing w:line="240" w:lineRule="auto" w:before="70" w:after="0"/>
        <w:ind w:left="4076" w:right="0" w:hanging="363"/>
        <w:jc w:val="left"/>
      </w:pPr>
      <w:bookmarkStart w:name="_bookmark58" w:id="72"/>
      <w:bookmarkEnd w:id="72"/>
      <w:r>
        <w:rPr>
          <w:b w:val="0"/>
        </w:rPr>
      </w:r>
      <w:bookmarkStart w:name="_bookmark58" w:id="73"/>
      <w:bookmarkEnd w:id="73"/>
      <w:r>
        <w:rPr/>
        <w:t>DIS</w:t>
      </w:r>
      <w:r>
        <w:rPr/>
        <w:t>CUSIÓN</w:t>
      </w:r>
    </w:p>
    <w:p>
      <w:pPr>
        <w:pStyle w:val="BodyText"/>
        <w:rPr>
          <w:b/>
        </w:rPr>
      </w:pPr>
    </w:p>
    <w:p>
      <w:pPr>
        <w:spacing w:before="180"/>
        <w:ind w:left="142" w:right="0" w:firstLine="0"/>
        <w:jc w:val="both"/>
        <w:rPr>
          <w:b/>
          <w:sz w:val="24"/>
        </w:rPr>
      </w:pPr>
      <w:r>
        <w:rPr>
          <w:b/>
          <w:sz w:val="24"/>
        </w:rPr>
        <w:t>CARACTERIZACIÓN DE QUESO FRESCO</w:t>
      </w:r>
    </w:p>
    <w:p>
      <w:pPr>
        <w:pStyle w:val="BodyText"/>
        <w:spacing w:before="1"/>
        <w:rPr>
          <w:b/>
          <w:sz w:val="31"/>
        </w:rPr>
      </w:pPr>
    </w:p>
    <w:p>
      <w:pPr>
        <w:pStyle w:val="BodyText"/>
        <w:spacing w:line="276" w:lineRule="auto"/>
        <w:ind w:left="142" w:right="135"/>
        <w:jc w:val="both"/>
      </w:pPr>
      <w:r>
        <w:rPr/>
        <w:t>Se detectaron un total de 10 vendedores fijos y 54 ambulantes demostrando que hay un mayor volumen de comercialización en los tianguis comparados con otros mercados municipales, situación que puede comprometer la trazabilidad del producto</w:t>
      </w:r>
      <w:r>
        <w:rPr>
          <w:spacing w:val="-7"/>
        </w:rPr>
        <w:t> </w:t>
      </w:r>
      <w:r>
        <w:rPr/>
        <w:t>(Sepúlveda</w:t>
      </w:r>
      <w:r>
        <w:rPr>
          <w:spacing w:val="-7"/>
        </w:rPr>
        <w:t> </w:t>
      </w:r>
      <w:r>
        <w:rPr>
          <w:i/>
        </w:rPr>
        <w:t>et</w:t>
      </w:r>
      <w:r>
        <w:rPr>
          <w:i/>
          <w:spacing w:val="-7"/>
        </w:rPr>
        <w:t> </w:t>
      </w:r>
      <w:r>
        <w:rPr>
          <w:i/>
        </w:rPr>
        <w:t>al.,</w:t>
      </w:r>
      <w:r>
        <w:rPr>
          <w:i/>
          <w:spacing w:val="-10"/>
        </w:rPr>
        <w:t> </w:t>
      </w:r>
      <w:r>
        <w:rPr/>
        <w:t>2007).</w:t>
      </w:r>
      <w:r>
        <w:rPr>
          <w:spacing w:val="-8"/>
        </w:rPr>
        <w:t> </w:t>
      </w:r>
      <w:r>
        <w:rPr/>
        <w:t>En</w:t>
      </w:r>
      <w:r>
        <w:rPr>
          <w:spacing w:val="-9"/>
        </w:rPr>
        <w:t> </w:t>
      </w:r>
      <w:r>
        <w:rPr/>
        <w:t>cuanto</w:t>
      </w:r>
      <w:r>
        <w:rPr>
          <w:spacing w:val="-11"/>
        </w:rPr>
        <w:t> </w:t>
      </w:r>
      <w:r>
        <w:rPr/>
        <w:t>a</w:t>
      </w:r>
      <w:r>
        <w:rPr>
          <w:spacing w:val="-7"/>
        </w:rPr>
        <w:t> </w:t>
      </w:r>
      <w:r>
        <w:rPr/>
        <w:t>las</w:t>
      </w:r>
      <w:r>
        <w:rPr>
          <w:spacing w:val="-7"/>
        </w:rPr>
        <w:t> </w:t>
      </w:r>
      <w:r>
        <w:rPr/>
        <w:t>condiciones</w:t>
      </w:r>
      <w:r>
        <w:rPr>
          <w:spacing w:val="-8"/>
        </w:rPr>
        <w:t> </w:t>
      </w:r>
      <w:r>
        <w:rPr/>
        <w:t>de</w:t>
      </w:r>
      <w:r>
        <w:rPr>
          <w:spacing w:val="-7"/>
        </w:rPr>
        <w:t> </w:t>
      </w:r>
      <w:r>
        <w:rPr/>
        <w:t>venta</w:t>
      </w:r>
      <w:r>
        <w:rPr>
          <w:spacing w:val="-9"/>
        </w:rPr>
        <w:t> </w:t>
      </w:r>
      <w:r>
        <w:rPr/>
        <w:t>se</w:t>
      </w:r>
      <w:r>
        <w:rPr>
          <w:spacing w:val="-7"/>
        </w:rPr>
        <w:t> </w:t>
      </w:r>
      <w:r>
        <w:rPr/>
        <w:t>observó que solamente en los mercados fijos se mantenían en refrigeración, aunque en el caso estudiado no significo que la temperatura y conservación fuera adecuadas considerando los criterios sanitarios para los productos lácteos (</w:t>
      </w:r>
      <w:r>
        <w:rPr>
          <w:i/>
        </w:rPr>
        <w:t>Codex </w:t>
      </w:r>
      <w:r>
        <w:rPr>
          <w:i/>
        </w:rPr>
        <w:t>alimentarius</w:t>
      </w:r>
      <w:r>
        <w:rPr/>
        <w:t>), debido a que durante la medición de la temperatura en el sitio de comercialización, todos los quesos mantenían una temperatura superior a los 4°C, además</w:t>
      </w:r>
      <w:r>
        <w:rPr>
          <w:spacing w:val="-4"/>
        </w:rPr>
        <w:t> </w:t>
      </w:r>
      <w:r>
        <w:rPr/>
        <w:t>de</w:t>
      </w:r>
      <w:r>
        <w:rPr>
          <w:spacing w:val="-4"/>
        </w:rPr>
        <w:t> </w:t>
      </w:r>
      <w:r>
        <w:rPr/>
        <w:t>no</w:t>
      </w:r>
      <w:r>
        <w:rPr>
          <w:spacing w:val="-4"/>
        </w:rPr>
        <w:t> </w:t>
      </w:r>
      <w:r>
        <w:rPr/>
        <w:t>contar</w:t>
      </w:r>
      <w:r>
        <w:rPr>
          <w:spacing w:val="-5"/>
        </w:rPr>
        <w:t> </w:t>
      </w:r>
      <w:r>
        <w:rPr/>
        <w:t>con</w:t>
      </w:r>
      <w:r>
        <w:rPr>
          <w:spacing w:val="-4"/>
        </w:rPr>
        <w:t> </w:t>
      </w:r>
      <w:r>
        <w:rPr/>
        <w:t>un</w:t>
      </w:r>
      <w:r>
        <w:rPr>
          <w:spacing w:val="-2"/>
        </w:rPr>
        <w:t> </w:t>
      </w:r>
      <w:r>
        <w:rPr/>
        <w:t>medio</w:t>
      </w:r>
      <w:r>
        <w:rPr>
          <w:spacing w:val="-3"/>
        </w:rPr>
        <w:t> </w:t>
      </w:r>
      <w:r>
        <w:rPr/>
        <w:t>de</w:t>
      </w:r>
      <w:r>
        <w:rPr>
          <w:spacing w:val="-4"/>
        </w:rPr>
        <w:t> </w:t>
      </w:r>
      <w:r>
        <w:rPr/>
        <w:t>embalaje</w:t>
      </w:r>
      <w:r>
        <w:rPr>
          <w:spacing w:val="-4"/>
        </w:rPr>
        <w:t> </w:t>
      </w:r>
      <w:r>
        <w:rPr/>
        <w:t>y</w:t>
      </w:r>
      <w:r>
        <w:rPr>
          <w:spacing w:val="-7"/>
        </w:rPr>
        <w:t> </w:t>
      </w:r>
      <w:r>
        <w:rPr/>
        <w:t>estos</w:t>
      </w:r>
      <w:r>
        <w:rPr>
          <w:spacing w:val="-4"/>
        </w:rPr>
        <w:t> </w:t>
      </w:r>
      <w:r>
        <w:rPr/>
        <w:t>se</w:t>
      </w:r>
      <w:r>
        <w:rPr>
          <w:spacing w:val="-4"/>
        </w:rPr>
        <w:t> </w:t>
      </w:r>
      <w:r>
        <w:rPr/>
        <w:t>expendían</w:t>
      </w:r>
      <w:r>
        <w:rPr>
          <w:spacing w:val="-4"/>
        </w:rPr>
        <w:t> </w:t>
      </w:r>
      <w:r>
        <w:rPr/>
        <w:t>junto</w:t>
      </w:r>
      <w:r>
        <w:rPr>
          <w:spacing w:val="-4"/>
        </w:rPr>
        <w:t> </w:t>
      </w:r>
      <w:r>
        <w:rPr/>
        <w:t>a</w:t>
      </w:r>
      <w:r>
        <w:rPr>
          <w:spacing w:val="-4"/>
        </w:rPr>
        <w:t> </w:t>
      </w:r>
      <w:r>
        <w:rPr/>
        <w:t>otros productos alimenticios, es posible que esta situación pueda propiciar una posible contaminación cruzada; el expendio del queso con otros alimentos también fue observado</w:t>
      </w:r>
      <w:r>
        <w:rPr>
          <w:spacing w:val="-14"/>
        </w:rPr>
        <w:t> </w:t>
      </w:r>
      <w:r>
        <w:rPr/>
        <w:t>en</w:t>
      </w:r>
      <w:r>
        <w:rPr>
          <w:spacing w:val="-14"/>
        </w:rPr>
        <w:t> </w:t>
      </w:r>
      <w:r>
        <w:rPr/>
        <w:t>los</w:t>
      </w:r>
      <w:r>
        <w:rPr>
          <w:spacing w:val="-14"/>
        </w:rPr>
        <w:t> </w:t>
      </w:r>
      <w:r>
        <w:rPr/>
        <w:t>quesos</w:t>
      </w:r>
      <w:r>
        <w:rPr>
          <w:spacing w:val="-15"/>
        </w:rPr>
        <w:t> </w:t>
      </w:r>
      <w:r>
        <w:rPr/>
        <w:t>frescos</w:t>
      </w:r>
      <w:r>
        <w:rPr>
          <w:spacing w:val="-13"/>
        </w:rPr>
        <w:t> </w:t>
      </w:r>
      <w:r>
        <w:rPr/>
        <w:t>vendidos</w:t>
      </w:r>
      <w:r>
        <w:rPr>
          <w:spacing w:val="-15"/>
        </w:rPr>
        <w:t> </w:t>
      </w:r>
      <w:r>
        <w:rPr/>
        <w:t>además</w:t>
      </w:r>
      <w:r>
        <w:rPr>
          <w:spacing w:val="-15"/>
        </w:rPr>
        <w:t> </w:t>
      </w:r>
      <w:r>
        <w:rPr/>
        <w:t>de</w:t>
      </w:r>
      <w:r>
        <w:rPr>
          <w:spacing w:val="-12"/>
        </w:rPr>
        <w:t> </w:t>
      </w:r>
      <w:r>
        <w:rPr/>
        <w:t>carecer</w:t>
      </w:r>
      <w:r>
        <w:rPr>
          <w:spacing w:val="-16"/>
        </w:rPr>
        <w:t> </w:t>
      </w:r>
      <w:r>
        <w:rPr/>
        <w:t>de</w:t>
      </w:r>
      <w:r>
        <w:rPr>
          <w:spacing w:val="-14"/>
        </w:rPr>
        <w:t> </w:t>
      </w:r>
      <w:r>
        <w:rPr/>
        <w:t>embalaje</w:t>
      </w:r>
      <w:r>
        <w:rPr>
          <w:spacing w:val="-14"/>
        </w:rPr>
        <w:t> </w:t>
      </w:r>
      <w:r>
        <w:rPr/>
        <w:t>estaban a</w:t>
      </w:r>
      <w:r>
        <w:rPr>
          <w:spacing w:val="-9"/>
        </w:rPr>
        <w:t> </w:t>
      </w:r>
      <w:r>
        <w:rPr/>
        <w:t>una</w:t>
      </w:r>
      <w:r>
        <w:rPr>
          <w:spacing w:val="-12"/>
        </w:rPr>
        <w:t> </w:t>
      </w:r>
      <w:r>
        <w:rPr/>
        <w:t>temperatura</w:t>
      </w:r>
      <w:r>
        <w:rPr>
          <w:spacing w:val="-12"/>
        </w:rPr>
        <w:t> </w:t>
      </w:r>
      <w:r>
        <w:rPr/>
        <w:t>ambiente</w:t>
      </w:r>
      <w:r>
        <w:rPr>
          <w:spacing w:val="-9"/>
        </w:rPr>
        <w:t> </w:t>
      </w:r>
      <w:r>
        <w:rPr/>
        <w:t>con</w:t>
      </w:r>
      <w:r>
        <w:rPr>
          <w:spacing w:val="-12"/>
        </w:rPr>
        <w:t> </w:t>
      </w:r>
      <w:r>
        <w:rPr/>
        <w:t>una</w:t>
      </w:r>
      <w:r>
        <w:rPr>
          <w:spacing w:val="-12"/>
        </w:rPr>
        <w:t> </w:t>
      </w:r>
      <w:r>
        <w:rPr/>
        <w:t>manipulación</w:t>
      </w:r>
      <w:r>
        <w:rPr>
          <w:spacing w:val="-12"/>
        </w:rPr>
        <w:t> </w:t>
      </w:r>
      <w:r>
        <w:rPr/>
        <w:t>deficiente</w:t>
      </w:r>
      <w:r>
        <w:rPr>
          <w:spacing w:val="-11"/>
        </w:rPr>
        <w:t> </w:t>
      </w:r>
      <w:r>
        <w:rPr/>
        <w:t>de</w:t>
      </w:r>
      <w:r>
        <w:rPr>
          <w:spacing w:val="-12"/>
        </w:rPr>
        <w:t> </w:t>
      </w:r>
      <w:r>
        <w:rPr/>
        <w:t>los</w:t>
      </w:r>
      <w:r>
        <w:rPr>
          <w:spacing w:val="-12"/>
        </w:rPr>
        <w:t> </w:t>
      </w:r>
      <w:r>
        <w:rPr/>
        <w:t>vendedores</w:t>
      </w:r>
      <w:r>
        <w:rPr>
          <w:spacing w:val="-12"/>
        </w:rPr>
        <w:t> </w:t>
      </w:r>
      <w:r>
        <w:rPr/>
        <w:t>del producto.</w:t>
      </w:r>
    </w:p>
    <w:p>
      <w:pPr>
        <w:pStyle w:val="BodyText"/>
        <w:spacing w:line="276" w:lineRule="auto" w:before="3"/>
        <w:ind w:left="142" w:right="139"/>
        <w:jc w:val="both"/>
      </w:pPr>
      <w:r>
        <w:rPr/>
        <w:t>El escenario que prevalece en los tianguis del municipio de Toluca, propicia la contaminación fisicoquímica y microbiana de los alimentos incrementando el</w:t>
      </w:r>
      <w:r>
        <w:rPr>
          <w:spacing w:val="-48"/>
        </w:rPr>
        <w:t> </w:t>
      </w:r>
      <w:r>
        <w:rPr/>
        <w:t>riesgo de enfermedades transmitidas por alimentos, particularmente la que ocurre por los productos lácteos (Velázquez-Ordoñez </w:t>
      </w:r>
      <w:r>
        <w:rPr>
          <w:i/>
        </w:rPr>
        <w:t>et al., </w:t>
      </w:r>
      <w:r>
        <w:rPr/>
        <w:t>2011), este hecho podría representar un riesgo importante a la salud de los consumidores afectando seriamente la comercialización y su interés por los quesos</w:t>
      </w:r>
      <w:r>
        <w:rPr>
          <w:spacing w:val="-47"/>
        </w:rPr>
        <w:t> </w:t>
      </w:r>
      <w:r>
        <w:rPr/>
        <w:t>artesanales (Villegas de Gante, 2004), por</w:t>
      </w:r>
      <w:r>
        <w:rPr>
          <w:spacing w:val="-11"/>
        </w:rPr>
        <w:t> </w:t>
      </w:r>
      <w:r>
        <w:rPr/>
        <w:t>lo</w:t>
      </w:r>
      <w:r>
        <w:rPr>
          <w:spacing w:val="-10"/>
        </w:rPr>
        <w:t> </w:t>
      </w:r>
      <w:r>
        <w:rPr/>
        <w:t>que</w:t>
      </w:r>
      <w:r>
        <w:rPr>
          <w:spacing w:val="-9"/>
        </w:rPr>
        <w:t> </w:t>
      </w:r>
      <w:r>
        <w:rPr/>
        <w:t>las</w:t>
      </w:r>
      <w:r>
        <w:rPr>
          <w:spacing w:val="-10"/>
        </w:rPr>
        <w:t> </w:t>
      </w:r>
      <w:r>
        <w:rPr/>
        <w:t>instituciones</w:t>
      </w:r>
      <w:r>
        <w:rPr>
          <w:spacing w:val="-10"/>
        </w:rPr>
        <w:t> </w:t>
      </w:r>
      <w:r>
        <w:rPr/>
        <w:t>sanitarias</w:t>
      </w:r>
      <w:r>
        <w:rPr>
          <w:spacing w:val="-13"/>
        </w:rPr>
        <w:t> </w:t>
      </w:r>
      <w:r>
        <w:rPr/>
        <w:t>deben</w:t>
      </w:r>
      <w:r>
        <w:rPr>
          <w:spacing w:val="-12"/>
        </w:rPr>
        <w:t> </w:t>
      </w:r>
      <w:r>
        <w:rPr/>
        <w:t>poner</w:t>
      </w:r>
      <w:r>
        <w:rPr>
          <w:spacing w:val="-11"/>
        </w:rPr>
        <w:t> </w:t>
      </w:r>
      <w:r>
        <w:rPr/>
        <w:t>énfasis</w:t>
      </w:r>
      <w:r>
        <w:rPr>
          <w:spacing w:val="-13"/>
        </w:rPr>
        <w:t> </w:t>
      </w:r>
      <w:r>
        <w:rPr/>
        <w:t>en</w:t>
      </w:r>
      <w:r>
        <w:rPr>
          <w:spacing w:val="-9"/>
        </w:rPr>
        <w:t> </w:t>
      </w:r>
      <w:r>
        <w:rPr/>
        <w:t>la</w:t>
      </w:r>
      <w:r>
        <w:rPr>
          <w:spacing w:val="-9"/>
        </w:rPr>
        <w:t> </w:t>
      </w:r>
      <w:r>
        <w:rPr/>
        <w:t>comercialización</w:t>
      </w:r>
      <w:r>
        <w:rPr>
          <w:spacing w:val="-9"/>
        </w:rPr>
        <w:t> </w:t>
      </w:r>
      <w:r>
        <w:rPr/>
        <w:t>de alimentos en los mercados y tianguis a fin de salvaguardar la salud de los consumidores en los centros de abasto</w:t>
      </w:r>
      <w:r>
        <w:rPr>
          <w:spacing w:val="-15"/>
        </w:rPr>
        <w:t> </w:t>
      </w:r>
      <w:r>
        <w:rPr/>
        <w:t>nacional.</w:t>
      </w:r>
    </w:p>
    <w:p>
      <w:pPr>
        <w:pStyle w:val="BodyText"/>
        <w:spacing w:line="276" w:lineRule="auto"/>
        <w:ind w:left="142" w:right="136"/>
        <w:jc w:val="both"/>
      </w:pPr>
      <w:r>
        <w:rPr/>
        <w:t>La red comercial observada del queso fresco en los centros regionales de abasto en el municipio, está constituida principalmente por intermediarios con el 80% y solamente</w:t>
      </w:r>
      <w:r>
        <w:rPr>
          <w:spacing w:val="-8"/>
        </w:rPr>
        <w:t> </w:t>
      </w:r>
      <w:r>
        <w:rPr/>
        <w:t>el</w:t>
      </w:r>
      <w:r>
        <w:rPr>
          <w:spacing w:val="-10"/>
        </w:rPr>
        <w:t> </w:t>
      </w:r>
      <w:r>
        <w:rPr/>
        <w:t>20%</w:t>
      </w:r>
      <w:r>
        <w:rPr>
          <w:spacing w:val="-9"/>
        </w:rPr>
        <w:t> </w:t>
      </w:r>
      <w:r>
        <w:rPr/>
        <w:t>son</w:t>
      </w:r>
      <w:r>
        <w:rPr>
          <w:spacing w:val="-11"/>
        </w:rPr>
        <w:t> </w:t>
      </w:r>
      <w:r>
        <w:rPr/>
        <w:t>productores</w:t>
      </w:r>
      <w:r>
        <w:rPr>
          <w:spacing w:val="-9"/>
        </w:rPr>
        <w:t> </w:t>
      </w:r>
      <w:r>
        <w:rPr/>
        <w:t>y</w:t>
      </w:r>
      <w:r>
        <w:rPr>
          <w:spacing w:val="-12"/>
        </w:rPr>
        <w:t> </w:t>
      </w:r>
      <w:r>
        <w:rPr/>
        <w:t>comerciantes</w:t>
      </w:r>
      <w:r>
        <w:rPr>
          <w:spacing w:val="-12"/>
        </w:rPr>
        <w:t> </w:t>
      </w:r>
      <w:r>
        <w:rPr/>
        <w:t>del</w:t>
      </w:r>
      <w:r>
        <w:rPr>
          <w:spacing w:val="-10"/>
        </w:rPr>
        <w:t> </w:t>
      </w:r>
      <w:r>
        <w:rPr/>
        <w:t>queso;</w:t>
      </w:r>
      <w:r>
        <w:rPr>
          <w:spacing w:val="-9"/>
        </w:rPr>
        <w:t> </w:t>
      </w:r>
      <w:r>
        <w:rPr/>
        <w:t>la</w:t>
      </w:r>
      <w:r>
        <w:rPr>
          <w:spacing w:val="-9"/>
        </w:rPr>
        <w:t> </w:t>
      </w:r>
      <w:r>
        <w:rPr/>
        <w:t>actividad</w:t>
      </w:r>
      <w:r>
        <w:rPr>
          <w:spacing w:val="-2"/>
        </w:rPr>
        <w:t> </w:t>
      </w:r>
      <w:r>
        <w:rPr/>
        <w:t>comercial se realiza en los puntos de venta en tianguis y mercados del municipio. Esta situación coincide con el estudio realizado en Chiautla de Tapia, México (Grass- Ramírez y Cesín-Vargas, 2014), donde se estudió la venta de queso fresco denotando que el número de intermediarios es muy superior al de los productores que realizan la venta directa. En el presente estudio las muestras de queso fresco de origen desconocido son debido a que los comerciantes establecieron la </w:t>
      </w:r>
      <w:r>
        <w:rPr>
          <w:spacing w:val="-2"/>
        </w:rPr>
        <w:t>red </w:t>
      </w:r>
      <w:r>
        <w:rPr/>
        <w:t>comercial con los queseros años atrás y estos entregan su producto de manera periódica</w:t>
      </w:r>
      <w:r>
        <w:rPr>
          <w:spacing w:val="-10"/>
        </w:rPr>
        <w:t> </w:t>
      </w:r>
      <w:r>
        <w:rPr/>
        <w:t>sin</w:t>
      </w:r>
      <w:r>
        <w:rPr>
          <w:spacing w:val="-10"/>
        </w:rPr>
        <w:t> </w:t>
      </w:r>
      <w:r>
        <w:rPr/>
        <w:t>solicitar</w:t>
      </w:r>
      <w:r>
        <w:rPr>
          <w:spacing w:val="-11"/>
        </w:rPr>
        <w:t> </w:t>
      </w:r>
      <w:r>
        <w:rPr/>
        <w:t>información</w:t>
      </w:r>
      <w:r>
        <w:rPr>
          <w:spacing w:val="-11"/>
        </w:rPr>
        <w:t> </w:t>
      </w:r>
      <w:r>
        <w:rPr/>
        <w:t>adicional.</w:t>
      </w:r>
      <w:r>
        <w:rPr>
          <w:spacing w:val="-10"/>
        </w:rPr>
        <w:t> </w:t>
      </w:r>
      <w:r>
        <w:rPr/>
        <w:t>La</w:t>
      </w:r>
      <w:r>
        <w:rPr>
          <w:spacing w:val="-9"/>
        </w:rPr>
        <w:t> </w:t>
      </w:r>
      <w:r>
        <w:rPr/>
        <w:t>comercialización</w:t>
      </w:r>
      <w:r>
        <w:rPr>
          <w:spacing w:val="-9"/>
        </w:rPr>
        <w:t> </w:t>
      </w:r>
      <w:r>
        <w:rPr/>
        <w:t>itinerante</w:t>
      </w:r>
      <w:r>
        <w:rPr>
          <w:spacing w:val="-11"/>
        </w:rPr>
        <w:t> </w:t>
      </w:r>
      <w:r>
        <w:rPr/>
        <w:t>de</w:t>
      </w:r>
      <w:r>
        <w:rPr>
          <w:spacing w:val="-9"/>
        </w:rPr>
        <w:t> </w:t>
      </w:r>
      <w:r>
        <w:rPr/>
        <w:t>queso en</w:t>
      </w:r>
      <w:r>
        <w:rPr>
          <w:spacing w:val="-8"/>
        </w:rPr>
        <w:t> </w:t>
      </w:r>
      <w:r>
        <w:rPr/>
        <w:t>los</w:t>
      </w:r>
      <w:r>
        <w:rPr>
          <w:spacing w:val="-9"/>
        </w:rPr>
        <w:t> </w:t>
      </w:r>
      <w:r>
        <w:rPr/>
        <w:t>tianguis</w:t>
      </w:r>
      <w:r>
        <w:rPr>
          <w:spacing w:val="-10"/>
        </w:rPr>
        <w:t> </w:t>
      </w:r>
      <w:r>
        <w:rPr/>
        <w:t>no</w:t>
      </w:r>
      <w:r>
        <w:rPr>
          <w:spacing w:val="-8"/>
        </w:rPr>
        <w:t> </w:t>
      </w:r>
      <w:r>
        <w:rPr/>
        <w:t>es</w:t>
      </w:r>
      <w:r>
        <w:rPr>
          <w:spacing w:val="-9"/>
        </w:rPr>
        <w:t> </w:t>
      </w:r>
      <w:r>
        <w:rPr/>
        <w:t>una</w:t>
      </w:r>
      <w:r>
        <w:rPr>
          <w:spacing w:val="-8"/>
        </w:rPr>
        <w:t> </w:t>
      </w:r>
      <w:r>
        <w:rPr/>
        <w:t>actividad</w:t>
      </w:r>
      <w:r>
        <w:rPr>
          <w:spacing w:val="-8"/>
        </w:rPr>
        <w:t> </w:t>
      </w:r>
      <w:r>
        <w:rPr/>
        <w:t>constante</w:t>
      </w:r>
      <w:r>
        <w:rPr>
          <w:spacing w:val="-10"/>
        </w:rPr>
        <w:t> </w:t>
      </w:r>
      <w:r>
        <w:rPr/>
        <w:t>a</w:t>
      </w:r>
      <w:r>
        <w:rPr>
          <w:spacing w:val="-8"/>
        </w:rPr>
        <w:t> </w:t>
      </w:r>
      <w:r>
        <w:rPr/>
        <w:t>diferencia</w:t>
      </w:r>
      <w:r>
        <w:rPr>
          <w:spacing w:val="-8"/>
        </w:rPr>
        <w:t> </w:t>
      </w:r>
      <w:r>
        <w:rPr/>
        <w:t>de</w:t>
      </w:r>
      <w:r>
        <w:rPr>
          <w:spacing w:val="-8"/>
        </w:rPr>
        <w:t> </w:t>
      </w:r>
      <w:r>
        <w:rPr/>
        <w:t>la</w:t>
      </w:r>
      <w:r>
        <w:rPr>
          <w:spacing w:val="-9"/>
        </w:rPr>
        <w:t> </w:t>
      </w:r>
      <w:r>
        <w:rPr/>
        <w:t>que</w:t>
      </w:r>
      <w:r>
        <w:rPr>
          <w:spacing w:val="-8"/>
        </w:rPr>
        <w:t> </w:t>
      </w:r>
      <w:r>
        <w:rPr/>
        <w:t>se</w:t>
      </w:r>
      <w:r>
        <w:rPr>
          <w:spacing w:val="-8"/>
        </w:rPr>
        <w:t> </w:t>
      </w:r>
      <w:r>
        <w:rPr/>
        <w:t>realiza</w:t>
      </w:r>
      <w:r>
        <w:rPr>
          <w:spacing w:val="-8"/>
        </w:rPr>
        <w:t> </w:t>
      </w:r>
      <w:r>
        <w:rPr/>
        <w:t>en</w:t>
      </w:r>
      <w:r>
        <w:rPr>
          <w:spacing w:val="-8"/>
        </w:rPr>
        <w:t> </w:t>
      </w:r>
      <w:r>
        <w:rPr/>
        <w:t>los</w:t>
      </w:r>
    </w:p>
    <w:p>
      <w:pPr>
        <w:spacing w:after="0" w:line="276" w:lineRule="auto"/>
        <w:jc w:val="both"/>
        <w:sectPr>
          <w:pgSz w:w="12240" w:h="15840"/>
          <w:pgMar w:header="728" w:footer="710" w:top="1200" w:bottom="900" w:left="1560" w:right="1560"/>
        </w:sectPr>
      </w:pPr>
    </w:p>
    <w:p>
      <w:pPr>
        <w:pStyle w:val="BodyText"/>
        <w:spacing w:before="9"/>
        <w:rPr>
          <w:sz w:val="12"/>
        </w:rPr>
      </w:pPr>
    </w:p>
    <w:p>
      <w:pPr>
        <w:pStyle w:val="BodyText"/>
        <w:spacing w:line="276" w:lineRule="auto" w:before="70"/>
        <w:ind w:left="142" w:right="138"/>
        <w:jc w:val="both"/>
      </w:pPr>
      <w:r>
        <w:rPr/>
        <w:t>establecimientos fijos en los mercados que reciben una entrega periódica en cremerías del municipio de Toluca, sin embargo puede afectar el comercio del queso genuinamente local debido a las pobres condiciones de presentación y calidad higiénica de los mismos. Un fenómeno similar en la comercialización de</w:t>
      </w:r>
      <w:r>
        <w:rPr>
          <w:spacing w:val="-28"/>
        </w:rPr>
        <w:t> </w:t>
      </w:r>
      <w:r>
        <w:rPr/>
        <w:t>los quesos fue observado en el estudio realizado por Cesín </w:t>
      </w:r>
      <w:r>
        <w:rPr>
          <w:i/>
        </w:rPr>
        <w:t>et al.,</w:t>
      </w:r>
      <w:r>
        <w:rPr>
          <w:i/>
          <w:spacing w:val="-26"/>
        </w:rPr>
        <w:t> </w:t>
      </w:r>
      <w:r>
        <w:rPr/>
        <w:t>(2007).</w:t>
      </w:r>
    </w:p>
    <w:p>
      <w:pPr>
        <w:pStyle w:val="BodyText"/>
        <w:spacing w:line="276" w:lineRule="auto" w:before="3"/>
        <w:ind w:left="142" w:right="143"/>
        <w:jc w:val="both"/>
      </w:pPr>
      <w:r>
        <w:rPr/>
        <w:t>En</w:t>
      </w:r>
      <w:r>
        <w:rPr>
          <w:spacing w:val="-6"/>
        </w:rPr>
        <w:t> </w:t>
      </w:r>
      <w:r>
        <w:rPr/>
        <w:t>el</w:t>
      </w:r>
      <w:r>
        <w:rPr>
          <w:spacing w:val="-7"/>
        </w:rPr>
        <w:t> </w:t>
      </w:r>
      <w:r>
        <w:rPr/>
        <w:t>estudio</w:t>
      </w:r>
      <w:r>
        <w:rPr>
          <w:spacing w:val="-6"/>
        </w:rPr>
        <w:t> </w:t>
      </w:r>
      <w:r>
        <w:rPr/>
        <w:t>realizado</w:t>
      </w:r>
      <w:r>
        <w:rPr>
          <w:spacing w:val="-8"/>
        </w:rPr>
        <w:t> </w:t>
      </w:r>
      <w:r>
        <w:rPr/>
        <w:t>en</w:t>
      </w:r>
      <w:r>
        <w:rPr>
          <w:spacing w:val="-6"/>
        </w:rPr>
        <w:t> </w:t>
      </w:r>
      <w:r>
        <w:rPr/>
        <w:t>el</w:t>
      </w:r>
      <w:r>
        <w:rPr>
          <w:spacing w:val="-10"/>
        </w:rPr>
        <w:t> </w:t>
      </w:r>
      <w:r>
        <w:rPr/>
        <w:t>municipio</w:t>
      </w:r>
      <w:r>
        <w:rPr>
          <w:spacing w:val="-6"/>
        </w:rPr>
        <w:t> </w:t>
      </w:r>
      <w:r>
        <w:rPr/>
        <w:t>de</w:t>
      </w:r>
      <w:r>
        <w:rPr>
          <w:spacing w:val="-8"/>
        </w:rPr>
        <w:t> </w:t>
      </w:r>
      <w:r>
        <w:rPr/>
        <w:t>Toluca,</w:t>
      </w:r>
      <w:r>
        <w:rPr>
          <w:spacing w:val="-6"/>
        </w:rPr>
        <w:t> </w:t>
      </w:r>
      <w:r>
        <w:rPr/>
        <w:t>solamente</w:t>
      </w:r>
      <w:r>
        <w:rPr>
          <w:spacing w:val="-6"/>
        </w:rPr>
        <w:t> </w:t>
      </w:r>
      <w:r>
        <w:rPr/>
        <w:t>en</w:t>
      </w:r>
      <w:r>
        <w:rPr>
          <w:spacing w:val="-8"/>
        </w:rPr>
        <w:t> </w:t>
      </w:r>
      <w:r>
        <w:rPr/>
        <w:t>un</w:t>
      </w:r>
      <w:r>
        <w:rPr>
          <w:spacing w:val="-8"/>
        </w:rPr>
        <w:t> </w:t>
      </w:r>
      <w:r>
        <w:rPr/>
        <w:t>mercado</w:t>
      </w:r>
      <w:r>
        <w:rPr>
          <w:spacing w:val="-8"/>
        </w:rPr>
        <w:t> </w:t>
      </w:r>
      <w:r>
        <w:rPr/>
        <w:t>fijo,</w:t>
      </w:r>
      <w:r>
        <w:rPr>
          <w:spacing w:val="-9"/>
        </w:rPr>
        <w:t> </w:t>
      </w:r>
      <w:r>
        <w:rPr/>
        <w:t>en 8 tianguis y en la Central de abasto no se encontró presencia de comerciantes de queso</w:t>
      </w:r>
      <w:r>
        <w:rPr>
          <w:spacing w:val="-6"/>
        </w:rPr>
        <w:t> </w:t>
      </w:r>
      <w:r>
        <w:rPr/>
        <w:t>fresco</w:t>
      </w:r>
      <w:r>
        <w:rPr>
          <w:spacing w:val="-3"/>
        </w:rPr>
        <w:t> </w:t>
      </w:r>
      <w:r>
        <w:rPr/>
        <w:t>lo</w:t>
      </w:r>
      <w:r>
        <w:rPr>
          <w:spacing w:val="-4"/>
        </w:rPr>
        <w:t> </w:t>
      </w:r>
      <w:r>
        <w:rPr/>
        <w:t>cual</w:t>
      </w:r>
      <w:r>
        <w:rPr>
          <w:spacing w:val="-5"/>
        </w:rPr>
        <w:t> </w:t>
      </w:r>
      <w:r>
        <w:rPr/>
        <w:t>no</w:t>
      </w:r>
      <w:r>
        <w:rPr>
          <w:spacing w:val="-4"/>
        </w:rPr>
        <w:t> </w:t>
      </w:r>
      <w:r>
        <w:rPr/>
        <w:t>significa</w:t>
      </w:r>
      <w:r>
        <w:rPr>
          <w:spacing w:val="-4"/>
        </w:rPr>
        <w:t> </w:t>
      </w:r>
      <w:r>
        <w:rPr/>
        <w:t>que</w:t>
      </w:r>
      <w:r>
        <w:rPr>
          <w:spacing w:val="-4"/>
        </w:rPr>
        <w:t> </w:t>
      </w:r>
      <w:r>
        <w:rPr/>
        <w:t>nunca</w:t>
      </w:r>
      <w:r>
        <w:rPr>
          <w:spacing w:val="-6"/>
        </w:rPr>
        <w:t> </w:t>
      </w:r>
      <w:r>
        <w:rPr/>
        <w:t>fuera</w:t>
      </w:r>
      <w:r>
        <w:rPr>
          <w:spacing w:val="-4"/>
        </w:rPr>
        <w:t> </w:t>
      </w:r>
      <w:r>
        <w:rPr/>
        <w:t>vendido</w:t>
      </w:r>
      <w:r>
        <w:rPr>
          <w:spacing w:val="-6"/>
        </w:rPr>
        <w:t> </w:t>
      </w:r>
      <w:r>
        <w:rPr/>
        <w:t>este</w:t>
      </w:r>
      <w:r>
        <w:rPr>
          <w:spacing w:val="-3"/>
        </w:rPr>
        <w:t> </w:t>
      </w:r>
      <w:r>
        <w:rPr/>
        <w:t>producto,</w:t>
      </w:r>
      <w:r>
        <w:rPr>
          <w:spacing w:val="-4"/>
        </w:rPr>
        <w:t> </w:t>
      </w:r>
      <w:r>
        <w:rPr/>
        <w:t>ya</w:t>
      </w:r>
      <w:r>
        <w:rPr>
          <w:spacing w:val="-4"/>
        </w:rPr>
        <w:t> </w:t>
      </w:r>
      <w:r>
        <w:rPr/>
        <w:t>que</w:t>
      </w:r>
      <w:r>
        <w:rPr>
          <w:spacing w:val="-4"/>
        </w:rPr>
        <w:t> </w:t>
      </w:r>
      <w:r>
        <w:rPr/>
        <w:t>los locatarios indicaron que si acuden pero de manera</w:t>
      </w:r>
      <w:r>
        <w:rPr>
          <w:spacing w:val="-18"/>
        </w:rPr>
        <w:t> </w:t>
      </w:r>
      <w:r>
        <w:rPr/>
        <w:t>esporádica.</w:t>
      </w:r>
    </w:p>
    <w:p>
      <w:pPr>
        <w:pStyle w:val="BodyText"/>
        <w:spacing w:before="7"/>
        <w:rPr>
          <w:sz w:val="27"/>
        </w:rPr>
      </w:pPr>
    </w:p>
    <w:p>
      <w:pPr>
        <w:pStyle w:val="BodyText"/>
        <w:spacing w:line="276" w:lineRule="auto"/>
        <w:ind w:left="142" w:right="134"/>
        <w:jc w:val="both"/>
      </w:pPr>
      <w:r>
        <w:rPr/>
        <w:t>La presencia de un mayor número de comerciantes de queso fresco se observó en el mercado Aviación-Autopan identificado como el de mayor jerarquía,</w:t>
      </w:r>
      <w:r>
        <w:rPr>
          <w:spacing w:val="-35"/>
        </w:rPr>
        <w:t> </w:t>
      </w:r>
      <w:r>
        <w:rPr/>
        <w:t>considerado como el centro regional de mercadeo al ser el único tianguis que se realiza los viernes</w:t>
      </w:r>
      <w:r>
        <w:rPr>
          <w:spacing w:val="-15"/>
        </w:rPr>
        <w:t> </w:t>
      </w:r>
      <w:r>
        <w:rPr/>
        <w:t>en</w:t>
      </w:r>
      <w:r>
        <w:rPr>
          <w:spacing w:val="-14"/>
        </w:rPr>
        <w:t> </w:t>
      </w:r>
      <w:r>
        <w:rPr/>
        <w:t>el</w:t>
      </w:r>
      <w:r>
        <w:rPr>
          <w:spacing w:val="-15"/>
        </w:rPr>
        <w:t> </w:t>
      </w:r>
      <w:r>
        <w:rPr/>
        <w:t>Alto</w:t>
      </w:r>
      <w:r>
        <w:rPr>
          <w:spacing w:val="-14"/>
        </w:rPr>
        <w:t> </w:t>
      </w:r>
      <w:r>
        <w:rPr/>
        <w:t>Lerma</w:t>
      </w:r>
      <w:r>
        <w:rPr>
          <w:spacing w:val="-14"/>
        </w:rPr>
        <w:t> </w:t>
      </w:r>
      <w:r>
        <w:rPr/>
        <w:t>toluqueño</w:t>
      </w:r>
      <w:r>
        <w:rPr>
          <w:spacing w:val="-14"/>
        </w:rPr>
        <w:t> </w:t>
      </w:r>
      <w:r>
        <w:rPr/>
        <w:t>concentrando</w:t>
      </w:r>
      <w:r>
        <w:rPr>
          <w:spacing w:val="-14"/>
        </w:rPr>
        <w:t> </w:t>
      </w:r>
      <w:r>
        <w:rPr/>
        <w:t>actividades</w:t>
      </w:r>
      <w:r>
        <w:rPr>
          <w:spacing w:val="-15"/>
        </w:rPr>
        <w:t> </w:t>
      </w:r>
      <w:r>
        <w:rPr/>
        <w:t>comerciales</w:t>
      </w:r>
      <w:r>
        <w:rPr>
          <w:spacing w:val="-15"/>
        </w:rPr>
        <w:t> </w:t>
      </w:r>
      <w:r>
        <w:rPr/>
        <w:t>con</w:t>
      </w:r>
      <w:r>
        <w:rPr>
          <w:spacing w:val="-14"/>
        </w:rPr>
        <w:t> </w:t>
      </w:r>
      <w:r>
        <w:rPr/>
        <w:t>todos tianguis</w:t>
      </w:r>
      <w:r>
        <w:rPr>
          <w:spacing w:val="-14"/>
        </w:rPr>
        <w:t> </w:t>
      </w:r>
      <w:r>
        <w:rPr/>
        <w:t>de</w:t>
      </w:r>
      <w:r>
        <w:rPr>
          <w:spacing w:val="-14"/>
        </w:rPr>
        <w:t> </w:t>
      </w:r>
      <w:r>
        <w:rPr/>
        <w:t>la</w:t>
      </w:r>
      <w:r>
        <w:rPr>
          <w:spacing w:val="-14"/>
        </w:rPr>
        <w:t> </w:t>
      </w:r>
      <w:r>
        <w:rPr/>
        <w:t>región</w:t>
      </w:r>
      <w:r>
        <w:rPr>
          <w:spacing w:val="-14"/>
        </w:rPr>
        <w:t> </w:t>
      </w:r>
      <w:r>
        <w:rPr/>
        <w:t>incluyendo</w:t>
      </w:r>
      <w:r>
        <w:rPr>
          <w:spacing w:val="-14"/>
        </w:rPr>
        <w:t> </w:t>
      </w:r>
      <w:r>
        <w:rPr/>
        <w:t>a</w:t>
      </w:r>
      <w:r>
        <w:rPr>
          <w:spacing w:val="-16"/>
        </w:rPr>
        <w:t> </w:t>
      </w:r>
      <w:r>
        <w:rPr/>
        <w:t>26</w:t>
      </w:r>
      <w:r>
        <w:rPr>
          <w:spacing w:val="-16"/>
        </w:rPr>
        <w:t> </w:t>
      </w:r>
      <w:r>
        <w:rPr/>
        <w:t>municipios</w:t>
      </w:r>
      <w:r>
        <w:rPr>
          <w:spacing w:val="-14"/>
        </w:rPr>
        <w:t> </w:t>
      </w:r>
      <w:r>
        <w:rPr/>
        <w:t>mexiquenses</w:t>
      </w:r>
      <w:r>
        <w:rPr>
          <w:spacing w:val="-14"/>
        </w:rPr>
        <w:t> </w:t>
      </w:r>
      <w:r>
        <w:rPr/>
        <w:t>(Romero</w:t>
      </w:r>
      <w:r>
        <w:rPr>
          <w:spacing w:val="-12"/>
        </w:rPr>
        <w:t> </w:t>
      </w:r>
      <w:r>
        <w:rPr>
          <w:i/>
        </w:rPr>
        <w:t>et</w:t>
      </w:r>
      <w:r>
        <w:rPr>
          <w:i/>
          <w:spacing w:val="-16"/>
        </w:rPr>
        <w:t> </w:t>
      </w:r>
      <w:r>
        <w:rPr>
          <w:i/>
        </w:rPr>
        <w:t>al</w:t>
      </w:r>
      <w:r>
        <w:rPr/>
        <w:t>.,</w:t>
      </w:r>
      <w:r>
        <w:rPr>
          <w:spacing w:val="-14"/>
        </w:rPr>
        <w:t> </w:t>
      </w:r>
      <w:r>
        <w:rPr/>
        <w:t>2010). En lo que se refiere a las características del producto, la forma de presentación del producto</w:t>
      </w:r>
      <w:r>
        <w:rPr>
          <w:spacing w:val="-18"/>
        </w:rPr>
        <w:t> </w:t>
      </w:r>
      <w:r>
        <w:rPr/>
        <w:t>fue</w:t>
      </w:r>
      <w:r>
        <w:rPr>
          <w:spacing w:val="-18"/>
        </w:rPr>
        <w:t> </w:t>
      </w:r>
      <w:r>
        <w:rPr/>
        <w:t>circular</w:t>
      </w:r>
      <w:r>
        <w:rPr>
          <w:spacing w:val="-17"/>
        </w:rPr>
        <w:t> </w:t>
      </w:r>
      <w:r>
        <w:rPr/>
        <w:t>en</w:t>
      </w:r>
      <w:r>
        <w:rPr>
          <w:spacing w:val="-16"/>
        </w:rPr>
        <w:t> </w:t>
      </w:r>
      <w:r>
        <w:rPr/>
        <w:t>todos</w:t>
      </w:r>
      <w:r>
        <w:rPr>
          <w:spacing w:val="-19"/>
        </w:rPr>
        <w:t> </w:t>
      </w:r>
      <w:r>
        <w:rPr/>
        <w:t>los</w:t>
      </w:r>
      <w:r>
        <w:rPr>
          <w:spacing w:val="-18"/>
        </w:rPr>
        <w:t> </w:t>
      </w:r>
      <w:r>
        <w:rPr/>
        <w:t>puntos</w:t>
      </w:r>
      <w:r>
        <w:rPr>
          <w:spacing w:val="-19"/>
        </w:rPr>
        <w:t> </w:t>
      </w:r>
      <w:r>
        <w:rPr/>
        <w:t>de</w:t>
      </w:r>
      <w:r>
        <w:rPr>
          <w:spacing w:val="-20"/>
        </w:rPr>
        <w:t> </w:t>
      </w:r>
      <w:r>
        <w:rPr/>
        <w:t>muestreo</w:t>
      </w:r>
      <w:r>
        <w:rPr>
          <w:spacing w:val="-18"/>
        </w:rPr>
        <w:t> </w:t>
      </w:r>
      <w:r>
        <w:rPr/>
        <w:t>con</w:t>
      </w:r>
      <w:r>
        <w:rPr>
          <w:spacing w:val="-18"/>
        </w:rPr>
        <w:t> </w:t>
      </w:r>
      <w:r>
        <w:rPr/>
        <w:t>un</w:t>
      </w:r>
      <w:r>
        <w:rPr>
          <w:spacing w:val="-16"/>
        </w:rPr>
        <w:t> </w:t>
      </w:r>
      <w:r>
        <w:rPr/>
        <w:t>peso</w:t>
      </w:r>
      <w:r>
        <w:rPr>
          <w:spacing w:val="-20"/>
        </w:rPr>
        <w:t> </w:t>
      </w:r>
      <w:r>
        <w:rPr/>
        <w:t>aproximado</w:t>
      </w:r>
      <w:r>
        <w:rPr>
          <w:spacing w:val="-18"/>
        </w:rPr>
        <w:t> </w:t>
      </w:r>
      <w:r>
        <w:rPr/>
        <w:t>entre los</w:t>
      </w:r>
      <w:r>
        <w:rPr>
          <w:spacing w:val="-9"/>
        </w:rPr>
        <w:t> </w:t>
      </w:r>
      <w:r>
        <w:rPr/>
        <w:t>100</w:t>
      </w:r>
      <w:r>
        <w:rPr>
          <w:spacing w:val="-8"/>
        </w:rPr>
        <w:t> </w:t>
      </w:r>
      <w:r>
        <w:rPr/>
        <w:t>y</w:t>
      </w:r>
      <w:r>
        <w:rPr>
          <w:spacing w:val="-12"/>
        </w:rPr>
        <w:t> </w:t>
      </w:r>
      <w:r>
        <w:rPr/>
        <w:t>250</w:t>
      </w:r>
      <w:r>
        <w:rPr>
          <w:spacing w:val="-11"/>
        </w:rPr>
        <w:t> </w:t>
      </w:r>
      <w:r>
        <w:rPr/>
        <w:t>gr.,</w:t>
      </w:r>
      <w:r>
        <w:rPr>
          <w:spacing w:val="-9"/>
        </w:rPr>
        <w:t> </w:t>
      </w:r>
      <w:r>
        <w:rPr/>
        <w:t>y</w:t>
      </w:r>
      <w:r>
        <w:rPr>
          <w:spacing w:val="-12"/>
        </w:rPr>
        <w:t> </w:t>
      </w:r>
      <w:r>
        <w:rPr/>
        <w:t>un</w:t>
      </w:r>
      <w:r>
        <w:rPr>
          <w:spacing w:val="-11"/>
        </w:rPr>
        <w:t> </w:t>
      </w:r>
      <w:r>
        <w:rPr/>
        <w:t>precio</w:t>
      </w:r>
      <w:r>
        <w:rPr>
          <w:spacing w:val="-9"/>
        </w:rPr>
        <w:t> </w:t>
      </w:r>
      <w:r>
        <w:rPr/>
        <w:t>de</w:t>
      </w:r>
      <w:r>
        <w:rPr>
          <w:spacing w:val="-8"/>
        </w:rPr>
        <w:t> </w:t>
      </w:r>
      <w:r>
        <w:rPr/>
        <w:t>venta</w:t>
      </w:r>
      <w:r>
        <w:rPr>
          <w:spacing w:val="-10"/>
        </w:rPr>
        <w:t> </w:t>
      </w:r>
      <w:r>
        <w:rPr/>
        <w:t>que</w:t>
      </w:r>
      <w:r>
        <w:rPr>
          <w:spacing w:val="-8"/>
        </w:rPr>
        <w:t> </w:t>
      </w:r>
      <w:r>
        <w:rPr/>
        <w:t>oscilo</w:t>
      </w:r>
      <w:r>
        <w:rPr>
          <w:spacing w:val="-8"/>
        </w:rPr>
        <w:t> </w:t>
      </w:r>
      <w:r>
        <w:rPr/>
        <w:t>entre</w:t>
      </w:r>
      <w:r>
        <w:rPr>
          <w:spacing w:val="-11"/>
        </w:rPr>
        <w:t> </w:t>
      </w:r>
      <w:r>
        <w:rPr/>
        <w:t>los</w:t>
      </w:r>
      <w:r>
        <w:rPr>
          <w:spacing w:val="-9"/>
        </w:rPr>
        <w:t> </w:t>
      </w:r>
      <w:r>
        <w:rPr/>
        <w:t>8</w:t>
      </w:r>
      <w:r>
        <w:rPr>
          <w:spacing w:val="-11"/>
        </w:rPr>
        <w:t> </w:t>
      </w:r>
      <w:r>
        <w:rPr/>
        <w:t>y</w:t>
      </w:r>
      <w:r>
        <w:rPr>
          <w:spacing w:val="-12"/>
        </w:rPr>
        <w:t> </w:t>
      </w:r>
      <w:r>
        <w:rPr/>
        <w:t>25</w:t>
      </w:r>
      <w:r>
        <w:rPr>
          <w:spacing w:val="-8"/>
        </w:rPr>
        <w:t> </w:t>
      </w:r>
      <w:r>
        <w:rPr/>
        <w:t>pesos.</w:t>
      </w:r>
      <w:r>
        <w:rPr>
          <w:spacing w:val="-9"/>
        </w:rPr>
        <w:t> </w:t>
      </w:r>
      <w:r>
        <w:rPr/>
        <w:t>El</w:t>
      </w:r>
      <w:r>
        <w:rPr>
          <w:spacing w:val="-12"/>
        </w:rPr>
        <w:t> </w:t>
      </w:r>
      <w:r>
        <w:rPr/>
        <w:t>producto comercializado en los tianguis y mercados corresponde a un queso fresco típicamente</w:t>
      </w:r>
      <w:r>
        <w:rPr>
          <w:spacing w:val="-13"/>
        </w:rPr>
        <w:t> </w:t>
      </w:r>
      <w:r>
        <w:rPr/>
        <w:t>genuino</w:t>
      </w:r>
      <w:r>
        <w:rPr>
          <w:spacing w:val="-13"/>
        </w:rPr>
        <w:t> </w:t>
      </w:r>
      <w:r>
        <w:rPr/>
        <w:t>de</w:t>
      </w:r>
      <w:r>
        <w:rPr>
          <w:spacing w:val="-13"/>
        </w:rPr>
        <w:t> </w:t>
      </w:r>
      <w:r>
        <w:rPr/>
        <w:t>la</w:t>
      </w:r>
      <w:r>
        <w:rPr>
          <w:spacing w:val="-13"/>
        </w:rPr>
        <w:t> </w:t>
      </w:r>
      <w:r>
        <w:rPr/>
        <w:t>región</w:t>
      </w:r>
      <w:r>
        <w:rPr>
          <w:spacing w:val="-13"/>
        </w:rPr>
        <w:t> </w:t>
      </w:r>
      <w:r>
        <w:rPr/>
        <w:t>de</w:t>
      </w:r>
      <w:r>
        <w:rPr>
          <w:spacing w:val="-13"/>
        </w:rPr>
        <w:t> </w:t>
      </w:r>
      <w:r>
        <w:rPr/>
        <w:t>Toluca,</w:t>
      </w:r>
      <w:r>
        <w:rPr>
          <w:spacing w:val="-16"/>
        </w:rPr>
        <w:t> </w:t>
      </w:r>
      <w:r>
        <w:rPr/>
        <w:t>México.</w:t>
      </w:r>
      <w:r>
        <w:rPr>
          <w:spacing w:val="-13"/>
        </w:rPr>
        <w:t> </w:t>
      </w:r>
      <w:r>
        <w:rPr/>
        <w:t>El</w:t>
      </w:r>
      <w:r>
        <w:rPr>
          <w:spacing w:val="-14"/>
        </w:rPr>
        <w:t> </w:t>
      </w:r>
      <w:r>
        <w:rPr/>
        <w:t>precio</w:t>
      </w:r>
      <w:r>
        <w:rPr>
          <w:spacing w:val="-13"/>
        </w:rPr>
        <w:t> </w:t>
      </w:r>
      <w:r>
        <w:rPr/>
        <w:t>de</w:t>
      </w:r>
      <w:r>
        <w:rPr>
          <w:spacing w:val="-13"/>
        </w:rPr>
        <w:t> </w:t>
      </w:r>
      <w:r>
        <w:rPr/>
        <w:t>venta</w:t>
      </w:r>
      <w:r>
        <w:rPr>
          <w:spacing w:val="-13"/>
        </w:rPr>
        <w:t> </w:t>
      </w:r>
      <w:r>
        <w:rPr/>
        <w:t>se</w:t>
      </w:r>
      <w:r>
        <w:rPr>
          <w:spacing w:val="-13"/>
        </w:rPr>
        <w:t> </w:t>
      </w:r>
      <w:r>
        <w:rPr/>
        <w:t>consideró como accesible para su adquisición si se compara con otros alimentos de menor valor nutricional ofertados en estos sitios, como lo señala en su estudio Grass- Ramírez</w:t>
      </w:r>
      <w:r>
        <w:rPr>
          <w:spacing w:val="-8"/>
        </w:rPr>
        <w:t> </w:t>
      </w:r>
      <w:r>
        <w:rPr/>
        <w:t>y</w:t>
      </w:r>
      <w:r>
        <w:rPr>
          <w:spacing w:val="-8"/>
        </w:rPr>
        <w:t> </w:t>
      </w:r>
      <w:r>
        <w:rPr/>
        <w:t>Cesín-Vargas</w:t>
      </w:r>
      <w:r>
        <w:rPr>
          <w:spacing w:val="-5"/>
        </w:rPr>
        <w:t> </w:t>
      </w:r>
      <w:r>
        <w:rPr/>
        <w:t>(2014),</w:t>
      </w:r>
      <w:r>
        <w:rPr>
          <w:spacing w:val="-8"/>
        </w:rPr>
        <w:t> </w:t>
      </w:r>
      <w:r>
        <w:rPr/>
        <w:t>reconociendo</w:t>
      </w:r>
      <w:r>
        <w:rPr>
          <w:spacing w:val="-5"/>
        </w:rPr>
        <w:t> </w:t>
      </w:r>
      <w:r>
        <w:rPr/>
        <w:t>que</w:t>
      </w:r>
      <w:r>
        <w:rPr>
          <w:spacing w:val="-7"/>
        </w:rPr>
        <w:t> </w:t>
      </w:r>
      <w:r>
        <w:rPr/>
        <w:t>los</w:t>
      </w:r>
      <w:r>
        <w:rPr>
          <w:spacing w:val="-7"/>
        </w:rPr>
        <w:t> </w:t>
      </w:r>
      <w:r>
        <w:rPr/>
        <w:t>quesos</w:t>
      </w:r>
      <w:r>
        <w:rPr>
          <w:spacing w:val="-8"/>
        </w:rPr>
        <w:t> </w:t>
      </w:r>
      <w:r>
        <w:rPr/>
        <w:t>artesanales</w:t>
      </w:r>
      <w:r>
        <w:rPr>
          <w:spacing w:val="-7"/>
        </w:rPr>
        <w:t> </w:t>
      </w:r>
      <w:r>
        <w:rPr/>
        <w:t>son</w:t>
      </w:r>
      <w:r>
        <w:rPr>
          <w:spacing w:val="-7"/>
        </w:rPr>
        <w:t> </w:t>
      </w:r>
      <w:r>
        <w:rPr/>
        <w:t>una fuente importante en la dieta de los sectores de la población de bajos ingresos y que además compiten directamente con este tipo de productos en un mercado en el que el precio es importante para la</w:t>
      </w:r>
      <w:r>
        <w:rPr>
          <w:spacing w:val="-17"/>
        </w:rPr>
        <w:t> </w:t>
      </w:r>
      <w:r>
        <w:rPr/>
        <w:t>adquisición.</w:t>
      </w:r>
    </w:p>
    <w:p>
      <w:pPr>
        <w:pStyle w:val="BodyText"/>
        <w:spacing w:before="6"/>
        <w:rPr>
          <w:sz w:val="27"/>
        </w:rPr>
      </w:pPr>
    </w:p>
    <w:p>
      <w:pPr>
        <w:pStyle w:val="BodyText"/>
        <w:spacing w:line="276" w:lineRule="auto" w:before="1"/>
        <w:ind w:left="142" w:right="141"/>
        <w:jc w:val="both"/>
      </w:pPr>
      <w:r>
        <w:rPr/>
        <w:t>En este estudio se valoró que en su mayoría los quesos frescos en el municipio de Toluca fueron vendidos a un precio económico y de manera paralela a la venta de alimentos de consumo perecedero, localmente denominados guisos para “tacos placeros”</w:t>
      </w:r>
      <w:r>
        <w:rPr>
          <w:spacing w:val="-15"/>
        </w:rPr>
        <w:t> </w:t>
      </w:r>
      <w:r>
        <w:rPr/>
        <w:t>típicos</w:t>
      </w:r>
      <w:r>
        <w:rPr>
          <w:spacing w:val="-12"/>
        </w:rPr>
        <w:t> </w:t>
      </w:r>
      <w:r>
        <w:rPr/>
        <w:t>de</w:t>
      </w:r>
      <w:r>
        <w:rPr>
          <w:spacing w:val="-12"/>
        </w:rPr>
        <w:t> </w:t>
      </w:r>
      <w:r>
        <w:rPr/>
        <w:t>la</w:t>
      </w:r>
      <w:r>
        <w:rPr>
          <w:spacing w:val="-14"/>
        </w:rPr>
        <w:t> </w:t>
      </w:r>
      <w:r>
        <w:rPr/>
        <w:t>región</w:t>
      </w:r>
      <w:r>
        <w:rPr>
          <w:spacing w:val="-11"/>
        </w:rPr>
        <w:t> </w:t>
      </w:r>
      <w:r>
        <w:rPr/>
        <w:t>que</w:t>
      </w:r>
      <w:r>
        <w:rPr>
          <w:spacing w:val="-14"/>
        </w:rPr>
        <w:t> </w:t>
      </w:r>
      <w:r>
        <w:rPr/>
        <w:t>incluyen</w:t>
      </w:r>
      <w:r>
        <w:rPr>
          <w:spacing w:val="-12"/>
        </w:rPr>
        <w:t> </w:t>
      </w:r>
      <w:r>
        <w:rPr/>
        <w:t>queso</w:t>
      </w:r>
      <w:r>
        <w:rPr>
          <w:spacing w:val="-14"/>
        </w:rPr>
        <w:t> </w:t>
      </w:r>
      <w:r>
        <w:rPr/>
        <w:t>fresco</w:t>
      </w:r>
      <w:r>
        <w:rPr>
          <w:spacing w:val="-14"/>
        </w:rPr>
        <w:t> </w:t>
      </w:r>
      <w:r>
        <w:rPr/>
        <w:t>en</w:t>
      </w:r>
      <w:r>
        <w:rPr>
          <w:spacing w:val="-14"/>
        </w:rPr>
        <w:t> </w:t>
      </w:r>
      <w:r>
        <w:rPr/>
        <w:t>su</w:t>
      </w:r>
      <w:r>
        <w:rPr>
          <w:spacing w:val="-14"/>
        </w:rPr>
        <w:t> </w:t>
      </w:r>
      <w:r>
        <w:rPr/>
        <w:t>elaboración,</w:t>
      </w:r>
      <w:r>
        <w:rPr>
          <w:spacing w:val="-12"/>
        </w:rPr>
        <w:t> </w:t>
      </w:r>
      <w:r>
        <w:rPr/>
        <w:t>situación que indica su consumo es el mismo día o en los</w:t>
      </w:r>
      <w:r>
        <w:rPr>
          <w:spacing w:val="-14"/>
        </w:rPr>
        <w:t> </w:t>
      </w:r>
      <w:r>
        <w:rPr/>
        <w:t>posteriores.</w:t>
      </w:r>
    </w:p>
    <w:p>
      <w:pPr>
        <w:pStyle w:val="BodyText"/>
        <w:spacing w:before="9"/>
        <w:rPr>
          <w:sz w:val="27"/>
        </w:rPr>
      </w:pPr>
    </w:p>
    <w:p>
      <w:pPr>
        <w:pStyle w:val="BodyText"/>
        <w:spacing w:line="276" w:lineRule="auto"/>
        <w:ind w:left="142" w:right="137"/>
        <w:jc w:val="both"/>
      </w:pPr>
      <w:r>
        <w:rPr/>
        <w:t>El</w:t>
      </w:r>
      <w:r>
        <w:rPr>
          <w:spacing w:val="-5"/>
        </w:rPr>
        <w:t> </w:t>
      </w:r>
      <w:r>
        <w:rPr/>
        <w:t>50%</w:t>
      </w:r>
      <w:r>
        <w:rPr>
          <w:spacing w:val="-4"/>
        </w:rPr>
        <w:t> </w:t>
      </w:r>
      <w:r>
        <w:rPr/>
        <w:t>de</w:t>
      </w:r>
      <w:r>
        <w:rPr>
          <w:spacing w:val="-4"/>
        </w:rPr>
        <w:t> </w:t>
      </w:r>
      <w:r>
        <w:rPr/>
        <w:t>los</w:t>
      </w:r>
      <w:r>
        <w:rPr>
          <w:spacing w:val="-4"/>
        </w:rPr>
        <w:t> </w:t>
      </w:r>
      <w:r>
        <w:rPr/>
        <w:t>sitios</w:t>
      </w:r>
      <w:r>
        <w:rPr>
          <w:spacing w:val="-4"/>
        </w:rPr>
        <w:t> </w:t>
      </w:r>
      <w:r>
        <w:rPr/>
        <w:t>de</w:t>
      </w:r>
      <w:r>
        <w:rPr>
          <w:spacing w:val="-6"/>
        </w:rPr>
        <w:t> </w:t>
      </w:r>
      <w:r>
        <w:rPr/>
        <w:t>venta</w:t>
      </w:r>
      <w:r>
        <w:rPr>
          <w:spacing w:val="-3"/>
        </w:rPr>
        <w:t> </w:t>
      </w:r>
      <w:r>
        <w:rPr/>
        <w:t>de</w:t>
      </w:r>
      <w:r>
        <w:rPr>
          <w:spacing w:val="-4"/>
        </w:rPr>
        <w:t> </w:t>
      </w:r>
      <w:r>
        <w:rPr/>
        <w:t>quesos</w:t>
      </w:r>
      <w:r>
        <w:rPr>
          <w:spacing w:val="-7"/>
        </w:rPr>
        <w:t> </w:t>
      </w:r>
      <w:r>
        <w:rPr/>
        <w:t>frescos</w:t>
      </w:r>
      <w:r>
        <w:rPr>
          <w:spacing w:val="-4"/>
        </w:rPr>
        <w:t> </w:t>
      </w:r>
      <w:r>
        <w:rPr/>
        <w:t>tenían</w:t>
      </w:r>
      <w:r>
        <w:rPr>
          <w:spacing w:val="-4"/>
        </w:rPr>
        <w:t> </w:t>
      </w:r>
      <w:r>
        <w:rPr/>
        <w:t>de</w:t>
      </w:r>
      <w:r>
        <w:rPr>
          <w:spacing w:val="-4"/>
        </w:rPr>
        <w:t> </w:t>
      </w:r>
      <w:r>
        <w:rPr/>
        <w:t>manera</w:t>
      </w:r>
      <w:r>
        <w:rPr>
          <w:spacing w:val="-7"/>
        </w:rPr>
        <w:t> </w:t>
      </w:r>
      <w:r>
        <w:rPr/>
        <w:t>paralela</w:t>
      </w:r>
      <w:r>
        <w:rPr>
          <w:spacing w:val="-4"/>
        </w:rPr>
        <w:t> </w:t>
      </w:r>
      <w:r>
        <w:rPr/>
        <w:t>la</w:t>
      </w:r>
      <w:r>
        <w:rPr>
          <w:spacing w:val="-4"/>
        </w:rPr>
        <w:t> </w:t>
      </w:r>
      <w:r>
        <w:rPr/>
        <w:t>venta de alimentos preparados, el 32.8%, además otros derivados lácteos: crema, leche, yogurt y otros quesos comerciales; 11% vende además productos agrícolas de temporada.</w:t>
      </w:r>
      <w:r>
        <w:rPr>
          <w:spacing w:val="-11"/>
        </w:rPr>
        <w:t> </w:t>
      </w:r>
      <w:r>
        <w:rPr/>
        <w:t>Cabe</w:t>
      </w:r>
      <w:r>
        <w:rPr>
          <w:spacing w:val="-11"/>
        </w:rPr>
        <w:t> </w:t>
      </w:r>
      <w:r>
        <w:rPr/>
        <w:t>resaltar</w:t>
      </w:r>
      <w:r>
        <w:rPr>
          <w:spacing w:val="-12"/>
        </w:rPr>
        <w:t> </w:t>
      </w:r>
      <w:r>
        <w:rPr/>
        <w:t>que</w:t>
      </w:r>
      <w:r>
        <w:rPr>
          <w:spacing w:val="-11"/>
        </w:rPr>
        <w:t> </w:t>
      </w:r>
      <w:r>
        <w:rPr/>
        <w:t>sólo</w:t>
      </w:r>
      <w:r>
        <w:rPr>
          <w:spacing w:val="-11"/>
        </w:rPr>
        <w:t> </w:t>
      </w:r>
      <w:r>
        <w:rPr/>
        <w:t>el</w:t>
      </w:r>
      <w:r>
        <w:rPr>
          <w:spacing w:val="-14"/>
        </w:rPr>
        <w:t> </w:t>
      </w:r>
      <w:r>
        <w:rPr/>
        <w:t>1.6%</w:t>
      </w:r>
      <w:r>
        <w:rPr>
          <w:spacing w:val="-14"/>
        </w:rPr>
        <w:t> </w:t>
      </w:r>
      <w:r>
        <w:rPr/>
        <w:t>de</w:t>
      </w:r>
      <w:r>
        <w:rPr>
          <w:spacing w:val="-13"/>
        </w:rPr>
        <w:t> </w:t>
      </w:r>
      <w:r>
        <w:rPr/>
        <w:t>los</w:t>
      </w:r>
      <w:r>
        <w:rPr>
          <w:spacing w:val="-11"/>
        </w:rPr>
        <w:t> </w:t>
      </w:r>
      <w:r>
        <w:rPr/>
        <w:t>comerciantes</w:t>
      </w:r>
      <w:r>
        <w:rPr>
          <w:spacing w:val="-12"/>
        </w:rPr>
        <w:t> </w:t>
      </w:r>
      <w:r>
        <w:rPr/>
        <w:t>se</w:t>
      </w:r>
      <w:r>
        <w:rPr>
          <w:spacing w:val="-11"/>
        </w:rPr>
        <w:t> </w:t>
      </w:r>
      <w:r>
        <w:rPr/>
        <w:t>dedica</w:t>
      </w:r>
      <w:r>
        <w:rPr>
          <w:spacing w:val="-11"/>
        </w:rPr>
        <w:t> </w:t>
      </w:r>
      <w:r>
        <w:rPr/>
        <w:t>a</w:t>
      </w:r>
      <w:r>
        <w:rPr>
          <w:spacing w:val="-11"/>
        </w:rPr>
        <w:t> </w:t>
      </w:r>
      <w:r>
        <w:rPr/>
        <w:t>la</w:t>
      </w:r>
      <w:r>
        <w:rPr>
          <w:spacing w:val="-11"/>
        </w:rPr>
        <w:t> </w:t>
      </w:r>
      <w:r>
        <w:rPr/>
        <w:t>venta exclusiva de quesos. La elaboración regional de queso denota la importancia regional de la producción agropecuaria en las unidades de producción familiar lechera en el Valle de Toluca ya que los principales centros de abasto de queso fresco son localidades aledañas, como lo describe González </w:t>
      </w:r>
      <w:r>
        <w:rPr>
          <w:i/>
        </w:rPr>
        <w:t>et al., </w:t>
      </w:r>
      <w:r>
        <w:rPr/>
        <w:t>(2007), pues</w:t>
      </w:r>
      <w:r>
        <w:rPr>
          <w:spacing w:val="-40"/>
        </w:rPr>
        <w:t> </w:t>
      </w:r>
      <w:r>
        <w:rPr/>
        <w:t>en</w:t>
      </w:r>
    </w:p>
    <w:p>
      <w:pPr>
        <w:spacing w:after="0" w:line="276" w:lineRule="auto"/>
        <w:jc w:val="both"/>
        <w:sectPr>
          <w:pgSz w:w="12240" w:h="15840"/>
          <w:pgMar w:header="728" w:footer="710" w:top="1200" w:bottom="900" w:left="1560" w:right="1560"/>
        </w:sectPr>
      </w:pPr>
    </w:p>
    <w:p>
      <w:pPr>
        <w:pStyle w:val="BodyText"/>
        <w:spacing w:before="9"/>
        <w:rPr>
          <w:sz w:val="12"/>
        </w:rPr>
      </w:pPr>
    </w:p>
    <w:p>
      <w:pPr>
        <w:pStyle w:val="BodyText"/>
        <w:spacing w:line="276" w:lineRule="auto" w:before="70"/>
        <w:ind w:left="142" w:right="143"/>
        <w:jc w:val="both"/>
      </w:pPr>
      <w:r>
        <w:rPr/>
        <w:t>este estudio se estableció que la fuente principal de abasto son los municipios del Valle de Toluca. Lo anterior denota la importancia de la elaboración del queso</w:t>
      </w:r>
      <w:r>
        <w:rPr>
          <w:spacing w:val="-40"/>
        </w:rPr>
        <w:t> </w:t>
      </w:r>
      <w:r>
        <w:rPr/>
        <w:t>para dar valor agregado al sistema producto leche. La distribución de quesos en el municipio de Toluca se considera una actividad complementaría en la</w:t>
      </w:r>
      <w:r>
        <w:rPr>
          <w:spacing w:val="-34"/>
        </w:rPr>
        <w:t> </w:t>
      </w:r>
      <w:r>
        <w:rPr/>
        <w:t>organización comercial del abasto de alimentos en los mercados y</w:t>
      </w:r>
      <w:r>
        <w:rPr>
          <w:spacing w:val="-23"/>
        </w:rPr>
        <w:t> </w:t>
      </w:r>
      <w:r>
        <w:rPr/>
        <w:t>tianguis.</w:t>
      </w:r>
    </w:p>
    <w:p>
      <w:pPr>
        <w:pStyle w:val="BodyText"/>
        <w:spacing w:before="6"/>
        <w:rPr>
          <w:sz w:val="27"/>
        </w:rPr>
      </w:pPr>
    </w:p>
    <w:p>
      <w:pPr>
        <w:pStyle w:val="BodyText"/>
        <w:spacing w:line="276" w:lineRule="auto" w:before="1"/>
        <w:ind w:left="142" w:right="135"/>
        <w:jc w:val="both"/>
      </w:pPr>
      <w:r>
        <w:rPr/>
        <w:t>La calidad fisicoquímica de los quesos deriva de la calidad de la leche, la disminución de pH por la acidificación previa al cuajado y que depende del tiempo que tarda en comenzar la producción cuando se adiciona el cuajo por lo que las características fisicoquímicas de los quesos que producen y comercializan en el Valle de Toluca muestran valores similares a los reportados por Solís </w:t>
      </w:r>
      <w:r>
        <w:rPr>
          <w:i/>
        </w:rPr>
        <w:t>et</w:t>
      </w:r>
      <w:r>
        <w:rPr>
          <w:i/>
          <w:spacing w:val="-46"/>
        </w:rPr>
        <w:t> </w:t>
      </w:r>
      <w:r>
        <w:rPr>
          <w:i/>
        </w:rPr>
        <w:t>al., </w:t>
      </w:r>
      <w:r>
        <w:rPr/>
        <w:t>(2012), que muestran valores de proteína (22.6 a 25.6%), grasa (18.9 a 22.5%), pH (5.0 </w:t>
      </w:r>
      <w:r>
        <w:rPr>
          <w:spacing w:val="16"/>
        </w:rPr>
        <w:t> </w:t>
      </w:r>
      <w:r>
        <w:rPr/>
        <w:t>a</w:t>
      </w:r>
    </w:p>
    <w:p>
      <w:pPr>
        <w:pStyle w:val="BodyText"/>
        <w:spacing w:line="277" w:lineRule="exact"/>
        <w:ind w:left="142"/>
        <w:jc w:val="both"/>
      </w:pPr>
      <w:r>
        <w:rPr/>
        <w:t>5.2), humedad (50.1 a 53.8%) y NaCl (0.8 a 1.8%), mientras que Sánchez </w:t>
      </w:r>
      <w:r>
        <w:rPr>
          <w:i/>
        </w:rPr>
        <w:t>et al.,</w:t>
      </w:r>
      <w:r>
        <w:rPr>
          <w:position w:val="8"/>
          <w:sz w:val="16"/>
        </w:rPr>
        <w:t>(11)</w:t>
      </w:r>
      <w:r>
        <w:rPr/>
        <w:t>,</w:t>
      </w:r>
    </w:p>
    <w:p>
      <w:pPr>
        <w:pStyle w:val="BodyText"/>
        <w:spacing w:before="43"/>
        <w:ind w:left="142"/>
        <w:jc w:val="both"/>
      </w:pPr>
      <w:r>
        <w:rPr/>
        <w:t>reportó valores de proteína (23.4 a 30.4%), grasa (7.5 a 28.5%), pH (5.1 a 5.8),</w:t>
      </w:r>
    </w:p>
    <w:p>
      <w:pPr>
        <w:pStyle w:val="BodyText"/>
        <w:spacing w:line="276" w:lineRule="auto" w:before="41"/>
        <w:ind w:left="142" w:right="135"/>
        <w:jc w:val="both"/>
      </w:pPr>
      <w:r>
        <w:rPr/>
        <w:t>humedad</w:t>
      </w:r>
      <w:r>
        <w:rPr>
          <w:spacing w:val="-8"/>
        </w:rPr>
        <w:t> </w:t>
      </w:r>
      <w:r>
        <w:rPr/>
        <w:t>(34.6</w:t>
      </w:r>
      <w:r>
        <w:rPr>
          <w:spacing w:val="-8"/>
        </w:rPr>
        <w:t> </w:t>
      </w:r>
      <w:r>
        <w:rPr/>
        <w:t>a</w:t>
      </w:r>
      <w:r>
        <w:rPr>
          <w:spacing w:val="-11"/>
        </w:rPr>
        <w:t> </w:t>
      </w:r>
      <w:r>
        <w:rPr/>
        <w:t>55%)</w:t>
      </w:r>
      <w:r>
        <w:rPr>
          <w:spacing w:val="-10"/>
        </w:rPr>
        <w:t> </w:t>
      </w:r>
      <w:r>
        <w:rPr/>
        <w:t>y</w:t>
      </w:r>
      <w:r>
        <w:rPr>
          <w:spacing w:val="-12"/>
        </w:rPr>
        <w:t> </w:t>
      </w:r>
      <w:r>
        <w:rPr/>
        <w:t>NaCl</w:t>
      </w:r>
      <w:r>
        <w:rPr>
          <w:spacing w:val="-10"/>
        </w:rPr>
        <w:t> </w:t>
      </w:r>
      <w:r>
        <w:rPr/>
        <w:t>(0.8</w:t>
      </w:r>
      <w:r>
        <w:rPr>
          <w:spacing w:val="-10"/>
        </w:rPr>
        <w:t> </w:t>
      </w:r>
      <w:r>
        <w:rPr/>
        <w:t>a</w:t>
      </w:r>
      <w:r>
        <w:rPr>
          <w:spacing w:val="-11"/>
        </w:rPr>
        <w:t> </w:t>
      </w:r>
      <w:r>
        <w:rPr/>
        <w:t>3.2%)</w:t>
      </w:r>
      <w:r>
        <w:rPr>
          <w:spacing w:val="-12"/>
        </w:rPr>
        <w:t> </w:t>
      </w:r>
      <w:r>
        <w:rPr/>
        <w:t>y</w:t>
      </w:r>
      <w:r>
        <w:rPr>
          <w:spacing w:val="-12"/>
        </w:rPr>
        <w:t> </w:t>
      </w:r>
      <w:r>
        <w:rPr/>
        <w:t>cenizas</w:t>
      </w:r>
      <w:r>
        <w:rPr>
          <w:spacing w:val="-9"/>
        </w:rPr>
        <w:t> </w:t>
      </w:r>
      <w:r>
        <w:rPr/>
        <w:t>(1.2</w:t>
      </w:r>
      <w:r>
        <w:rPr>
          <w:spacing w:val="-10"/>
        </w:rPr>
        <w:t> </w:t>
      </w:r>
      <w:r>
        <w:rPr/>
        <w:t>a</w:t>
      </w:r>
      <w:r>
        <w:rPr>
          <w:spacing w:val="-11"/>
        </w:rPr>
        <w:t> </w:t>
      </w:r>
      <w:r>
        <w:rPr/>
        <w:t>3.2%),</w:t>
      </w:r>
      <w:r>
        <w:rPr>
          <w:spacing w:val="-9"/>
        </w:rPr>
        <w:t> </w:t>
      </w:r>
      <w:r>
        <w:rPr/>
        <w:t>para</w:t>
      </w:r>
      <w:r>
        <w:rPr>
          <w:spacing w:val="-9"/>
        </w:rPr>
        <w:t> </w:t>
      </w:r>
      <w:r>
        <w:rPr/>
        <w:t>otras</w:t>
      </w:r>
      <w:r>
        <w:rPr>
          <w:spacing w:val="-9"/>
        </w:rPr>
        <w:t> </w:t>
      </w:r>
      <w:r>
        <w:rPr/>
        <w:t>zonas de</w:t>
      </w:r>
      <w:r>
        <w:rPr>
          <w:spacing w:val="-6"/>
        </w:rPr>
        <w:t> </w:t>
      </w:r>
      <w:r>
        <w:rPr/>
        <w:t>producción</w:t>
      </w:r>
      <w:r>
        <w:rPr>
          <w:spacing w:val="-6"/>
        </w:rPr>
        <w:t> </w:t>
      </w:r>
      <w:r>
        <w:rPr/>
        <w:t>de</w:t>
      </w:r>
      <w:r>
        <w:rPr>
          <w:spacing w:val="-6"/>
        </w:rPr>
        <w:t> </w:t>
      </w:r>
      <w:r>
        <w:rPr/>
        <w:t>queso</w:t>
      </w:r>
      <w:r>
        <w:rPr>
          <w:spacing w:val="-6"/>
        </w:rPr>
        <w:t> </w:t>
      </w:r>
      <w:r>
        <w:rPr/>
        <w:t>fresco</w:t>
      </w:r>
      <w:r>
        <w:rPr>
          <w:spacing w:val="-6"/>
        </w:rPr>
        <w:t> </w:t>
      </w:r>
      <w:r>
        <w:rPr/>
        <w:t>en</w:t>
      </w:r>
      <w:r>
        <w:rPr>
          <w:spacing w:val="-6"/>
        </w:rPr>
        <w:t> </w:t>
      </w:r>
      <w:r>
        <w:rPr/>
        <w:t>Estado</w:t>
      </w:r>
      <w:r>
        <w:rPr>
          <w:spacing w:val="-6"/>
        </w:rPr>
        <w:t> </w:t>
      </w:r>
      <w:r>
        <w:rPr/>
        <w:t>de</w:t>
      </w:r>
      <w:r>
        <w:rPr>
          <w:spacing w:val="-8"/>
        </w:rPr>
        <w:t> </w:t>
      </w:r>
      <w:r>
        <w:rPr/>
        <w:t>México.</w:t>
      </w:r>
      <w:r>
        <w:rPr>
          <w:spacing w:val="-6"/>
        </w:rPr>
        <w:t> </w:t>
      </w:r>
      <w:r>
        <w:rPr/>
        <w:t>Las</w:t>
      </w:r>
      <w:r>
        <w:rPr>
          <w:spacing w:val="-7"/>
        </w:rPr>
        <w:t> </w:t>
      </w:r>
      <w:r>
        <w:rPr/>
        <w:t>diferencias</w:t>
      </w:r>
      <w:r>
        <w:rPr>
          <w:spacing w:val="-7"/>
        </w:rPr>
        <w:t> </w:t>
      </w:r>
      <w:r>
        <w:rPr/>
        <w:t>en</w:t>
      </w:r>
      <w:r>
        <w:rPr>
          <w:spacing w:val="-6"/>
        </w:rPr>
        <w:t> </w:t>
      </w:r>
      <w:r>
        <w:rPr/>
        <w:t>los</w:t>
      </w:r>
      <w:r>
        <w:rPr>
          <w:spacing w:val="-6"/>
        </w:rPr>
        <w:t> </w:t>
      </w:r>
      <w:r>
        <w:rPr/>
        <w:t>quesos artesanales es común y se debe al proceso de elaboración (Sánchez </w:t>
      </w:r>
      <w:r>
        <w:rPr>
          <w:i/>
        </w:rPr>
        <w:t>et al., </w:t>
      </w:r>
      <w:r>
        <w:rPr/>
        <w:t>2012), una característica importante es que algunos quesos frescos poseen capacidad para fundido al tener un pH de 5.1 a 5.3 (Ramírez-López y Vélez-Ruíz, 2012), atributo que los comerciantes utilizan para la promover la venta de sus</w:t>
      </w:r>
      <w:r>
        <w:rPr>
          <w:spacing w:val="-29"/>
        </w:rPr>
        <w:t> </w:t>
      </w:r>
      <w:r>
        <w:rPr/>
        <w:t>productos.</w:t>
      </w:r>
    </w:p>
    <w:p>
      <w:pPr>
        <w:pStyle w:val="BodyText"/>
        <w:spacing w:before="9"/>
        <w:rPr>
          <w:sz w:val="27"/>
        </w:rPr>
      </w:pPr>
    </w:p>
    <w:p>
      <w:pPr>
        <w:pStyle w:val="BodyText"/>
        <w:spacing w:line="276" w:lineRule="auto"/>
        <w:ind w:left="142" w:right="138"/>
        <w:jc w:val="both"/>
      </w:pPr>
      <w:r>
        <w:rPr/>
        <w:t>La desaparición de queso en el municipio se evidencia al encontrar una baja frecuencia</w:t>
      </w:r>
      <w:r>
        <w:rPr>
          <w:spacing w:val="-4"/>
        </w:rPr>
        <w:t> </w:t>
      </w:r>
      <w:r>
        <w:rPr/>
        <w:t>en</w:t>
      </w:r>
      <w:r>
        <w:rPr>
          <w:spacing w:val="-4"/>
        </w:rPr>
        <w:t> </w:t>
      </w:r>
      <w:r>
        <w:rPr/>
        <w:t>los</w:t>
      </w:r>
      <w:r>
        <w:rPr>
          <w:spacing w:val="-4"/>
        </w:rPr>
        <w:t> </w:t>
      </w:r>
      <w:r>
        <w:rPr/>
        <w:t>tianguis,</w:t>
      </w:r>
      <w:r>
        <w:rPr>
          <w:spacing w:val="-4"/>
        </w:rPr>
        <w:t> </w:t>
      </w:r>
      <w:r>
        <w:rPr/>
        <w:t>este</w:t>
      </w:r>
      <w:r>
        <w:rPr>
          <w:spacing w:val="-3"/>
        </w:rPr>
        <w:t> </w:t>
      </w:r>
      <w:r>
        <w:rPr/>
        <w:t>escenario</w:t>
      </w:r>
      <w:r>
        <w:rPr>
          <w:spacing w:val="-4"/>
        </w:rPr>
        <w:t> </w:t>
      </w:r>
      <w:r>
        <w:rPr/>
        <w:t>es</w:t>
      </w:r>
      <w:r>
        <w:rPr>
          <w:spacing w:val="-7"/>
        </w:rPr>
        <w:t> </w:t>
      </w:r>
      <w:r>
        <w:rPr/>
        <w:t>similar</w:t>
      </w:r>
      <w:r>
        <w:rPr>
          <w:spacing w:val="-5"/>
        </w:rPr>
        <w:t> </w:t>
      </w:r>
      <w:r>
        <w:rPr/>
        <w:t>en</w:t>
      </w:r>
      <w:r>
        <w:rPr>
          <w:spacing w:val="-4"/>
        </w:rPr>
        <w:t> </w:t>
      </w:r>
      <w:r>
        <w:rPr/>
        <w:t>otros</w:t>
      </w:r>
      <w:r>
        <w:rPr>
          <w:spacing w:val="-4"/>
        </w:rPr>
        <w:t> </w:t>
      </w:r>
      <w:r>
        <w:rPr/>
        <w:t>quesos</w:t>
      </w:r>
      <w:r>
        <w:rPr>
          <w:spacing w:val="-4"/>
        </w:rPr>
        <w:t> </w:t>
      </w:r>
      <w:r>
        <w:rPr/>
        <w:t>genuinos</w:t>
      </w:r>
      <w:r>
        <w:rPr>
          <w:spacing w:val="-4"/>
        </w:rPr>
        <w:t> </w:t>
      </w:r>
      <w:r>
        <w:rPr/>
        <w:t>y</w:t>
      </w:r>
      <w:r>
        <w:rPr>
          <w:spacing w:val="-7"/>
        </w:rPr>
        <w:t> </w:t>
      </w:r>
      <w:r>
        <w:rPr/>
        <w:t>los factores que contribuyen a la desaparición del queso son complejos y no han sido suficientemente estudiados; su comprensión resulta de gran importancia para diseñar e implementar estrategias para el rescate y la valorización de este patrimonio alimentario (Grass-Ramírez y Cesín-Vargas, 2014). Los quesos frescos en Toluca son bien aceptados en la población aunque hay aspectos como higiene, frescura,</w:t>
      </w:r>
      <w:r>
        <w:rPr>
          <w:spacing w:val="-12"/>
        </w:rPr>
        <w:t> </w:t>
      </w:r>
      <w:r>
        <w:rPr/>
        <w:t>variedad</w:t>
      </w:r>
      <w:r>
        <w:rPr>
          <w:spacing w:val="-12"/>
        </w:rPr>
        <w:t> </w:t>
      </w:r>
      <w:r>
        <w:rPr/>
        <w:t>y</w:t>
      </w:r>
      <w:r>
        <w:rPr>
          <w:spacing w:val="-15"/>
        </w:rPr>
        <w:t> </w:t>
      </w:r>
      <w:r>
        <w:rPr/>
        <w:t>disponibilidad</w:t>
      </w:r>
      <w:r>
        <w:rPr>
          <w:spacing w:val="-12"/>
        </w:rPr>
        <w:t> </w:t>
      </w:r>
      <w:r>
        <w:rPr/>
        <w:t>han</w:t>
      </w:r>
      <w:r>
        <w:rPr>
          <w:spacing w:val="-12"/>
        </w:rPr>
        <w:t> </w:t>
      </w:r>
      <w:r>
        <w:rPr/>
        <w:t>sido</w:t>
      </w:r>
      <w:r>
        <w:rPr>
          <w:spacing w:val="-12"/>
        </w:rPr>
        <w:t> </w:t>
      </w:r>
      <w:r>
        <w:rPr/>
        <w:t>descuidados</w:t>
      </w:r>
      <w:r>
        <w:rPr>
          <w:spacing w:val="-13"/>
        </w:rPr>
        <w:t> </w:t>
      </w:r>
      <w:r>
        <w:rPr/>
        <w:t>ya</w:t>
      </w:r>
      <w:r>
        <w:rPr>
          <w:spacing w:val="-12"/>
        </w:rPr>
        <w:t> </w:t>
      </w:r>
      <w:r>
        <w:rPr/>
        <w:t>que</w:t>
      </w:r>
      <w:r>
        <w:rPr>
          <w:spacing w:val="-12"/>
        </w:rPr>
        <w:t> </w:t>
      </w:r>
      <w:r>
        <w:rPr/>
        <w:t>la</w:t>
      </w:r>
      <w:r>
        <w:rPr>
          <w:spacing w:val="-14"/>
        </w:rPr>
        <w:t> </w:t>
      </w:r>
      <w:r>
        <w:rPr/>
        <w:t>falta</w:t>
      </w:r>
      <w:r>
        <w:rPr>
          <w:spacing w:val="-12"/>
        </w:rPr>
        <w:t> </w:t>
      </w:r>
      <w:r>
        <w:rPr/>
        <w:t>de</w:t>
      </w:r>
      <w:r>
        <w:rPr>
          <w:spacing w:val="-12"/>
        </w:rPr>
        <w:t> </w:t>
      </w:r>
      <w:r>
        <w:rPr/>
        <w:t>consumo de</w:t>
      </w:r>
      <w:r>
        <w:rPr>
          <w:spacing w:val="-11"/>
        </w:rPr>
        <w:t> </w:t>
      </w:r>
      <w:r>
        <w:rPr/>
        <w:t>este</w:t>
      </w:r>
      <w:r>
        <w:rPr>
          <w:spacing w:val="-11"/>
        </w:rPr>
        <w:t> </w:t>
      </w:r>
      <w:r>
        <w:rPr/>
        <w:t>alimento</w:t>
      </w:r>
      <w:r>
        <w:rPr>
          <w:spacing w:val="-11"/>
        </w:rPr>
        <w:t> </w:t>
      </w:r>
      <w:r>
        <w:rPr/>
        <w:t>es</w:t>
      </w:r>
      <w:r>
        <w:rPr>
          <w:spacing w:val="-14"/>
        </w:rPr>
        <w:t> </w:t>
      </w:r>
      <w:r>
        <w:rPr/>
        <w:t>debido</w:t>
      </w:r>
      <w:r>
        <w:rPr>
          <w:spacing w:val="-10"/>
        </w:rPr>
        <w:t> </w:t>
      </w:r>
      <w:r>
        <w:rPr/>
        <w:t>a</w:t>
      </w:r>
      <w:r>
        <w:rPr>
          <w:spacing w:val="-11"/>
        </w:rPr>
        <w:t> </w:t>
      </w:r>
      <w:r>
        <w:rPr/>
        <w:t>la</w:t>
      </w:r>
      <w:r>
        <w:rPr>
          <w:spacing w:val="-13"/>
        </w:rPr>
        <w:t> </w:t>
      </w:r>
      <w:r>
        <w:rPr/>
        <w:t>mala</w:t>
      </w:r>
      <w:r>
        <w:rPr>
          <w:spacing w:val="-11"/>
        </w:rPr>
        <w:t> </w:t>
      </w:r>
      <w:r>
        <w:rPr/>
        <w:t>distribución</w:t>
      </w:r>
      <w:r>
        <w:rPr>
          <w:spacing w:val="-10"/>
        </w:rPr>
        <w:t> </w:t>
      </w:r>
      <w:r>
        <w:rPr/>
        <w:t>y</w:t>
      </w:r>
      <w:r>
        <w:rPr>
          <w:spacing w:val="-14"/>
        </w:rPr>
        <w:t> </w:t>
      </w:r>
      <w:r>
        <w:rPr/>
        <w:t>difusión</w:t>
      </w:r>
      <w:r>
        <w:rPr>
          <w:spacing w:val="-11"/>
        </w:rPr>
        <w:t> </w:t>
      </w:r>
      <w:r>
        <w:rPr/>
        <w:t>de</w:t>
      </w:r>
      <w:r>
        <w:rPr>
          <w:spacing w:val="-11"/>
        </w:rPr>
        <w:t> </w:t>
      </w:r>
      <w:r>
        <w:rPr/>
        <w:t>un</w:t>
      </w:r>
      <w:r>
        <w:rPr>
          <w:spacing w:val="-13"/>
        </w:rPr>
        <w:t> </w:t>
      </w:r>
      <w:r>
        <w:rPr/>
        <w:t>mercado</w:t>
      </w:r>
      <w:r>
        <w:rPr>
          <w:spacing w:val="-11"/>
        </w:rPr>
        <w:t> </w:t>
      </w:r>
      <w:r>
        <w:rPr/>
        <w:t>potencial abandonado (González </w:t>
      </w:r>
      <w:r>
        <w:rPr>
          <w:i/>
        </w:rPr>
        <w:t>et al.</w:t>
      </w:r>
      <w:r>
        <w:rPr/>
        <w:t>, 2007), esta situación se podrían mejorar con la intervención</w:t>
      </w:r>
      <w:r>
        <w:rPr>
          <w:spacing w:val="-9"/>
        </w:rPr>
        <w:t> </w:t>
      </w:r>
      <w:r>
        <w:rPr/>
        <w:t>de</w:t>
      </w:r>
      <w:r>
        <w:rPr>
          <w:spacing w:val="-9"/>
        </w:rPr>
        <w:t> </w:t>
      </w:r>
      <w:r>
        <w:rPr/>
        <w:t>organismos</w:t>
      </w:r>
      <w:r>
        <w:rPr>
          <w:spacing w:val="-10"/>
        </w:rPr>
        <w:t> </w:t>
      </w:r>
      <w:r>
        <w:rPr/>
        <w:t>gubernamentales</w:t>
      </w:r>
      <w:r>
        <w:rPr>
          <w:spacing w:val="-10"/>
        </w:rPr>
        <w:t> </w:t>
      </w:r>
      <w:r>
        <w:rPr/>
        <w:t>al</w:t>
      </w:r>
      <w:r>
        <w:rPr>
          <w:spacing w:val="-11"/>
        </w:rPr>
        <w:t> </w:t>
      </w:r>
      <w:r>
        <w:rPr/>
        <w:t>interaccionar</w:t>
      </w:r>
      <w:r>
        <w:rPr>
          <w:spacing w:val="-11"/>
        </w:rPr>
        <w:t> </w:t>
      </w:r>
      <w:r>
        <w:rPr/>
        <w:t>con</w:t>
      </w:r>
      <w:r>
        <w:rPr>
          <w:spacing w:val="-9"/>
        </w:rPr>
        <w:t> </w:t>
      </w:r>
      <w:r>
        <w:rPr/>
        <w:t>los</w:t>
      </w:r>
      <w:r>
        <w:rPr>
          <w:spacing w:val="-10"/>
        </w:rPr>
        <w:t> </w:t>
      </w:r>
      <w:r>
        <w:rPr/>
        <w:t>productores</w:t>
      </w:r>
      <w:r>
        <w:rPr>
          <w:spacing w:val="-10"/>
        </w:rPr>
        <w:t> </w:t>
      </w:r>
      <w:r>
        <w:rPr/>
        <w:t>y comercializadores.</w:t>
      </w:r>
    </w:p>
    <w:p>
      <w:pPr>
        <w:pStyle w:val="BodyText"/>
      </w:pPr>
    </w:p>
    <w:p>
      <w:pPr>
        <w:pStyle w:val="Heading2"/>
        <w:spacing w:before="164"/>
        <w:jc w:val="both"/>
      </w:pPr>
      <w:r>
        <w:rPr/>
        <w:t>ANALISIS MICROBIOLOGICO</w:t>
      </w:r>
    </w:p>
    <w:p>
      <w:pPr>
        <w:pStyle w:val="BodyText"/>
        <w:spacing w:line="276" w:lineRule="auto" w:before="158"/>
        <w:ind w:left="142" w:right="134"/>
        <w:jc w:val="both"/>
      </w:pPr>
      <w:r>
        <w:rPr>
          <w:i/>
        </w:rPr>
        <w:t>Staphylococcus</w:t>
      </w:r>
      <w:r>
        <w:rPr>
          <w:i/>
          <w:spacing w:val="-9"/>
        </w:rPr>
        <w:t> </w:t>
      </w:r>
      <w:r>
        <w:rPr>
          <w:i/>
        </w:rPr>
        <w:t>aureus</w:t>
      </w:r>
      <w:r>
        <w:rPr>
          <w:i/>
          <w:spacing w:val="-7"/>
        </w:rPr>
        <w:t> </w:t>
      </w:r>
      <w:r>
        <w:rPr/>
        <w:t>es</w:t>
      </w:r>
      <w:r>
        <w:rPr>
          <w:spacing w:val="-10"/>
        </w:rPr>
        <w:t> </w:t>
      </w:r>
      <w:r>
        <w:rPr/>
        <w:t>frecuentemente</w:t>
      </w:r>
      <w:r>
        <w:rPr>
          <w:spacing w:val="-9"/>
        </w:rPr>
        <w:t> </w:t>
      </w:r>
      <w:r>
        <w:rPr/>
        <w:t>aislado</w:t>
      </w:r>
      <w:r>
        <w:rPr>
          <w:spacing w:val="-8"/>
        </w:rPr>
        <w:t> </w:t>
      </w:r>
      <w:r>
        <w:rPr/>
        <w:t>de</w:t>
      </w:r>
      <w:r>
        <w:rPr>
          <w:spacing w:val="-8"/>
        </w:rPr>
        <w:t> </w:t>
      </w:r>
      <w:r>
        <w:rPr/>
        <w:t>quesos</w:t>
      </w:r>
      <w:r>
        <w:rPr>
          <w:spacing w:val="-9"/>
        </w:rPr>
        <w:t> </w:t>
      </w:r>
      <w:r>
        <w:rPr/>
        <w:t>(Rodríguez-Lázaro</w:t>
      </w:r>
      <w:r>
        <w:rPr>
          <w:spacing w:val="-7"/>
        </w:rPr>
        <w:t> </w:t>
      </w:r>
      <w:r>
        <w:rPr>
          <w:i/>
        </w:rPr>
        <w:t>et </w:t>
      </w:r>
      <w:r>
        <w:rPr>
          <w:i/>
        </w:rPr>
        <w:t>al., </w:t>
      </w:r>
      <w:r>
        <w:rPr/>
        <w:t>2015). En el presente estudio se encontró una prevalencia de 26.6%, que contrasta</w:t>
      </w:r>
      <w:r>
        <w:rPr>
          <w:spacing w:val="-13"/>
        </w:rPr>
        <w:t> </w:t>
      </w:r>
      <w:r>
        <w:rPr/>
        <w:t>con</w:t>
      </w:r>
      <w:r>
        <w:rPr>
          <w:spacing w:val="-13"/>
        </w:rPr>
        <w:t> </w:t>
      </w:r>
      <w:r>
        <w:rPr/>
        <w:t>el</w:t>
      </w:r>
      <w:r>
        <w:rPr>
          <w:spacing w:val="-14"/>
        </w:rPr>
        <w:t> </w:t>
      </w:r>
      <w:r>
        <w:rPr/>
        <w:t>11.28%</w:t>
      </w:r>
      <w:r>
        <w:rPr>
          <w:spacing w:val="-14"/>
        </w:rPr>
        <w:t> </w:t>
      </w:r>
      <w:r>
        <w:rPr/>
        <w:t>reportado</w:t>
      </w:r>
      <w:r>
        <w:rPr>
          <w:spacing w:val="-13"/>
        </w:rPr>
        <w:t> </w:t>
      </w:r>
      <w:r>
        <w:rPr/>
        <w:t>de</w:t>
      </w:r>
      <w:r>
        <w:rPr>
          <w:spacing w:val="-16"/>
        </w:rPr>
        <w:t> </w:t>
      </w:r>
      <w:r>
        <w:rPr/>
        <w:t>muestras</w:t>
      </w:r>
      <w:r>
        <w:rPr>
          <w:spacing w:val="-14"/>
        </w:rPr>
        <w:t> </w:t>
      </w:r>
      <w:r>
        <w:rPr/>
        <w:t>de</w:t>
      </w:r>
      <w:r>
        <w:rPr>
          <w:spacing w:val="-13"/>
        </w:rPr>
        <w:t> </w:t>
      </w:r>
      <w:r>
        <w:rPr/>
        <w:t>lácteos</w:t>
      </w:r>
      <w:r>
        <w:rPr>
          <w:spacing w:val="-14"/>
        </w:rPr>
        <w:t> </w:t>
      </w:r>
      <w:r>
        <w:rPr/>
        <w:t>en</w:t>
      </w:r>
      <w:r>
        <w:rPr>
          <w:spacing w:val="-13"/>
        </w:rPr>
        <w:t> </w:t>
      </w:r>
      <w:r>
        <w:rPr/>
        <w:t>su</w:t>
      </w:r>
      <w:r>
        <w:rPr>
          <w:spacing w:val="-16"/>
        </w:rPr>
        <w:t> </w:t>
      </w:r>
      <w:r>
        <w:rPr/>
        <w:t>mayoría</w:t>
      </w:r>
      <w:r>
        <w:rPr>
          <w:spacing w:val="-13"/>
        </w:rPr>
        <w:t> </w:t>
      </w:r>
      <w:r>
        <w:rPr/>
        <w:t>de</w:t>
      </w:r>
      <w:r>
        <w:rPr>
          <w:spacing w:val="-13"/>
        </w:rPr>
        <w:t> </w:t>
      </w:r>
      <w:r>
        <w:rPr/>
        <w:t>quesos en el Estado de Tabasco por Borbolla-Sala </w:t>
      </w:r>
      <w:r>
        <w:rPr>
          <w:i/>
        </w:rPr>
        <w:t>et al., </w:t>
      </w:r>
      <w:r>
        <w:rPr/>
        <w:t>(2004), y con el 2% encontrado en</w:t>
      </w:r>
      <w:r>
        <w:rPr>
          <w:spacing w:val="20"/>
        </w:rPr>
        <w:t> </w:t>
      </w:r>
      <w:r>
        <w:rPr/>
        <w:t>quesos</w:t>
      </w:r>
      <w:r>
        <w:rPr>
          <w:spacing w:val="19"/>
        </w:rPr>
        <w:t> </w:t>
      </w:r>
      <w:r>
        <w:rPr/>
        <w:t>estudiados</w:t>
      </w:r>
      <w:r>
        <w:rPr>
          <w:spacing w:val="17"/>
        </w:rPr>
        <w:t> </w:t>
      </w:r>
      <w:r>
        <w:rPr/>
        <w:t>en</w:t>
      </w:r>
      <w:r>
        <w:rPr>
          <w:spacing w:val="20"/>
        </w:rPr>
        <w:t> </w:t>
      </w:r>
      <w:r>
        <w:rPr/>
        <w:t>el</w:t>
      </w:r>
      <w:r>
        <w:rPr>
          <w:spacing w:val="19"/>
        </w:rPr>
        <w:t> </w:t>
      </w:r>
      <w:r>
        <w:rPr/>
        <w:t>mismo</w:t>
      </w:r>
      <w:r>
        <w:rPr>
          <w:spacing w:val="20"/>
        </w:rPr>
        <w:t> </w:t>
      </w:r>
      <w:r>
        <w:rPr/>
        <w:t>estado</w:t>
      </w:r>
      <w:r>
        <w:rPr>
          <w:spacing w:val="18"/>
        </w:rPr>
        <w:t> </w:t>
      </w:r>
      <w:r>
        <w:rPr/>
        <w:t>de</w:t>
      </w:r>
      <w:r>
        <w:rPr>
          <w:spacing w:val="27"/>
        </w:rPr>
        <w:t> </w:t>
      </w:r>
      <w:r>
        <w:rPr/>
        <w:t>la</w:t>
      </w:r>
      <w:r>
        <w:rPr>
          <w:spacing w:val="20"/>
        </w:rPr>
        <w:t> </w:t>
      </w:r>
      <w:r>
        <w:rPr/>
        <w:t>República</w:t>
      </w:r>
      <w:r>
        <w:rPr>
          <w:spacing w:val="20"/>
        </w:rPr>
        <w:t> </w:t>
      </w:r>
      <w:r>
        <w:rPr/>
        <w:t>Mexicana</w:t>
      </w:r>
      <w:r>
        <w:rPr>
          <w:spacing w:val="20"/>
        </w:rPr>
        <w:t> </w:t>
      </w:r>
      <w:r>
        <w:rPr/>
        <w:t>por</w:t>
      </w:r>
      <w:r>
        <w:rPr>
          <w:spacing w:val="19"/>
        </w:rPr>
        <w:t> </w:t>
      </w:r>
      <w:r>
        <w:rPr/>
        <w:t>Castro-</w:t>
      </w:r>
    </w:p>
    <w:p>
      <w:pPr>
        <w:spacing w:after="0" w:line="276" w:lineRule="auto"/>
        <w:jc w:val="both"/>
        <w:sectPr>
          <w:pgSz w:w="12240" w:h="15840"/>
          <w:pgMar w:header="728" w:footer="710" w:top="1200" w:bottom="900" w:left="1560" w:right="1560"/>
        </w:sectPr>
      </w:pPr>
    </w:p>
    <w:p>
      <w:pPr>
        <w:pStyle w:val="BodyText"/>
        <w:spacing w:before="7"/>
        <w:rPr>
          <w:sz w:val="12"/>
        </w:rPr>
      </w:pPr>
    </w:p>
    <w:p>
      <w:pPr>
        <w:pStyle w:val="BodyText"/>
        <w:spacing w:line="276" w:lineRule="auto" w:before="69"/>
        <w:ind w:left="142" w:right="135"/>
        <w:jc w:val="both"/>
      </w:pPr>
      <w:r>
        <w:rPr/>
        <w:t>Georgana </w:t>
      </w:r>
      <w:r>
        <w:rPr>
          <w:i/>
        </w:rPr>
        <w:t>et al., </w:t>
      </w:r>
      <w:r>
        <w:rPr/>
        <w:t>(2007), otro estudio en el país de Grass-Ramírez y Cesín-Vargas (2014), en Chiautla de Tapia encontraron niveles de </w:t>
      </w:r>
      <w:r>
        <w:rPr>
          <w:i/>
        </w:rPr>
        <w:t>S. aureus </w:t>
      </w:r>
      <w:r>
        <w:rPr/>
        <w:t>dentro de límites permitidos por las Normas Mexicanas. A nivel internacional varios reportes evidencian la presencia del patógeno en altos niveles en queso como Spanu </w:t>
      </w:r>
      <w:r>
        <w:rPr>
          <w:i/>
        </w:rPr>
        <w:t>et al</w:t>
      </w:r>
      <w:r>
        <w:rPr/>
        <w:t>., (2012), con un 100% de contaminación, Kamal </w:t>
      </w:r>
      <w:r>
        <w:rPr>
          <w:i/>
        </w:rPr>
        <w:t>et al</w:t>
      </w:r>
      <w:r>
        <w:rPr/>
        <w:t>.,(2013), que encontraron una prevalencia de 93%,Valero-Leal </w:t>
      </w:r>
      <w:r>
        <w:rPr>
          <w:i/>
        </w:rPr>
        <w:t>et al</w:t>
      </w:r>
      <w:r>
        <w:rPr/>
        <w:t>., (2012), con 78%, Alvarado </w:t>
      </w:r>
      <w:r>
        <w:rPr>
          <w:i/>
        </w:rPr>
        <w:t>et al.</w:t>
      </w:r>
      <w:r>
        <w:rPr/>
        <w:t>,(2011), con 83%,</w:t>
      </w:r>
      <w:r>
        <w:rPr>
          <w:spacing w:val="-12"/>
        </w:rPr>
        <w:t> </w:t>
      </w:r>
      <w:r>
        <w:rPr/>
        <w:t>André</w:t>
      </w:r>
      <w:r>
        <w:rPr>
          <w:spacing w:val="-11"/>
        </w:rPr>
        <w:t> </w:t>
      </w:r>
      <w:r>
        <w:rPr>
          <w:i/>
        </w:rPr>
        <w:t>et</w:t>
      </w:r>
      <w:r>
        <w:rPr>
          <w:i/>
          <w:spacing w:val="-12"/>
        </w:rPr>
        <w:t> </w:t>
      </w:r>
      <w:r>
        <w:rPr>
          <w:i/>
        </w:rPr>
        <w:t>al</w:t>
      </w:r>
      <w:r>
        <w:rPr/>
        <w:t>.,(2008),</w:t>
      </w:r>
      <w:r>
        <w:rPr>
          <w:spacing w:val="-10"/>
        </w:rPr>
        <w:t> </w:t>
      </w:r>
      <w:r>
        <w:rPr/>
        <w:t>con</w:t>
      </w:r>
      <w:r>
        <w:rPr>
          <w:spacing w:val="-12"/>
        </w:rPr>
        <w:t> </w:t>
      </w:r>
      <w:r>
        <w:rPr/>
        <w:t>70.8%,</w:t>
      </w:r>
      <w:r>
        <w:rPr>
          <w:spacing w:val="-12"/>
        </w:rPr>
        <w:t> </w:t>
      </w:r>
      <w:r>
        <w:rPr/>
        <w:t>Rodríguez-Lázaro</w:t>
      </w:r>
      <w:r>
        <w:rPr>
          <w:spacing w:val="-9"/>
        </w:rPr>
        <w:t> </w:t>
      </w:r>
      <w:r>
        <w:rPr>
          <w:i/>
        </w:rPr>
        <w:t>et</w:t>
      </w:r>
      <w:r>
        <w:rPr>
          <w:i/>
          <w:spacing w:val="-12"/>
        </w:rPr>
        <w:t> </w:t>
      </w:r>
      <w:r>
        <w:rPr>
          <w:i/>
        </w:rPr>
        <w:t>al.,</w:t>
      </w:r>
      <w:r>
        <w:rPr>
          <w:i/>
          <w:spacing w:val="-12"/>
        </w:rPr>
        <w:t> </w:t>
      </w:r>
      <w:r>
        <w:rPr/>
        <w:t>(2015),</w:t>
      </w:r>
      <w:r>
        <w:rPr>
          <w:spacing w:val="-10"/>
        </w:rPr>
        <w:t> </w:t>
      </w:r>
      <w:r>
        <w:rPr/>
        <w:t>con</w:t>
      </w:r>
      <w:r>
        <w:rPr>
          <w:spacing w:val="-12"/>
        </w:rPr>
        <w:t> </w:t>
      </w:r>
      <w:r>
        <w:rPr/>
        <w:t>59.1%</w:t>
      </w:r>
      <w:r>
        <w:rPr>
          <w:spacing w:val="-12"/>
        </w:rPr>
        <w:t> </w:t>
      </w:r>
      <w:r>
        <w:rPr/>
        <w:t>en quesos confiscados en aeropuertos, Rosegren </w:t>
      </w:r>
      <w:r>
        <w:rPr>
          <w:i/>
        </w:rPr>
        <w:t>et al</w:t>
      </w:r>
      <w:r>
        <w:rPr/>
        <w:t>., (2010), con 69%, Normanno </w:t>
      </w:r>
      <w:r>
        <w:rPr>
          <w:i/>
        </w:rPr>
        <w:t>et</w:t>
      </w:r>
      <w:r>
        <w:rPr>
          <w:i/>
          <w:spacing w:val="-11"/>
        </w:rPr>
        <w:t> </w:t>
      </w:r>
      <w:r>
        <w:rPr>
          <w:i/>
        </w:rPr>
        <w:t>al</w:t>
      </w:r>
      <w:r>
        <w:rPr/>
        <w:t>.,</w:t>
      </w:r>
      <w:r>
        <w:rPr>
          <w:spacing w:val="-13"/>
        </w:rPr>
        <w:t> </w:t>
      </w:r>
      <w:r>
        <w:rPr/>
        <w:t>(2005),</w:t>
      </w:r>
      <w:r>
        <w:rPr>
          <w:spacing w:val="-12"/>
        </w:rPr>
        <w:t> </w:t>
      </w:r>
      <w:r>
        <w:rPr/>
        <w:t>con</w:t>
      </w:r>
      <w:r>
        <w:rPr>
          <w:spacing w:val="-13"/>
        </w:rPr>
        <w:t> </w:t>
      </w:r>
      <w:r>
        <w:rPr/>
        <w:t>23.7%,</w:t>
      </w:r>
      <w:r>
        <w:rPr>
          <w:spacing w:val="-11"/>
        </w:rPr>
        <w:t> </w:t>
      </w:r>
      <w:r>
        <w:rPr/>
        <w:t>Jakobsen</w:t>
      </w:r>
      <w:r>
        <w:rPr>
          <w:spacing w:val="-12"/>
        </w:rPr>
        <w:t> </w:t>
      </w:r>
      <w:r>
        <w:rPr>
          <w:i/>
        </w:rPr>
        <w:t>et</w:t>
      </w:r>
      <w:r>
        <w:rPr>
          <w:i/>
          <w:spacing w:val="-13"/>
        </w:rPr>
        <w:t> </w:t>
      </w:r>
      <w:r>
        <w:rPr>
          <w:i/>
        </w:rPr>
        <w:t>al</w:t>
      </w:r>
      <w:r>
        <w:rPr/>
        <w:t>.,</w:t>
      </w:r>
      <w:r>
        <w:rPr>
          <w:spacing w:val="-13"/>
        </w:rPr>
        <w:t> </w:t>
      </w:r>
      <w:r>
        <w:rPr/>
        <w:t>(2011),</w:t>
      </w:r>
      <w:r>
        <w:rPr>
          <w:spacing w:val="-11"/>
        </w:rPr>
        <w:t> </w:t>
      </w:r>
      <w:r>
        <w:rPr/>
        <w:t>reportó</w:t>
      </w:r>
      <w:r>
        <w:rPr>
          <w:spacing w:val="-13"/>
        </w:rPr>
        <w:t> </w:t>
      </w:r>
      <w:r>
        <w:rPr/>
        <w:t>prevalencias</w:t>
      </w:r>
      <w:r>
        <w:rPr>
          <w:spacing w:val="-12"/>
        </w:rPr>
        <w:t> </w:t>
      </w:r>
      <w:r>
        <w:rPr/>
        <w:t>de</w:t>
      </w:r>
      <w:r>
        <w:rPr>
          <w:spacing w:val="-13"/>
        </w:rPr>
        <w:t> </w:t>
      </w:r>
      <w:r>
        <w:rPr/>
        <w:t>80.8,</w:t>
      </w:r>
      <w:r>
        <w:rPr>
          <w:spacing w:val="-13"/>
        </w:rPr>
        <w:t> </w:t>
      </w:r>
      <w:r>
        <w:rPr/>
        <w:t>76.7 y 24.7%. Aunque también se han reportado bajas prevalencias como el estudio llevado a cabo por Lemus </w:t>
      </w:r>
      <w:r>
        <w:rPr>
          <w:i/>
        </w:rPr>
        <w:t>et al</w:t>
      </w:r>
      <w:r>
        <w:rPr/>
        <w:t>.,(2008), con 32.2%, Rivera-Salazar </w:t>
      </w:r>
      <w:r>
        <w:rPr>
          <w:i/>
        </w:rPr>
        <w:t>et al</w:t>
      </w:r>
      <w:r>
        <w:rPr/>
        <w:t>., (2011), con 26%, Vanegas </w:t>
      </w:r>
      <w:r>
        <w:rPr>
          <w:i/>
        </w:rPr>
        <w:t>et al</w:t>
      </w:r>
      <w:r>
        <w:rPr/>
        <w:t>., (2008), con 26%, Shanehbandi </w:t>
      </w:r>
      <w:r>
        <w:rPr>
          <w:i/>
        </w:rPr>
        <w:t>et al</w:t>
      </w:r>
      <w:r>
        <w:rPr/>
        <w:t>., (2014),   </w:t>
      </w:r>
      <w:r>
        <w:rPr>
          <w:spacing w:val="11"/>
        </w:rPr>
        <w:t> </w:t>
      </w:r>
      <w:r>
        <w:rPr/>
        <w:t>con 16%,</w:t>
      </w:r>
    </w:p>
    <w:p>
      <w:pPr>
        <w:pStyle w:val="BodyText"/>
        <w:spacing w:line="276" w:lineRule="auto" w:before="3"/>
        <w:ind w:left="142" w:right="134"/>
        <w:jc w:val="both"/>
      </w:pPr>
      <w:r>
        <w:rPr/>
        <w:t>Sasidharan </w:t>
      </w:r>
      <w:r>
        <w:rPr>
          <w:i/>
        </w:rPr>
        <w:t>et al</w:t>
      </w:r>
      <w:r>
        <w:rPr/>
        <w:t>., (2011), con 10%, Khakpoor y Safarmashael (2011), con 10% y Yeşim y Haluk (2012), con un porcentaje de 6%. La presencia de </w:t>
      </w:r>
      <w:r>
        <w:rPr>
          <w:i/>
        </w:rPr>
        <w:t>S. aureus </w:t>
      </w:r>
      <w:r>
        <w:rPr/>
        <w:t>en los quesos artesanales está relacionado con la concentración inicial en la leche cruda, sin embargo la prevalencia final del patógeno también se debe a las prácticas de elaboración (Valero-Leal </w:t>
      </w:r>
      <w:r>
        <w:rPr>
          <w:i/>
        </w:rPr>
        <w:t>et al</w:t>
      </w:r>
      <w:r>
        <w:rPr/>
        <w:t>., 2012). Posibles fuentes de contaminación son materiales, equipo de trabajo, materias primas y el personal también puede transferir cepas de la piel, boca y fosas nasales (Vanegas </w:t>
      </w:r>
      <w:r>
        <w:rPr>
          <w:i/>
        </w:rPr>
        <w:t>et al</w:t>
      </w:r>
      <w:r>
        <w:rPr/>
        <w:t>., 2008). Practicas apropiadas</w:t>
      </w:r>
      <w:r>
        <w:rPr>
          <w:spacing w:val="-10"/>
        </w:rPr>
        <w:t> </w:t>
      </w:r>
      <w:r>
        <w:rPr/>
        <w:t>de</w:t>
      </w:r>
      <w:r>
        <w:rPr>
          <w:spacing w:val="-9"/>
        </w:rPr>
        <w:t> </w:t>
      </w:r>
      <w:r>
        <w:rPr/>
        <w:t>higiene</w:t>
      </w:r>
      <w:r>
        <w:rPr>
          <w:spacing w:val="-9"/>
        </w:rPr>
        <w:t> </w:t>
      </w:r>
      <w:r>
        <w:rPr/>
        <w:t>durante</w:t>
      </w:r>
      <w:r>
        <w:rPr>
          <w:spacing w:val="-7"/>
        </w:rPr>
        <w:t> </w:t>
      </w:r>
      <w:r>
        <w:rPr/>
        <w:t>la</w:t>
      </w:r>
      <w:r>
        <w:rPr>
          <w:spacing w:val="-10"/>
        </w:rPr>
        <w:t> </w:t>
      </w:r>
      <w:r>
        <w:rPr/>
        <w:t>producción,</w:t>
      </w:r>
      <w:r>
        <w:rPr>
          <w:spacing w:val="-12"/>
        </w:rPr>
        <w:t> </w:t>
      </w:r>
      <w:r>
        <w:rPr/>
        <w:t>transporte,</w:t>
      </w:r>
      <w:r>
        <w:rPr>
          <w:spacing w:val="-7"/>
        </w:rPr>
        <w:t> </w:t>
      </w:r>
      <w:r>
        <w:rPr/>
        <w:t>conservación,</w:t>
      </w:r>
      <w:r>
        <w:rPr>
          <w:spacing w:val="-7"/>
        </w:rPr>
        <w:t> </w:t>
      </w:r>
      <w:r>
        <w:rPr/>
        <w:t>venta</w:t>
      </w:r>
      <w:r>
        <w:rPr>
          <w:spacing w:val="-7"/>
        </w:rPr>
        <w:t> </w:t>
      </w:r>
      <w:r>
        <w:rPr/>
        <w:t>al</w:t>
      </w:r>
      <w:r>
        <w:rPr>
          <w:spacing w:val="-8"/>
        </w:rPr>
        <w:t> </w:t>
      </w:r>
      <w:r>
        <w:rPr/>
        <w:t>por menor deben ser implementadas para reducir el riesgo de contaminación de </w:t>
      </w:r>
      <w:r>
        <w:rPr>
          <w:i/>
        </w:rPr>
        <w:t>S. </w:t>
      </w:r>
      <w:r>
        <w:rPr>
          <w:i/>
        </w:rPr>
        <w:t>aureus</w:t>
      </w:r>
      <w:r>
        <w:rPr/>
        <w:t>, los vendedores al menudeo y los consumidores también deben considerar la vida de anaquel de los productos alimenticios durante la compra o venta y practicar</w:t>
      </w:r>
      <w:r>
        <w:rPr>
          <w:spacing w:val="-13"/>
        </w:rPr>
        <w:t> </w:t>
      </w:r>
      <w:r>
        <w:rPr/>
        <w:t>una</w:t>
      </w:r>
      <w:r>
        <w:rPr>
          <w:spacing w:val="-14"/>
        </w:rPr>
        <w:t> </w:t>
      </w:r>
      <w:r>
        <w:rPr/>
        <w:t>adecuada</w:t>
      </w:r>
      <w:r>
        <w:rPr>
          <w:spacing w:val="-13"/>
        </w:rPr>
        <w:t> </w:t>
      </w:r>
      <w:r>
        <w:rPr/>
        <w:t>higiene</w:t>
      </w:r>
      <w:r>
        <w:rPr>
          <w:spacing w:val="-14"/>
        </w:rPr>
        <w:t> </w:t>
      </w:r>
      <w:r>
        <w:rPr/>
        <w:t>personal</w:t>
      </w:r>
      <w:r>
        <w:rPr>
          <w:spacing w:val="-15"/>
        </w:rPr>
        <w:t> </w:t>
      </w:r>
      <w:r>
        <w:rPr/>
        <w:t>para</w:t>
      </w:r>
      <w:r>
        <w:rPr>
          <w:spacing w:val="-13"/>
        </w:rPr>
        <w:t> </w:t>
      </w:r>
      <w:r>
        <w:rPr/>
        <w:t>reducir</w:t>
      </w:r>
      <w:r>
        <w:rPr>
          <w:spacing w:val="-14"/>
        </w:rPr>
        <w:t> </w:t>
      </w:r>
      <w:r>
        <w:rPr/>
        <w:t>la</w:t>
      </w:r>
      <w:r>
        <w:rPr>
          <w:spacing w:val="-13"/>
        </w:rPr>
        <w:t> </w:t>
      </w:r>
      <w:r>
        <w:rPr/>
        <w:t>vulnerabilidad</w:t>
      </w:r>
      <w:r>
        <w:rPr>
          <w:spacing w:val="-14"/>
        </w:rPr>
        <w:t> </w:t>
      </w:r>
      <w:r>
        <w:rPr/>
        <w:t>del</w:t>
      </w:r>
      <w:r>
        <w:rPr>
          <w:spacing w:val="-15"/>
        </w:rPr>
        <w:t> </w:t>
      </w:r>
      <w:r>
        <w:rPr/>
        <w:t>patógeno (Mai </w:t>
      </w:r>
      <w:r>
        <w:rPr>
          <w:i/>
        </w:rPr>
        <w:t>et al.,</w:t>
      </w:r>
      <w:r>
        <w:rPr>
          <w:i/>
          <w:spacing w:val="-6"/>
        </w:rPr>
        <w:t> </w:t>
      </w:r>
      <w:r>
        <w:rPr/>
        <w:t>2010).</w:t>
      </w:r>
    </w:p>
    <w:p>
      <w:pPr>
        <w:pStyle w:val="BodyText"/>
        <w:spacing w:before="10"/>
        <w:rPr>
          <w:sz w:val="20"/>
        </w:rPr>
      </w:pPr>
    </w:p>
    <w:p>
      <w:pPr>
        <w:pStyle w:val="BodyText"/>
        <w:spacing w:line="276" w:lineRule="auto"/>
        <w:ind w:left="142" w:right="135"/>
        <w:jc w:val="both"/>
      </w:pPr>
      <w:r>
        <w:rPr/>
        <w:t>Algunas poblaciones de </w:t>
      </w:r>
      <w:r>
        <w:rPr>
          <w:i/>
        </w:rPr>
        <w:t>S. aureus </w:t>
      </w:r>
      <w:r>
        <w:rPr/>
        <w:t>han desarrollado resistencia a antibióticos comúnmente usados, como penicilina, ampicilina etc. debido al amplio uso de betalactámicos, particularmente para el tratamiento de mastitis bovina (Mai </w:t>
      </w:r>
      <w:r>
        <w:rPr>
          <w:i/>
        </w:rPr>
        <w:t>et al., </w:t>
      </w:r>
      <w:r>
        <w:rPr/>
        <w:t>2010). En ese sentido las cepas estudiadas mostraron 100% de resistencia a penicilina que concuerda con datos de Pereira </w:t>
      </w:r>
      <w:r>
        <w:rPr>
          <w:i/>
        </w:rPr>
        <w:t>et al</w:t>
      </w:r>
      <w:r>
        <w:rPr/>
        <w:t>., (2009), con 73% aunque contradice con valores de Rivera-Salazar </w:t>
      </w:r>
      <w:r>
        <w:rPr>
          <w:i/>
        </w:rPr>
        <w:t>et al</w:t>
      </w:r>
      <w:r>
        <w:rPr/>
        <w:t>., (2011), con 44%, Spanu </w:t>
      </w:r>
      <w:r>
        <w:rPr>
          <w:i/>
        </w:rPr>
        <w:t>et al</w:t>
      </w:r>
      <w:r>
        <w:rPr/>
        <w:t>., (2012),</w:t>
      </w:r>
      <w:r>
        <w:rPr>
          <w:spacing w:val="-16"/>
        </w:rPr>
        <w:t> </w:t>
      </w:r>
      <w:r>
        <w:rPr/>
        <w:t>con</w:t>
      </w:r>
      <w:r>
        <w:rPr>
          <w:spacing w:val="-15"/>
        </w:rPr>
        <w:t> </w:t>
      </w:r>
      <w:r>
        <w:rPr/>
        <w:t>40%,</w:t>
      </w:r>
      <w:r>
        <w:rPr>
          <w:spacing w:val="-16"/>
        </w:rPr>
        <w:t> </w:t>
      </w:r>
      <w:r>
        <w:rPr/>
        <w:t>Alvarado</w:t>
      </w:r>
      <w:r>
        <w:rPr>
          <w:spacing w:val="-14"/>
        </w:rPr>
        <w:t> </w:t>
      </w:r>
      <w:r>
        <w:rPr>
          <w:i/>
        </w:rPr>
        <w:t>et</w:t>
      </w:r>
      <w:r>
        <w:rPr>
          <w:i/>
          <w:spacing w:val="-16"/>
        </w:rPr>
        <w:t> </w:t>
      </w:r>
      <w:r>
        <w:rPr>
          <w:i/>
        </w:rPr>
        <w:t>al</w:t>
      </w:r>
      <w:r>
        <w:rPr/>
        <w:t>.,</w:t>
      </w:r>
      <w:r>
        <w:rPr>
          <w:spacing w:val="-15"/>
        </w:rPr>
        <w:t> </w:t>
      </w:r>
      <w:r>
        <w:rPr/>
        <w:t>(2011),</w:t>
      </w:r>
      <w:r>
        <w:rPr>
          <w:spacing w:val="-16"/>
        </w:rPr>
        <w:t> </w:t>
      </w:r>
      <w:r>
        <w:rPr/>
        <w:t>reportaron</w:t>
      </w:r>
      <w:r>
        <w:rPr>
          <w:spacing w:val="-15"/>
        </w:rPr>
        <w:t> </w:t>
      </w:r>
      <w:r>
        <w:rPr/>
        <w:t>31%.</w:t>
      </w:r>
      <w:r>
        <w:rPr>
          <w:spacing w:val="-16"/>
        </w:rPr>
        <w:t> </w:t>
      </w:r>
      <w:r>
        <w:rPr/>
        <w:t>Para</w:t>
      </w:r>
      <w:r>
        <w:rPr>
          <w:spacing w:val="-14"/>
        </w:rPr>
        <w:t> </w:t>
      </w:r>
      <w:r>
        <w:rPr/>
        <w:t>la</w:t>
      </w:r>
      <w:r>
        <w:rPr>
          <w:spacing w:val="-16"/>
        </w:rPr>
        <w:t> </w:t>
      </w:r>
      <w:r>
        <w:rPr/>
        <w:t>ampicilina</w:t>
      </w:r>
      <w:r>
        <w:rPr>
          <w:spacing w:val="-13"/>
        </w:rPr>
        <w:t> </w:t>
      </w:r>
      <w:r>
        <w:rPr/>
        <w:t>también se encontró un nivel de resistencia alto con 94%, valor alto en comparación con Pereira</w:t>
      </w:r>
      <w:r>
        <w:rPr>
          <w:spacing w:val="-5"/>
        </w:rPr>
        <w:t> </w:t>
      </w:r>
      <w:r>
        <w:rPr>
          <w:i/>
        </w:rPr>
        <w:t>et</w:t>
      </w:r>
      <w:r>
        <w:rPr>
          <w:i/>
          <w:spacing w:val="-6"/>
        </w:rPr>
        <w:t> </w:t>
      </w:r>
      <w:r>
        <w:rPr>
          <w:i/>
        </w:rPr>
        <w:t>al</w:t>
      </w:r>
      <w:r>
        <w:rPr/>
        <w:t>.,</w:t>
      </w:r>
      <w:r>
        <w:rPr>
          <w:spacing w:val="-6"/>
        </w:rPr>
        <w:t> </w:t>
      </w:r>
      <w:r>
        <w:rPr/>
        <w:t>(2009),</w:t>
      </w:r>
      <w:r>
        <w:rPr>
          <w:spacing w:val="-6"/>
        </w:rPr>
        <w:t> </w:t>
      </w:r>
      <w:r>
        <w:rPr/>
        <w:t>ampicilina</w:t>
      </w:r>
      <w:r>
        <w:rPr>
          <w:spacing w:val="-6"/>
        </w:rPr>
        <w:t> </w:t>
      </w:r>
      <w:r>
        <w:rPr/>
        <w:t>con</w:t>
      </w:r>
      <w:r>
        <w:rPr>
          <w:spacing w:val="-6"/>
        </w:rPr>
        <w:t> </w:t>
      </w:r>
      <w:r>
        <w:rPr/>
        <w:t>70%</w:t>
      </w:r>
      <w:r>
        <w:rPr>
          <w:spacing w:val="-7"/>
        </w:rPr>
        <w:t> </w:t>
      </w:r>
      <w:r>
        <w:rPr/>
        <w:t>y</w:t>
      </w:r>
      <w:r>
        <w:rPr>
          <w:spacing w:val="-9"/>
        </w:rPr>
        <w:t> </w:t>
      </w:r>
      <w:r>
        <w:rPr/>
        <w:t>que</w:t>
      </w:r>
      <w:r>
        <w:rPr>
          <w:spacing w:val="-6"/>
        </w:rPr>
        <w:t> </w:t>
      </w:r>
      <w:r>
        <w:rPr/>
        <w:t>contrasta</w:t>
      </w:r>
      <w:r>
        <w:rPr>
          <w:spacing w:val="-6"/>
        </w:rPr>
        <w:t> </w:t>
      </w:r>
      <w:r>
        <w:rPr/>
        <w:t>con</w:t>
      </w:r>
      <w:r>
        <w:rPr>
          <w:spacing w:val="-6"/>
        </w:rPr>
        <w:t> </w:t>
      </w:r>
      <w:r>
        <w:rPr/>
        <w:t>el</w:t>
      </w:r>
      <w:r>
        <w:rPr>
          <w:spacing w:val="-7"/>
        </w:rPr>
        <w:t> </w:t>
      </w:r>
      <w:r>
        <w:rPr/>
        <w:t>estudio</w:t>
      </w:r>
      <w:r>
        <w:rPr>
          <w:spacing w:val="-6"/>
        </w:rPr>
        <w:t> </w:t>
      </w:r>
      <w:r>
        <w:rPr/>
        <w:t>de</w:t>
      </w:r>
      <w:r>
        <w:rPr>
          <w:spacing w:val="-6"/>
        </w:rPr>
        <w:t> </w:t>
      </w:r>
      <w:r>
        <w:rPr/>
        <w:t>Yeşim</w:t>
      </w:r>
      <w:r>
        <w:rPr>
          <w:spacing w:val="-6"/>
        </w:rPr>
        <w:t> </w:t>
      </w:r>
      <w:r>
        <w:rPr/>
        <w:t>y Haluk (2012), y André </w:t>
      </w:r>
      <w:r>
        <w:rPr>
          <w:i/>
        </w:rPr>
        <w:t>et al</w:t>
      </w:r>
      <w:r>
        <w:rPr/>
        <w:t>., (2008), que encontraron un valor de 50% para este antibiótico,</w:t>
      </w:r>
      <w:r>
        <w:rPr>
          <w:spacing w:val="-5"/>
        </w:rPr>
        <w:t> </w:t>
      </w:r>
      <w:r>
        <w:rPr/>
        <w:t>Spanu</w:t>
      </w:r>
      <w:r>
        <w:rPr>
          <w:spacing w:val="-3"/>
        </w:rPr>
        <w:t> </w:t>
      </w:r>
      <w:r>
        <w:rPr>
          <w:i/>
        </w:rPr>
        <w:t>et</w:t>
      </w:r>
      <w:r>
        <w:rPr>
          <w:i/>
          <w:spacing w:val="-5"/>
        </w:rPr>
        <w:t> </w:t>
      </w:r>
      <w:r>
        <w:rPr>
          <w:i/>
        </w:rPr>
        <w:t>al</w:t>
      </w:r>
      <w:r>
        <w:rPr/>
        <w:t>.,</w:t>
      </w:r>
      <w:r>
        <w:rPr>
          <w:spacing w:val="-5"/>
        </w:rPr>
        <w:t> </w:t>
      </w:r>
      <w:r>
        <w:rPr/>
        <w:t>(2012),</w:t>
      </w:r>
      <w:r>
        <w:rPr>
          <w:spacing w:val="-5"/>
        </w:rPr>
        <w:t> </w:t>
      </w:r>
      <w:r>
        <w:rPr/>
        <w:t>con</w:t>
      </w:r>
      <w:r>
        <w:rPr>
          <w:spacing w:val="-5"/>
        </w:rPr>
        <w:t> </w:t>
      </w:r>
      <w:r>
        <w:rPr/>
        <w:t>40%</w:t>
      </w:r>
      <w:r>
        <w:rPr>
          <w:spacing w:val="-5"/>
        </w:rPr>
        <w:t> </w:t>
      </w:r>
      <w:r>
        <w:rPr/>
        <w:t>y</w:t>
      </w:r>
      <w:r>
        <w:rPr>
          <w:spacing w:val="-8"/>
        </w:rPr>
        <w:t> </w:t>
      </w:r>
      <w:r>
        <w:rPr/>
        <w:t>Alvarado</w:t>
      </w:r>
      <w:r>
        <w:rPr>
          <w:spacing w:val="-3"/>
        </w:rPr>
        <w:t> </w:t>
      </w:r>
      <w:r>
        <w:rPr>
          <w:i/>
        </w:rPr>
        <w:t>et</w:t>
      </w:r>
      <w:r>
        <w:rPr>
          <w:i/>
          <w:spacing w:val="-5"/>
        </w:rPr>
        <w:t> </w:t>
      </w:r>
      <w:r>
        <w:rPr>
          <w:i/>
        </w:rPr>
        <w:t>al</w:t>
      </w:r>
      <w:r>
        <w:rPr/>
        <w:t>.,</w:t>
      </w:r>
      <w:r>
        <w:rPr>
          <w:spacing w:val="-5"/>
        </w:rPr>
        <w:t> </w:t>
      </w:r>
      <w:r>
        <w:rPr/>
        <w:t>(2011),</w:t>
      </w:r>
      <w:r>
        <w:rPr>
          <w:spacing w:val="-5"/>
        </w:rPr>
        <w:t> </w:t>
      </w:r>
      <w:r>
        <w:rPr/>
        <w:t>reportaron</w:t>
      </w:r>
      <w:r>
        <w:rPr>
          <w:spacing w:val="-5"/>
        </w:rPr>
        <w:t> </w:t>
      </w:r>
      <w:r>
        <w:rPr/>
        <w:t>31%.</w:t>
      </w:r>
    </w:p>
    <w:p>
      <w:pPr>
        <w:pStyle w:val="BodyText"/>
        <w:spacing w:line="276" w:lineRule="auto" w:before="123"/>
        <w:ind w:left="142" w:right="138"/>
        <w:jc w:val="both"/>
      </w:pPr>
      <w:r>
        <w:rPr/>
        <w:t>Para gentamicina se encontró una sensibilidad de 82.3% en los aislamientos y valores similares encontró Normanno </w:t>
      </w:r>
      <w:r>
        <w:rPr>
          <w:i/>
        </w:rPr>
        <w:t>et al</w:t>
      </w:r>
      <w:r>
        <w:rPr/>
        <w:t>., (2007), que encontró 100% de sensibilidad, Pereira </w:t>
      </w:r>
      <w:r>
        <w:rPr>
          <w:i/>
        </w:rPr>
        <w:t>et al</w:t>
      </w:r>
      <w:r>
        <w:rPr/>
        <w:t>., (2009), con 92%, Alvarado </w:t>
      </w:r>
      <w:r>
        <w:rPr>
          <w:i/>
        </w:rPr>
        <w:t>et al</w:t>
      </w:r>
      <w:r>
        <w:rPr/>
        <w:t>., (2011), André </w:t>
      </w:r>
      <w:r>
        <w:rPr>
          <w:i/>
        </w:rPr>
        <w:t>et al</w:t>
      </w:r>
      <w:r>
        <w:rPr/>
        <w:t>.,</w:t>
      </w:r>
    </w:p>
    <w:p>
      <w:pPr>
        <w:spacing w:after="0" w:line="276" w:lineRule="auto"/>
        <w:jc w:val="both"/>
        <w:sectPr>
          <w:pgSz w:w="12240" w:h="15840"/>
          <w:pgMar w:header="728" w:footer="710" w:top="1200" w:bottom="900" w:left="1560" w:right="1560"/>
        </w:sectPr>
      </w:pPr>
    </w:p>
    <w:p>
      <w:pPr>
        <w:pStyle w:val="BodyText"/>
        <w:spacing w:before="7"/>
        <w:rPr>
          <w:sz w:val="12"/>
        </w:rPr>
      </w:pPr>
    </w:p>
    <w:p>
      <w:pPr>
        <w:pStyle w:val="BodyText"/>
        <w:spacing w:line="278" w:lineRule="auto" w:before="69"/>
        <w:ind w:left="142" w:right="140"/>
        <w:jc w:val="both"/>
      </w:pPr>
      <w:r>
        <w:rPr/>
        <w:t>(2008), y Rivera-Salazar </w:t>
      </w:r>
      <w:r>
        <w:rPr>
          <w:i/>
        </w:rPr>
        <w:t>et al</w:t>
      </w:r>
      <w:r>
        <w:rPr/>
        <w:t>., (2011), también encontraron sensibilidad a este antibiótico.</w:t>
      </w:r>
    </w:p>
    <w:p>
      <w:pPr>
        <w:pStyle w:val="BodyText"/>
        <w:spacing w:line="276" w:lineRule="auto" w:before="118"/>
        <w:ind w:left="142" w:right="132"/>
        <w:jc w:val="both"/>
      </w:pPr>
      <w:r>
        <w:rPr/>
        <w:t>Para eritromicina se encontró una sensibilidad de 53% que contrasta con el 100% de sensibilidad que encontraron Normanno </w:t>
      </w:r>
      <w:r>
        <w:rPr>
          <w:i/>
        </w:rPr>
        <w:t>et al</w:t>
      </w:r>
      <w:r>
        <w:rPr/>
        <w:t>., (2007), Spanu </w:t>
      </w:r>
      <w:r>
        <w:rPr>
          <w:i/>
        </w:rPr>
        <w:t>et al</w:t>
      </w:r>
      <w:r>
        <w:rPr/>
        <w:t>., (2012), y Alvarado </w:t>
      </w:r>
      <w:r>
        <w:rPr>
          <w:i/>
        </w:rPr>
        <w:t>et al</w:t>
      </w:r>
      <w:r>
        <w:rPr/>
        <w:t>., (2011), por otro lado Pereira </w:t>
      </w:r>
      <w:r>
        <w:rPr>
          <w:i/>
        </w:rPr>
        <w:t>et al</w:t>
      </w:r>
      <w:r>
        <w:rPr/>
        <w:t>., (2009), encontró sensibilidad intermedia a eritromicina con 60%, por su parte Rivera-Salzar </w:t>
      </w:r>
      <w:r>
        <w:rPr>
          <w:i/>
        </w:rPr>
        <w:t>et al</w:t>
      </w:r>
      <w:r>
        <w:rPr/>
        <w:t>., (2011), encontró resistencia eritromicina con 8% y intermedia con 76%</w:t>
      </w:r>
    </w:p>
    <w:p>
      <w:pPr>
        <w:pStyle w:val="BodyText"/>
        <w:spacing w:line="276" w:lineRule="auto" w:before="123"/>
        <w:ind w:left="142" w:right="137"/>
        <w:jc w:val="both"/>
      </w:pPr>
      <w:r>
        <w:rPr/>
        <w:t>Para tetraciclina se encontró una sensibilidad de 94% valores similares a los registrados</w:t>
      </w:r>
      <w:r>
        <w:rPr>
          <w:spacing w:val="-19"/>
        </w:rPr>
        <w:t> </w:t>
      </w:r>
      <w:r>
        <w:rPr/>
        <w:t>por</w:t>
      </w:r>
      <w:r>
        <w:rPr>
          <w:spacing w:val="-19"/>
        </w:rPr>
        <w:t> </w:t>
      </w:r>
      <w:r>
        <w:rPr/>
        <w:t>Normanno</w:t>
      </w:r>
      <w:r>
        <w:rPr>
          <w:spacing w:val="-17"/>
        </w:rPr>
        <w:t> </w:t>
      </w:r>
      <w:r>
        <w:rPr>
          <w:i/>
        </w:rPr>
        <w:t>et</w:t>
      </w:r>
      <w:r>
        <w:rPr>
          <w:i/>
          <w:spacing w:val="-18"/>
        </w:rPr>
        <w:t> </w:t>
      </w:r>
      <w:r>
        <w:rPr>
          <w:i/>
        </w:rPr>
        <w:t>al</w:t>
      </w:r>
      <w:r>
        <w:rPr/>
        <w:t>.,</w:t>
      </w:r>
      <w:r>
        <w:rPr>
          <w:spacing w:val="-18"/>
        </w:rPr>
        <w:t> </w:t>
      </w:r>
      <w:r>
        <w:rPr/>
        <w:t>(2007),</w:t>
      </w:r>
      <w:r>
        <w:rPr>
          <w:spacing w:val="-18"/>
        </w:rPr>
        <w:t> </w:t>
      </w:r>
      <w:r>
        <w:rPr/>
        <w:t>y</w:t>
      </w:r>
      <w:r>
        <w:rPr>
          <w:spacing w:val="-21"/>
        </w:rPr>
        <w:t> </w:t>
      </w:r>
      <w:r>
        <w:rPr/>
        <w:t>Sasidharan</w:t>
      </w:r>
      <w:r>
        <w:rPr>
          <w:spacing w:val="-19"/>
        </w:rPr>
        <w:t> </w:t>
      </w:r>
      <w:r>
        <w:rPr>
          <w:i/>
        </w:rPr>
        <w:t>et</w:t>
      </w:r>
      <w:r>
        <w:rPr>
          <w:i/>
          <w:spacing w:val="-18"/>
        </w:rPr>
        <w:t> </w:t>
      </w:r>
      <w:r>
        <w:rPr>
          <w:i/>
        </w:rPr>
        <w:t>al</w:t>
      </w:r>
      <w:r>
        <w:rPr/>
        <w:t>.,</w:t>
      </w:r>
      <w:r>
        <w:rPr>
          <w:spacing w:val="-18"/>
        </w:rPr>
        <w:t> </w:t>
      </w:r>
      <w:r>
        <w:rPr/>
        <w:t>(2011),</w:t>
      </w:r>
      <w:r>
        <w:rPr>
          <w:spacing w:val="-18"/>
        </w:rPr>
        <w:t> </w:t>
      </w:r>
      <w:r>
        <w:rPr/>
        <w:t>que</w:t>
      </w:r>
      <w:r>
        <w:rPr>
          <w:spacing w:val="-18"/>
        </w:rPr>
        <w:t> </w:t>
      </w:r>
      <w:r>
        <w:rPr/>
        <w:t>encontraron 100% de sensibilidad, Pereira </w:t>
      </w:r>
      <w:r>
        <w:rPr>
          <w:i/>
        </w:rPr>
        <w:t>et al</w:t>
      </w:r>
      <w:r>
        <w:rPr/>
        <w:t>.,(2009), con 99.3%,así como Yeşim y Haluk (2012),</w:t>
      </w:r>
      <w:r>
        <w:rPr>
          <w:spacing w:val="-7"/>
        </w:rPr>
        <w:t> </w:t>
      </w:r>
      <w:r>
        <w:rPr/>
        <w:t>André</w:t>
      </w:r>
      <w:r>
        <w:rPr>
          <w:spacing w:val="-5"/>
        </w:rPr>
        <w:t> </w:t>
      </w:r>
      <w:r>
        <w:rPr>
          <w:i/>
        </w:rPr>
        <w:t>et</w:t>
      </w:r>
      <w:r>
        <w:rPr>
          <w:i/>
          <w:spacing w:val="-5"/>
        </w:rPr>
        <w:t> </w:t>
      </w:r>
      <w:r>
        <w:rPr>
          <w:i/>
        </w:rPr>
        <w:t>al</w:t>
      </w:r>
      <w:r>
        <w:rPr/>
        <w:t>.,</w:t>
      </w:r>
      <w:r>
        <w:rPr>
          <w:spacing w:val="-5"/>
        </w:rPr>
        <w:t> </w:t>
      </w:r>
      <w:r>
        <w:rPr/>
        <w:t>(2008),</w:t>
      </w:r>
      <w:r>
        <w:rPr>
          <w:spacing w:val="-5"/>
        </w:rPr>
        <w:t> </w:t>
      </w:r>
      <w:r>
        <w:rPr/>
        <w:t>con</w:t>
      </w:r>
      <w:r>
        <w:rPr>
          <w:spacing w:val="-7"/>
        </w:rPr>
        <w:t> </w:t>
      </w:r>
      <w:r>
        <w:rPr/>
        <w:t>75%</w:t>
      </w:r>
      <w:r>
        <w:rPr>
          <w:spacing w:val="-8"/>
        </w:rPr>
        <w:t> </w:t>
      </w:r>
      <w:r>
        <w:rPr/>
        <w:t>aunque</w:t>
      </w:r>
      <w:r>
        <w:rPr>
          <w:spacing w:val="-7"/>
        </w:rPr>
        <w:t> </w:t>
      </w:r>
      <w:r>
        <w:rPr/>
        <w:t>también</w:t>
      </w:r>
      <w:r>
        <w:rPr>
          <w:spacing w:val="-5"/>
        </w:rPr>
        <w:t> </w:t>
      </w:r>
      <w:r>
        <w:rPr/>
        <w:t>se</w:t>
      </w:r>
      <w:r>
        <w:rPr>
          <w:spacing w:val="-7"/>
        </w:rPr>
        <w:t> </w:t>
      </w:r>
      <w:r>
        <w:rPr/>
        <w:t>ha</w:t>
      </w:r>
      <w:r>
        <w:rPr>
          <w:spacing w:val="-5"/>
        </w:rPr>
        <w:t> </w:t>
      </w:r>
      <w:r>
        <w:rPr/>
        <w:t>encontrado</w:t>
      </w:r>
      <w:r>
        <w:rPr>
          <w:spacing w:val="-7"/>
        </w:rPr>
        <w:t> </w:t>
      </w:r>
      <w:r>
        <w:rPr/>
        <w:t>resistencia en</w:t>
      </w:r>
      <w:r>
        <w:rPr>
          <w:spacing w:val="-4"/>
        </w:rPr>
        <w:t> </w:t>
      </w:r>
      <w:r>
        <w:rPr/>
        <w:t>bajos</w:t>
      </w:r>
      <w:r>
        <w:rPr>
          <w:spacing w:val="-4"/>
        </w:rPr>
        <w:t> </w:t>
      </w:r>
      <w:r>
        <w:rPr/>
        <w:t>porcentajes</w:t>
      </w:r>
      <w:r>
        <w:rPr>
          <w:spacing w:val="-4"/>
        </w:rPr>
        <w:t> </w:t>
      </w:r>
      <w:r>
        <w:rPr/>
        <w:t>como</w:t>
      </w:r>
      <w:r>
        <w:rPr>
          <w:spacing w:val="-4"/>
        </w:rPr>
        <w:t> </w:t>
      </w:r>
      <w:r>
        <w:rPr/>
        <w:t>Rivera-Salazar</w:t>
      </w:r>
      <w:r>
        <w:rPr>
          <w:spacing w:val="-4"/>
        </w:rPr>
        <w:t> </w:t>
      </w:r>
      <w:r>
        <w:rPr>
          <w:i/>
        </w:rPr>
        <w:t>et</w:t>
      </w:r>
      <w:r>
        <w:rPr>
          <w:i/>
          <w:spacing w:val="-4"/>
        </w:rPr>
        <w:t> </w:t>
      </w:r>
      <w:r>
        <w:rPr>
          <w:i/>
        </w:rPr>
        <w:t>al</w:t>
      </w:r>
      <w:r>
        <w:rPr/>
        <w:t>.,</w:t>
      </w:r>
      <w:r>
        <w:rPr>
          <w:spacing w:val="-4"/>
        </w:rPr>
        <w:t> </w:t>
      </w:r>
      <w:r>
        <w:rPr/>
        <w:t>(2011),</w:t>
      </w:r>
      <w:r>
        <w:rPr>
          <w:spacing w:val="-4"/>
        </w:rPr>
        <w:t> </w:t>
      </w:r>
      <w:r>
        <w:rPr/>
        <w:t>con</w:t>
      </w:r>
      <w:r>
        <w:rPr>
          <w:spacing w:val="-4"/>
        </w:rPr>
        <w:t> </w:t>
      </w:r>
      <w:r>
        <w:rPr/>
        <w:t>12%</w:t>
      </w:r>
      <w:r>
        <w:rPr>
          <w:spacing w:val="-4"/>
        </w:rPr>
        <w:t> </w:t>
      </w:r>
      <w:r>
        <w:rPr/>
        <w:t>y</w:t>
      </w:r>
      <w:r>
        <w:rPr>
          <w:spacing w:val="-7"/>
        </w:rPr>
        <w:t> </w:t>
      </w:r>
      <w:r>
        <w:rPr/>
        <w:t>Alvarado</w:t>
      </w:r>
      <w:r>
        <w:rPr>
          <w:spacing w:val="-1"/>
        </w:rPr>
        <w:t> </w:t>
      </w:r>
      <w:r>
        <w:rPr>
          <w:i/>
        </w:rPr>
        <w:t>et</w:t>
      </w:r>
      <w:r>
        <w:rPr>
          <w:i/>
          <w:spacing w:val="-4"/>
        </w:rPr>
        <w:t> </w:t>
      </w:r>
      <w:r>
        <w:rPr>
          <w:i/>
        </w:rPr>
        <w:t>al</w:t>
      </w:r>
      <w:r>
        <w:rPr/>
        <w:t>., (2011), con</w:t>
      </w:r>
      <w:r>
        <w:rPr>
          <w:spacing w:val="-6"/>
        </w:rPr>
        <w:t> </w:t>
      </w:r>
      <w:r>
        <w:rPr/>
        <w:t>4%.</w:t>
      </w:r>
    </w:p>
    <w:p>
      <w:pPr>
        <w:pStyle w:val="BodyText"/>
        <w:spacing w:line="273" w:lineRule="auto" w:before="120"/>
        <w:ind w:left="142" w:right="135"/>
        <w:jc w:val="both"/>
      </w:pPr>
      <w:r>
        <w:rPr/>
        <w:t>Para trimetoprim-sulfametoxazol se encontró en este estudio una sensibilidad de 94%,</w:t>
      </w:r>
      <w:r>
        <w:rPr>
          <w:spacing w:val="-5"/>
        </w:rPr>
        <w:t> </w:t>
      </w:r>
      <w:r>
        <w:rPr/>
        <w:t>que</w:t>
      </w:r>
      <w:r>
        <w:rPr>
          <w:spacing w:val="-5"/>
        </w:rPr>
        <w:t> </w:t>
      </w:r>
      <w:r>
        <w:rPr/>
        <w:t>coincide</w:t>
      </w:r>
      <w:r>
        <w:rPr>
          <w:spacing w:val="-5"/>
        </w:rPr>
        <w:t> </w:t>
      </w:r>
      <w:r>
        <w:rPr/>
        <w:t>con</w:t>
      </w:r>
      <w:r>
        <w:rPr>
          <w:spacing w:val="-6"/>
        </w:rPr>
        <w:t> </w:t>
      </w:r>
      <w:r>
        <w:rPr/>
        <w:t>Alvarado</w:t>
      </w:r>
      <w:r>
        <w:rPr>
          <w:spacing w:val="-1"/>
        </w:rPr>
        <w:t> </w:t>
      </w:r>
      <w:r>
        <w:rPr>
          <w:i/>
        </w:rPr>
        <w:t>et</w:t>
      </w:r>
      <w:r>
        <w:rPr>
          <w:i/>
          <w:spacing w:val="-5"/>
        </w:rPr>
        <w:t> </w:t>
      </w:r>
      <w:r>
        <w:rPr>
          <w:i/>
        </w:rPr>
        <w:t>al</w:t>
      </w:r>
      <w:r>
        <w:rPr/>
        <w:t>.,</w:t>
      </w:r>
      <w:r>
        <w:rPr>
          <w:spacing w:val="-5"/>
        </w:rPr>
        <w:t> </w:t>
      </w:r>
      <w:r>
        <w:rPr/>
        <w:t>(2011),</w:t>
      </w:r>
      <w:r>
        <w:rPr>
          <w:spacing w:val="-5"/>
        </w:rPr>
        <w:t> </w:t>
      </w:r>
      <w:r>
        <w:rPr/>
        <w:t>Normanno</w:t>
      </w:r>
      <w:r>
        <w:rPr>
          <w:spacing w:val="-3"/>
        </w:rPr>
        <w:t> </w:t>
      </w:r>
      <w:r>
        <w:rPr>
          <w:i/>
        </w:rPr>
        <w:t>et</w:t>
      </w:r>
      <w:r>
        <w:rPr>
          <w:i/>
          <w:spacing w:val="-5"/>
        </w:rPr>
        <w:t> </w:t>
      </w:r>
      <w:r>
        <w:rPr>
          <w:i/>
        </w:rPr>
        <w:t>al</w:t>
      </w:r>
      <w:r>
        <w:rPr/>
        <w:t>.,</w:t>
      </w:r>
      <w:r>
        <w:rPr>
          <w:spacing w:val="-5"/>
        </w:rPr>
        <w:t> </w:t>
      </w:r>
      <w:r>
        <w:rPr/>
        <w:t>(2007),</w:t>
      </w:r>
      <w:r>
        <w:rPr>
          <w:spacing w:val="-6"/>
        </w:rPr>
        <w:t> </w:t>
      </w:r>
      <w:r>
        <w:rPr/>
        <w:t>Alvarado</w:t>
      </w:r>
      <w:r>
        <w:rPr>
          <w:spacing w:val="-3"/>
        </w:rPr>
        <w:t> </w:t>
      </w:r>
      <w:r>
        <w:rPr>
          <w:i/>
        </w:rPr>
        <w:t>et </w:t>
      </w:r>
      <w:r>
        <w:rPr>
          <w:i/>
        </w:rPr>
        <w:t>al</w:t>
      </w:r>
      <w:r>
        <w:rPr/>
        <w:t>., (2011), que encontraron sensibles sus</w:t>
      </w:r>
      <w:r>
        <w:rPr>
          <w:spacing w:val="-14"/>
        </w:rPr>
        <w:t> </w:t>
      </w:r>
      <w:r>
        <w:rPr/>
        <w:t>aislamientos</w:t>
      </w:r>
    </w:p>
    <w:p>
      <w:pPr>
        <w:pStyle w:val="BodyText"/>
        <w:spacing w:line="276" w:lineRule="auto" w:before="128"/>
        <w:ind w:left="142" w:right="135"/>
        <w:jc w:val="both"/>
      </w:pPr>
      <w:r>
        <w:rPr/>
        <w:t>Y</w:t>
      </w:r>
      <w:r>
        <w:rPr>
          <w:spacing w:val="-11"/>
        </w:rPr>
        <w:t> </w:t>
      </w:r>
      <w:r>
        <w:rPr/>
        <w:t>para</w:t>
      </w:r>
      <w:r>
        <w:rPr>
          <w:spacing w:val="-9"/>
        </w:rPr>
        <w:t> </w:t>
      </w:r>
      <w:r>
        <w:rPr/>
        <w:t>la</w:t>
      </w:r>
      <w:r>
        <w:rPr>
          <w:spacing w:val="-11"/>
        </w:rPr>
        <w:t> </w:t>
      </w:r>
      <w:r>
        <w:rPr/>
        <w:t>oxacilina</w:t>
      </w:r>
      <w:r>
        <w:rPr>
          <w:spacing w:val="-8"/>
        </w:rPr>
        <w:t> </w:t>
      </w:r>
      <w:r>
        <w:rPr/>
        <w:t>en</w:t>
      </w:r>
      <w:r>
        <w:rPr>
          <w:spacing w:val="-11"/>
        </w:rPr>
        <w:t> </w:t>
      </w:r>
      <w:r>
        <w:rPr/>
        <w:t>el</w:t>
      </w:r>
      <w:r>
        <w:rPr>
          <w:spacing w:val="-10"/>
        </w:rPr>
        <w:t> </w:t>
      </w:r>
      <w:r>
        <w:rPr/>
        <w:t>presente</w:t>
      </w:r>
      <w:r>
        <w:rPr>
          <w:spacing w:val="-8"/>
        </w:rPr>
        <w:t> </w:t>
      </w:r>
      <w:r>
        <w:rPr/>
        <w:t>estudio</w:t>
      </w:r>
      <w:r>
        <w:rPr>
          <w:spacing w:val="-9"/>
        </w:rPr>
        <w:t> </w:t>
      </w:r>
      <w:r>
        <w:rPr/>
        <w:t>se</w:t>
      </w:r>
      <w:r>
        <w:rPr>
          <w:spacing w:val="-11"/>
        </w:rPr>
        <w:t> </w:t>
      </w:r>
      <w:r>
        <w:rPr/>
        <w:t>encontró</w:t>
      </w:r>
      <w:r>
        <w:rPr>
          <w:spacing w:val="-11"/>
        </w:rPr>
        <w:t> </w:t>
      </w:r>
      <w:r>
        <w:rPr/>
        <w:t>que</w:t>
      </w:r>
      <w:r>
        <w:rPr>
          <w:spacing w:val="-11"/>
        </w:rPr>
        <w:t> </w:t>
      </w:r>
      <w:r>
        <w:rPr/>
        <w:t>dos</w:t>
      </w:r>
      <w:r>
        <w:rPr>
          <w:spacing w:val="-12"/>
        </w:rPr>
        <w:t> </w:t>
      </w:r>
      <w:r>
        <w:rPr/>
        <w:t>aislamientos</w:t>
      </w:r>
      <w:r>
        <w:rPr>
          <w:spacing w:val="-9"/>
        </w:rPr>
        <w:t> </w:t>
      </w:r>
      <w:r>
        <w:rPr/>
        <w:t>(11.8%) mostraron ser resistentes a oxacilina en la prueba se sensibilidad </w:t>
      </w:r>
      <w:r>
        <w:rPr>
          <w:i/>
        </w:rPr>
        <w:t>in vitro </w:t>
      </w:r>
      <w:r>
        <w:rPr/>
        <w:t>sin embargo</w:t>
      </w:r>
      <w:r>
        <w:rPr>
          <w:spacing w:val="-17"/>
        </w:rPr>
        <w:t> </w:t>
      </w:r>
      <w:r>
        <w:rPr/>
        <w:t>no</w:t>
      </w:r>
      <w:r>
        <w:rPr>
          <w:spacing w:val="-17"/>
        </w:rPr>
        <w:t> </w:t>
      </w:r>
      <w:r>
        <w:rPr/>
        <w:t>presentaron</w:t>
      </w:r>
      <w:r>
        <w:rPr>
          <w:spacing w:val="-17"/>
        </w:rPr>
        <w:t> </w:t>
      </w:r>
      <w:r>
        <w:rPr/>
        <w:t>la</w:t>
      </w:r>
      <w:r>
        <w:rPr>
          <w:spacing w:val="-17"/>
        </w:rPr>
        <w:t> </w:t>
      </w:r>
      <w:r>
        <w:rPr/>
        <w:t>presencia</w:t>
      </w:r>
      <w:r>
        <w:rPr>
          <w:spacing w:val="-19"/>
        </w:rPr>
        <w:t> </w:t>
      </w:r>
      <w:r>
        <w:rPr/>
        <w:t>del</w:t>
      </w:r>
      <w:r>
        <w:rPr>
          <w:spacing w:val="-18"/>
        </w:rPr>
        <w:t> </w:t>
      </w:r>
      <w:r>
        <w:rPr/>
        <w:t>gen</w:t>
      </w:r>
      <w:r>
        <w:rPr>
          <w:spacing w:val="-14"/>
        </w:rPr>
        <w:t> </w:t>
      </w:r>
      <w:r>
        <w:rPr>
          <w:i/>
        </w:rPr>
        <w:t>mecA</w:t>
      </w:r>
      <w:r>
        <w:rPr>
          <w:i/>
          <w:spacing w:val="-16"/>
        </w:rPr>
        <w:t> </w:t>
      </w:r>
      <w:r>
        <w:rPr/>
        <w:t>en</w:t>
      </w:r>
      <w:r>
        <w:rPr>
          <w:spacing w:val="-17"/>
        </w:rPr>
        <w:t> </w:t>
      </w:r>
      <w:r>
        <w:rPr/>
        <w:t>la</w:t>
      </w:r>
      <w:r>
        <w:rPr>
          <w:spacing w:val="-17"/>
        </w:rPr>
        <w:t> </w:t>
      </w:r>
      <w:r>
        <w:rPr/>
        <w:t>prueba</w:t>
      </w:r>
      <w:r>
        <w:rPr>
          <w:spacing w:val="-17"/>
        </w:rPr>
        <w:t> </w:t>
      </w:r>
      <w:r>
        <w:rPr/>
        <w:t>de</w:t>
      </w:r>
      <w:r>
        <w:rPr>
          <w:spacing w:val="-19"/>
        </w:rPr>
        <w:t> </w:t>
      </w:r>
      <w:r>
        <w:rPr/>
        <w:t>PCR.</w:t>
      </w:r>
      <w:r>
        <w:rPr>
          <w:spacing w:val="-17"/>
        </w:rPr>
        <w:t> </w:t>
      </w:r>
      <w:r>
        <w:rPr/>
        <w:t>Este</w:t>
      </w:r>
      <w:r>
        <w:rPr>
          <w:spacing w:val="-16"/>
        </w:rPr>
        <w:t> </w:t>
      </w:r>
      <w:r>
        <w:rPr/>
        <w:t>valor es</w:t>
      </w:r>
      <w:r>
        <w:rPr>
          <w:spacing w:val="-16"/>
        </w:rPr>
        <w:t> </w:t>
      </w:r>
      <w:r>
        <w:rPr/>
        <w:t>similar</w:t>
      </w:r>
      <w:r>
        <w:rPr>
          <w:spacing w:val="-17"/>
        </w:rPr>
        <w:t> </w:t>
      </w:r>
      <w:r>
        <w:rPr/>
        <w:t>a</w:t>
      </w:r>
      <w:r>
        <w:rPr>
          <w:spacing w:val="-16"/>
        </w:rPr>
        <w:t> </w:t>
      </w:r>
      <w:r>
        <w:rPr/>
        <w:t>los</w:t>
      </w:r>
      <w:r>
        <w:rPr>
          <w:spacing w:val="-16"/>
        </w:rPr>
        <w:t> </w:t>
      </w:r>
      <w:r>
        <w:rPr/>
        <w:t>reportados</w:t>
      </w:r>
      <w:r>
        <w:rPr>
          <w:spacing w:val="-16"/>
        </w:rPr>
        <w:t> </w:t>
      </w:r>
      <w:r>
        <w:rPr/>
        <w:t>por</w:t>
      </w:r>
      <w:r>
        <w:rPr>
          <w:spacing w:val="-17"/>
        </w:rPr>
        <w:t> </w:t>
      </w:r>
      <w:r>
        <w:rPr/>
        <w:t>Rivera-Salazar</w:t>
      </w:r>
      <w:r>
        <w:rPr>
          <w:spacing w:val="-16"/>
        </w:rPr>
        <w:t> </w:t>
      </w:r>
      <w:r>
        <w:rPr>
          <w:i/>
        </w:rPr>
        <w:t>et</w:t>
      </w:r>
      <w:r>
        <w:rPr>
          <w:i/>
          <w:spacing w:val="-16"/>
        </w:rPr>
        <w:t> </w:t>
      </w:r>
      <w:r>
        <w:rPr>
          <w:i/>
        </w:rPr>
        <w:t>al</w:t>
      </w:r>
      <w:r>
        <w:rPr/>
        <w:t>.,</w:t>
      </w:r>
      <w:r>
        <w:rPr>
          <w:spacing w:val="-16"/>
        </w:rPr>
        <w:t> </w:t>
      </w:r>
      <w:r>
        <w:rPr/>
        <w:t>(2011),</w:t>
      </w:r>
      <w:r>
        <w:rPr>
          <w:spacing w:val="-16"/>
        </w:rPr>
        <w:t> </w:t>
      </w:r>
      <w:r>
        <w:rPr/>
        <w:t>y</w:t>
      </w:r>
      <w:r>
        <w:rPr>
          <w:spacing w:val="-19"/>
        </w:rPr>
        <w:t> </w:t>
      </w:r>
      <w:r>
        <w:rPr/>
        <w:t>Alvarado</w:t>
      </w:r>
      <w:r>
        <w:rPr>
          <w:spacing w:val="-15"/>
        </w:rPr>
        <w:t> </w:t>
      </w:r>
      <w:r>
        <w:rPr>
          <w:i/>
        </w:rPr>
        <w:t>et</w:t>
      </w:r>
      <w:r>
        <w:rPr>
          <w:i/>
          <w:spacing w:val="-18"/>
        </w:rPr>
        <w:t> </w:t>
      </w:r>
      <w:r>
        <w:rPr>
          <w:i/>
        </w:rPr>
        <w:t>al</w:t>
      </w:r>
      <w:r>
        <w:rPr/>
        <w:t>.,</w:t>
      </w:r>
      <w:r>
        <w:rPr>
          <w:spacing w:val="-16"/>
        </w:rPr>
        <w:t> </w:t>
      </w:r>
      <w:r>
        <w:rPr/>
        <w:t>(2011), quienes encontraron resistencia con porcentajes de 20 y 15% respectivamente y contrastan</w:t>
      </w:r>
      <w:r>
        <w:rPr>
          <w:spacing w:val="-9"/>
        </w:rPr>
        <w:t> </w:t>
      </w:r>
      <w:r>
        <w:rPr/>
        <w:t>con</w:t>
      </w:r>
      <w:r>
        <w:rPr>
          <w:spacing w:val="-9"/>
        </w:rPr>
        <w:t> </w:t>
      </w:r>
      <w:r>
        <w:rPr/>
        <w:t>Pereira</w:t>
      </w:r>
      <w:r>
        <w:rPr>
          <w:spacing w:val="-9"/>
        </w:rPr>
        <w:t> </w:t>
      </w:r>
      <w:r>
        <w:rPr>
          <w:i/>
        </w:rPr>
        <w:t>et</w:t>
      </w:r>
      <w:r>
        <w:rPr>
          <w:i/>
          <w:spacing w:val="-9"/>
        </w:rPr>
        <w:t> </w:t>
      </w:r>
      <w:r>
        <w:rPr>
          <w:i/>
        </w:rPr>
        <w:t>al</w:t>
      </w:r>
      <w:r>
        <w:rPr/>
        <w:t>.,</w:t>
      </w:r>
      <w:r>
        <w:rPr>
          <w:spacing w:val="-9"/>
        </w:rPr>
        <w:t> </w:t>
      </w:r>
      <w:r>
        <w:rPr/>
        <w:t>(2009),</w:t>
      </w:r>
      <w:r>
        <w:rPr>
          <w:spacing w:val="-9"/>
        </w:rPr>
        <w:t> </w:t>
      </w:r>
      <w:r>
        <w:rPr/>
        <w:t>y</w:t>
      </w:r>
      <w:r>
        <w:rPr>
          <w:spacing w:val="-12"/>
        </w:rPr>
        <w:t> </w:t>
      </w:r>
      <w:r>
        <w:rPr/>
        <w:t>Spanu</w:t>
      </w:r>
      <w:r>
        <w:rPr>
          <w:spacing w:val="-10"/>
        </w:rPr>
        <w:t> </w:t>
      </w:r>
      <w:r>
        <w:rPr>
          <w:i/>
        </w:rPr>
        <w:t>et</w:t>
      </w:r>
      <w:r>
        <w:rPr>
          <w:i/>
          <w:spacing w:val="-9"/>
        </w:rPr>
        <w:t> </w:t>
      </w:r>
      <w:r>
        <w:rPr>
          <w:i/>
        </w:rPr>
        <w:t>al</w:t>
      </w:r>
      <w:r>
        <w:rPr/>
        <w:t>.,</w:t>
      </w:r>
      <w:r>
        <w:rPr>
          <w:spacing w:val="-11"/>
        </w:rPr>
        <w:t> </w:t>
      </w:r>
      <w:r>
        <w:rPr/>
        <w:t>(2012),</w:t>
      </w:r>
      <w:r>
        <w:rPr>
          <w:spacing w:val="-9"/>
        </w:rPr>
        <w:t> </w:t>
      </w:r>
      <w:r>
        <w:rPr/>
        <w:t>encontraron</w:t>
      </w:r>
      <w:r>
        <w:rPr>
          <w:spacing w:val="-9"/>
        </w:rPr>
        <w:t> </w:t>
      </w:r>
      <w:r>
        <w:rPr/>
        <w:t>62</w:t>
      </w:r>
      <w:r>
        <w:rPr>
          <w:spacing w:val="-11"/>
        </w:rPr>
        <w:t> </w:t>
      </w:r>
      <w:r>
        <w:rPr/>
        <w:t>y</w:t>
      </w:r>
      <w:r>
        <w:rPr>
          <w:spacing w:val="-12"/>
        </w:rPr>
        <w:t> </w:t>
      </w:r>
      <w:r>
        <w:rPr/>
        <w:t>100%.</w:t>
      </w:r>
    </w:p>
    <w:p>
      <w:pPr>
        <w:pStyle w:val="BodyText"/>
        <w:spacing w:line="276" w:lineRule="auto" w:before="123"/>
        <w:ind w:left="142" w:right="135"/>
        <w:jc w:val="both"/>
      </w:pPr>
      <w:r>
        <w:rPr/>
        <w:t>El incremento de la resistencia a penicilina en aislamientos de alimentos requiere investigación de la eficacia de los tratamientos a antibióticos (Valsangiacomo </w:t>
      </w:r>
      <w:r>
        <w:rPr>
          <w:i/>
        </w:rPr>
        <w:t>et</w:t>
      </w:r>
      <w:r>
        <w:rPr>
          <w:i/>
          <w:spacing w:val="-40"/>
        </w:rPr>
        <w:t> </w:t>
      </w:r>
      <w:r>
        <w:rPr>
          <w:i/>
        </w:rPr>
        <w:t>al., </w:t>
      </w:r>
      <w:r>
        <w:rPr/>
        <w:t>2000).</w:t>
      </w:r>
    </w:p>
    <w:p>
      <w:pPr>
        <w:pStyle w:val="BodyText"/>
        <w:spacing w:line="276" w:lineRule="auto" w:before="120"/>
        <w:ind w:left="142" w:right="136"/>
        <w:jc w:val="both"/>
      </w:pPr>
      <w:r>
        <w:rPr/>
        <w:t>El rol de los alimentos como vehículo de colonización o infección de MRSA en humanos ha sido establecido por varios estudios (Kluytmans, 2010; Rodríguez- Lázaro </w:t>
      </w:r>
      <w:r>
        <w:rPr>
          <w:i/>
        </w:rPr>
        <w:t>et al., </w:t>
      </w:r>
      <w:r>
        <w:rPr/>
        <w:t>2015). En el presente estudio no se encontró la presencia del gen </w:t>
      </w:r>
      <w:r>
        <w:rPr>
          <w:i/>
        </w:rPr>
        <w:t>mecA</w:t>
      </w:r>
      <w:r>
        <w:rPr>
          <w:i/>
          <w:spacing w:val="-12"/>
        </w:rPr>
        <w:t> </w:t>
      </w:r>
      <w:r>
        <w:rPr/>
        <w:t>(MRSA)</w:t>
      </w:r>
      <w:r>
        <w:rPr>
          <w:spacing w:val="-13"/>
        </w:rPr>
        <w:t> </w:t>
      </w:r>
      <w:r>
        <w:rPr/>
        <w:t>en</w:t>
      </w:r>
      <w:r>
        <w:rPr>
          <w:spacing w:val="-12"/>
        </w:rPr>
        <w:t> </w:t>
      </w:r>
      <w:r>
        <w:rPr/>
        <w:t>los</w:t>
      </w:r>
      <w:r>
        <w:rPr>
          <w:spacing w:val="-14"/>
        </w:rPr>
        <w:t> </w:t>
      </w:r>
      <w:r>
        <w:rPr/>
        <w:t>aislamientos</w:t>
      </w:r>
      <w:r>
        <w:rPr>
          <w:spacing w:val="-15"/>
        </w:rPr>
        <w:t> </w:t>
      </w:r>
      <w:r>
        <w:rPr/>
        <w:t>procedentes</w:t>
      </w:r>
      <w:r>
        <w:rPr>
          <w:spacing w:val="-13"/>
        </w:rPr>
        <w:t> </w:t>
      </w:r>
      <w:r>
        <w:rPr/>
        <w:t>de</w:t>
      </w:r>
      <w:r>
        <w:rPr>
          <w:spacing w:val="-14"/>
        </w:rPr>
        <w:t> </w:t>
      </w:r>
      <w:r>
        <w:rPr/>
        <w:t>quesos</w:t>
      </w:r>
      <w:r>
        <w:rPr>
          <w:spacing w:val="-15"/>
        </w:rPr>
        <w:t> </w:t>
      </w:r>
      <w:r>
        <w:rPr/>
        <w:t>frescos,</w:t>
      </w:r>
      <w:r>
        <w:rPr>
          <w:spacing w:val="-14"/>
        </w:rPr>
        <w:t> </w:t>
      </w:r>
      <w:r>
        <w:rPr/>
        <w:t>aunque</w:t>
      </w:r>
      <w:r>
        <w:rPr>
          <w:spacing w:val="-14"/>
        </w:rPr>
        <w:t> </w:t>
      </w:r>
      <w:r>
        <w:rPr/>
        <w:t>estudios evidencian</w:t>
      </w:r>
      <w:r>
        <w:rPr>
          <w:spacing w:val="-13"/>
        </w:rPr>
        <w:t> </w:t>
      </w:r>
      <w:r>
        <w:rPr/>
        <w:t>que</w:t>
      </w:r>
      <w:r>
        <w:rPr>
          <w:spacing w:val="-16"/>
        </w:rPr>
        <w:t> </w:t>
      </w:r>
      <w:r>
        <w:rPr/>
        <w:t>estos</w:t>
      </w:r>
      <w:r>
        <w:rPr>
          <w:spacing w:val="-16"/>
        </w:rPr>
        <w:t> </w:t>
      </w:r>
      <w:r>
        <w:rPr/>
        <w:t>productos</w:t>
      </w:r>
      <w:r>
        <w:rPr>
          <w:spacing w:val="-16"/>
        </w:rPr>
        <w:t> </w:t>
      </w:r>
      <w:r>
        <w:rPr/>
        <w:t>lácteos</w:t>
      </w:r>
      <w:r>
        <w:rPr>
          <w:spacing w:val="-14"/>
        </w:rPr>
        <w:t> </w:t>
      </w:r>
      <w:r>
        <w:rPr/>
        <w:t>son</w:t>
      </w:r>
      <w:r>
        <w:rPr>
          <w:spacing w:val="-15"/>
        </w:rPr>
        <w:t> </w:t>
      </w:r>
      <w:r>
        <w:rPr/>
        <w:t>una</w:t>
      </w:r>
      <w:r>
        <w:rPr>
          <w:spacing w:val="-13"/>
        </w:rPr>
        <w:t> </w:t>
      </w:r>
      <w:r>
        <w:rPr/>
        <w:t>ruta</w:t>
      </w:r>
      <w:r>
        <w:rPr>
          <w:spacing w:val="-13"/>
        </w:rPr>
        <w:t> </w:t>
      </w:r>
      <w:r>
        <w:rPr/>
        <w:t>de</w:t>
      </w:r>
      <w:r>
        <w:rPr>
          <w:spacing w:val="-16"/>
        </w:rPr>
        <w:t> </w:t>
      </w:r>
      <w:r>
        <w:rPr/>
        <w:t>transmisión</w:t>
      </w:r>
      <w:r>
        <w:rPr>
          <w:spacing w:val="-16"/>
        </w:rPr>
        <w:t> </w:t>
      </w:r>
      <w:r>
        <w:rPr/>
        <w:t>de</w:t>
      </w:r>
      <w:r>
        <w:rPr>
          <w:spacing w:val="-6"/>
        </w:rPr>
        <w:t> </w:t>
      </w:r>
      <w:r>
        <w:rPr/>
        <w:t>MRSA</w:t>
      </w:r>
      <w:r>
        <w:rPr>
          <w:spacing w:val="-13"/>
        </w:rPr>
        <w:t> </w:t>
      </w:r>
      <w:r>
        <w:rPr/>
        <w:t>como es</w:t>
      </w:r>
      <w:r>
        <w:rPr>
          <w:spacing w:val="-17"/>
        </w:rPr>
        <w:t> </w:t>
      </w:r>
      <w:r>
        <w:rPr/>
        <w:t>estudio</w:t>
      </w:r>
      <w:r>
        <w:rPr>
          <w:spacing w:val="-17"/>
        </w:rPr>
        <w:t> </w:t>
      </w:r>
      <w:r>
        <w:rPr/>
        <w:t>llevado</w:t>
      </w:r>
      <w:r>
        <w:rPr>
          <w:spacing w:val="-17"/>
        </w:rPr>
        <w:t> </w:t>
      </w:r>
      <w:r>
        <w:rPr/>
        <w:t>a</w:t>
      </w:r>
      <w:r>
        <w:rPr>
          <w:spacing w:val="-17"/>
        </w:rPr>
        <w:t> </w:t>
      </w:r>
      <w:r>
        <w:rPr/>
        <w:t>cabo</w:t>
      </w:r>
      <w:r>
        <w:rPr>
          <w:spacing w:val="-17"/>
        </w:rPr>
        <w:t> </w:t>
      </w:r>
      <w:r>
        <w:rPr/>
        <w:t>por</w:t>
      </w:r>
      <w:r>
        <w:rPr>
          <w:spacing w:val="-18"/>
        </w:rPr>
        <w:t> </w:t>
      </w:r>
      <w:r>
        <w:rPr/>
        <w:t>Pesavento</w:t>
      </w:r>
      <w:r>
        <w:rPr>
          <w:spacing w:val="-12"/>
        </w:rPr>
        <w:t> </w:t>
      </w:r>
      <w:r>
        <w:rPr>
          <w:i/>
        </w:rPr>
        <w:t>et</w:t>
      </w:r>
      <w:r>
        <w:rPr>
          <w:i/>
          <w:spacing w:val="-19"/>
        </w:rPr>
        <w:t> </w:t>
      </w:r>
      <w:r>
        <w:rPr>
          <w:i/>
        </w:rPr>
        <w:t>al.,</w:t>
      </w:r>
      <w:r>
        <w:rPr>
          <w:i/>
          <w:spacing w:val="-16"/>
        </w:rPr>
        <w:t> </w:t>
      </w:r>
      <w:r>
        <w:rPr/>
        <w:t>(2007),</w:t>
      </w:r>
      <w:r>
        <w:rPr>
          <w:spacing w:val="-17"/>
        </w:rPr>
        <w:t> </w:t>
      </w:r>
      <w:r>
        <w:rPr/>
        <w:t>quienes</w:t>
      </w:r>
      <w:r>
        <w:rPr>
          <w:spacing w:val="-17"/>
        </w:rPr>
        <w:t> </w:t>
      </w:r>
      <w:r>
        <w:rPr/>
        <w:t>encontraron</w:t>
      </w:r>
      <w:r>
        <w:rPr>
          <w:spacing w:val="-19"/>
        </w:rPr>
        <w:t> </w:t>
      </w:r>
      <w:r>
        <w:rPr/>
        <w:t>6</w:t>
      </w:r>
      <w:r>
        <w:rPr>
          <w:spacing w:val="-17"/>
        </w:rPr>
        <w:t> </w:t>
      </w:r>
      <w:r>
        <w:rPr/>
        <w:t>MRSA de quesos, Normanno </w:t>
      </w:r>
      <w:r>
        <w:rPr>
          <w:i/>
        </w:rPr>
        <w:t>et al</w:t>
      </w:r>
      <w:r>
        <w:rPr/>
        <w:t>., (2007), quienes aislaron MRSA procedente de dos muestras de quesos, Kamal </w:t>
      </w:r>
      <w:r>
        <w:rPr>
          <w:i/>
        </w:rPr>
        <w:t>et al</w:t>
      </w:r>
      <w:r>
        <w:rPr/>
        <w:t>., (2013), encontraron un aislamiento positivo a </w:t>
      </w:r>
      <w:r>
        <w:rPr>
          <w:i/>
        </w:rPr>
        <w:t>mecA</w:t>
      </w:r>
      <w:r>
        <w:rPr/>
        <w:t>, Yeşim y Haluk (2012), encontraron 2 aislamientos positivos a </w:t>
      </w:r>
      <w:r>
        <w:rPr>
          <w:i/>
        </w:rPr>
        <w:t>mecA </w:t>
      </w:r>
      <w:r>
        <w:rPr/>
        <w:t>provenientes de quesos, Lemus </w:t>
      </w:r>
      <w:r>
        <w:rPr>
          <w:i/>
        </w:rPr>
        <w:t>et al</w:t>
      </w:r>
      <w:r>
        <w:rPr/>
        <w:t>., (2008), encontró 1.2% de resistencia a Oxacilina en queso y también se han encontrado prevalencias altas como Shanehbandi </w:t>
      </w:r>
      <w:r>
        <w:rPr>
          <w:i/>
        </w:rPr>
        <w:t>et al., </w:t>
      </w:r>
      <w:r>
        <w:rPr/>
        <w:t>(2014), quienes encontraron un 21% de prevalencia en quesos lo que representa un riesgo de infecciones y también la posibilidad de </w:t>
      </w:r>
      <w:r>
        <w:rPr>
          <w:spacing w:val="26"/>
        </w:rPr>
        <w:t> </w:t>
      </w:r>
      <w:r>
        <w:rPr/>
        <w:t>transmisión</w:t>
      </w:r>
    </w:p>
    <w:p>
      <w:pPr>
        <w:spacing w:after="0" w:line="276" w:lineRule="auto"/>
        <w:jc w:val="both"/>
        <w:sectPr>
          <w:footerReference w:type="default" r:id="rId76"/>
          <w:pgSz w:w="12240" w:h="15840"/>
          <w:pgMar w:footer="710" w:header="728" w:top="1200" w:bottom="900" w:left="1560" w:right="1560"/>
        </w:sectPr>
      </w:pPr>
    </w:p>
    <w:p>
      <w:pPr>
        <w:pStyle w:val="BodyText"/>
        <w:spacing w:before="9"/>
        <w:rPr>
          <w:sz w:val="12"/>
        </w:rPr>
      </w:pPr>
    </w:p>
    <w:p>
      <w:pPr>
        <w:pStyle w:val="BodyText"/>
        <w:spacing w:line="273" w:lineRule="auto" w:before="70"/>
        <w:ind w:left="142" w:right="135"/>
        <w:jc w:val="both"/>
      </w:pPr>
      <w:r>
        <w:rPr/>
        <w:t>de</w:t>
      </w:r>
      <w:r>
        <w:rPr>
          <w:spacing w:val="-11"/>
        </w:rPr>
        <w:t> </w:t>
      </w:r>
      <w:r>
        <w:rPr/>
        <w:t>resistencia</w:t>
      </w:r>
      <w:r>
        <w:rPr>
          <w:spacing w:val="-13"/>
        </w:rPr>
        <w:t> </w:t>
      </w:r>
      <w:r>
        <w:rPr/>
        <w:t>a</w:t>
      </w:r>
      <w:r>
        <w:rPr>
          <w:spacing w:val="-11"/>
        </w:rPr>
        <w:t> </w:t>
      </w:r>
      <w:r>
        <w:rPr/>
        <w:t>otras</w:t>
      </w:r>
      <w:r>
        <w:rPr>
          <w:spacing w:val="-12"/>
        </w:rPr>
        <w:t> </w:t>
      </w:r>
      <w:r>
        <w:rPr/>
        <w:t>bacterias</w:t>
      </w:r>
      <w:r>
        <w:rPr>
          <w:spacing w:val="-12"/>
        </w:rPr>
        <w:t> </w:t>
      </w:r>
      <w:r>
        <w:rPr/>
        <w:t>o</w:t>
      </w:r>
      <w:r>
        <w:rPr>
          <w:spacing w:val="-11"/>
        </w:rPr>
        <w:t> </w:t>
      </w:r>
      <w:r>
        <w:rPr/>
        <w:t>a</w:t>
      </w:r>
      <w:r>
        <w:rPr>
          <w:spacing w:val="-11"/>
        </w:rPr>
        <w:t> </w:t>
      </w:r>
      <w:r>
        <w:rPr/>
        <w:t>humanos</w:t>
      </w:r>
      <w:r>
        <w:rPr>
          <w:spacing w:val="-14"/>
        </w:rPr>
        <w:t> </w:t>
      </w:r>
      <w:r>
        <w:rPr/>
        <w:t>a</w:t>
      </w:r>
      <w:r>
        <w:rPr>
          <w:spacing w:val="-11"/>
        </w:rPr>
        <w:t> </w:t>
      </w:r>
      <w:r>
        <w:rPr/>
        <w:t>través</w:t>
      </w:r>
      <w:r>
        <w:rPr>
          <w:spacing w:val="-12"/>
        </w:rPr>
        <w:t> </w:t>
      </w:r>
      <w:r>
        <w:rPr/>
        <w:t>de</w:t>
      </w:r>
      <w:r>
        <w:rPr>
          <w:spacing w:val="-11"/>
        </w:rPr>
        <w:t> </w:t>
      </w:r>
      <w:r>
        <w:rPr/>
        <w:t>los</w:t>
      </w:r>
      <w:r>
        <w:rPr>
          <w:spacing w:val="-11"/>
        </w:rPr>
        <w:t> </w:t>
      </w:r>
      <w:r>
        <w:rPr/>
        <w:t>alimentos</w:t>
      </w:r>
      <w:r>
        <w:rPr>
          <w:spacing w:val="-12"/>
        </w:rPr>
        <w:t> </w:t>
      </w:r>
      <w:r>
        <w:rPr/>
        <w:t>lo</w:t>
      </w:r>
      <w:r>
        <w:rPr>
          <w:spacing w:val="-11"/>
        </w:rPr>
        <w:t> </w:t>
      </w:r>
      <w:r>
        <w:rPr/>
        <w:t>que</w:t>
      </w:r>
      <w:r>
        <w:rPr>
          <w:spacing w:val="-11"/>
        </w:rPr>
        <w:t> </w:t>
      </w:r>
      <w:r>
        <w:rPr/>
        <w:t>podría ocasionar</w:t>
      </w:r>
      <w:r>
        <w:rPr>
          <w:spacing w:val="-7"/>
        </w:rPr>
        <w:t> </w:t>
      </w:r>
      <w:r>
        <w:rPr/>
        <w:t>infecciones</w:t>
      </w:r>
      <w:r>
        <w:rPr>
          <w:spacing w:val="-9"/>
        </w:rPr>
        <w:t> </w:t>
      </w:r>
      <w:r>
        <w:rPr/>
        <w:t>y</w:t>
      </w:r>
      <w:r>
        <w:rPr>
          <w:spacing w:val="-9"/>
        </w:rPr>
        <w:t> </w:t>
      </w:r>
      <w:r>
        <w:rPr/>
        <w:t>llevar</w:t>
      </w:r>
      <w:r>
        <w:rPr>
          <w:spacing w:val="-7"/>
        </w:rPr>
        <w:t> </w:t>
      </w:r>
      <w:r>
        <w:rPr/>
        <w:t>al</w:t>
      </w:r>
      <w:r>
        <w:rPr>
          <w:spacing w:val="-10"/>
        </w:rPr>
        <w:t> </w:t>
      </w:r>
      <w:r>
        <w:rPr/>
        <w:t>fracaso</w:t>
      </w:r>
      <w:r>
        <w:rPr>
          <w:spacing w:val="-8"/>
        </w:rPr>
        <w:t> </w:t>
      </w:r>
      <w:r>
        <w:rPr/>
        <w:t>de</w:t>
      </w:r>
      <w:r>
        <w:rPr>
          <w:spacing w:val="-8"/>
        </w:rPr>
        <w:t> </w:t>
      </w:r>
      <w:r>
        <w:rPr/>
        <w:t>terapias</w:t>
      </w:r>
      <w:r>
        <w:rPr>
          <w:spacing w:val="-6"/>
        </w:rPr>
        <w:t> </w:t>
      </w:r>
      <w:r>
        <w:rPr/>
        <w:t>con</w:t>
      </w:r>
      <w:r>
        <w:rPr>
          <w:spacing w:val="-8"/>
        </w:rPr>
        <w:t> </w:t>
      </w:r>
      <w:r>
        <w:rPr/>
        <w:t>antibióticos.</w:t>
      </w:r>
      <w:r>
        <w:rPr>
          <w:spacing w:val="-9"/>
        </w:rPr>
        <w:t> </w:t>
      </w:r>
      <w:r>
        <w:rPr/>
        <w:t>(Pesavento</w:t>
      </w:r>
      <w:r>
        <w:rPr>
          <w:spacing w:val="-3"/>
        </w:rPr>
        <w:t> </w:t>
      </w:r>
      <w:r>
        <w:rPr>
          <w:i/>
        </w:rPr>
        <w:t>et. </w:t>
      </w:r>
      <w:r>
        <w:rPr>
          <w:i/>
        </w:rPr>
        <w:t>al.,</w:t>
      </w:r>
      <w:r>
        <w:rPr>
          <w:i/>
          <w:spacing w:val="-2"/>
        </w:rPr>
        <w:t> </w:t>
      </w:r>
      <w:r>
        <w:rPr/>
        <w:t>2007).</w:t>
      </w:r>
    </w:p>
    <w:p>
      <w:pPr>
        <w:pStyle w:val="BodyText"/>
        <w:spacing w:line="276" w:lineRule="auto" w:before="128"/>
        <w:ind w:left="142" w:right="138"/>
        <w:jc w:val="both"/>
      </w:pPr>
      <w:r>
        <w:rPr/>
        <w:t>Mayor</w:t>
      </w:r>
      <w:r>
        <w:rPr>
          <w:spacing w:val="-11"/>
        </w:rPr>
        <w:t> </w:t>
      </w:r>
      <w:r>
        <w:rPr/>
        <w:t>atención</w:t>
      </w:r>
      <w:r>
        <w:rPr>
          <w:spacing w:val="-9"/>
        </w:rPr>
        <w:t> </w:t>
      </w:r>
      <w:r>
        <w:rPr/>
        <w:t>se</w:t>
      </w:r>
      <w:r>
        <w:rPr>
          <w:spacing w:val="-9"/>
        </w:rPr>
        <w:t> </w:t>
      </w:r>
      <w:r>
        <w:rPr/>
        <w:t>le</w:t>
      </w:r>
      <w:r>
        <w:rPr>
          <w:spacing w:val="-12"/>
        </w:rPr>
        <w:t> </w:t>
      </w:r>
      <w:r>
        <w:rPr/>
        <w:t>debe</w:t>
      </w:r>
      <w:r>
        <w:rPr>
          <w:spacing w:val="-12"/>
        </w:rPr>
        <w:t> </w:t>
      </w:r>
      <w:r>
        <w:rPr/>
        <w:t>poner</w:t>
      </w:r>
      <w:r>
        <w:rPr>
          <w:spacing w:val="-11"/>
        </w:rPr>
        <w:t> </w:t>
      </w:r>
      <w:r>
        <w:rPr/>
        <w:t>a</w:t>
      </w:r>
      <w:r>
        <w:rPr>
          <w:spacing w:val="-9"/>
        </w:rPr>
        <w:t> </w:t>
      </w:r>
      <w:r>
        <w:rPr/>
        <w:t>la</w:t>
      </w:r>
      <w:r>
        <w:rPr>
          <w:spacing w:val="-9"/>
        </w:rPr>
        <w:t> </w:t>
      </w:r>
      <w:r>
        <w:rPr/>
        <w:t>cadena</w:t>
      </w:r>
      <w:r>
        <w:rPr>
          <w:spacing w:val="-12"/>
        </w:rPr>
        <w:t> </w:t>
      </w:r>
      <w:r>
        <w:rPr/>
        <w:t>alimenticia</w:t>
      </w:r>
      <w:r>
        <w:rPr>
          <w:spacing w:val="-10"/>
        </w:rPr>
        <w:t> </w:t>
      </w:r>
      <w:r>
        <w:rPr/>
        <w:t>del</w:t>
      </w:r>
      <w:r>
        <w:rPr>
          <w:spacing w:val="-11"/>
        </w:rPr>
        <w:t> </w:t>
      </w:r>
      <w:r>
        <w:rPr/>
        <w:t>ganado,</w:t>
      </w:r>
      <w:r>
        <w:rPr>
          <w:spacing w:val="-12"/>
        </w:rPr>
        <w:t> </w:t>
      </w:r>
      <w:r>
        <w:rPr/>
        <w:t>que</w:t>
      </w:r>
      <w:r>
        <w:rPr>
          <w:spacing w:val="-9"/>
        </w:rPr>
        <w:t> </w:t>
      </w:r>
      <w:r>
        <w:rPr/>
        <w:t>podría</w:t>
      </w:r>
      <w:r>
        <w:rPr>
          <w:spacing w:val="-9"/>
        </w:rPr>
        <w:t> </w:t>
      </w:r>
      <w:r>
        <w:rPr/>
        <w:t>ser una</w:t>
      </w:r>
      <w:r>
        <w:rPr>
          <w:spacing w:val="-6"/>
        </w:rPr>
        <w:t> </w:t>
      </w:r>
      <w:r>
        <w:rPr/>
        <w:t>posible</w:t>
      </w:r>
      <w:r>
        <w:rPr>
          <w:spacing w:val="-4"/>
        </w:rPr>
        <w:t> </w:t>
      </w:r>
      <w:r>
        <w:rPr/>
        <w:t>ruta</w:t>
      </w:r>
      <w:r>
        <w:rPr>
          <w:spacing w:val="-5"/>
        </w:rPr>
        <w:t> </w:t>
      </w:r>
      <w:r>
        <w:rPr/>
        <w:t>de</w:t>
      </w:r>
      <w:r>
        <w:rPr>
          <w:spacing w:val="-4"/>
        </w:rPr>
        <w:t> </w:t>
      </w:r>
      <w:r>
        <w:rPr/>
        <w:t>transmisión</w:t>
      </w:r>
      <w:r>
        <w:rPr>
          <w:spacing w:val="-6"/>
        </w:rPr>
        <w:t> </w:t>
      </w:r>
      <w:r>
        <w:rPr/>
        <w:t>de</w:t>
      </w:r>
      <w:r>
        <w:rPr>
          <w:spacing w:val="-6"/>
        </w:rPr>
        <w:t> </w:t>
      </w:r>
      <w:r>
        <w:rPr/>
        <w:t>MRSA</w:t>
      </w:r>
      <w:r>
        <w:rPr>
          <w:spacing w:val="-4"/>
        </w:rPr>
        <w:t> </w:t>
      </w:r>
      <w:r>
        <w:rPr/>
        <w:t>a</w:t>
      </w:r>
      <w:r>
        <w:rPr>
          <w:spacing w:val="-6"/>
        </w:rPr>
        <w:t> </w:t>
      </w:r>
      <w:r>
        <w:rPr/>
        <w:t>humanos</w:t>
      </w:r>
      <w:r>
        <w:rPr>
          <w:spacing w:val="-7"/>
        </w:rPr>
        <w:t> </w:t>
      </w:r>
      <w:r>
        <w:rPr/>
        <w:t>a</w:t>
      </w:r>
      <w:r>
        <w:rPr>
          <w:spacing w:val="-4"/>
        </w:rPr>
        <w:t> </w:t>
      </w:r>
      <w:r>
        <w:rPr/>
        <w:t>través</w:t>
      </w:r>
      <w:r>
        <w:rPr>
          <w:spacing w:val="-7"/>
        </w:rPr>
        <w:t> </w:t>
      </w:r>
      <w:r>
        <w:rPr/>
        <w:t>de</w:t>
      </w:r>
      <w:r>
        <w:rPr>
          <w:spacing w:val="-6"/>
        </w:rPr>
        <w:t> </w:t>
      </w:r>
      <w:r>
        <w:rPr/>
        <w:t>derivados</w:t>
      </w:r>
      <w:r>
        <w:rPr>
          <w:spacing w:val="-4"/>
        </w:rPr>
        <w:t> </w:t>
      </w:r>
      <w:r>
        <w:rPr/>
        <w:t>lácteos de</w:t>
      </w:r>
      <w:r>
        <w:rPr>
          <w:spacing w:val="-4"/>
        </w:rPr>
        <w:t> </w:t>
      </w:r>
      <w:r>
        <w:rPr/>
        <w:t>leche</w:t>
      </w:r>
      <w:r>
        <w:rPr>
          <w:spacing w:val="-4"/>
        </w:rPr>
        <w:t> </w:t>
      </w:r>
      <w:r>
        <w:rPr/>
        <w:t>cruda</w:t>
      </w:r>
      <w:r>
        <w:rPr>
          <w:spacing w:val="-4"/>
        </w:rPr>
        <w:t> </w:t>
      </w:r>
      <w:r>
        <w:rPr/>
        <w:t>(Traversa</w:t>
      </w:r>
      <w:r>
        <w:rPr>
          <w:spacing w:val="-3"/>
        </w:rPr>
        <w:t> </w:t>
      </w:r>
      <w:r>
        <w:rPr>
          <w:i/>
        </w:rPr>
        <w:t>et</w:t>
      </w:r>
      <w:r>
        <w:rPr>
          <w:i/>
          <w:spacing w:val="-4"/>
        </w:rPr>
        <w:t> </w:t>
      </w:r>
      <w:r>
        <w:rPr>
          <w:i/>
        </w:rPr>
        <w:t>al.,</w:t>
      </w:r>
      <w:r>
        <w:rPr>
          <w:i/>
          <w:spacing w:val="-4"/>
        </w:rPr>
        <w:t> </w:t>
      </w:r>
      <w:r>
        <w:rPr/>
        <w:t>2015),</w:t>
      </w:r>
      <w:r>
        <w:rPr>
          <w:spacing w:val="-5"/>
        </w:rPr>
        <w:t> </w:t>
      </w:r>
      <w:r>
        <w:rPr/>
        <w:t>esto</w:t>
      </w:r>
      <w:r>
        <w:rPr>
          <w:spacing w:val="-5"/>
        </w:rPr>
        <w:t> </w:t>
      </w:r>
      <w:r>
        <w:rPr/>
        <w:t>es</w:t>
      </w:r>
      <w:r>
        <w:rPr>
          <w:spacing w:val="-4"/>
        </w:rPr>
        <w:t> </w:t>
      </w:r>
      <w:r>
        <w:rPr/>
        <w:t>especialmente</w:t>
      </w:r>
      <w:r>
        <w:rPr>
          <w:spacing w:val="-4"/>
        </w:rPr>
        <w:t> </w:t>
      </w:r>
      <w:r>
        <w:rPr/>
        <w:t>crítico</w:t>
      </w:r>
      <w:r>
        <w:rPr>
          <w:spacing w:val="-4"/>
        </w:rPr>
        <w:t> </w:t>
      </w:r>
      <w:r>
        <w:rPr/>
        <w:t>en</w:t>
      </w:r>
      <w:r>
        <w:rPr>
          <w:spacing w:val="-4"/>
        </w:rPr>
        <w:t> </w:t>
      </w:r>
      <w:r>
        <w:rPr/>
        <w:t>México</w:t>
      </w:r>
      <w:r>
        <w:rPr>
          <w:spacing w:val="-4"/>
        </w:rPr>
        <w:t> </w:t>
      </w:r>
      <w:r>
        <w:rPr/>
        <w:t>que posee una amplia variedad de quesos elaborados a partir de leche cruda pues productos lácteos como el queso tradicional los microbios no son eliminados por calentamiento o durante el procesamiento, por lo que podrían servir como vehículo para dispersar MRSA (Shanehbandi </w:t>
      </w:r>
      <w:r>
        <w:rPr>
          <w:i/>
        </w:rPr>
        <w:t>et al.,</w:t>
      </w:r>
      <w:r>
        <w:rPr>
          <w:i/>
          <w:spacing w:val="-17"/>
        </w:rPr>
        <w:t> </w:t>
      </w:r>
      <w:r>
        <w:rPr/>
        <w:t>2014).</w:t>
      </w:r>
    </w:p>
    <w:p>
      <w:pPr>
        <w:pStyle w:val="BodyText"/>
        <w:spacing w:line="276" w:lineRule="auto" w:before="123"/>
        <w:ind w:left="142" w:right="138"/>
        <w:jc w:val="both"/>
      </w:pPr>
      <w:r>
        <w:rPr/>
        <w:t>El monitoreo de leche cruda y el control post-ordeña debe ser seguida y aplicada para reducir o prevenir la incidencia de </w:t>
      </w:r>
      <w:r>
        <w:rPr>
          <w:i/>
        </w:rPr>
        <w:t>S. aureus </w:t>
      </w:r>
      <w:r>
        <w:rPr/>
        <w:t>y MRSA en leche y productos lácteos</w:t>
      </w:r>
      <w:r>
        <w:rPr>
          <w:spacing w:val="-7"/>
        </w:rPr>
        <w:t> </w:t>
      </w:r>
      <w:r>
        <w:rPr/>
        <w:t>(Visciano</w:t>
      </w:r>
      <w:r>
        <w:rPr>
          <w:spacing w:val="-5"/>
        </w:rPr>
        <w:t> </w:t>
      </w:r>
      <w:r>
        <w:rPr>
          <w:i/>
        </w:rPr>
        <w:t>et</w:t>
      </w:r>
      <w:r>
        <w:rPr>
          <w:i/>
          <w:spacing w:val="-9"/>
        </w:rPr>
        <w:t> </w:t>
      </w:r>
      <w:r>
        <w:rPr>
          <w:i/>
        </w:rPr>
        <w:t>al</w:t>
      </w:r>
      <w:r>
        <w:rPr/>
        <w:t>.,</w:t>
      </w:r>
      <w:r>
        <w:rPr>
          <w:spacing w:val="-8"/>
        </w:rPr>
        <w:t> </w:t>
      </w:r>
      <w:r>
        <w:rPr/>
        <w:t>2014).</w:t>
      </w:r>
      <w:r>
        <w:rPr>
          <w:spacing w:val="-7"/>
        </w:rPr>
        <w:t> </w:t>
      </w:r>
      <w:r>
        <w:rPr/>
        <w:t>Y</w:t>
      </w:r>
      <w:r>
        <w:rPr>
          <w:spacing w:val="-8"/>
        </w:rPr>
        <w:t> </w:t>
      </w:r>
      <w:r>
        <w:rPr/>
        <w:t>en</w:t>
      </w:r>
      <w:r>
        <w:rPr>
          <w:spacing w:val="-6"/>
        </w:rPr>
        <w:t> </w:t>
      </w:r>
      <w:r>
        <w:rPr/>
        <w:t>México</w:t>
      </w:r>
      <w:r>
        <w:rPr>
          <w:spacing w:val="-6"/>
        </w:rPr>
        <w:t> </w:t>
      </w:r>
      <w:r>
        <w:rPr/>
        <w:t>hace</w:t>
      </w:r>
      <w:r>
        <w:rPr>
          <w:spacing w:val="-8"/>
        </w:rPr>
        <w:t> </w:t>
      </w:r>
      <w:r>
        <w:rPr/>
        <w:t>falta</w:t>
      </w:r>
      <w:r>
        <w:rPr>
          <w:spacing w:val="-8"/>
        </w:rPr>
        <w:t> </w:t>
      </w:r>
      <w:r>
        <w:rPr/>
        <w:t>un</w:t>
      </w:r>
      <w:r>
        <w:rPr>
          <w:spacing w:val="-6"/>
        </w:rPr>
        <w:t> </w:t>
      </w:r>
      <w:r>
        <w:rPr/>
        <w:t>control</w:t>
      </w:r>
      <w:r>
        <w:rPr>
          <w:spacing w:val="-7"/>
        </w:rPr>
        <w:t> </w:t>
      </w:r>
      <w:r>
        <w:rPr/>
        <w:t>de</w:t>
      </w:r>
      <w:r>
        <w:rPr>
          <w:spacing w:val="-6"/>
        </w:rPr>
        <w:t> </w:t>
      </w:r>
      <w:r>
        <w:rPr/>
        <w:t>estos</w:t>
      </w:r>
      <w:r>
        <w:rPr>
          <w:spacing w:val="-7"/>
        </w:rPr>
        <w:t> </w:t>
      </w:r>
      <w:r>
        <w:rPr/>
        <w:t>alimentos ya que estudios como el de López-Vázquez </w:t>
      </w:r>
      <w:r>
        <w:rPr>
          <w:i/>
        </w:rPr>
        <w:t>et al</w:t>
      </w:r>
      <w:r>
        <w:rPr/>
        <w:t>., (2010), detectaron MRSA en hatos lecheros sin embargo a diferencia de Europa donde leche cruda y productos hechos con leche cruda están listados en la categoría de productos recomendados para ser muestreados para el monitoreo de MRSA (Traversa </w:t>
      </w:r>
      <w:r>
        <w:rPr>
          <w:i/>
        </w:rPr>
        <w:t>et al.,</w:t>
      </w:r>
      <w:r>
        <w:rPr>
          <w:i/>
          <w:spacing w:val="-21"/>
        </w:rPr>
        <w:t> </w:t>
      </w:r>
      <w:r>
        <w:rPr/>
        <w:t>2015)</w:t>
      </w:r>
    </w:p>
    <w:p>
      <w:pPr>
        <w:pStyle w:val="BodyText"/>
        <w:spacing w:line="276" w:lineRule="auto" w:before="123"/>
        <w:ind w:left="142" w:right="135"/>
        <w:jc w:val="both"/>
      </w:pPr>
      <w:r>
        <w:rPr/>
        <w:t>La alta prevalencia de genes de resistencia debe ser considerada como un riesgo potencial</w:t>
      </w:r>
      <w:r>
        <w:rPr>
          <w:spacing w:val="-7"/>
        </w:rPr>
        <w:t> </w:t>
      </w:r>
      <w:r>
        <w:rPr/>
        <w:t>para</w:t>
      </w:r>
      <w:r>
        <w:rPr>
          <w:spacing w:val="-7"/>
        </w:rPr>
        <w:t> </w:t>
      </w:r>
      <w:r>
        <w:rPr/>
        <w:t>la</w:t>
      </w:r>
      <w:r>
        <w:rPr>
          <w:spacing w:val="-9"/>
        </w:rPr>
        <w:t> </w:t>
      </w:r>
      <w:r>
        <w:rPr/>
        <w:t>salud</w:t>
      </w:r>
      <w:r>
        <w:rPr>
          <w:spacing w:val="-8"/>
        </w:rPr>
        <w:t> </w:t>
      </w:r>
      <w:r>
        <w:rPr/>
        <w:t>en</w:t>
      </w:r>
      <w:r>
        <w:rPr>
          <w:spacing w:val="-6"/>
        </w:rPr>
        <w:t> </w:t>
      </w:r>
      <w:r>
        <w:rPr/>
        <w:t>seres</w:t>
      </w:r>
      <w:r>
        <w:rPr>
          <w:spacing w:val="-7"/>
        </w:rPr>
        <w:t> </w:t>
      </w:r>
      <w:r>
        <w:rPr/>
        <w:t>humanos</w:t>
      </w:r>
      <w:r>
        <w:rPr>
          <w:spacing w:val="-9"/>
        </w:rPr>
        <w:t> </w:t>
      </w:r>
      <w:r>
        <w:rPr/>
        <w:t>y</w:t>
      </w:r>
      <w:r>
        <w:rPr>
          <w:spacing w:val="-9"/>
        </w:rPr>
        <w:t> </w:t>
      </w:r>
      <w:r>
        <w:rPr/>
        <w:t>en</w:t>
      </w:r>
      <w:r>
        <w:rPr>
          <w:spacing w:val="-6"/>
        </w:rPr>
        <w:t> </w:t>
      </w:r>
      <w:r>
        <w:rPr/>
        <w:t>el</w:t>
      </w:r>
      <w:r>
        <w:rPr>
          <w:spacing w:val="-7"/>
        </w:rPr>
        <w:t> </w:t>
      </w:r>
      <w:r>
        <w:rPr/>
        <w:t>ganado,</w:t>
      </w:r>
      <w:r>
        <w:rPr>
          <w:spacing w:val="-6"/>
        </w:rPr>
        <w:t> </w:t>
      </w:r>
      <w:r>
        <w:rPr/>
        <w:t>estudios</w:t>
      </w:r>
      <w:r>
        <w:rPr>
          <w:spacing w:val="-9"/>
        </w:rPr>
        <w:t> </w:t>
      </w:r>
      <w:r>
        <w:rPr/>
        <w:t>epidemiológicos y patogénicos deben ser realizados para supervisar la distribución, las especies infecciosas y la cinética de la infección, se deben adoptar precauciones necesarias por el gobierno y personas para evitar una mayor propagación de MRSA, medidas como la promoción de la higiene y evitar el uso no supervisado de antibióticos son pasos esenciales al respecto, esto sería útil en las practicas del manejo de la enfermedad</w:t>
      </w:r>
      <w:r>
        <w:rPr>
          <w:spacing w:val="-16"/>
        </w:rPr>
        <w:t> </w:t>
      </w:r>
      <w:r>
        <w:rPr/>
        <w:t>y</w:t>
      </w:r>
      <w:r>
        <w:rPr>
          <w:spacing w:val="-17"/>
        </w:rPr>
        <w:t> </w:t>
      </w:r>
      <w:r>
        <w:rPr/>
        <w:t>así</w:t>
      </w:r>
      <w:r>
        <w:rPr>
          <w:spacing w:val="-17"/>
        </w:rPr>
        <w:t> </w:t>
      </w:r>
      <w:r>
        <w:rPr/>
        <w:t>reducir</w:t>
      </w:r>
      <w:r>
        <w:rPr>
          <w:spacing w:val="-16"/>
        </w:rPr>
        <w:t> </w:t>
      </w:r>
      <w:r>
        <w:rPr/>
        <w:t>los</w:t>
      </w:r>
      <w:r>
        <w:rPr>
          <w:spacing w:val="-14"/>
        </w:rPr>
        <w:t> </w:t>
      </w:r>
      <w:r>
        <w:rPr/>
        <w:t>costos</w:t>
      </w:r>
      <w:r>
        <w:rPr>
          <w:spacing w:val="-15"/>
        </w:rPr>
        <w:t> </w:t>
      </w:r>
      <w:r>
        <w:rPr/>
        <w:t>generales</w:t>
      </w:r>
      <w:r>
        <w:rPr>
          <w:spacing w:val="-15"/>
        </w:rPr>
        <w:t> </w:t>
      </w:r>
      <w:r>
        <w:rPr/>
        <w:t>del</w:t>
      </w:r>
      <w:r>
        <w:rPr>
          <w:spacing w:val="-18"/>
        </w:rPr>
        <w:t> </w:t>
      </w:r>
      <w:r>
        <w:rPr/>
        <w:t>tratamiento</w:t>
      </w:r>
      <w:r>
        <w:rPr>
          <w:spacing w:val="-16"/>
        </w:rPr>
        <w:t> </w:t>
      </w:r>
      <w:r>
        <w:rPr/>
        <w:t>médico</w:t>
      </w:r>
      <w:r>
        <w:rPr>
          <w:spacing w:val="-14"/>
        </w:rPr>
        <w:t> </w:t>
      </w:r>
      <w:r>
        <w:rPr/>
        <w:t>(Shanehbandi </w:t>
      </w:r>
      <w:r>
        <w:rPr>
          <w:i/>
        </w:rPr>
        <w:t>et al., </w:t>
      </w:r>
      <w:r>
        <w:rPr/>
        <w:t>2014). La inocuidad alimentaria debe ser garantizada a fin de prevenir la transmisión de microorganismos patógenos u oportunistas al consumidor (Pesavento </w:t>
      </w:r>
      <w:r>
        <w:rPr>
          <w:i/>
        </w:rPr>
        <w:t>et al.,</w:t>
      </w:r>
      <w:r>
        <w:rPr>
          <w:i/>
          <w:spacing w:val="-9"/>
        </w:rPr>
        <w:t> </w:t>
      </w:r>
      <w:r>
        <w:rPr/>
        <w:t>2007).</w:t>
      </w:r>
    </w:p>
    <w:p>
      <w:pPr>
        <w:pStyle w:val="BodyText"/>
        <w:spacing w:line="276" w:lineRule="auto" w:before="123"/>
        <w:ind w:left="142" w:right="135"/>
        <w:jc w:val="both"/>
      </w:pPr>
      <w:r>
        <w:rPr/>
        <w:t>La</w:t>
      </w:r>
      <w:r>
        <w:rPr>
          <w:spacing w:val="-4"/>
        </w:rPr>
        <w:t> </w:t>
      </w:r>
      <w:r>
        <w:rPr/>
        <w:t>biotipificación</w:t>
      </w:r>
      <w:r>
        <w:rPr>
          <w:spacing w:val="-6"/>
        </w:rPr>
        <w:t> </w:t>
      </w:r>
      <w:r>
        <w:rPr/>
        <w:t>empleada</w:t>
      </w:r>
      <w:r>
        <w:rPr>
          <w:spacing w:val="-4"/>
        </w:rPr>
        <w:t> </w:t>
      </w:r>
      <w:r>
        <w:rPr/>
        <w:t>para</w:t>
      </w:r>
      <w:r>
        <w:rPr>
          <w:spacing w:val="-7"/>
        </w:rPr>
        <w:t> </w:t>
      </w:r>
      <w:r>
        <w:rPr/>
        <w:t>determinar</w:t>
      </w:r>
      <w:r>
        <w:rPr>
          <w:spacing w:val="-5"/>
        </w:rPr>
        <w:t> </w:t>
      </w:r>
      <w:r>
        <w:rPr/>
        <w:t>el</w:t>
      </w:r>
      <w:r>
        <w:rPr>
          <w:spacing w:val="-5"/>
        </w:rPr>
        <w:t> </w:t>
      </w:r>
      <w:r>
        <w:rPr/>
        <w:t>origen</w:t>
      </w:r>
      <w:r>
        <w:rPr>
          <w:spacing w:val="-4"/>
        </w:rPr>
        <w:t> </w:t>
      </w:r>
      <w:r>
        <w:rPr/>
        <w:t>presuntivo</w:t>
      </w:r>
      <w:r>
        <w:rPr>
          <w:spacing w:val="-4"/>
        </w:rPr>
        <w:t> </w:t>
      </w:r>
      <w:r>
        <w:rPr/>
        <w:t>de</w:t>
      </w:r>
      <w:r>
        <w:rPr>
          <w:spacing w:val="-6"/>
        </w:rPr>
        <w:t> </w:t>
      </w:r>
      <w:r>
        <w:rPr/>
        <w:t>las</w:t>
      </w:r>
      <w:r>
        <w:rPr>
          <w:spacing w:val="-4"/>
        </w:rPr>
        <w:t> </w:t>
      </w:r>
      <w:r>
        <w:rPr/>
        <w:t>cepas</w:t>
      </w:r>
      <w:r>
        <w:rPr>
          <w:spacing w:val="-4"/>
        </w:rPr>
        <w:t> </w:t>
      </w:r>
      <w:r>
        <w:rPr/>
        <w:t>de</w:t>
      </w:r>
      <w:r>
        <w:rPr>
          <w:spacing w:val="3"/>
        </w:rPr>
        <w:t> </w:t>
      </w:r>
      <w:r>
        <w:rPr>
          <w:i/>
        </w:rPr>
        <w:t>S. </w:t>
      </w:r>
      <w:r>
        <w:rPr>
          <w:i/>
        </w:rPr>
        <w:t>aureus </w:t>
      </w:r>
      <w:r>
        <w:rPr/>
        <w:t>mostró los aislamientos pertenecieron al ecovar sin hospedero especifico con</w:t>
      </w:r>
      <w:r>
        <w:rPr>
          <w:spacing w:val="-6"/>
        </w:rPr>
        <w:t> </w:t>
      </w:r>
      <w:r>
        <w:rPr/>
        <w:t>58.8%,</w:t>
      </w:r>
      <w:r>
        <w:rPr>
          <w:spacing w:val="-6"/>
        </w:rPr>
        <w:t> </w:t>
      </w:r>
      <w:r>
        <w:rPr/>
        <w:t>datos</w:t>
      </w:r>
      <w:r>
        <w:rPr>
          <w:spacing w:val="-7"/>
        </w:rPr>
        <w:t> </w:t>
      </w:r>
      <w:r>
        <w:rPr/>
        <w:t>similares</w:t>
      </w:r>
      <w:r>
        <w:rPr>
          <w:spacing w:val="-7"/>
        </w:rPr>
        <w:t> </w:t>
      </w:r>
      <w:r>
        <w:rPr/>
        <w:t>se</w:t>
      </w:r>
      <w:r>
        <w:rPr>
          <w:spacing w:val="-6"/>
        </w:rPr>
        <w:t> </w:t>
      </w:r>
      <w:r>
        <w:rPr/>
        <w:t>observaron</w:t>
      </w:r>
      <w:r>
        <w:rPr>
          <w:spacing w:val="-6"/>
        </w:rPr>
        <w:t> </w:t>
      </w:r>
      <w:r>
        <w:rPr/>
        <w:t>en</w:t>
      </w:r>
      <w:r>
        <w:rPr>
          <w:spacing w:val="-8"/>
        </w:rPr>
        <w:t> </w:t>
      </w:r>
      <w:r>
        <w:rPr/>
        <w:t>el</w:t>
      </w:r>
      <w:r>
        <w:rPr>
          <w:spacing w:val="-7"/>
        </w:rPr>
        <w:t> </w:t>
      </w:r>
      <w:r>
        <w:rPr/>
        <w:t>estudio</w:t>
      </w:r>
      <w:r>
        <w:rPr>
          <w:spacing w:val="-6"/>
        </w:rPr>
        <w:t> </w:t>
      </w:r>
      <w:r>
        <w:rPr/>
        <w:t>de</w:t>
      </w:r>
      <w:r>
        <w:rPr>
          <w:spacing w:val="-6"/>
        </w:rPr>
        <w:t> </w:t>
      </w:r>
      <w:r>
        <w:rPr/>
        <w:t>Normanno</w:t>
      </w:r>
      <w:r>
        <w:rPr>
          <w:spacing w:val="1"/>
        </w:rPr>
        <w:t> </w:t>
      </w:r>
      <w:r>
        <w:rPr>
          <w:i/>
        </w:rPr>
        <w:t>et</w:t>
      </w:r>
      <w:r>
        <w:rPr>
          <w:i/>
          <w:spacing w:val="-6"/>
        </w:rPr>
        <w:t> </w:t>
      </w:r>
      <w:r>
        <w:rPr>
          <w:i/>
        </w:rPr>
        <w:t>al</w:t>
      </w:r>
      <w:r>
        <w:rPr/>
        <w:t>.,</w:t>
      </w:r>
      <w:r>
        <w:rPr>
          <w:spacing w:val="-6"/>
        </w:rPr>
        <w:t> </w:t>
      </w:r>
      <w:r>
        <w:rPr/>
        <w:t>(2007), quienes no pudieron tipificar el 50% de sus aislamientos, sin embargo en este estudio el 23.5% de los aislamientos pertenecieron al ecovar humano y Rosegren </w:t>
      </w:r>
      <w:r>
        <w:rPr>
          <w:i/>
        </w:rPr>
        <w:t>et al</w:t>
      </w:r>
      <w:r>
        <w:rPr/>
        <w:t>., (2010), mostraron que sus cepas pertenecieron en su mayoría a este ecovar con 75%. Cepas multiresistentes pueden ser transmitidas de los productores y manipuladores de queso como el estudio de Ferreira </w:t>
      </w:r>
      <w:r>
        <w:rPr>
          <w:i/>
        </w:rPr>
        <w:t>et al., </w:t>
      </w:r>
      <w:r>
        <w:rPr/>
        <w:t>(2014), que demostró que personal con higiene deficiente tiene un rol importante como portadores y diseminadores.</w:t>
      </w:r>
    </w:p>
    <w:p>
      <w:pPr>
        <w:spacing w:after="0" w:line="276" w:lineRule="auto"/>
        <w:jc w:val="both"/>
        <w:sectPr>
          <w:footerReference w:type="default" r:id="rId77"/>
          <w:pgSz w:w="12240" w:h="15840"/>
          <w:pgMar w:footer="710" w:header="728" w:top="1200" w:bottom="900" w:left="1560" w:right="1560"/>
          <w:pgNumType w:start="91"/>
        </w:sectPr>
      </w:pPr>
    </w:p>
    <w:p>
      <w:pPr>
        <w:pStyle w:val="BodyText"/>
        <w:spacing w:before="7"/>
        <w:rPr>
          <w:sz w:val="12"/>
        </w:rPr>
      </w:pPr>
    </w:p>
    <w:p>
      <w:pPr>
        <w:pStyle w:val="BodyText"/>
        <w:spacing w:line="276" w:lineRule="auto" w:before="69"/>
        <w:ind w:left="142" w:right="137"/>
        <w:jc w:val="both"/>
      </w:pPr>
      <w:r>
        <w:rPr/>
        <w:t>En cuanto al </w:t>
      </w:r>
      <w:r>
        <w:rPr>
          <w:i/>
        </w:rPr>
        <w:t>biofilm </w:t>
      </w:r>
      <w:r>
        <w:rPr/>
        <w:t>del total de los aislamientos que se probaron por la técnica de Rojo congo el 8(47%) presentaron la coloración característica, estos datos contrastan con los resultados encontrados por Salgado-Ruíz </w:t>
      </w:r>
      <w:r>
        <w:rPr>
          <w:i/>
        </w:rPr>
        <w:t>et al</w:t>
      </w:r>
      <w:r>
        <w:rPr/>
        <w:t>., (2014), quienes utilizaron técnicas genotípicas para la detección del </w:t>
      </w:r>
      <w:r>
        <w:rPr>
          <w:i/>
        </w:rPr>
        <w:t>biofilm </w:t>
      </w:r>
      <w:r>
        <w:rPr/>
        <w:t>y encontraron que el 100% de sus aislamientos eran positivos, esto es importante debido a que la zona en que se realizó ese estudio la leche se utiliza en su mayoría para la producción de</w:t>
      </w:r>
      <w:r>
        <w:rPr>
          <w:spacing w:val="-7"/>
        </w:rPr>
        <w:t> </w:t>
      </w:r>
      <w:r>
        <w:rPr/>
        <w:t>queso.</w:t>
      </w:r>
      <w:r>
        <w:rPr>
          <w:spacing w:val="-9"/>
        </w:rPr>
        <w:t> </w:t>
      </w:r>
      <w:r>
        <w:rPr/>
        <w:t>La</w:t>
      </w:r>
      <w:r>
        <w:rPr>
          <w:spacing w:val="-9"/>
        </w:rPr>
        <w:t> </w:t>
      </w:r>
      <w:r>
        <w:rPr/>
        <w:t>presencia</w:t>
      </w:r>
      <w:r>
        <w:rPr>
          <w:spacing w:val="-7"/>
        </w:rPr>
        <w:t> </w:t>
      </w:r>
      <w:r>
        <w:rPr/>
        <w:t>del</w:t>
      </w:r>
      <w:r>
        <w:rPr>
          <w:spacing w:val="-11"/>
        </w:rPr>
        <w:t> </w:t>
      </w:r>
      <w:r>
        <w:rPr/>
        <w:t>biofilm</w:t>
      </w:r>
      <w:r>
        <w:rPr>
          <w:spacing w:val="-6"/>
        </w:rPr>
        <w:t> </w:t>
      </w:r>
      <w:r>
        <w:rPr/>
        <w:t>sugiere</w:t>
      </w:r>
      <w:r>
        <w:rPr>
          <w:spacing w:val="-7"/>
        </w:rPr>
        <w:t> </w:t>
      </w:r>
      <w:r>
        <w:rPr/>
        <w:t>que</w:t>
      </w:r>
      <w:r>
        <w:rPr>
          <w:spacing w:val="-7"/>
        </w:rPr>
        <w:t> </w:t>
      </w:r>
      <w:r>
        <w:rPr/>
        <w:t>la</w:t>
      </w:r>
      <w:r>
        <w:rPr>
          <w:spacing w:val="-7"/>
        </w:rPr>
        <w:t> </w:t>
      </w:r>
      <w:r>
        <w:rPr/>
        <w:t>contaminación</w:t>
      </w:r>
      <w:r>
        <w:rPr>
          <w:spacing w:val="-9"/>
        </w:rPr>
        <w:t> </w:t>
      </w:r>
      <w:r>
        <w:rPr/>
        <w:t>se</w:t>
      </w:r>
      <w:r>
        <w:rPr>
          <w:spacing w:val="-9"/>
        </w:rPr>
        <w:t> </w:t>
      </w:r>
      <w:r>
        <w:rPr/>
        <w:t>produjo</w:t>
      </w:r>
      <w:r>
        <w:rPr>
          <w:spacing w:val="-10"/>
        </w:rPr>
        <w:t> </w:t>
      </w:r>
      <w:r>
        <w:rPr/>
        <w:t>durante el proceso de</w:t>
      </w:r>
      <w:r>
        <w:rPr>
          <w:spacing w:val="-10"/>
        </w:rPr>
        <w:t> </w:t>
      </w:r>
      <w:r>
        <w:rPr/>
        <w:t>manufacura.</w:t>
      </w:r>
    </w:p>
    <w:p>
      <w:pPr>
        <w:spacing w:after="0" w:line="276" w:lineRule="auto"/>
        <w:jc w:val="both"/>
        <w:sectPr>
          <w:pgSz w:w="12240" w:h="15840"/>
          <w:pgMar w:header="728" w:footer="710" w:top="1200" w:bottom="900" w:left="1560" w:right="1560"/>
        </w:sectPr>
      </w:pPr>
    </w:p>
    <w:p>
      <w:pPr>
        <w:pStyle w:val="BodyText"/>
        <w:rPr>
          <w:sz w:val="20"/>
        </w:rPr>
      </w:pPr>
    </w:p>
    <w:p>
      <w:pPr>
        <w:pStyle w:val="BodyText"/>
        <w:spacing w:before="7"/>
        <w:rPr>
          <w:sz w:val="26"/>
        </w:rPr>
      </w:pPr>
    </w:p>
    <w:p>
      <w:pPr>
        <w:pStyle w:val="Heading2"/>
        <w:numPr>
          <w:ilvl w:val="1"/>
          <w:numId w:val="3"/>
        </w:numPr>
        <w:tabs>
          <w:tab w:pos="3743" w:val="left" w:leader="none"/>
        </w:tabs>
        <w:spacing w:line="240" w:lineRule="auto" w:before="69" w:after="0"/>
        <w:ind w:left="3742" w:right="0" w:hanging="295"/>
        <w:jc w:val="left"/>
      </w:pPr>
      <w:bookmarkStart w:name="_bookmark59" w:id="74"/>
      <w:bookmarkEnd w:id="74"/>
      <w:r>
        <w:rPr>
          <w:b w:val="0"/>
        </w:rPr>
      </w:r>
      <w:bookmarkStart w:name="_bookmark59" w:id="75"/>
      <w:bookmarkEnd w:id="75"/>
      <w:r>
        <w:rPr/>
        <w:t>CON</w:t>
      </w:r>
      <w:r>
        <w:rPr/>
        <w:t>CLUSIONES</w:t>
      </w:r>
    </w:p>
    <w:p>
      <w:pPr>
        <w:pStyle w:val="BodyText"/>
        <w:spacing w:line="264" w:lineRule="auto" w:before="137"/>
        <w:ind w:left="142" w:right="63"/>
      </w:pPr>
      <w:r>
        <w:rPr>
          <w:color w:val="212121"/>
        </w:rPr>
        <w:t>La procedencia del queso fresco en el municipio es mayoritariamente del Valle de Toluca.</w:t>
      </w:r>
    </w:p>
    <w:p>
      <w:pPr>
        <w:pStyle w:val="BodyText"/>
        <w:spacing w:line="264" w:lineRule="auto" w:before="119"/>
        <w:ind w:left="142" w:right="63"/>
      </w:pPr>
      <w:r>
        <w:rPr>
          <w:color w:val="212121"/>
        </w:rPr>
        <w:t>La evaluación del queso fresco del Valle de Toluca correspondió a un queso típicamente genuino de la región.</w:t>
      </w:r>
    </w:p>
    <w:p>
      <w:pPr>
        <w:pStyle w:val="BodyText"/>
        <w:spacing w:before="119"/>
        <w:ind w:left="142" w:right="1550"/>
      </w:pPr>
      <w:r>
        <w:rPr>
          <w:color w:val="212121"/>
        </w:rPr>
        <w:t>El sistema de comercialización del producto es defienciente.</w:t>
      </w:r>
    </w:p>
    <w:p>
      <w:pPr>
        <w:pStyle w:val="BodyText"/>
        <w:spacing w:line="264" w:lineRule="auto" w:before="146"/>
        <w:ind w:left="142" w:right="63"/>
      </w:pPr>
      <w:r>
        <w:rPr/>
        <w:t>Se identificaron 17 aislamientos de </w:t>
      </w:r>
      <w:r>
        <w:rPr>
          <w:i/>
        </w:rPr>
        <w:t>S. aureus </w:t>
      </w:r>
      <w:r>
        <w:rPr/>
        <w:t>procedentes de quesos frescos, siendo todos positivos al gen </w:t>
      </w:r>
      <w:r>
        <w:rPr>
          <w:i/>
        </w:rPr>
        <w:t>femB </w:t>
      </w:r>
      <w:r>
        <w:rPr/>
        <w:t>que representa un riesgo a la Salud Pública.</w:t>
      </w:r>
    </w:p>
    <w:p>
      <w:pPr>
        <w:pStyle w:val="BodyText"/>
        <w:spacing w:line="264" w:lineRule="auto" w:before="125"/>
        <w:ind w:left="142" w:right="63"/>
      </w:pPr>
      <w:r>
        <w:rPr/>
        <w:t>Los aislamientos mostraron un mayor porcentaje de resistencia a penicilina, ampicilina, ceftazidima, cefotaxima y amoxicilina/ácido clavulánico.</w:t>
      </w:r>
    </w:p>
    <w:p>
      <w:pPr>
        <w:pStyle w:val="BodyText"/>
        <w:spacing w:before="119"/>
        <w:ind w:left="142" w:right="1550"/>
        <w:rPr>
          <w:i/>
        </w:rPr>
      </w:pPr>
      <w:r>
        <w:rPr/>
        <w:t>Ningun aislamiento mostró el gen </w:t>
      </w:r>
      <w:r>
        <w:rPr>
          <w:i/>
        </w:rPr>
        <w:t>mecA </w:t>
      </w:r>
      <w:r>
        <w:rPr/>
        <w:t>en la prueba de PCR</w:t>
      </w:r>
      <w:r>
        <w:rPr>
          <w:i/>
        </w:rPr>
        <w:t>.</w:t>
      </w:r>
    </w:p>
    <w:p>
      <w:pPr>
        <w:pStyle w:val="BodyText"/>
        <w:spacing w:line="264" w:lineRule="auto" w:before="149"/>
        <w:ind w:left="142" w:right="63"/>
      </w:pPr>
      <w:r>
        <w:rPr/>
        <w:t>La biotipificación mostró que los aislamientos pertenecían mayoritariamente al Ecovar humano.</w:t>
      </w:r>
    </w:p>
    <w:p>
      <w:pPr>
        <w:pStyle w:val="BodyText"/>
        <w:spacing w:before="117"/>
        <w:ind w:left="142" w:right="1550"/>
        <w:rPr>
          <w:i/>
        </w:rPr>
      </w:pPr>
      <w:r>
        <w:rPr/>
        <w:t>Un porcentaje importante mostró ser positivo a </w:t>
      </w:r>
      <w:r>
        <w:rPr>
          <w:i/>
        </w:rPr>
        <w:t>biofilm.</w:t>
      </w:r>
    </w:p>
    <w:p>
      <w:pPr>
        <w:spacing w:after="0"/>
        <w:sectPr>
          <w:pgSz w:w="12240" w:h="15840"/>
          <w:pgMar w:header="728" w:footer="710" w:top="1200" w:bottom="900" w:left="1560" w:right="1560"/>
        </w:sectPr>
      </w:pPr>
    </w:p>
    <w:p>
      <w:pPr>
        <w:pStyle w:val="BodyText"/>
        <w:spacing w:before="9"/>
        <w:rPr>
          <w:i/>
          <w:sz w:val="12"/>
        </w:rPr>
      </w:pPr>
    </w:p>
    <w:p>
      <w:pPr>
        <w:pStyle w:val="Heading2"/>
        <w:numPr>
          <w:ilvl w:val="1"/>
          <w:numId w:val="3"/>
        </w:numPr>
        <w:tabs>
          <w:tab w:pos="3489" w:val="left" w:leader="none"/>
        </w:tabs>
        <w:spacing w:line="240" w:lineRule="auto" w:before="70" w:after="0"/>
        <w:ind w:left="3488" w:right="0" w:hanging="363"/>
        <w:jc w:val="left"/>
      </w:pPr>
      <w:bookmarkStart w:name="_bookmark60" w:id="76"/>
      <w:bookmarkEnd w:id="76"/>
      <w:r>
        <w:rPr>
          <w:b w:val="0"/>
        </w:rPr>
      </w:r>
      <w:bookmarkStart w:name="_bookmark60" w:id="77"/>
      <w:bookmarkEnd w:id="77"/>
      <w:r>
        <w:rPr/>
        <w:t>LITE</w:t>
      </w:r>
      <w:r>
        <w:rPr/>
        <w:t>RATURA</w:t>
      </w:r>
      <w:r>
        <w:rPr>
          <w:spacing w:val="-7"/>
        </w:rPr>
        <w:t> </w:t>
      </w:r>
      <w:r>
        <w:rPr/>
        <w:t>CITADA</w:t>
      </w:r>
    </w:p>
    <w:p>
      <w:pPr>
        <w:pStyle w:val="BodyText"/>
        <w:spacing w:line="278" w:lineRule="auto" w:before="137"/>
        <w:ind w:left="142" w:right="134"/>
        <w:jc w:val="both"/>
      </w:pPr>
      <w:r>
        <w:rPr/>
        <w:t>Adams M., Moss M., (2002) Microbiología De Los Alimentos, Acribia, España, 258- 264.</w:t>
      </w:r>
    </w:p>
    <w:p>
      <w:pPr>
        <w:pStyle w:val="BodyText"/>
        <w:spacing w:line="276" w:lineRule="auto" w:before="118"/>
        <w:ind w:left="142" w:right="137"/>
        <w:jc w:val="both"/>
      </w:pPr>
      <w:r>
        <w:rPr/>
        <w:t>Alvarado V., Mora M., Arías M., Rojas N., Chaves C.,(2011), Resistencia antimicrobiana</w:t>
      </w:r>
      <w:r>
        <w:rPr>
          <w:spacing w:val="-6"/>
        </w:rPr>
        <w:t> </w:t>
      </w:r>
      <w:r>
        <w:rPr/>
        <w:t>de</w:t>
      </w:r>
      <w:r>
        <w:rPr>
          <w:spacing w:val="-6"/>
        </w:rPr>
        <w:t> </w:t>
      </w:r>
      <w:r>
        <w:rPr/>
        <w:t>cepas</w:t>
      </w:r>
      <w:r>
        <w:rPr>
          <w:spacing w:val="-7"/>
        </w:rPr>
        <w:t> </w:t>
      </w:r>
      <w:r>
        <w:rPr/>
        <w:t>de</w:t>
      </w:r>
      <w:r>
        <w:rPr>
          <w:spacing w:val="-6"/>
        </w:rPr>
        <w:t> </w:t>
      </w:r>
      <w:r>
        <w:rPr>
          <w:i/>
        </w:rPr>
        <w:t>Staphylococcus</w:t>
      </w:r>
      <w:r>
        <w:rPr>
          <w:i/>
          <w:spacing w:val="-9"/>
        </w:rPr>
        <w:t> </w:t>
      </w:r>
      <w:r>
        <w:rPr>
          <w:i/>
        </w:rPr>
        <w:t>aureus</w:t>
      </w:r>
      <w:r>
        <w:rPr/>
        <w:t>,</w:t>
      </w:r>
      <w:r>
        <w:rPr>
          <w:spacing w:val="-9"/>
        </w:rPr>
        <w:t> </w:t>
      </w:r>
      <w:r>
        <w:rPr/>
        <w:t>Costa</w:t>
      </w:r>
      <w:r>
        <w:rPr>
          <w:spacing w:val="-6"/>
        </w:rPr>
        <w:t> </w:t>
      </w:r>
      <w:r>
        <w:rPr/>
        <w:t>Rica,</w:t>
      </w:r>
      <w:r>
        <w:rPr>
          <w:spacing w:val="-6"/>
        </w:rPr>
        <w:t> </w:t>
      </w:r>
      <w:r>
        <w:rPr/>
        <w:t>Rev</w:t>
      </w:r>
      <w:r>
        <w:rPr>
          <w:spacing w:val="-8"/>
        </w:rPr>
        <w:t> </w:t>
      </w:r>
      <w:r>
        <w:rPr/>
        <w:t>Costarr</w:t>
      </w:r>
      <w:r>
        <w:rPr>
          <w:spacing w:val="-8"/>
        </w:rPr>
        <w:t> </w:t>
      </w:r>
      <w:r>
        <w:rPr/>
        <w:t>Salud Pública,</w:t>
      </w:r>
      <w:r>
        <w:rPr>
          <w:spacing w:val="-9"/>
        </w:rPr>
        <w:t> </w:t>
      </w:r>
      <w:r>
        <w:rPr/>
        <w:t>20:102-106.</w:t>
      </w:r>
    </w:p>
    <w:p>
      <w:pPr>
        <w:pStyle w:val="BodyText"/>
        <w:spacing w:line="276" w:lineRule="auto" w:before="123"/>
        <w:ind w:left="142" w:right="138"/>
        <w:jc w:val="both"/>
      </w:pPr>
      <w:r>
        <w:rPr/>
        <w:t>André</w:t>
      </w:r>
      <w:r>
        <w:rPr>
          <w:spacing w:val="-14"/>
        </w:rPr>
        <w:t> </w:t>
      </w:r>
      <w:r>
        <w:rPr/>
        <w:t>M.,</w:t>
      </w:r>
      <w:r>
        <w:rPr>
          <w:spacing w:val="-13"/>
        </w:rPr>
        <w:t> </w:t>
      </w:r>
      <w:r>
        <w:rPr/>
        <w:t>Hidalgo</w:t>
      </w:r>
      <w:r>
        <w:rPr>
          <w:spacing w:val="-13"/>
        </w:rPr>
        <w:t> </w:t>
      </w:r>
      <w:r>
        <w:rPr/>
        <w:t>M.,</w:t>
      </w:r>
      <w:r>
        <w:rPr>
          <w:spacing w:val="-16"/>
        </w:rPr>
        <w:t> </w:t>
      </w:r>
      <w:r>
        <w:rPr/>
        <w:t>Jayme</w:t>
      </w:r>
      <w:r>
        <w:rPr>
          <w:spacing w:val="-13"/>
        </w:rPr>
        <w:t> </w:t>
      </w:r>
      <w:r>
        <w:rPr/>
        <w:t>L.,</w:t>
      </w:r>
      <w:r>
        <w:rPr>
          <w:spacing w:val="-16"/>
        </w:rPr>
        <w:t> </w:t>
      </w:r>
      <w:r>
        <w:rPr/>
        <w:t>Kipnis</w:t>
      </w:r>
      <w:r>
        <w:rPr>
          <w:spacing w:val="-14"/>
        </w:rPr>
        <w:t> </w:t>
      </w:r>
      <w:r>
        <w:rPr/>
        <w:t>A.,</w:t>
      </w:r>
      <w:r>
        <w:rPr>
          <w:spacing w:val="-13"/>
        </w:rPr>
        <w:t> </w:t>
      </w:r>
      <w:r>
        <w:rPr/>
        <w:t>Pimenta</w:t>
      </w:r>
      <w:r>
        <w:rPr>
          <w:spacing w:val="-13"/>
        </w:rPr>
        <w:t> </w:t>
      </w:r>
      <w:r>
        <w:rPr/>
        <w:t>M.,</w:t>
      </w:r>
      <w:r>
        <w:rPr>
          <w:spacing w:val="-16"/>
        </w:rPr>
        <w:t> </w:t>
      </w:r>
      <w:r>
        <w:rPr/>
        <w:t>Bisol</w:t>
      </w:r>
      <w:r>
        <w:rPr>
          <w:spacing w:val="-14"/>
        </w:rPr>
        <w:t> </w:t>
      </w:r>
      <w:r>
        <w:rPr/>
        <w:t>A.,</w:t>
      </w:r>
      <w:r>
        <w:rPr>
          <w:spacing w:val="-13"/>
        </w:rPr>
        <w:t> </w:t>
      </w:r>
      <w:r>
        <w:rPr/>
        <w:t>(2008),</w:t>
      </w:r>
      <w:r>
        <w:rPr>
          <w:spacing w:val="-14"/>
        </w:rPr>
        <w:t> </w:t>
      </w:r>
      <w:r>
        <w:rPr/>
        <w:t>Comparison of </w:t>
      </w:r>
      <w:r>
        <w:rPr>
          <w:i/>
        </w:rPr>
        <w:t>Staphylococcus aureus </w:t>
      </w:r>
      <w:r>
        <w:rPr/>
        <w:t>isolates from food handlers, raw bovine milk and Minas Frescal cheese by antibiogram and pulsed-fiel gel electrophoresis following SmaI digestion, Food Control</w:t>
      </w:r>
      <w:r>
        <w:rPr>
          <w:spacing w:val="-10"/>
        </w:rPr>
        <w:t> </w:t>
      </w:r>
      <w:r>
        <w:rPr/>
        <w:t>19:200-207.</w:t>
      </w:r>
    </w:p>
    <w:p>
      <w:pPr>
        <w:pStyle w:val="BodyText"/>
        <w:tabs>
          <w:tab w:pos="2771" w:val="left" w:leader="none"/>
          <w:tab w:pos="5788" w:val="left" w:leader="none"/>
          <w:tab w:pos="8645" w:val="left" w:leader="none"/>
        </w:tabs>
        <w:spacing w:line="276" w:lineRule="auto" w:before="120"/>
        <w:ind w:left="142" w:right="139"/>
      </w:pPr>
      <w:r>
        <w:rPr/>
        <w:t>Bando</w:t>
        <w:tab/>
        <w:t>Municipal,</w:t>
        <w:tab/>
        <w:t>obtenido</w:t>
        <w:tab/>
        <w:t>de: </w:t>
      </w:r>
      <w:hyperlink r:id="rId78">
        <w:r>
          <w:rPr>
            <w:u w:val="single"/>
          </w:rPr>
          <w:t>http://legislacion.edomex.gob.mx/sites/legislacion.edomex.gob.mx/files/files/pdf/bd</w:t>
        </w:r>
      </w:hyperlink>
      <w:r>
        <w:rPr>
          <w:u w:val="single"/>
        </w:rPr>
        <w:t> </w:t>
      </w:r>
      <w:hyperlink r:id="rId78">
        <w:r>
          <w:rPr>
            <w:u w:val="single"/>
          </w:rPr>
          <w:t>o/bdo108.pdf</w:t>
        </w:r>
      </w:hyperlink>
      <w:r>
        <w:rPr/>
        <w:t>, consultado el 22 de enero de</w:t>
      </w:r>
      <w:r>
        <w:rPr>
          <w:spacing w:val="-23"/>
        </w:rPr>
        <w:t> </w:t>
      </w:r>
      <w:r>
        <w:rPr/>
        <w:t>2015.</w:t>
      </w:r>
    </w:p>
    <w:p>
      <w:pPr>
        <w:pStyle w:val="BodyText"/>
        <w:spacing w:line="276" w:lineRule="auto" w:before="120"/>
        <w:ind w:left="142" w:right="134"/>
        <w:jc w:val="both"/>
      </w:pPr>
      <w:r>
        <w:rPr/>
        <w:t>Borbolla-Sala M., Vidal-Pérez M., Piña-Gutiérrez O., Ramírez Messner I., Vidal- Vidal J., (2004), Contaminación de los alimentos por Vibrio cholerae, coliformes fecales, </w:t>
      </w:r>
      <w:r>
        <w:rPr>
          <w:i/>
        </w:rPr>
        <w:t>Salmonella</w:t>
      </w:r>
      <w:r>
        <w:rPr/>
        <w:t>, Hongos, levaduras y </w:t>
      </w:r>
      <w:r>
        <w:rPr>
          <w:i/>
        </w:rPr>
        <w:t>Staphylococcus aureus </w:t>
      </w:r>
      <w:r>
        <w:rPr/>
        <w:t>en Tabasco durante el 2003, Salud en Tabasco, 10(2):221-232.</w:t>
      </w:r>
    </w:p>
    <w:p>
      <w:pPr>
        <w:pStyle w:val="BodyText"/>
        <w:spacing w:line="276" w:lineRule="auto" w:before="120"/>
        <w:ind w:left="142" w:right="137"/>
        <w:jc w:val="both"/>
      </w:pPr>
      <w:r>
        <w:rPr/>
        <w:t>Bustos-Martínez J., Hamdan-Partida A., Gutiérrez-Cárdenas M., (2006), </w:t>
      </w:r>
      <w:r>
        <w:rPr>
          <w:i/>
        </w:rPr>
        <w:t>Staphylococcus aureus: </w:t>
      </w:r>
      <w:r>
        <w:rPr/>
        <w:t>la reemergencia de un patógeno en la comunidad, Rev. Biomed, 17:287-305.</w:t>
      </w:r>
    </w:p>
    <w:p>
      <w:pPr>
        <w:pStyle w:val="BodyText"/>
        <w:spacing w:line="276" w:lineRule="auto" w:before="118"/>
        <w:ind w:left="142" w:right="136"/>
        <w:jc w:val="both"/>
      </w:pPr>
      <w:r>
        <w:rPr/>
        <w:t>Camussone C. y Calvinho L., (2013), Factores de virulencia de </w:t>
      </w:r>
      <w:r>
        <w:rPr>
          <w:i/>
        </w:rPr>
        <w:t>Staphylococcus </w:t>
      </w:r>
      <w:r>
        <w:rPr>
          <w:i/>
        </w:rPr>
        <w:t>aureus </w:t>
      </w:r>
      <w:r>
        <w:rPr/>
        <w:t>asociados con infecciones mamarias de bovinos: relevancia y rol como agentes inmunogenos, Revista Argent Microbiol., 45(2):119-130.</w:t>
      </w:r>
    </w:p>
    <w:p>
      <w:pPr>
        <w:pStyle w:val="BodyText"/>
        <w:spacing w:line="276" w:lineRule="auto" w:before="123"/>
        <w:ind w:left="142" w:right="139"/>
        <w:jc w:val="both"/>
      </w:pPr>
      <w:r>
        <w:rPr/>
        <w:t>Castro-Georgana V., Díaz-Rodríguez A., Torres-Torres B., (2005), Análisis de la calidad sanitaria de las queserías y quesos en el Estado de Tabasco en el periodo del 2002-2005, Salud en Tabasco 13(1):560-567.</w:t>
      </w:r>
    </w:p>
    <w:p>
      <w:pPr>
        <w:pStyle w:val="BodyText"/>
        <w:spacing w:line="278" w:lineRule="auto" w:before="120"/>
        <w:ind w:left="142" w:right="135"/>
        <w:jc w:val="both"/>
      </w:pPr>
      <w:r>
        <w:rPr/>
        <w:t>Centro Europeo para la Prevención y el Control de las Enfermedades, (ECDC), 2013.</w:t>
      </w:r>
    </w:p>
    <w:p>
      <w:pPr>
        <w:pStyle w:val="BodyText"/>
        <w:spacing w:line="276" w:lineRule="auto" w:before="118"/>
        <w:ind w:left="142" w:right="137"/>
        <w:jc w:val="both"/>
      </w:pPr>
      <w:r>
        <w:rPr/>
        <w:t>Cervantes F, Villegas de Gante A., Cesín A, Espinoza A., (2008), Los quesos mexicanos genuinos Patrimonio cultural que debe rescatarse, México: Universidad Autónoma Chapingo, Centro de Investigaciones Económicas, Sociales y Tecnológicas de la Agroindustria y la Agricultura Mundial, pp: 63-65.</w:t>
      </w:r>
    </w:p>
    <w:p>
      <w:pPr>
        <w:pStyle w:val="BodyText"/>
        <w:spacing w:line="276" w:lineRule="auto" w:before="123"/>
        <w:ind w:left="142" w:right="137"/>
        <w:jc w:val="both"/>
      </w:pPr>
      <w:r>
        <w:rPr/>
        <w:t>Cervantes-García E., García-González R., Salazar-Schettino, (2014), Características generals del </w:t>
      </w:r>
      <w:r>
        <w:rPr>
          <w:i/>
        </w:rPr>
        <w:t>Staphylococcus aureus</w:t>
      </w:r>
      <w:r>
        <w:rPr/>
        <w:t>, Rev Latinoam PAtol Clin Med Lab, 61(1):28-40.</w:t>
      </w:r>
    </w:p>
    <w:p>
      <w:pPr>
        <w:spacing w:after="0" w:line="276" w:lineRule="auto"/>
        <w:jc w:val="both"/>
        <w:sectPr>
          <w:pgSz w:w="12240" w:h="15840"/>
          <w:pgMar w:header="728" w:footer="710" w:top="1200" w:bottom="900" w:left="1560" w:right="1560"/>
        </w:sectPr>
      </w:pPr>
    </w:p>
    <w:p>
      <w:pPr>
        <w:pStyle w:val="BodyText"/>
        <w:spacing w:before="9"/>
        <w:rPr>
          <w:sz w:val="12"/>
        </w:rPr>
      </w:pPr>
    </w:p>
    <w:p>
      <w:pPr>
        <w:pStyle w:val="BodyText"/>
        <w:spacing w:line="276" w:lineRule="auto" w:before="70"/>
        <w:ind w:left="142" w:right="145"/>
        <w:jc w:val="both"/>
      </w:pPr>
      <w:r>
        <w:rPr/>
        <w:t>CLSI, Clinical and Laboratory Standards Institute. (2014). Performance Standards for Antimicrobial Susceptibility Testing. M100-S24 and eM100.</w:t>
      </w:r>
    </w:p>
    <w:p>
      <w:pPr>
        <w:pStyle w:val="BodyText"/>
        <w:spacing w:line="280" w:lineRule="auto" w:before="118"/>
        <w:ind w:left="142" w:right="143"/>
        <w:jc w:val="both"/>
      </w:pPr>
      <w:r>
        <w:rPr>
          <w:i/>
        </w:rPr>
        <w:t>Codex alimentarius</w:t>
      </w:r>
      <w:r>
        <w:rPr/>
        <w:t>. Código de prácticas de higiene para la leche y los productos lácteos. CAC/RCP 57-2004.</w:t>
      </w:r>
    </w:p>
    <w:p>
      <w:pPr>
        <w:pStyle w:val="BodyText"/>
        <w:spacing w:line="276" w:lineRule="auto" w:before="115"/>
        <w:ind w:left="142" w:right="140"/>
        <w:jc w:val="both"/>
      </w:pPr>
      <w:r>
        <w:rPr/>
        <w:t>Crago</w:t>
      </w:r>
      <w:r>
        <w:rPr>
          <w:spacing w:val="-9"/>
        </w:rPr>
        <w:t> </w:t>
      </w:r>
      <w:r>
        <w:rPr/>
        <w:t>B.,</w:t>
      </w:r>
      <w:r>
        <w:rPr>
          <w:spacing w:val="-9"/>
        </w:rPr>
        <w:t> </w:t>
      </w:r>
      <w:r>
        <w:rPr/>
        <w:t>Ferrato</w:t>
      </w:r>
      <w:r>
        <w:rPr>
          <w:spacing w:val="-9"/>
        </w:rPr>
        <w:t> </w:t>
      </w:r>
      <w:r>
        <w:rPr/>
        <w:t>C.,</w:t>
      </w:r>
      <w:r>
        <w:rPr>
          <w:spacing w:val="-10"/>
        </w:rPr>
        <w:t> </w:t>
      </w:r>
      <w:r>
        <w:rPr/>
        <w:t>Drews</w:t>
      </w:r>
      <w:r>
        <w:rPr>
          <w:spacing w:val="-10"/>
        </w:rPr>
        <w:t> </w:t>
      </w:r>
      <w:r>
        <w:rPr/>
        <w:t>S.,</w:t>
      </w:r>
      <w:r>
        <w:rPr>
          <w:spacing w:val="-9"/>
        </w:rPr>
        <w:t> </w:t>
      </w:r>
      <w:r>
        <w:rPr/>
        <w:t>Svenson</w:t>
      </w:r>
      <w:r>
        <w:rPr>
          <w:spacing w:val="-9"/>
        </w:rPr>
        <w:t> </w:t>
      </w:r>
      <w:r>
        <w:rPr/>
        <w:t>L.,</w:t>
      </w:r>
      <w:r>
        <w:rPr>
          <w:spacing w:val="-12"/>
        </w:rPr>
        <w:t> </w:t>
      </w:r>
      <w:r>
        <w:rPr/>
        <w:t>Tyrrell</w:t>
      </w:r>
      <w:r>
        <w:rPr>
          <w:spacing w:val="-11"/>
        </w:rPr>
        <w:t> </w:t>
      </w:r>
      <w:r>
        <w:rPr/>
        <w:t>G.,</w:t>
      </w:r>
      <w:r>
        <w:rPr>
          <w:spacing w:val="-10"/>
        </w:rPr>
        <w:t> </w:t>
      </w:r>
      <w:r>
        <w:rPr/>
        <w:t>Louie</w:t>
      </w:r>
      <w:r>
        <w:rPr>
          <w:spacing w:val="-9"/>
        </w:rPr>
        <w:t> </w:t>
      </w:r>
      <w:r>
        <w:rPr/>
        <w:t>M.,</w:t>
      </w:r>
      <w:r>
        <w:rPr>
          <w:spacing w:val="-9"/>
        </w:rPr>
        <w:t> </w:t>
      </w:r>
      <w:r>
        <w:rPr/>
        <w:t>(2012)</w:t>
      </w:r>
      <w:r>
        <w:rPr>
          <w:spacing w:val="47"/>
        </w:rPr>
        <w:t> </w:t>
      </w:r>
      <w:r>
        <w:rPr/>
        <w:t>Prevalence of </w:t>
      </w:r>
      <w:r>
        <w:rPr>
          <w:i/>
        </w:rPr>
        <w:t>Staphylococcus aureus </w:t>
      </w:r>
      <w:r>
        <w:rPr/>
        <w:t>and methicillin-resistant S. aureus (MRSA) in food samples associated with foodborne illness in Alberta, Canada from 2007 to 2010, Food Microbiology, 32</w:t>
      </w:r>
      <w:r>
        <w:rPr>
          <w:spacing w:val="-10"/>
        </w:rPr>
        <w:t> </w:t>
      </w:r>
      <w:r>
        <w:rPr/>
        <w:t>(1):202-205.</w:t>
      </w:r>
    </w:p>
    <w:p>
      <w:pPr>
        <w:pStyle w:val="BodyText"/>
        <w:spacing w:line="276" w:lineRule="auto" w:before="120"/>
        <w:ind w:left="142" w:right="136"/>
        <w:jc w:val="both"/>
      </w:pPr>
      <w:r>
        <w:rPr/>
        <w:t>Da Silva Q., De Medeiros I., Alves A., Pinto J., Leite E., (2012), Influence of temperature and surface kind on </w:t>
      </w:r>
      <w:r>
        <w:rPr>
          <w:i/>
        </w:rPr>
        <w:t>biofilm </w:t>
      </w:r>
      <w:r>
        <w:rPr/>
        <w:t>formation by </w:t>
      </w:r>
      <w:r>
        <w:rPr>
          <w:i/>
        </w:rPr>
        <w:t>Staphylococcus aureus </w:t>
      </w:r>
      <w:r>
        <w:rPr/>
        <w:t>from food-contact surfaces and sensivity to sanitizers, Food Control, 25:469-475.</w:t>
      </w:r>
    </w:p>
    <w:p>
      <w:pPr>
        <w:pStyle w:val="BodyText"/>
        <w:spacing w:line="278" w:lineRule="auto" w:before="118"/>
        <w:ind w:left="142" w:right="137"/>
        <w:jc w:val="both"/>
      </w:pPr>
      <w:r>
        <w:rPr/>
        <w:t>Devriese L.A,(1984), A simplified system for biotyping </w:t>
      </w:r>
      <w:r>
        <w:rPr>
          <w:i/>
        </w:rPr>
        <w:t>Staphylococcus aureus </w:t>
      </w:r>
      <w:r>
        <w:rPr/>
        <w:t>strains isolated from diferent animal species, Journal of Applied Bacteriology, 56:215-220.</w:t>
      </w:r>
    </w:p>
    <w:p>
      <w:pPr>
        <w:pStyle w:val="BodyText"/>
        <w:spacing w:line="276" w:lineRule="auto" w:before="118"/>
        <w:ind w:left="142" w:right="136"/>
        <w:jc w:val="both"/>
      </w:pPr>
      <w:r>
        <w:rPr/>
        <w:t>Di Ciccio P., Vergara A., Festino A., Paludi D., Zanardi E., Ghidini S., Ianieri A., (2015) </w:t>
      </w:r>
      <w:r>
        <w:rPr>
          <w:i/>
        </w:rPr>
        <w:t>Biofilm </w:t>
      </w:r>
      <w:r>
        <w:rPr/>
        <w:t>formation by </w:t>
      </w:r>
      <w:r>
        <w:rPr>
          <w:i/>
        </w:rPr>
        <w:t>Staphylcoccus aureus </w:t>
      </w:r>
      <w:r>
        <w:rPr/>
        <w:t>on food contact surfaces: Relationship with temperatura and cell Surface hydrophobicity, Food Control, 50:930-936.</w:t>
      </w:r>
    </w:p>
    <w:p>
      <w:pPr>
        <w:spacing w:line="276" w:lineRule="auto" w:before="121"/>
        <w:ind w:left="142" w:right="137" w:firstLine="0"/>
        <w:jc w:val="both"/>
        <w:rPr>
          <w:sz w:val="24"/>
        </w:rPr>
      </w:pPr>
      <w:r>
        <w:rPr>
          <w:sz w:val="24"/>
        </w:rPr>
        <w:t>Fagundes</w:t>
      </w:r>
      <w:r>
        <w:rPr>
          <w:spacing w:val="-7"/>
          <w:sz w:val="24"/>
        </w:rPr>
        <w:t> </w:t>
      </w:r>
      <w:r>
        <w:rPr>
          <w:sz w:val="24"/>
        </w:rPr>
        <w:t>H,</w:t>
      </w:r>
      <w:r>
        <w:rPr>
          <w:spacing w:val="-7"/>
          <w:sz w:val="24"/>
        </w:rPr>
        <w:t> </w:t>
      </w:r>
      <w:r>
        <w:rPr>
          <w:sz w:val="24"/>
        </w:rPr>
        <w:t>Barchesi</w:t>
      </w:r>
      <w:r>
        <w:rPr>
          <w:spacing w:val="-7"/>
          <w:sz w:val="24"/>
        </w:rPr>
        <w:t> </w:t>
      </w:r>
      <w:r>
        <w:rPr>
          <w:sz w:val="24"/>
        </w:rPr>
        <w:t>L.,</w:t>
      </w:r>
      <w:r>
        <w:rPr>
          <w:spacing w:val="-6"/>
          <w:sz w:val="24"/>
        </w:rPr>
        <w:t> </w:t>
      </w:r>
      <w:r>
        <w:rPr>
          <w:sz w:val="24"/>
        </w:rPr>
        <w:t>Nader</w:t>
      </w:r>
      <w:r>
        <w:rPr>
          <w:spacing w:val="-7"/>
          <w:sz w:val="24"/>
        </w:rPr>
        <w:t> </w:t>
      </w:r>
      <w:r>
        <w:rPr>
          <w:sz w:val="24"/>
        </w:rPr>
        <w:t>F.,</w:t>
      </w:r>
      <w:r>
        <w:rPr>
          <w:spacing w:val="-6"/>
          <w:sz w:val="24"/>
        </w:rPr>
        <w:t> </w:t>
      </w:r>
      <w:r>
        <w:rPr>
          <w:sz w:val="24"/>
        </w:rPr>
        <w:t>Ferreira</w:t>
      </w:r>
      <w:r>
        <w:rPr>
          <w:spacing w:val="-6"/>
          <w:sz w:val="24"/>
        </w:rPr>
        <w:t> </w:t>
      </w:r>
      <w:r>
        <w:rPr>
          <w:sz w:val="24"/>
        </w:rPr>
        <w:t>A.,</w:t>
      </w:r>
      <w:r>
        <w:rPr>
          <w:spacing w:val="-6"/>
          <w:sz w:val="24"/>
        </w:rPr>
        <w:t> </w:t>
      </w:r>
      <w:r>
        <w:rPr>
          <w:sz w:val="24"/>
        </w:rPr>
        <w:t>Menezes</w:t>
      </w:r>
      <w:r>
        <w:rPr>
          <w:spacing w:val="-7"/>
          <w:sz w:val="24"/>
        </w:rPr>
        <w:t> </w:t>
      </w:r>
      <w:r>
        <w:rPr>
          <w:sz w:val="24"/>
        </w:rPr>
        <w:t>L.,</w:t>
      </w:r>
      <w:r>
        <w:rPr>
          <w:spacing w:val="-6"/>
          <w:sz w:val="24"/>
        </w:rPr>
        <w:t> </w:t>
      </w:r>
      <w:r>
        <w:rPr>
          <w:sz w:val="24"/>
        </w:rPr>
        <w:t>Oliveira</w:t>
      </w:r>
      <w:r>
        <w:rPr>
          <w:spacing w:val="-6"/>
          <w:sz w:val="24"/>
        </w:rPr>
        <w:t> </w:t>
      </w:r>
      <w:r>
        <w:rPr>
          <w:sz w:val="24"/>
        </w:rPr>
        <w:t>C.,</w:t>
      </w:r>
      <w:r>
        <w:rPr>
          <w:spacing w:val="-6"/>
          <w:sz w:val="24"/>
        </w:rPr>
        <w:t> </w:t>
      </w:r>
      <w:r>
        <w:rPr>
          <w:sz w:val="24"/>
        </w:rPr>
        <w:t>Fernandes A.,</w:t>
      </w:r>
      <w:r>
        <w:rPr>
          <w:spacing w:val="-17"/>
          <w:sz w:val="24"/>
        </w:rPr>
        <w:t> </w:t>
      </w:r>
      <w:r>
        <w:rPr>
          <w:sz w:val="24"/>
        </w:rPr>
        <w:t>(2010),</w:t>
      </w:r>
      <w:r>
        <w:rPr>
          <w:spacing w:val="-20"/>
          <w:sz w:val="24"/>
        </w:rPr>
        <w:t> </w:t>
      </w:r>
      <w:r>
        <w:rPr>
          <w:sz w:val="24"/>
        </w:rPr>
        <w:t>Occurrence</w:t>
      </w:r>
      <w:r>
        <w:rPr>
          <w:spacing w:val="-19"/>
          <w:sz w:val="24"/>
        </w:rPr>
        <w:t> </w:t>
      </w:r>
      <w:r>
        <w:rPr>
          <w:sz w:val="24"/>
        </w:rPr>
        <w:t>of</w:t>
      </w:r>
      <w:r>
        <w:rPr>
          <w:spacing w:val="-12"/>
          <w:sz w:val="24"/>
        </w:rPr>
        <w:t> </w:t>
      </w:r>
      <w:r>
        <w:rPr>
          <w:i/>
          <w:sz w:val="24"/>
        </w:rPr>
        <w:t>Staphylococcus</w:t>
      </w:r>
      <w:r>
        <w:rPr>
          <w:i/>
          <w:spacing w:val="-17"/>
          <w:sz w:val="24"/>
        </w:rPr>
        <w:t> </w:t>
      </w:r>
      <w:r>
        <w:rPr>
          <w:i/>
          <w:sz w:val="24"/>
        </w:rPr>
        <w:t>aureus</w:t>
      </w:r>
      <w:r>
        <w:rPr>
          <w:i/>
          <w:spacing w:val="-16"/>
          <w:sz w:val="24"/>
        </w:rPr>
        <w:t> </w:t>
      </w:r>
      <w:r>
        <w:rPr>
          <w:sz w:val="24"/>
        </w:rPr>
        <w:t>in</w:t>
      </w:r>
      <w:r>
        <w:rPr>
          <w:spacing w:val="-19"/>
          <w:sz w:val="24"/>
        </w:rPr>
        <w:t> </w:t>
      </w:r>
      <w:r>
        <w:rPr>
          <w:sz w:val="24"/>
        </w:rPr>
        <w:t>raw</w:t>
      </w:r>
      <w:r>
        <w:rPr>
          <w:spacing w:val="-20"/>
          <w:sz w:val="24"/>
        </w:rPr>
        <w:t> </w:t>
      </w:r>
      <w:r>
        <w:rPr>
          <w:sz w:val="24"/>
        </w:rPr>
        <w:t>milk</w:t>
      </w:r>
      <w:r>
        <w:rPr>
          <w:spacing w:val="-17"/>
          <w:sz w:val="24"/>
        </w:rPr>
        <w:t> </w:t>
      </w:r>
      <w:r>
        <w:rPr>
          <w:sz w:val="24"/>
        </w:rPr>
        <w:t>produced</w:t>
      </w:r>
      <w:r>
        <w:rPr>
          <w:spacing w:val="-17"/>
          <w:sz w:val="24"/>
        </w:rPr>
        <w:t> </w:t>
      </w:r>
      <w:r>
        <w:rPr>
          <w:sz w:val="24"/>
        </w:rPr>
        <w:t>in</w:t>
      </w:r>
      <w:r>
        <w:rPr>
          <w:spacing w:val="-19"/>
          <w:sz w:val="24"/>
        </w:rPr>
        <w:t> </w:t>
      </w:r>
      <w:r>
        <w:rPr>
          <w:sz w:val="24"/>
        </w:rPr>
        <w:t>dairy</w:t>
      </w:r>
      <w:r>
        <w:rPr>
          <w:spacing w:val="-20"/>
          <w:sz w:val="24"/>
        </w:rPr>
        <w:t> </w:t>
      </w:r>
      <w:r>
        <w:rPr>
          <w:sz w:val="24"/>
        </w:rPr>
        <w:t>farms in São Paulo state, Brazil. </w:t>
      </w:r>
      <w:r>
        <w:rPr>
          <w:i/>
          <w:sz w:val="24"/>
        </w:rPr>
        <w:t>Brazilian Journal of Microbiology</w:t>
      </w:r>
      <w:r>
        <w:rPr>
          <w:sz w:val="24"/>
        </w:rPr>
        <w:t>,</w:t>
      </w:r>
      <w:r>
        <w:rPr>
          <w:spacing w:val="-21"/>
          <w:sz w:val="24"/>
        </w:rPr>
        <w:t> </w:t>
      </w:r>
      <w:r>
        <w:rPr>
          <w:i/>
          <w:sz w:val="24"/>
        </w:rPr>
        <w:t>41</w:t>
      </w:r>
      <w:r>
        <w:rPr>
          <w:sz w:val="24"/>
        </w:rPr>
        <w:t>(2):376-380.</w:t>
      </w:r>
    </w:p>
    <w:p>
      <w:pPr>
        <w:pStyle w:val="BodyText"/>
        <w:spacing w:line="276" w:lineRule="auto" w:before="123"/>
        <w:ind w:left="142" w:right="138"/>
        <w:jc w:val="both"/>
      </w:pPr>
      <w:r>
        <w:rPr/>
        <w:t>Ferreira J., Costa W., Cerqueira E., Carvalho J., Oliveira L., Almeida R., (2014), Food hander-associated methicillin-resistant </w:t>
      </w:r>
      <w:r>
        <w:rPr>
          <w:i/>
        </w:rPr>
        <w:t>Staphylococcus aureus </w:t>
      </w:r>
      <w:r>
        <w:rPr/>
        <w:t>in public hospitals in Salvador, Brazil, Food Control, 37:395-400.</w:t>
      </w:r>
    </w:p>
    <w:p>
      <w:pPr>
        <w:pStyle w:val="BodyText"/>
        <w:spacing w:line="276" w:lineRule="auto" w:before="123"/>
        <w:ind w:left="142" w:right="138"/>
        <w:jc w:val="both"/>
      </w:pPr>
      <w:r>
        <w:rPr/>
        <w:t>Flórez A. y Mayo B., (2015), Diversity and dynamics of antibiotic-resistant bacteria in cheese as determined by PCR denaturing gradient gel electrophoresis, International Journal of Food Microbiology, 214: 63-69.</w:t>
      </w:r>
    </w:p>
    <w:p>
      <w:pPr>
        <w:pStyle w:val="BodyText"/>
        <w:spacing w:line="280" w:lineRule="auto" w:before="119"/>
        <w:ind w:left="142" w:right="137"/>
        <w:jc w:val="both"/>
      </w:pPr>
      <w:r>
        <w:rPr/>
        <w:t>Fluit A., (2012), Livestock-associated </w:t>
      </w:r>
      <w:r>
        <w:rPr>
          <w:i/>
        </w:rPr>
        <w:t>Staphylococcus aureus</w:t>
      </w:r>
      <w:r>
        <w:rPr/>
        <w:t>, Clinical Microbiology and Infection, Review.</w:t>
      </w:r>
    </w:p>
    <w:p>
      <w:pPr>
        <w:pStyle w:val="BodyText"/>
        <w:spacing w:line="276" w:lineRule="auto" w:before="115"/>
        <w:ind w:left="142" w:right="136"/>
        <w:jc w:val="both"/>
      </w:pPr>
      <w:r>
        <w:rPr/>
        <w:t>Freeman J., Falkiner R, Keane T., (1989), New method for detecting slime production by coagulase negative staphylococci, Journal of Clinical Pathology, 42:872-874.</w:t>
      </w:r>
    </w:p>
    <w:p>
      <w:pPr>
        <w:pStyle w:val="BodyText"/>
        <w:spacing w:line="280" w:lineRule="auto" w:before="118"/>
        <w:ind w:left="142" w:right="141"/>
        <w:jc w:val="both"/>
      </w:pPr>
      <w:r>
        <w:rPr/>
        <w:t>Gil M.,(2000), </w:t>
      </w:r>
      <w:r>
        <w:rPr>
          <w:i/>
        </w:rPr>
        <w:t>Staphylococcus aureus</w:t>
      </w:r>
      <w:r>
        <w:rPr/>
        <w:t>: Microbiología y aspectos moleculares de la resistencia a la meticilina, Rev Chil Infect, 17(2):145-152.</w:t>
      </w:r>
    </w:p>
    <w:p>
      <w:pPr>
        <w:pStyle w:val="BodyText"/>
        <w:spacing w:line="276" w:lineRule="auto" w:before="115"/>
        <w:ind w:left="142" w:right="143"/>
        <w:jc w:val="both"/>
      </w:pPr>
      <w:r>
        <w:rPr/>
        <w:t>González J., Chávez M., Ponce N., Contreras M., Colín V. (2007), Demanda potencial de los quesos artesanales en la ciudad de Toluca, Estado de México. En:</w:t>
      </w:r>
    </w:p>
    <w:p>
      <w:pPr>
        <w:spacing w:after="0" w:line="276" w:lineRule="auto"/>
        <w:jc w:val="both"/>
        <w:sectPr>
          <w:pgSz w:w="12240" w:h="15840"/>
          <w:pgMar w:header="728" w:footer="710" w:top="1200" w:bottom="900" w:left="1560" w:right="1560"/>
        </w:sectPr>
      </w:pPr>
    </w:p>
    <w:p>
      <w:pPr>
        <w:pStyle w:val="BodyText"/>
        <w:spacing w:before="9"/>
        <w:rPr>
          <w:sz w:val="12"/>
        </w:rPr>
      </w:pPr>
    </w:p>
    <w:p>
      <w:pPr>
        <w:pStyle w:val="BodyText"/>
        <w:spacing w:line="276" w:lineRule="auto" w:before="70"/>
        <w:ind w:left="142" w:right="146"/>
        <w:jc w:val="both"/>
      </w:pPr>
      <w:r>
        <w:rPr/>
        <w:t>Agroindustria rural y territorio. Tomo II, Nuevas tendencias en el análisis de la lechería. Universidad Autónoma de México, México, DF.; 305-316.</w:t>
      </w:r>
    </w:p>
    <w:p>
      <w:pPr>
        <w:pStyle w:val="BodyText"/>
        <w:spacing w:line="276" w:lineRule="auto" w:before="120"/>
        <w:ind w:left="142" w:right="135"/>
        <w:jc w:val="both"/>
      </w:pPr>
      <w:r>
        <w:rPr/>
        <w:t>Grass-Ramírez</w:t>
      </w:r>
      <w:r>
        <w:rPr>
          <w:spacing w:val="-9"/>
        </w:rPr>
        <w:t> </w:t>
      </w:r>
      <w:r>
        <w:rPr/>
        <w:t>J.</w:t>
      </w:r>
      <w:r>
        <w:rPr>
          <w:spacing w:val="-7"/>
        </w:rPr>
        <w:t> </w:t>
      </w:r>
      <w:r>
        <w:rPr/>
        <w:t>y</w:t>
      </w:r>
      <w:r>
        <w:rPr>
          <w:spacing w:val="-8"/>
        </w:rPr>
        <w:t> </w:t>
      </w:r>
      <w:r>
        <w:rPr/>
        <w:t>Cesín-Vargas,</w:t>
      </w:r>
      <w:r>
        <w:rPr>
          <w:spacing w:val="-7"/>
        </w:rPr>
        <w:t> </w:t>
      </w:r>
      <w:r>
        <w:rPr/>
        <w:t>A.,</w:t>
      </w:r>
      <w:r>
        <w:rPr>
          <w:spacing w:val="-7"/>
        </w:rPr>
        <w:t> </w:t>
      </w:r>
      <w:r>
        <w:rPr/>
        <w:t>(2014),Situación</w:t>
      </w:r>
      <w:r>
        <w:rPr>
          <w:spacing w:val="-7"/>
        </w:rPr>
        <w:t> </w:t>
      </w:r>
      <w:r>
        <w:rPr/>
        <w:t>actual</w:t>
      </w:r>
      <w:r>
        <w:rPr>
          <w:spacing w:val="-8"/>
        </w:rPr>
        <w:t> </w:t>
      </w:r>
      <w:r>
        <w:rPr/>
        <w:t>y</w:t>
      </w:r>
      <w:r>
        <w:rPr>
          <w:spacing w:val="-9"/>
        </w:rPr>
        <w:t> </w:t>
      </w:r>
      <w:r>
        <w:rPr/>
        <w:t>retrospectiva</w:t>
      </w:r>
      <w:r>
        <w:rPr>
          <w:spacing w:val="-7"/>
        </w:rPr>
        <w:t> </w:t>
      </w:r>
      <w:r>
        <w:rPr/>
        <w:t>de</w:t>
      </w:r>
      <w:r>
        <w:rPr>
          <w:spacing w:val="-7"/>
        </w:rPr>
        <w:t> </w:t>
      </w:r>
      <w:r>
        <w:rPr/>
        <w:t>los quesos genuinos de Chiautla de Tapia, México. </w:t>
      </w:r>
      <w:r>
        <w:rPr>
          <w:i/>
        </w:rPr>
        <w:t>Agricultura, sociedad y desarrollo</w:t>
      </w:r>
      <w:r>
        <w:rPr/>
        <w:t>, </w:t>
      </w:r>
      <w:r>
        <w:rPr>
          <w:i/>
        </w:rPr>
        <w:t>11</w:t>
      </w:r>
      <w:r>
        <w:rPr/>
        <w:t>(2),</w:t>
      </w:r>
      <w:r>
        <w:rPr>
          <w:spacing w:val="-4"/>
        </w:rPr>
        <w:t> </w:t>
      </w:r>
      <w:r>
        <w:rPr/>
        <w:t>201-221.</w:t>
      </w:r>
    </w:p>
    <w:p>
      <w:pPr>
        <w:pStyle w:val="BodyText"/>
        <w:spacing w:line="276" w:lineRule="auto" w:before="123"/>
        <w:ind w:left="142" w:right="136"/>
        <w:jc w:val="both"/>
      </w:pPr>
      <w:r>
        <w:rPr/>
        <w:t>Grundmann H., Aires-de-Sousa M., Boyce J., Tiemersma E., (2006), Emergence and resurgence of meticillin-resistant </w:t>
      </w:r>
      <w:r>
        <w:rPr>
          <w:i/>
        </w:rPr>
        <w:t>Staphylococcus aureus </w:t>
      </w:r>
      <w:r>
        <w:rPr/>
        <w:t>as a public-health threat, Lancet, 368:874-885.</w:t>
      </w:r>
    </w:p>
    <w:p>
      <w:pPr>
        <w:pStyle w:val="BodyText"/>
        <w:spacing w:line="276" w:lineRule="auto" w:before="120"/>
        <w:ind w:left="142" w:right="137"/>
        <w:jc w:val="both"/>
      </w:pPr>
      <w:r>
        <w:rPr/>
        <w:t>Guzmán-Blanco M., Mejía C., Isturiz R., Álvarez C., Bavestrello L., Gotuzzo E., Labarca J., Luna C., Rodriguez Noriega E., Salles M., Zurita J., Seas C.,(2009), Epidemiology of meticillin-resistant </w:t>
      </w:r>
      <w:r>
        <w:rPr>
          <w:i/>
        </w:rPr>
        <w:t>Staphylococcus aureus </w:t>
      </w:r>
      <w:r>
        <w:rPr/>
        <w:t>(MRSA) in Latin America, International Journal of Antimicrobial Agents, 34:304-308.</w:t>
      </w:r>
    </w:p>
    <w:p>
      <w:pPr>
        <w:pStyle w:val="BodyText"/>
        <w:spacing w:line="276" w:lineRule="auto" w:before="123"/>
        <w:ind w:left="142" w:right="138"/>
        <w:jc w:val="both"/>
      </w:pPr>
      <w:r>
        <w:rPr/>
        <w:t>Hiramatsu</w:t>
      </w:r>
      <w:r>
        <w:rPr>
          <w:spacing w:val="-6"/>
        </w:rPr>
        <w:t> </w:t>
      </w:r>
      <w:r>
        <w:rPr/>
        <w:t>K.,</w:t>
      </w:r>
      <w:r>
        <w:rPr>
          <w:spacing w:val="-7"/>
        </w:rPr>
        <w:t> </w:t>
      </w:r>
      <w:r>
        <w:rPr/>
        <w:t>Katayama</w:t>
      </w:r>
      <w:r>
        <w:rPr>
          <w:spacing w:val="-5"/>
        </w:rPr>
        <w:t> </w:t>
      </w:r>
      <w:r>
        <w:rPr/>
        <w:t>Y.,</w:t>
      </w:r>
      <w:r>
        <w:rPr>
          <w:spacing w:val="-5"/>
        </w:rPr>
        <w:t> </w:t>
      </w:r>
      <w:r>
        <w:rPr/>
        <w:t>Matsuo</w:t>
      </w:r>
      <w:r>
        <w:rPr>
          <w:spacing w:val="-7"/>
        </w:rPr>
        <w:t> </w:t>
      </w:r>
      <w:r>
        <w:rPr/>
        <w:t>M.,</w:t>
      </w:r>
      <w:r>
        <w:rPr>
          <w:spacing w:val="-7"/>
        </w:rPr>
        <w:t> </w:t>
      </w:r>
      <w:r>
        <w:rPr/>
        <w:t>Sasaki</w:t>
      </w:r>
      <w:r>
        <w:rPr>
          <w:spacing w:val="-6"/>
        </w:rPr>
        <w:t> </w:t>
      </w:r>
      <w:r>
        <w:rPr/>
        <w:t>T.,</w:t>
      </w:r>
      <w:r>
        <w:rPr>
          <w:spacing w:val="-5"/>
        </w:rPr>
        <w:t> </w:t>
      </w:r>
      <w:r>
        <w:rPr/>
        <w:t>Morimoto</w:t>
      </w:r>
      <w:r>
        <w:rPr>
          <w:spacing w:val="-6"/>
        </w:rPr>
        <w:t> </w:t>
      </w:r>
      <w:r>
        <w:rPr/>
        <w:t>Y.,</w:t>
      </w:r>
      <w:r>
        <w:rPr>
          <w:spacing w:val="-5"/>
        </w:rPr>
        <w:t> </w:t>
      </w:r>
      <w:r>
        <w:rPr/>
        <w:t>Sekiguchi</w:t>
      </w:r>
      <w:r>
        <w:rPr>
          <w:spacing w:val="-6"/>
        </w:rPr>
        <w:t> </w:t>
      </w:r>
      <w:r>
        <w:rPr/>
        <w:t>A.,</w:t>
      </w:r>
      <w:r>
        <w:rPr>
          <w:spacing w:val="-5"/>
        </w:rPr>
        <w:t> </w:t>
      </w:r>
      <w:r>
        <w:rPr/>
        <w:t>Baba T., (2014), Multi-drug-resistant </w:t>
      </w:r>
      <w:r>
        <w:rPr>
          <w:i/>
        </w:rPr>
        <w:t>Staphylococcus aureus </w:t>
      </w:r>
      <w:r>
        <w:rPr/>
        <w:t>and future chemotherapy, Journal of Infection and Chemotherapy,</w:t>
      </w:r>
      <w:r>
        <w:rPr>
          <w:spacing w:val="-23"/>
        </w:rPr>
        <w:t> </w:t>
      </w:r>
      <w:r>
        <w:rPr/>
        <w:t>20(10):593-601.</w:t>
      </w:r>
    </w:p>
    <w:p>
      <w:pPr>
        <w:pStyle w:val="BodyText"/>
        <w:spacing w:line="278" w:lineRule="auto" w:before="118"/>
        <w:ind w:left="142" w:right="134"/>
        <w:jc w:val="both"/>
      </w:pPr>
      <w:r>
        <w:rPr/>
        <w:t>Hwa J.(2006), Ocurrence of methicillin-resistant </w:t>
      </w:r>
      <w:r>
        <w:rPr>
          <w:i/>
        </w:rPr>
        <w:t>Staphylcoccus aureus </w:t>
      </w:r>
      <w:r>
        <w:rPr/>
        <w:t>strains from cattle and chiken, and analyses of their </w:t>
      </w:r>
      <w:r>
        <w:rPr>
          <w:i/>
        </w:rPr>
        <w:t>mecA</w:t>
      </w:r>
      <w:r>
        <w:rPr/>
        <w:t>, </w:t>
      </w:r>
      <w:r>
        <w:rPr>
          <w:i/>
        </w:rPr>
        <w:t>mecR1 </w:t>
      </w:r>
      <w:r>
        <w:rPr/>
        <w:t>and </w:t>
      </w:r>
      <w:r>
        <w:rPr>
          <w:i/>
        </w:rPr>
        <w:t>mecI </w:t>
      </w:r>
      <w:r>
        <w:rPr/>
        <w:t>genes, Veterinary Microbiology, 114:155-159.</w:t>
      </w:r>
    </w:p>
    <w:p>
      <w:pPr>
        <w:pStyle w:val="BodyText"/>
        <w:tabs>
          <w:tab w:pos="2032" w:val="left" w:leader="none"/>
          <w:tab w:pos="6100" w:val="left" w:leader="none"/>
          <w:tab w:pos="8644" w:val="left" w:leader="none"/>
        </w:tabs>
        <w:spacing w:line="276" w:lineRule="auto" w:before="118"/>
        <w:ind w:left="142" w:right="138"/>
        <w:jc w:val="both"/>
      </w:pPr>
      <w:r>
        <w:rPr/>
        <w:t>Instituto</w:t>
      </w:r>
      <w:r>
        <w:rPr>
          <w:spacing w:val="-16"/>
        </w:rPr>
        <w:t> </w:t>
      </w:r>
      <w:r>
        <w:rPr/>
        <w:t>Nacional</w:t>
      </w:r>
      <w:r>
        <w:rPr>
          <w:spacing w:val="-19"/>
        </w:rPr>
        <w:t> </w:t>
      </w:r>
      <w:r>
        <w:rPr/>
        <w:t>de</w:t>
      </w:r>
      <w:r>
        <w:rPr>
          <w:spacing w:val="-18"/>
        </w:rPr>
        <w:t> </w:t>
      </w:r>
      <w:r>
        <w:rPr/>
        <w:t>Geografía</w:t>
      </w:r>
      <w:r>
        <w:rPr>
          <w:spacing w:val="-18"/>
        </w:rPr>
        <w:t> </w:t>
      </w:r>
      <w:r>
        <w:rPr/>
        <w:t>y</w:t>
      </w:r>
      <w:r>
        <w:rPr>
          <w:spacing w:val="-19"/>
        </w:rPr>
        <w:t> </w:t>
      </w:r>
      <w:r>
        <w:rPr/>
        <w:t>Estadística</w:t>
      </w:r>
      <w:r>
        <w:rPr>
          <w:spacing w:val="-18"/>
        </w:rPr>
        <w:t> </w:t>
      </w:r>
      <w:r>
        <w:rPr/>
        <w:t>e</w:t>
      </w:r>
      <w:r>
        <w:rPr>
          <w:spacing w:val="-16"/>
        </w:rPr>
        <w:t> </w:t>
      </w:r>
      <w:r>
        <w:rPr/>
        <w:t>Informática</w:t>
      </w:r>
      <w:r>
        <w:rPr>
          <w:spacing w:val="-18"/>
        </w:rPr>
        <w:t> </w:t>
      </w:r>
      <w:r>
        <w:rPr/>
        <w:t>(INEGI).</w:t>
      </w:r>
      <w:r>
        <w:rPr>
          <w:spacing w:val="-21"/>
        </w:rPr>
        <w:t> </w:t>
      </w:r>
      <w:r>
        <w:rPr/>
        <w:t>Mapa</w:t>
      </w:r>
      <w:r>
        <w:rPr>
          <w:spacing w:val="-18"/>
        </w:rPr>
        <w:t> </w:t>
      </w:r>
      <w:r>
        <w:rPr/>
        <w:t>del</w:t>
      </w:r>
      <w:r>
        <w:rPr>
          <w:spacing w:val="-19"/>
        </w:rPr>
        <w:t> </w:t>
      </w:r>
      <w:r>
        <w:rPr/>
        <w:t>Estado de</w:t>
        <w:tab/>
        <w:t>México.</w:t>
        <w:tab/>
        <w:t>obtenido</w:t>
        <w:tab/>
        <w:t>de: </w:t>
      </w:r>
      <w:hyperlink r:id="rId73">
        <w:r>
          <w:rPr>
            <w:u w:val="single"/>
          </w:rPr>
          <w:t>http://cuentame.inegi.org.mx/mapas/pdf/entidades/div_municipal/mexicompios.pdf</w:t>
        </w:r>
      </w:hyperlink>
      <w:r>
        <w:rPr/>
        <w:t>, consultado el 24 de Noviembre de</w:t>
      </w:r>
      <w:r>
        <w:rPr>
          <w:spacing w:val="-16"/>
        </w:rPr>
        <w:t> </w:t>
      </w:r>
      <w:r>
        <w:rPr/>
        <w:t>2015.</w:t>
      </w:r>
    </w:p>
    <w:p>
      <w:pPr>
        <w:pStyle w:val="BodyText"/>
        <w:spacing w:line="276" w:lineRule="auto" w:before="120"/>
        <w:ind w:left="142" w:right="135"/>
        <w:jc w:val="both"/>
      </w:pPr>
      <w:r>
        <w:rPr/>
        <w:t>Ippolito G., Leone S., Lauria F., Nicastri E., Wenzel R., (2010), Methicillin-resistant </w:t>
      </w:r>
      <w:r>
        <w:rPr>
          <w:i/>
        </w:rPr>
        <w:t>Staphylococcus aureus</w:t>
      </w:r>
      <w:r>
        <w:rPr/>
        <w:t>: the superbug, International Journal of Infectious Diseases, 14S4: S7-S11.</w:t>
      </w:r>
    </w:p>
    <w:p>
      <w:pPr>
        <w:pStyle w:val="BodyText"/>
        <w:spacing w:line="276" w:lineRule="auto" w:before="120"/>
        <w:ind w:left="142" w:right="146"/>
      </w:pPr>
      <w:r>
        <w:rPr/>
        <w:t>Istituto Nacional de Geografía Estadística e Informatica (INEGI) 2010, obtenido de </w:t>
      </w:r>
      <w:hyperlink r:id="rId72">
        <w:r>
          <w:rPr>
            <w:u w:val="single"/>
          </w:rPr>
          <w:t>http://www3.inegi.org.mx/sistemas/mexicocifras/datos-geograficos/15/15106.pdf</w:t>
        </w:r>
      </w:hyperlink>
      <w:r>
        <w:rPr/>
        <w:t>, consultado el 14 de febrero de 2014.</w:t>
      </w:r>
    </w:p>
    <w:p>
      <w:pPr>
        <w:pStyle w:val="BodyText"/>
        <w:spacing w:line="276" w:lineRule="auto" w:before="123"/>
        <w:ind w:left="142" w:right="145"/>
        <w:jc w:val="both"/>
      </w:pPr>
      <w:r>
        <w:rPr/>
        <w:t>Jablonski Lynn y Bohach Gregory (2000) Microbiología de los alimentos. Fundamentos y fronteras. Editorial Acribia.</w:t>
      </w:r>
    </w:p>
    <w:p>
      <w:pPr>
        <w:pStyle w:val="BodyText"/>
        <w:spacing w:line="273" w:lineRule="auto" w:before="120"/>
        <w:ind w:left="142" w:right="136"/>
        <w:jc w:val="both"/>
      </w:pPr>
      <w:r>
        <w:rPr/>
        <w:t>Jones T., Kellum M., Porter S., Bell M., Schaffner W., (2002), An outbreak of Community-Acquired Foodborne illness caused by Methicillin-Resistant </w:t>
      </w:r>
      <w:r>
        <w:rPr>
          <w:i/>
        </w:rPr>
        <w:t>Staphylococcus aureus</w:t>
      </w:r>
      <w:r>
        <w:rPr/>
        <w:t>, Emerging Infectious Diseases, 8(1):82-84.</w:t>
      </w:r>
    </w:p>
    <w:p>
      <w:pPr>
        <w:pStyle w:val="BodyText"/>
        <w:spacing w:line="276" w:lineRule="auto" w:before="128"/>
        <w:ind w:left="142" w:right="135"/>
        <w:jc w:val="both"/>
      </w:pPr>
      <w:r>
        <w:rPr/>
        <w:t>Kamal R., Bayoumi M., Abd El Aal S., (2013) MRSA detection in raw milk, some dairy products and hands of dairy workers in Egypt, a mini survey, Food Control 33:49-53.</w:t>
      </w:r>
    </w:p>
    <w:p>
      <w:pPr>
        <w:spacing w:after="0" w:line="276" w:lineRule="auto"/>
        <w:jc w:val="both"/>
        <w:sectPr>
          <w:pgSz w:w="12240" w:h="15840"/>
          <w:pgMar w:header="728" w:footer="710" w:top="1200" w:bottom="900" w:left="1560" w:right="1560"/>
        </w:sectPr>
      </w:pPr>
    </w:p>
    <w:p>
      <w:pPr>
        <w:pStyle w:val="BodyText"/>
        <w:spacing w:before="9"/>
        <w:rPr>
          <w:sz w:val="12"/>
        </w:rPr>
      </w:pPr>
    </w:p>
    <w:p>
      <w:pPr>
        <w:pStyle w:val="BodyText"/>
        <w:spacing w:before="70"/>
        <w:ind w:left="142"/>
        <w:jc w:val="both"/>
      </w:pPr>
      <w:r>
        <w:rPr/>
        <w:t>Kawada   M.   y   Komatsuzawa   H.,   (2012),   Factors   affecting   susceptibility of</w:t>
      </w:r>
    </w:p>
    <w:p>
      <w:pPr>
        <w:spacing w:before="38"/>
        <w:ind w:left="142" w:right="0" w:firstLine="0"/>
        <w:jc w:val="both"/>
        <w:rPr>
          <w:sz w:val="24"/>
        </w:rPr>
      </w:pPr>
      <w:r>
        <w:rPr>
          <w:i/>
          <w:sz w:val="24"/>
        </w:rPr>
        <w:t>Staphylococcus aureus </w:t>
      </w:r>
      <w:r>
        <w:rPr>
          <w:sz w:val="24"/>
        </w:rPr>
        <w:t>to bacterial agents, Journal of Oral Biosciences, 54:86-91.</w:t>
      </w:r>
    </w:p>
    <w:p>
      <w:pPr>
        <w:pStyle w:val="BodyText"/>
        <w:spacing w:line="276" w:lineRule="auto" w:before="163"/>
        <w:ind w:left="142" w:right="135"/>
        <w:jc w:val="both"/>
      </w:pPr>
      <w:r>
        <w:rPr/>
        <w:t>Khakpoor Mansor y Safamarshael S., (2011), Contamination rate of Iranian Traditional Kuzehei cheese to Coagulase Positive </w:t>
      </w:r>
      <w:r>
        <w:rPr>
          <w:i/>
        </w:rPr>
        <w:t>Staphylococcus aureus </w:t>
      </w:r>
      <w:r>
        <w:rPr/>
        <w:t>by Culture and PCR Method, Annals of Biological Research, 2 (6):536-541.</w:t>
      </w:r>
    </w:p>
    <w:p>
      <w:pPr>
        <w:pStyle w:val="BodyText"/>
        <w:spacing w:line="276" w:lineRule="auto" w:before="120"/>
        <w:ind w:left="142" w:right="138"/>
        <w:jc w:val="both"/>
      </w:pPr>
      <w:r>
        <w:rPr/>
        <w:t>Khoramian B., Jabalameli F., Niasari-Niasari A., Taherikalani M., Emaneini </w:t>
      </w:r>
      <w:r>
        <w:rPr>
          <w:spacing w:val="-2"/>
        </w:rPr>
        <w:t>M., </w:t>
      </w:r>
      <w:r>
        <w:rPr/>
        <w:t>(2015), Comparison of virulence factors and biofil formation among</w:t>
      </w:r>
      <w:r>
        <w:rPr>
          <w:spacing w:val="-30"/>
        </w:rPr>
        <w:t> </w:t>
      </w:r>
      <w:r>
        <w:rPr>
          <w:i/>
        </w:rPr>
        <w:t>Staphylococcus </w:t>
      </w:r>
      <w:r>
        <w:rPr>
          <w:i/>
        </w:rPr>
        <w:t>aureus </w:t>
      </w:r>
      <w:r>
        <w:rPr/>
        <w:t>strains isolated from human and bovine infections, Microbial Pathogenesis 88:73-77.</w:t>
      </w:r>
    </w:p>
    <w:p>
      <w:pPr>
        <w:pStyle w:val="BodyText"/>
        <w:spacing w:line="276" w:lineRule="auto" w:before="119"/>
        <w:ind w:left="142" w:right="138"/>
        <w:jc w:val="both"/>
      </w:pPr>
      <w:r>
        <w:rPr/>
        <w:t>Kluytmans J., (2010), Methicillin-resistant </w:t>
      </w:r>
      <w:r>
        <w:rPr>
          <w:i/>
        </w:rPr>
        <w:t>Staphylococcus aureus </w:t>
      </w:r>
      <w:r>
        <w:rPr/>
        <w:t>in food products: cause for concern or case for complacency, Clinical Microbiology and Infection, Review 16:11-15.</w:t>
      </w:r>
    </w:p>
    <w:p>
      <w:pPr>
        <w:pStyle w:val="BodyText"/>
        <w:spacing w:line="276" w:lineRule="auto" w:before="123"/>
        <w:ind w:left="142" w:right="137"/>
        <w:jc w:val="both"/>
      </w:pPr>
      <w:r>
        <w:rPr/>
        <w:t>Kluytmans J., Van Leeuwen </w:t>
      </w:r>
      <w:r>
        <w:rPr>
          <w:spacing w:val="2"/>
        </w:rPr>
        <w:t>W., </w:t>
      </w:r>
      <w:r>
        <w:rPr/>
        <w:t>Goessens W., Hollis R., Messer S., Herwaldt L. Bruining H., Heck M., Rost J., Van</w:t>
      </w:r>
      <w:r>
        <w:rPr>
          <w:spacing w:val="-46"/>
        </w:rPr>
        <w:t> </w:t>
      </w:r>
      <w:r>
        <w:rPr/>
        <w:t>Leeuen N., Van Belkum A., Verbrugh H., (1995), Food-Initiated</w:t>
      </w:r>
      <w:r>
        <w:rPr>
          <w:spacing w:val="-15"/>
        </w:rPr>
        <w:t> </w:t>
      </w:r>
      <w:r>
        <w:rPr/>
        <w:t>Outbreak</w:t>
      </w:r>
      <w:r>
        <w:rPr>
          <w:spacing w:val="-14"/>
        </w:rPr>
        <w:t> </w:t>
      </w:r>
      <w:r>
        <w:rPr/>
        <w:t>of</w:t>
      </w:r>
      <w:r>
        <w:rPr>
          <w:spacing w:val="-13"/>
        </w:rPr>
        <w:t> </w:t>
      </w:r>
      <w:r>
        <w:rPr/>
        <w:t>Methicillin-Resistant</w:t>
      </w:r>
      <w:r>
        <w:rPr>
          <w:spacing w:val="-13"/>
        </w:rPr>
        <w:t> </w:t>
      </w:r>
      <w:r>
        <w:rPr>
          <w:i/>
        </w:rPr>
        <w:t>Staphylococcus</w:t>
      </w:r>
      <w:r>
        <w:rPr>
          <w:i/>
          <w:spacing w:val="-16"/>
        </w:rPr>
        <w:t> </w:t>
      </w:r>
      <w:r>
        <w:rPr>
          <w:i/>
        </w:rPr>
        <w:t>aureus</w:t>
      </w:r>
      <w:r>
        <w:rPr>
          <w:i/>
          <w:spacing w:val="-14"/>
        </w:rPr>
        <w:t> </w:t>
      </w:r>
      <w:r>
        <w:rPr/>
        <w:t>Analyzed</w:t>
      </w:r>
      <w:r>
        <w:rPr>
          <w:spacing w:val="-13"/>
        </w:rPr>
        <w:t> </w:t>
      </w:r>
      <w:r>
        <w:rPr/>
        <w:t>by Pheno-and Genotyping, Journal of Clinical Microbiology,</w:t>
      </w:r>
      <w:r>
        <w:rPr>
          <w:spacing w:val="-23"/>
        </w:rPr>
        <w:t> </w:t>
      </w:r>
      <w:r>
        <w:rPr/>
        <w:t>1121-1128.</w:t>
      </w:r>
    </w:p>
    <w:p>
      <w:pPr>
        <w:pStyle w:val="BodyText"/>
        <w:spacing w:line="276" w:lineRule="auto" w:before="123"/>
        <w:ind w:left="142" w:right="138"/>
        <w:jc w:val="both"/>
      </w:pPr>
      <w:r>
        <w:rPr/>
        <w:t>Kobayashi H., </w:t>
      </w:r>
      <w:r>
        <w:rPr>
          <w:spacing w:val="4"/>
        </w:rPr>
        <w:t>Wu </w:t>
      </w:r>
      <w:r>
        <w:rPr/>
        <w:t>H., Kojima K., Taniguchi K., Urasawa S., Uehara N., Omizi Y., Kishi Y., Yagihashi A., Kurokawa I., (1994), Detection of </w:t>
      </w:r>
      <w:r>
        <w:rPr>
          <w:i/>
        </w:rPr>
        <w:t>mecA</w:t>
      </w:r>
      <w:r>
        <w:rPr/>
        <w:t>, </w:t>
      </w:r>
      <w:r>
        <w:rPr>
          <w:i/>
        </w:rPr>
        <w:t>femA</w:t>
      </w:r>
      <w:r>
        <w:rPr/>
        <w:t>, and </w:t>
      </w:r>
      <w:r>
        <w:rPr>
          <w:i/>
        </w:rPr>
        <w:t>femB </w:t>
      </w:r>
      <w:r>
        <w:rPr/>
        <w:t>genes</w:t>
      </w:r>
      <w:r>
        <w:rPr>
          <w:spacing w:val="-13"/>
        </w:rPr>
        <w:t> </w:t>
      </w:r>
      <w:r>
        <w:rPr/>
        <w:t>in</w:t>
      </w:r>
      <w:r>
        <w:rPr>
          <w:spacing w:val="-12"/>
        </w:rPr>
        <w:t> </w:t>
      </w:r>
      <w:r>
        <w:rPr/>
        <w:t>clinical</w:t>
      </w:r>
      <w:r>
        <w:rPr>
          <w:spacing w:val="-13"/>
        </w:rPr>
        <w:t> </w:t>
      </w:r>
      <w:r>
        <w:rPr/>
        <w:t>strains</w:t>
      </w:r>
      <w:r>
        <w:rPr>
          <w:spacing w:val="-14"/>
        </w:rPr>
        <w:t> </w:t>
      </w:r>
      <w:r>
        <w:rPr/>
        <w:t>of</w:t>
      </w:r>
      <w:r>
        <w:rPr>
          <w:spacing w:val="-10"/>
        </w:rPr>
        <w:t> </w:t>
      </w:r>
      <w:r>
        <w:rPr/>
        <w:t>staphylococci</w:t>
      </w:r>
      <w:r>
        <w:rPr>
          <w:spacing w:val="-13"/>
        </w:rPr>
        <w:t> </w:t>
      </w:r>
      <w:r>
        <w:rPr/>
        <w:t>using</w:t>
      </w:r>
      <w:r>
        <w:rPr>
          <w:spacing w:val="-16"/>
        </w:rPr>
        <w:t> </w:t>
      </w:r>
      <w:r>
        <w:rPr/>
        <w:t>polymerase</w:t>
      </w:r>
      <w:r>
        <w:rPr>
          <w:spacing w:val="-12"/>
        </w:rPr>
        <w:t> </w:t>
      </w:r>
      <w:r>
        <w:rPr/>
        <w:t>chain</w:t>
      </w:r>
      <w:r>
        <w:rPr>
          <w:spacing w:val="-14"/>
        </w:rPr>
        <w:t> </w:t>
      </w:r>
      <w:r>
        <w:rPr/>
        <w:t>reaction,</w:t>
      </w:r>
      <w:r>
        <w:rPr>
          <w:spacing w:val="-14"/>
        </w:rPr>
        <w:t> </w:t>
      </w:r>
      <w:r>
        <w:rPr/>
        <w:t>Epidemiol infect,</w:t>
      </w:r>
      <w:r>
        <w:rPr>
          <w:spacing w:val="-8"/>
        </w:rPr>
        <w:t> </w:t>
      </w:r>
      <w:r>
        <w:rPr/>
        <w:t>113(2):259-266.</w:t>
      </w:r>
    </w:p>
    <w:p>
      <w:pPr>
        <w:pStyle w:val="BodyText"/>
        <w:spacing w:line="276" w:lineRule="auto" w:before="123"/>
        <w:ind w:left="142" w:right="138"/>
        <w:jc w:val="both"/>
      </w:pPr>
      <w:r>
        <w:rPr/>
        <w:t>Kousa M., Mataragas M., Skandamis P., Drosinos E., (2010), Prevalence and sources of cheese contamination with pathogens at farm and processing levels, Food Control, 21:805-815.</w:t>
      </w:r>
    </w:p>
    <w:p>
      <w:pPr>
        <w:pStyle w:val="BodyText"/>
        <w:spacing w:line="276" w:lineRule="auto" w:before="120"/>
        <w:ind w:left="142" w:right="145"/>
        <w:jc w:val="both"/>
      </w:pPr>
      <w:r>
        <w:rPr/>
        <w:t>Lemus D., Maniscalchi M., Massoun M., Vizcaya H.,(2008), Estafilococos oxacilino resistentes en queso blanco fabricado en el estado de Anzoátegui, Venezuela, Revista de la Sociedad Venezonala de Microbiología, 28(1):48-54.</w:t>
      </w:r>
    </w:p>
    <w:p>
      <w:pPr>
        <w:pStyle w:val="BodyText"/>
        <w:spacing w:line="278" w:lineRule="auto" w:before="118"/>
        <w:ind w:left="142" w:right="136"/>
        <w:jc w:val="both"/>
      </w:pPr>
      <w:r>
        <w:rPr/>
        <w:t>Leonard F.y Markey B., (2008), Methicillin-resistant </w:t>
      </w:r>
      <w:r>
        <w:rPr>
          <w:i/>
        </w:rPr>
        <w:t>Staphylococcus aureus </w:t>
      </w:r>
      <w:r>
        <w:rPr/>
        <w:t>in animals: A review, The Veterinary Journal, 175:27-36.</w:t>
      </w:r>
    </w:p>
    <w:p>
      <w:pPr>
        <w:pStyle w:val="BodyText"/>
        <w:spacing w:line="276" w:lineRule="auto" w:before="121"/>
        <w:ind w:left="142" w:right="137"/>
        <w:jc w:val="both"/>
      </w:pPr>
      <w:r>
        <w:rPr/>
        <w:t>López-Vázquez M., Martínez-Castañeda J., Talavera-Rojas M., Valdez-Alarcón J., Velázquez-Ordoñez V., (2015), Detection of </w:t>
      </w:r>
      <w:r>
        <w:rPr>
          <w:i/>
        </w:rPr>
        <w:t>mecA</w:t>
      </w:r>
      <w:r>
        <w:rPr/>
        <w:t>, </w:t>
      </w:r>
      <w:r>
        <w:rPr>
          <w:i/>
        </w:rPr>
        <w:t>mecI </w:t>
      </w:r>
      <w:r>
        <w:rPr/>
        <w:t>and </w:t>
      </w:r>
      <w:r>
        <w:rPr>
          <w:i/>
        </w:rPr>
        <w:t>mecR1 </w:t>
      </w:r>
      <w:r>
        <w:rPr/>
        <w:t>genes in methicillin-resistant </w:t>
      </w:r>
      <w:r>
        <w:rPr>
          <w:i/>
        </w:rPr>
        <w:t>Staphylococcus aureus </w:t>
      </w:r>
      <w:r>
        <w:rPr/>
        <w:t>strains of bovine origin isolated from Family Dairy Farms, Archivos de Medicina Veterinaria, 47:245-249.</w:t>
      </w:r>
    </w:p>
    <w:p>
      <w:pPr>
        <w:pStyle w:val="BodyText"/>
        <w:spacing w:line="276" w:lineRule="auto" w:before="120"/>
        <w:ind w:left="142" w:right="134"/>
        <w:jc w:val="both"/>
      </w:pPr>
      <w:r>
        <w:rPr/>
        <w:t>Luini M., Cremonesi P., Magro G., Bianchini V., Minozzi G., Castiglioni B., Piccinini R.,</w:t>
      </w:r>
      <w:r>
        <w:rPr>
          <w:spacing w:val="-14"/>
        </w:rPr>
        <w:t> </w:t>
      </w:r>
      <w:r>
        <w:rPr/>
        <w:t>(2015),</w:t>
      </w:r>
      <w:r>
        <w:rPr>
          <w:spacing w:val="-15"/>
        </w:rPr>
        <w:t> </w:t>
      </w:r>
      <w:r>
        <w:rPr/>
        <w:t>Methicillin-resistant</w:t>
      </w:r>
      <w:r>
        <w:rPr>
          <w:spacing w:val="-15"/>
        </w:rPr>
        <w:t> </w:t>
      </w:r>
      <w:r>
        <w:rPr>
          <w:i/>
        </w:rPr>
        <w:t>Staphylcoccus</w:t>
      </w:r>
      <w:r>
        <w:rPr>
          <w:i/>
          <w:spacing w:val="-17"/>
        </w:rPr>
        <w:t> </w:t>
      </w:r>
      <w:r>
        <w:rPr>
          <w:i/>
        </w:rPr>
        <w:t>aureus</w:t>
      </w:r>
      <w:r>
        <w:rPr>
          <w:i/>
          <w:spacing w:val="-12"/>
        </w:rPr>
        <w:t> </w:t>
      </w:r>
      <w:r>
        <w:rPr/>
        <w:t>(MRSA)</w:t>
      </w:r>
      <w:r>
        <w:rPr>
          <w:spacing w:val="-16"/>
        </w:rPr>
        <w:t> </w:t>
      </w:r>
      <w:r>
        <w:rPr/>
        <w:t>is</w:t>
      </w:r>
      <w:r>
        <w:rPr>
          <w:spacing w:val="-15"/>
        </w:rPr>
        <w:t> </w:t>
      </w:r>
      <w:r>
        <w:rPr/>
        <w:t>associated</w:t>
      </w:r>
      <w:r>
        <w:rPr>
          <w:spacing w:val="-14"/>
        </w:rPr>
        <w:t> </w:t>
      </w:r>
      <w:r>
        <w:rPr/>
        <w:t>whti</w:t>
      </w:r>
      <w:r>
        <w:rPr>
          <w:spacing w:val="-15"/>
        </w:rPr>
        <w:t> </w:t>
      </w:r>
      <w:r>
        <w:rPr/>
        <w:t>low within-herd prevalence of intra-mammary infections in dairy cows: Genotyping of isolates, Veterinary Microbiology,</w:t>
      </w:r>
      <w:r>
        <w:rPr>
          <w:spacing w:val="-16"/>
        </w:rPr>
        <w:t> </w:t>
      </w:r>
      <w:r>
        <w:rPr/>
        <w:t>178:270-274.</w:t>
      </w:r>
    </w:p>
    <w:p>
      <w:pPr>
        <w:spacing w:after="0" w:line="276" w:lineRule="auto"/>
        <w:jc w:val="both"/>
        <w:sectPr>
          <w:pgSz w:w="12240" w:h="15840"/>
          <w:pgMar w:header="728" w:footer="710" w:top="1200" w:bottom="900" w:left="1560" w:right="1560"/>
        </w:sectPr>
      </w:pPr>
    </w:p>
    <w:p>
      <w:pPr>
        <w:pStyle w:val="BodyText"/>
        <w:spacing w:before="9"/>
        <w:rPr>
          <w:sz w:val="12"/>
        </w:rPr>
      </w:pPr>
    </w:p>
    <w:p>
      <w:pPr>
        <w:pStyle w:val="BodyText"/>
        <w:spacing w:line="273" w:lineRule="auto" w:before="70"/>
        <w:ind w:left="142" w:right="138"/>
        <w:jc w:val="both"/>
      </w:pPr>
      <w:r>
        <w:rPr/>
        <w:t>Mai</w:t>
      </w:r>
      <w:r>
        <w:rPr>
          <w:spacing w:val="-7"/>
        </w:rPr>
        <w:t> </w:t>
      </w:r>
      <w:r>
        <w:rPr/>
        <w:t>B.,</w:t>
      </w:r>
      <w:r>
        <w:rPr>
          <w:spacing w:val="-6"/>
        </w:rPr>
        <w:t> </w:t>
      </w:r>
      <w:r>
        <w:rPr/>
        <w:t>Hayat</w:t>
      </w:r>
      <w:r>
        <w:rPr>
          <w:spacing w:val="-6"/>
        </w:rPr>
        <w:t> </w:t>
      </w:r>
      <w:r>
        <w:rPr/>
        <w:t>Z.,</w:t>
      </w:r>
      <w:r>
        <w:rPr>
          <w:spacing w:val="-6"/>
        </w:rPr>
        <w:t> </w:t>
      </w:r>
      <w:r>
        <w:rPr/>
        <w:t>Basu</w:t>
      </w:r>
      <w:r>
        <w:rPr>
          <w:spacing w:val="-8"/>
        </w:rPr>
        <w:t> </w:t>
      </w:r>
      <w:r>
        <w:rPr/>
        <w:t>S.,</w:t>
      </w:r>
      <w:r>
        <w:rPr>
          <w:spacing w:val="-6"/>
        </w:rPr>
        <w:t> </w:t>
      </w:r>
      <w:r>
        <w:rPr/>
        <w:t>Kassu</w:t>
      </w:r>
      <w:r>
        <w:rPr>
          <w:spacing w:val="-6"/>
        </w:rPr>
        <w:t> </w:t>
      </w:r>
      <w:r>
        <w:rPr/>
        <w:t>A.,</w:t>
      </w:r>
      <w:r>
        <w:rPr>
          <w:spacing w:val="-6"/>
        </w:rPr>
        <w:t> </w:t>
      </w:r>
      <w:r>
        <w:rPr/>
        <w:t>Van</w:t>
      </w:r>
      <w:r>
        <w:rPr>
          <w:spacing w:val="-6"/>
        </w:rPr>
        <w:t> </w:t>
      </w:r>
      <w:r>
        <w:rPr/>
        <w:t>N.,</w:t>
      </w:r>
      <w:r>
        <w:rPr>
          <w:spacing w:val="-9"/>
        </w:rPr>
        <w:t> </w:t>
      </w:r>
      <w:r>
        <w:rPr/>
        <w:t>Mohammad</w:t>
      </w:r>
      <w:r>
        <w:rPr>
          <w:spacing w:val="-6"/>
        </w:rPr>
        <w:t> </w:t>
      </w:r>
      <w:r>
        <w:rPr/>
        <w:t>A.,</w:t>
      </w:r>
      <w:r>
        <w:rPr>
          <w:spacing w:val="-6"/>
        </w:rPr>
        <w:t> </w:t>
      </w:r>
      <w:r>
        <w:rPr/>
        <w:t>Yamato</w:t>
      </w:r>
      <w:r>
        <w:rPr>
          <w:spacing w:val="-6"/>
        </w:rPr>
        <w:t> </w:t>
      </w:r>
      <w:r>
        <w:rPr/>
        <w:t>M.,</w:t>
      </w:r>
      <w:r>
        <w:rPr>
          <w:spacing w:val="-6"/>
        </w:rPr>
        <w:t> </w:t>
      </w:r>
      <w:r>
        <w:rPr/>
        <w:t>Ota</w:t>
      </w:r>
      <w:r>
        <w:rPr>
          <w:spacing w:val="-8"/>
        </w:rPr>
        <w:t> </w:t>
      </w:r>
      <w:r>
        <w:rPr/>
        <w:t>F.,</w:t>
      </w:r>
      <w:r>
        <w:rPr>
          <w:spacing w:val="-8"/>
        </w:rPr>
        <w:t> </w:t>
      </w:r>
      <w:r>
        <w:rPr/>
        <w:t>Thi N., Thi H., Cong N., (2010), Toxigenicity ang genetic diversity of </w:t>
      </w:r>
      <w:r>
        <w:rPr>
          <w:i/>
        </w:rPr>
        <w:t>Staphylococcus </w:t>
      </w:r>
      <w:r>
        <w:rPr>
          <w:i/>
        </w:rPr>
        <w:t>aureus </w:t>
      </w:r>
      <w:r>
        <w:rPr/>
        <w:t>isolated from Mietnamese ready-to-eat-foods, Food Control,</w:t>
      </w:r>
      <w:r>
        <w:rPr>
          <w:spacing w:val="-25"/>
        </w:rPr>
        <w:t> </w:t>
      </w:r>
      <w:r>
        <w:rPr/>
        <w:t>21:166-171.</w:t>
      </w:r>
    </w:p>
    <w:p>
      <w:pPr>
        <w:pStyle w:val="BodyText"/>
        <w:spacing w:line="273" w:lineRule="auto" w:before="128"/>
        <w:ind w:left="142" w:right="147"/>
        <w:jc w:val="both"/>
      </w:pPr>
      <w:r>
        <w:rPr/>
        <w:t>Medveďová A, Valík L., Sirotná Z., Liptáková D., (2009), Growth Characterization  of </w:t>
      </w:r>
      <w:r>
        <w:rPr>
          <w:i/>
        </w:rPr>
        <w:t>Staphylococcus aureus </w:t>
      </w:r>
      <w:r>
        <w:rPr/>
        <w:t>in Milk: a Quantitative Approach</w:t>
      </w:r>
      <w:r>
        <w:rPr>
          <w:spacing w:val="-26"/>
        </w:rPr>
        <w:t> </w:t>
      </w:r>
      <w:r>
        <w:rPr/>
        <w:t>27(6):443-453.</w:t>
      </w:r>
    </w:p>
    <w:p>
      <w:pPr>
        <w:pStyle w:val="BodyText"/>
        <w:spacing w:line="276" w:lineRule="auto" w:before="125"/>
        <w:ind w:left="142" w:right="140"/>
        <w:jc w:val="both"/>
      </w:pPr>
      <w:r>
        <w:rPr/>
        <w:t>NMX-F-083-1986. ALIMENTOS. DETERMINACIÓN DE HUMEDAD EN PRODUCTOS ALIMENTICIOS.</w:t>
      </w:r>
    </w:p>
    <w:p>
      <w:pPr>
        <w:pStyle w:val="BodyText"/>
        <w:spacing w:line="276" w:lineRule="auto" w:before="123"/>
        <w:ind w:left="142" w:right="141"/>
        <w:jc w:val="both"/>
      </w:pPr>
      <w:r>
        <w:rPr/>
        <w:t>NMX-F-094-1984. ALIMENTOS. LÁCTEOS. DETERMINACIÓN DE CENIZAS EN QUESOS. FOODS LACTEOUS. CHEESE ASHES DETERMINATION. NORMAS MEXICANAS. DIRECCIÓN GENERAL DE NORMAS.</w:t>
      </w:r>
    </w:p>
    <w:p>
      <w:pPr>
        <w:pStyle w:val="BodyText"/>
        <w:spacing w:line="276" w:lineRule="auto" w:before="120"/>
        <w:ind w:left="142" w:right="138"/>
        <w:jc w:val="both"/>
      </w:pPr>
      <w:r>
        <w:rPr/>
        <w:t>NMX-F-098-1976.</w:t>
      </w:r>
      <w:r>
        <w:rPr>
          <w:spacing w:val="-14"/>
        </w:rPr>
        <w:t> </w:t>
      </w:r>
      <w:r>
        <w:rPr/>
        <w:t>DETERMINACIÓN</w:t>
      </w:r>
      <w:r>
        <w:rPr>
          <w:spacing w:val="-15"/>
        </w:rPr>
        <w:t> </w:t>
      </w:r>
      <w:r>
        <w:rPr/>
        <w:t>DE</w:t>
      </w:r>
      <w:r>
        <w:rPr>
          <w:spacing w:val="-15"/>
        </w:rPr>
        <w:t> </w:t>
      </w:r>
      <w:r>
        <w:rPr/>
        <w:t>PROTEÍNAS</w:t>
      </w:r>
      <w:r>
        <w:rPr>
          <w:spacing w:val="-14"/>
        </w:rPr>
        <w:t> </w:t>
      </w:r>
      <w:r>
        <w:rPr/>
        <w:t>EN</w:t>
      </w:r>
      <w:r>
        <w:rPr>
          <w:spacing w:val="-18"/>
        </w:rPr>
        <w:t> </w:t>
      </w:r>
      <w:r>
        <w:rPr/>
        <w:t>QUESOS.</w:t>
      </w:r>
      <w:r>
        <w:rPr>
          <w:spacing w:val="-14"/>
        </w:rPr>
        <w:t> </w:t>
      </w:r>
      <w:r>
        <w:rPr/>
        <w:t>METHOD</w:t>
      </w:r>
      <w:r>
        <w:rPr>
          <w:spacing w:val="-15"/>
        </w:rPr>
        <w:t> </w:t>
      </w:r>
      <w:r>
        <w:rPr/>
        <w:t>OF TEST FOR PROTEIN IN CHEESE. NORMAS MEXICANAS. DIRECCIÓN GENERAL DE</w:t>
      </w:r>
      <w:r>
        <w:rPr>
          <w:spacing w:val="-2"/>
        </w:rPr>
        <w:t> </w:t>
      </w:r>
      <w:r>
        <w:rPr/>
        <w:t>NORMA.</w:t>
      </w:r>
    </w:p>
    <w:p>
      <w:pPr>
        <w:pStyle w:val="BodyText"/>
        <w:spacing w:line="276" w:lineRule="auto" w:before="120"/>
        <w:ind w:left="142" w:right="140"/>
        <w:jc w:val="both"/>
      </w:pPr>
      <w:r>
        <w:rPr/>
        <w:t>NMX-F-100-1984. ALIMENTOS. LÁCTEOS. DETERMINACIÓN DE GRASA BUTÍRICA EN QUESOS. FOODS. LACTEOUS. CHEESE BUTTER FAT DETERMINATION.</w:t>
      </w:r>
      <w:r>
        <w:rPr>
          <w:spacing w:val="-20"/>
        </w:rPr>
        <w:t> </w:t>
      </w:r>
      <w:r>
        <w:rPr/>
        <w:t>NORMAS</w:t>
      </w:r>
      <w:r>
        <w:rPr>
          <w:spacing w:val="-19"/>
        </w:rPr>
        <w:t> </w:t>
      </w:r>
      <w:r>
        <w:rPr/>
        <w:t>MEXICANAS.</w:t>
      </w:r>
      <w:r>
        <w:rPr>
          <w:spacing w:val="-19"/>
        </w:rPr>
        <w:t> </w:t>
      </w:r>
      <w:r>
        <w:rPr/>
        <w:t>DIRECCIÓN</w:t>
      </w:r>
      <w:r>
        <w:rPr>
          <w:spacing w:val="-20"/>
        </w:rPr>
        <w:t> </w:t>
      </w:r>
      <w:r>
        <w:rPr/>
        <w:t>GENERAL</w:t>
      </w:r>
      <w:r>
        <w:rPr>
          <w:spacing w:val="-19"/>
        </w:rPr>
        <w:t> </w:t>
      </w:r>
      <w:r>
        <w:rPr/>
        <w:t>DE</w:t>
      </w:r>
      <w:r>
        <w:rPr>
          <w:spacing w:val="-20"/>
        </w:rPr>
        <w:t> </w:t>
      </w:r>
      <w:r>
        <w:rPr/>
        <w:t>NORMAS.</w:t>
      </w:r>
    </w:p>
    <w:p>
      <w:pPr>
        <w:pStyle w:val="BodyText"/>
        <w:spacing w:line="276" w:lineRule="auto" w:before="123"/>
        <w:ind w:left="142" w:right="141"/>
        <w:jc w:val="both"/>
      </w:pPr>
      <w:r>
        <w:rPr/>
        <w:t>NMX-F-360-S-1981. ALIMENTOS PARA HUMANOS. DETERMINACIÓN DE CLORUROS COMO CLORURO DE SODIO (MÉTODO DE VOLHARD). FOODS FOR HUMANS. DETERMINATION OF CHLORIDES AS SODIUM CHLORIDE (VOLHARD METHOD). NORMAS MEXICANAS. DIRECCIÓN GENERAL DE NORMAS.</w:t>
      </w:r>
    </w:p>
    <w:p>
      <w:pPr>
        <w:pStyle w:val="BodyText"/>
        <w:spacing w:line="276" w:lineRule="auto" w:before="120"/>
        <w:ind w:left="142" w:right="138"/>
        <w:jc w:val="both"/>
      </w:pPr>
      <w:r>
        <w:rPr/>
        <w:t>NORMA OFICIAL MEXICANA NOM-109-SSA1-1994, BIENES Y SERVICIOS. PROCEDIMIENTOS PARA </w:t>
      </w:r>
      <w:r>
        <w:rPr>
          <w:spacing w:val="8"/>
        </w:rPr>
        <w:t>LATOMA, </w:t>
      </w:r>
      <w:r>
        <w:rPr>
          <w:spacing w:val="11"/>
        </w:rPr>
        <w:t>MANEJO</w:t>
      </w:r>
      <w:r>
        <w:rPr>
          <w:spacing w:val="88"/>
        </w:rPr>
        <w:t> </w:t>
      </w:r>
      <w:r>
        <w:rPr/>
        <w:t>Y </w:t>
      </w:r>
      <w:r>
        <w:rPr>
          <w:spacing w:val="13"/>
        </w:rPr>
        <w:t>TRANSPORTE </w:t>
      </w:r>
      <w:r>
        <w:rPr>
          <w:spacing w:val="6"/>
        </w:rPr>
        <w:t>DE </w:t>
      </w:r>
      <w:r>
        <w:rPr>
          <w:spacing w:val="12"/>
        </w:rPr>
        <w:t>MUESTRAS </w:t>
      </w:r>
      <w:r>
        <w:rPr>
          <w:spacing w:val="6"/>
        </w:rPr>
        <w:t>DE </w:t>
      </w:r>
      <w:r>
        <w:rPr>
          <w:spacing w:val="12"/>
        </w:rPr>
        <w:t>ALIMENTOS </w:t>
      </w:r>
      <w:r>
        <w:rPr>
          <w:spacing w:val="10"/>
        </w:rPr>
        <w:t>PARA </w:t>
      </w:r>
      <w:r>
        <w:rPr>
          <w:spacing w:val="7"/>
        </w:rPr>
        <w:t>SU </w:t>
      </w:r>
      <w:r>
        <w:rPr>
          <w:spacing w:val="12"/>
        </w:rPr>
        <w:t>ANÁLISIS </w:t>
      </w:r>
      <w:r>
        <w:rPr>
          <w:spacing w:val="65"/>
        </w:rPr>
        <w:t> </w:t>
      </w:r>
      <w:r>
        <w:rPr>
          <w:spacing w:val="13"/>
        </w:rPr>
        <w:t>MICROBIOLÓGICO.</w:t>
      </w:r>
    </w:p>
    <w:p>
      <w:pPr>
        <w:pStyle w:val="BodyText"/>
        <w:spacing w:line="276" w:lineRule="auto" w:before="123"/>
        <w:ind w:left="142" w:right="138"/>
        <w:jc w:val="both"/>
      </w:pPr>
      <w:r>
        <w:rPr/>
        <w:t>NORMA OFICIAL MEXICANA NOM-110-SSA1-1994, BIENES Y SERVICIOS. PREPARACIÓN Y DILUCIÓN DE MUESTRAS DE ALIMENTOS PARA SU ANÁLISIS MICROBIOLÓGICO.</w:t>
      </w:r>
    </w:p>
    <w:p>
      <w:pPr>
        <w:pStyle w:val="BodyText"/>
        <w:spacing w:before="121"/>
        <w:ind w:left="142"/>
        <w:jc w:val="both"/>
      </w:pPr>
      <w:r>
        <w:rPr/>
        <w:t>NORMA  OFICIAL  MEXICANA  NOM-115-SSA1-1994,  BIENES  Y   SERVICIOS.</w:t>
      </w:r>
    </w:p>
    <w:p>
      <w:pPr>
        <w:spacing w:line="278" w:lineRule="auto" w:before="41"/>
        <w:ind w:left="142" w:right="134" w:firstLine="0"/>
        <w:jc w:val="both"/>
        <w:rPr>
          <w:sz w:val="24"/>
        </w:rPr>
      </w:pPr>
      <w:r>
        <w:rPr>
          <w:sz w:val="24"/>
        </w:rPr>
        <w:t>MÉTODO PARA LA DETERMINACIÓN DE </w:t>
      </w:r>
      <w:r>
        <w:rPr>
          <w:i/>
          <w:sz w:val="24"/>
        </w:rPr>
        <w:t>Staphylococcus aureus </w:t>
      </w:r>
      <w:r>
        <w:rPr>
          <w:sz w:val="24"/>
        </w:rPr>
        <w:t>EN ALIMENTOS.</w:t>
      </w:r>
    </w:p>
    <w:p>
      <w:pPr>
        <w:pStyle w:val="BodyText"/>
        <w:spacing w:line="276" w:lineRule="auto" w:before="118"/>
        <w:ind w:left="142" w:right="136"/>
        <w:jc w:val="both"/>
      </w:pPr>
      <w:r>
        <w:rPr/>
        <w:t>Normanno g., Corrente M., La Salandra G., Dambrosio A., Quaglia N., Parisi A., GResco G., Bellacicco A., Virgilio S., Celano G.,(2007), Methicillin-resistant </w:t>
      </w:r>
      <w:r>
        <w:rPr>
          <w:i/>
        </w:rPr>
        <w:t>Staphylococcus aureus </w:t>
      </w:r>
      <w:r>
        <w:rPr/>
        <w:t>(MRSA) in foods of animal origin product in Italy, International Journal of Food Microbiology, 117:219-222.</w:t>
      </w:r>
    </w:p>
    <w:p>
      <w:pPr>
        <w:pStyle w:val="BodyText"/>
        <w:spacing w:line="276" w:lineRule="auto" w:before="120"/>
        <w:ind w:left="142" w:right="144"/>
        <w:jc w:val="both"/>
      </w:pPr>
      <w:r>
        <w:rPr/>
        <w:t>Normanno G., Firinu A., Virgilio S., Mula G., Dambrosio A. Poggiu A., Decaatelli L., Mioni R., Scuota S., Bolzoni G., Di Giannatale E., Salinetti., La Salandra G., Bartoli</w:t>
      </w:r>
    </w:p>
    <w:p>
      <w:pPr>
        <w:spacing w:after="0" w:line="276" w:lineRule="auto"/>
        <w:jc w:val="both"/>
        <w:sectPr>
          <w:pgSz w:w="12240" w:h="15840"/>
          <w:pgMar w:header="728" w:footer="710" w:top="1200" w:bottom="900" w:left="1560" w:right="1560"/>
        </w:sectPr>
      </w:pPr>
    </w:p>
    <w:p>
      <w:pPr>
        <w:pStyle w:val="BodyText"/>
        <w:spacing w:before="9"/>
        <w:rPr>
          <w:sz w:val="12"/>
        </w:rPr>
      </w:pPr>
    </w:p>
    <w:p>
      <w:pPr>
        <w:pStyle w:val="BodyText"/>
        <w:spacing w:line="276" w:lineRule="auto" w:before="70"/>
        <w:ind w:left="142" w:right="134"/>
        <w:jc w:val="both"/>
      </w:pPr>
      <w:r>
        <w:rPr/>
        <w:t>M., Zuccon F., Pirino T., Sias S., Parisi A., Quaglia N., Celano, (2005) Coagulase- positive Staphylococci and </w:t>
      </w:r>
      <w:r>
        <w:rPr>
          <w:i/>
        </w:rPr>
        <w:t>Staphylococcus aureus </w:t>
      </w:r>
      <w:r>
        <w:rPr/>
        <w:t>in food products marketed in Italy, International Journal of Food Microbiology 98:73-79.</w:t>
      </w:r>
    </w:p>
    <w:p>
      <w:pPr>
        <w:pStyle w:val="BodyText"/>
        <w:spacing w:line="276" w:lineRule="auto" w:before="123"/>
        <w:ind w:left="142" w:right="135"/>
        <w:jc w:val="both"/>
      </w:pPr>
      <w:r>
        <w:rPr/>
        <w:t>Oficial Mexicana NOM-243-SSA1-2010, Productos y servicios. Leche, fórmula láctea, producto lácteo combinado y derivados lácteos. Disposiciones y especificaciones sanitarias. Métodos de prueba.</w:t>
      </w:r>
    </w:p>
    <w:p>
      <w:pPr>
        <w:pStyle w:val="BodyText"/>
        <w:spacing w:line="276" w:lineRule="auto" w:before="120"/>
        <w:ind w:left="142" w:right="136"/>
        <w:jc w:val="both"/>
      </w:pPr>
      <w:r>
        <w:rPr/>
        <w:t>Oniciuc</w:t>
      </w:r>
      <w:r>
        <w:rPr>
          <w:spacing w:val="-10"/>
        </w:rPr>
        <w:t> </w:t>
      </w:r>
      <w:r>
        <w:rPr/>
        <w:t>E.,</w:t>
      </w:r>
      <w:r>
        <w:rPr>
          <w:spacing w:val="-10"/>
        </w:rPr>
        <w:t> </w:t>
      </w:r>
      <w:r>
        <w:rPr/>
        <w:t>Araiza-Miguel</w:t>
      </w:r>
      <w:r>
        <w:rPr>
          <w:spacing w:val="-11"/>
        </w:rPr>
        <w:t> </w:t>
      </w:r>
      <w:r>
        <w:rPr/>
        <w:t>J.,</w:t>
      </w:r>
      <w:r>
        <w:rPr>
          <w:spacing w:val="-12"/>
        </w:rPr>
        <w:t> </w:t>
      </w:r>
      <w:r>
        <w:rPr/>
        <w:t>Bolocan</w:t>
      </w:r>
      <w:r>
        <w:rPr>
          <w:spacing w:val="-12"/>
        </w:rPr>
        <w:t> </w:t>
      </w:r>
      <w:r>
        <w:rPr/>
        <w:t>A.,</w:t>
      </w:r>
      <w:r>
        <w:rPr>
          <w:spacing w:val="-10"/>
        </w:rPr>
        <w:t> </w:t>
      </w:r>
      <w:r>
        <w:rPr/>
        <w:t>Diez-Valcarce</w:t>
      </w:r>
      <w:r>
        <w:rPr>
          <w:spacing w:val="-10"/>
        </w:rPr>
        <w:t> </w:t>
      </w:r>
      <w:r>
        <w:rPr/>
        <w:t>M.,</w:t>
      </w:r>
      <w:r>
        <w:rPr>
          <w:spacing w:val="-12"/>
        </w:rPr>
        <w:t> </w:t>
      </w:r>
      <w:r>
        <w:rPr/>
        <w:t>Rovira</w:t>
      </w:r>
      <w:r>
        <w:rPr>
          <w:spacing w:val="-9"/>
        </w:rPr>
        <w:t> </w:t>
      </w:r>
      <w:r>
        <w:rPr/>
        <w:t>J.,</w:t>
      </w:r>
      <w:r>
        <w:rPr>
          <w:spacing w:val="-9"/>
        </w:rPr>
        <w:t> </w:t>
      </w:r>
      <w:r>
        <w:rPr/>
        <w:t>Hernández</w:t>
      </w:r>
      <w:r>
        <w:rPr>
          <w:spacing w:val="-13"/>
        </w:rPr>
        <w:t> </w:t>
      </w:r>
      <w:r>
        <w:rPr/>
        <w:t>M. Fernandez-Natal i., Ioana A., Rodríguez-Lázaro D., (2015), Foos from black market at EU border as a neglected route of potencial meticillin-resistant </w:t>
      </w:r>
      <w:r>
        <w:rPr>
          <w:i/>
        </w:rPr>
        <w:t>Staphylococcus </w:t>
      </w:r>
      <w:r>
        <w:rPr>
          <w:i/>
        </w:rPr>
        <w:t>aureus </w:t>
      </w:r>
      <w:r>
        <w:rPr/>
        <w:t>transmission, International Journal of Food Microbiology,</w:t>
      </w:r>
      <w:r>
        <w:rPr>
          <w:spacing w:val="-25"/>
        </w:rPr>
        <w:t> </w:t>
      </w:r>
      <w:r>
        <w:rPr/>
        <w:t>209:34-38.</w:t>
      </w:r>
    </w:p>
    <w:p>
      <w:pPr>
        <w:pStyle w:val="BodyText"/>
        <w:spacing w:line="276" w:lineRule="auto" w:before="123"/>
        <w:ind w:left="142" w:right="136"/>
        <w:jc w:val="both"/>
      </w:pPr>
      <w:r>
        <w:rPr/>
        <w:t>Otto M., (2008), Staphylococcal Biofilms, Curr Top Microbiol Immunol, 322: 207– 228.</w:t>
      </w:r>
    </w:p>
    <w:p>
      <w:pPr>
        <w:pStyle w:val="BodyText"/>
        <w:spacing w:line="273" w:lineRule="auto" w:before="123"/>
        <w:ind w:left="142" w:right="141"/>
        <w:jc w:val="both"/>
      </w:pPr>
      <w:r>
        <w:rPr/>
        <w:t>Pesavento G., Ducci B., Comodo N., Lo Nostro A., (2007), Antimicrobial resistance profile of </w:t>
      </w:r>
      <w:r>
        <w:rPr>
          <w:i/>
        </w:rPr>
        <w:t>Staphylococcus aureus </w:t>
      </w:r>
      <w:r>
        <w:rPr/>
        <w:t>isolated from raw meat: A research for methicillin resistant  </w:t>
      </w:r>
      <w:r>
        <w:rPr>
          <w:i/>
        </w:rPr>
        <w:t>Staphylococcus aureus </w:t>
      </w:r>
      <w:r>
        <w:rPr/>
        <w:t>(MRSA), Food Control, 18:196-200.</w:t>
      </w:r>
    </w:p>
    <w:p>
      <w:pPr>
        <w:pStyle w:val="BodyText"/>
        <w:spacing w:line="278" w:lineRule="auto" w:before="123"/>
        <w:ind w:left="142" w:right="138"/>
        <w:jc w:val="both"/>
      </w:pPr>
      <w:r>
        <w:rPr/>
        <w:t>Petinaki E. y Spiliopoulou I., (2012), Methicillin-resistant </w:t>
      </w:r>
      <w:r>
        <w:rPr>
          <w:i/>
        </w:rPr>
        <w:t>Staphylococcus aureus </w:t>
      </w:r>
      <w:r>
        <w:rPr/>
        <w:t>among companion and food-chain animals: impact of human contacts, Clinical Microbiology and Infection, 18:626-634.</w:t>
      </w:r>
    </w:p>
    <w:p>
      <w:pPr>
        <w:pStyle w:val="BodyText"/>
        <w:spacing w:line="276" w:lineRule="auto" w:before="118"/>
        <w:ind w:left="142" w:right="137"/>
        <w:jc w:val="both"/>
      </w:pPr>
      <w:r>
        <w:rPr/>
        <w:t>Picos J, y Torres M., (2006), Microbiología en alimentos, Universidad de Guadalajara, México, pp 59-82.</w:t>
      </w:r>
    </w:p>
    <w:p>
      <w:pPr>
        <w:pStyle w:val="BodyText"/>
        <w:spacing w:line="276" w:lineRule="auto" w:before="123"/>
        <w:ind w:left="142" w:right="138"/>
        <w:jc w:val="both"/>
      </w:pPr>
      <w:r>
        <w:rPr/>
        <w:t>Prère</w:t>
      </w:r>
      <w:r>
        <w:rPr>
          <w:spacing w:val="-6"/>
        </w:rPr>
        <w:t> </w:t>
      </w:r>
      <w:r>
        <w:rPr/>
        <w:t>M.,</w:t>
      </w:r>
      <w:r>
        <w:rPr>
          <w:spacing w:val="-8"/>
        </w:rPr>
        <w:t> </w:t>
      </w:r>
      <w:r>
        <w:rPr/>
        <w:t>Baron</w:t>
      </w:r>
      <w:r>
        <w:rPr>
          <w:spacing w:val="-8"/>
        </w:rPr>
        <w:t> </w:t>
      </w:r>
      <w:r>
        <w:rPr/>
        <w:t>o.,</w:t>
      </w:r>
      <w:r>
        <w:rPr>
          <w:spacing w:val="-6"/>
        </w:rPr>
        <w:t> </w:t>
      </w:r>
      <w:r>
        <w:rPr/>
        <w:t>Cohen</w:t>
      </w:r>
      <w:r>
        <w:rPr>
          <w:spacing w:val="-8"/>
        </w:rPr>
        <w:t> </w:t>
      </w:r>
      <w:r>
        <w:rPr/>
        <w:t>S.,</w:t>
      </w:r>
      <w:r>
        <w:rPr>
          <w:spacing w:val="-8"/>
        </w:rPr>
        <w:t> </w:t>
      </w:r>
      <w:r>
        <w:rPr/>
        <w:t>Fayet</w:t>
      </w:r>
      <w:r>
        <w:rPr>
          <w:spacing w:val="-6"/>
        </w:rPr>
        <w:t> </w:t>
      </w:r>
      <w:r>
        <w:rPr/>
        <w:t>O.</w:t>
      </w:r>
      <w:r>
        <w:rPr>
          <w:spacing w:val="-8"/>
        </w:rPr>
        <w:t> </w:t>
      </w:r>
      <w:r>
        <w:rPr/>
        <w:t>(2006),</w:t>
      </w:r>
      <w:r>
        <w:rPr>
          <w:spacing w:val="-7"/>
        </w:rPr>
        <w:t> </w:t>
      </w:r>
      <w:r>
        <w:rPr/>
        <w:t>Genotype</w:t>
      </w:r>
      <w:r>
        <w:rPr>
          <w:spacing w:val="-6"/>
        </w:rPr>
        <w:t> </w:t>
      </w:r>
      <w:r>
        <w:rPr/>
        <w:t>MRSA,</w:t>
      </w:r>
      <w:r>
        <w:rPr>
          <w:spacing w:val="-9"/>
        </w:rPr>
        <w:t> </w:t>
      </w:r>
      <w:r>
        <w:rPr/>
        <w:t>a</w:t>
      </w:r>
      <w:r>
        <w:rPr>
          <w:spacing w:val="-8"/>
        </w:rPr>
        <w:t> </w:t>
      </w:r>
      <w:r>
        <w:rPr/>
        <w:t>new</w:t>
      </w:r>
      <w:r>
        <w:rPr>
          <w:spacing w:val="-10"/>
        </w:rPr>
        <w:t> </w:t>
      </w:r>
      <w:r>
        <w:rPr/>
        <w:t>genetic</w:t>
      </w:r>
      <w:r>
        <w:rPr>
          <w:spacing w:val="-7"/>
        </w:rPr>
        <w:t> </w:t>
      </w:r>
      <w:r>
        <w:rPr/>
        <w:t>test for the rapid identification of </w:t>
      </w:r>
      <w:r>
        <w:rPr>
          <w:i/>
        </w:rPr>
        <w:t>staphylococci </w:t>
      </w:r>
      <w:r>
        <w:rPr/>
        <w:t>and detection of </w:t>
      </w:r>
      <w:r>
        <w:rPr>
          <w:i/>
        </w:rPr>
        <w:t>mecA </w:t>
      </w:r>
      <w:r>
        <w:rPr/>
        <w:t>gene, Pathologie Biologie,</w:t>
      </w:r>
      <w:r>
        <w:rPr>
          <w:spacing w:val="-6"/>
        </w:rPr>
        <w:t> </w:t>
      </w:r>
      <w:r>
        <w:rPr/>
        <w:t>54:502-505.</w:t>
      </w:r>
    </w:p>
    <w:p>
      <w:pPr>
        <w:pStyle w:val="BodyText"/>
        <w:spacing w:line="276" w:lineRule="auto" w:before="120"/>
        <w:ind w:left="142" w:right="142"/>
        <w:jc w:val="both"/>
      </w:pPr>
      <w:r>
        <w:rPr/>
        <w:t>Ramírez-López C. y Vélez-Ruíz J., (2012), Quesos frescos: propiedades, métodos de determinación y factores que afectan su calidad, Temas selectos de Ingeniería en Alimentos, 6-2:131-148.</w:t>
      </w:r>
    </w:p>
    <w:p>
      <w:pPr>
        <w:pStyle w:val="BodyText"/>
        <w:spacing w:line="276" w:lineRule="auto" w:before="120"/>
        <w:ind w:left="142" w:right="138"/>
        <w:jc w:val="both"/>
      </w:pPr>
      <w:r>
        <w:rPr/>
        <w:t>Rivera-Salazar</w:t>
      </w:r>
      <w:r>
        <w:rPr>
          <w:spacing w:val="-13"/>
        </w:rPr>
        <w:t> </w:t>
      </w:r>
      <w:r>
        <w:rPr/>
        <w:t>J.,</w:t>
      </w:r>
      <w:r>
        <w:rPr>
          <w:spacing w:val="-12"/>
        </w:rPr>
        <w:t> </w:t>
      </w:r>
      <w:r>
        <w:rPr/>
        <w:t>Mujica</w:t>
      </w:r>
      <w:r>
        <w:rPr>
          <w:spacing w:val="-12"/>
        </w:rPr>
        <w:t> </w:t>
      </w:r>
      <w:r>
        <w:rPr/>
        <w:t>I.,</w:t>
      </w:r>
      <w:r>
        <w:rPr>
          <w:spacing w:val="-14"/>
        </w:rPr>
        <w:t> </w:t>
      </w:r>
      <w:r>
        <w:rPr/>
        <w:t>Aranaga-Natera</w:t>
      </w:r>
      <w:r>
        <w:rPr>
          <w:spacing w:val="-14"/>
        </w:rPr>
        <w:t> </w:t>
      </w:r>
      <w:r>
        <w:rPr/>
        <w:t>V.,</w:t>
      </w:r>
      <w:r>
        <w:rPr>
          <w:spacing w:val="-12"/>
        </w:rPr>
        <w:t> </w:t>
      </w:r>
      <w:r>
        <w:rPr/>
        <w:t>Navarro-Ocando</w:t>
      </w:r>
      <w:r>
        <w:rPr>
          <w:spacing w:val="-12"/>
        </w:rPr>
        <w:t> </w:t>
      </w:r>
      <w:r>
        <w:rPr/>
        <w:t>C.,</w:t>
      </w:r>
      <w:r>
        <w:rPr>
          <w:spacing w:val="-12"/>
        </w:rPr>
        <w:t> </w:t>
      </w:r>
      <w:r>
        <w:rPr/>
        <w:t>Zabala-Díaz</w:t>
      </w:r>
      <w:r>
        <w:rPr>
          <w:spacing w:val="-14"/>
        </w:rPr>
        <w:t> </w:t>
      </w:r>
      <w:r>
        <w:rPr/>
        <w:t>I., Arencio-Bracho L., (2011), </w:t>
      </w:r>
      <w:r>
        <w:rPr>
          <w:i/>
        </w:rPr>
        <w:t>Staphylococcus aureus </w:t>
      </w:r>
      <w:r>
        <w:rPr/>
        <w:t>procedentes de quesos: Susceptibilidad a antibióticos y su relación con los plasmidos, Revista científica, 21(3):</w:t>
      </w:r>
      <w:r>
        <w:rPr>
          <w:spacing w:val="-3"/>
        </w:rPr>
        <w:t> </w:t>
      </w:r>
      <w:r>
        <w:rPr/>
        <w:t>202-211.</w:t>
      </w:r>
    </w:p>
    <w:p>
      <w:pPr>
        <w:pStyle w:val="BodyText"/>
        <w:spacing w:line="276" w:lineRule="auto" w:before="120"/>
        <w:ind w:left="142" w:right="138"/>
        <w:jc w:val="both"/>
      </w:pPr>
      <w:r>
        <w:rPr/>
        <w:t>Rode T., Langsrud S., Holck A., Møretrø T., (2007), Different patterns of biofilm formation in </w:t>
      </w:r>
      <w:r>
        <w:rPr>
          <w:i/>
        </w:rPr>
        <w:t>Staphylococcus aureus </w:t>
      </w:r>
      <w:r>
        <w:rPr/>
        <w:t>under food-related stress conditions, International Journal of Food Microbiology, 116:372-383.</w:t>
      </w:r>
    </w:p>
    <w:p>
      <w:pPr>
        <w:pStyle w:val="BodyText"/>
        <w:spacing w:line="276" w:lineRule="auto" w:before="123"/>
        <w:ind w:left="142" w:right="136"/>
        <w:jc w:val="both"/>
      </w:pPr>
      <w:r>
        <w:rPr/>
        <w:t>Rodríguez-Lázaro D., Ariza-Miguel J., Diez-Valcarce M., Fernández-Natal I., Hernández  M.,  Rovira  J.,  (2015),  Foods  confiscated  fron  non-EU  flights  as  a</w:t>
      </w:r>
    </w:p>
    <w:p>
      <w:pPr>
        <w:spacing w:after="0" w:line="276" w:lineRule="auto"/>
        <w:jc w:val="both"/>
        <w:sectPr>
          <w:pgSz w:w="12240" w:h="15840"/>
          <w:pgMar w:header="728" w:footer="710" w:top="1200" w:bottom="900" w:left="1560" w:right="1560"/>
        </w:sectPr>
      </w:pPr>
    </w:p>
    <w:p>
      <w:pPr>
        <w:pStyle w:val="BodyText"/>
        <w:spacing w:before="7"/>
        <w:rPr>
          <w:sz w:val="12"/>
        </w:rPr>
      </w:pPr>
    </w:p>
    <w:p>
      <w:pPr>
        <w:spacing w:before="69"/>
        <w:ind w:left="142" w:right="0" w:firstLine="0"/>
        <w:jc w:val="both"/>
        <w:rPr>
          <w:i/>
          <w:sz w:val="24"/>
        </w:rPr>
      </w:pPr>
      <w:r>
        <w:rPr>
          <w:sz w:val="24"/>
        </w:rPr>
        <w:t>neglected    route    of    potential    methicillin-resistant    </w:t>
      </w:r>
      <w:r>
        <w:rPr>
          <w:i/>
          <w:sz w:val="24"/>
        </w:rPr>
        <w:t>Staphylococcus   </w:t>
      </w:r>
      <w:r>
        <w:rPr>
          <w:i/>
          <w:spacing w:val="64"/>
          <w:sz w:val="24"/>
        </w:rPr>
        <w:t> </w:t>
      </w:r>
      <w:r>
        <w:rPr>
          <w:i/>
          <w:sz w:val="24"/>
        </w:rPr>
        <w:t>aureus</w:t>
      </w:r>
    </w:p>
    <w:p>
      <w:pPr>
        <w:pStyle w:val="BodyText"/>
        <w:spacing w:before="43"/>
        <w:ind w:left="142"/>
        <w:jc w:val="both"/>
      </w:pPr>
      <w:r>
        <w:rPr/>
        <w:t>transmission, International Journal of Food Microbiology, 209:29-33.</w:t>
      </w:r>
    </w:p>
    <w:p>
      <w:pPr>
        <w:pStyle w:val="BodyText"/>
        <w:spacing w:line="278" w:lineRule="auto" w:before="161"/>
        <w:ind w:left="142" w:right="144"/>
        <w:jc w:val="both"/>
      </w:pPr>
      <w:r>
        <w:rPr/>
        <w:t>Romero A., Viesca F., Hernández M., (2010), Formación del patrimonio gastronómico del Valle de Toluca, México, Ciencia Ergo Sum, 24(3):239-252.</w:t>
      </w:r>
    </w:p>
    <w:p>
      <w:pPr>
        <w:pStyle w:val="BodyText"/>
        <w:spacing w:line="276" w:lineRule="auto" w:before="118"/>
        <w:ind w:left="142" w:right="137"/>
        <w:jc w:val="both"/>
      </w:pPr>
      <w:r>
        <w:rPr/>
        <w:t>Rosengren A., Fabricius A., Guss B., Sylvén S., Lindqvist R., (2010) Ocurrence of foodborne pathogens and characerization of </w:t>
      </w:r>
      <w:r>
        <w:rPr>
          <w:i/>
        </w:rPr>
        <w:t>Staphylococcus aureus </w:t>
      </w:r>
      <w:r>
        <w:rPr/>
        <w:t>in chesse produced on farm-dairies, International Journal of Food Microbiology, 144:263-269.</w:t>
      </w:r>
    </w:p>
    <w:p>
      <w:pPr>
        <w:pStyle w:val="BodyText"/>
        <w:spacing w:line="276" w:lineRule="auto" w:before="123"/>
        <w:ind w:left="142" w:right="143"/>
        <w:jc w:val="both"/>
      </w:pPr>
      <w:r>
        <w:rPr/>
        <w:t>Rossi F., Rizzotti L., Felis G., Torriani S., (2014), Horizontal gene transfer among organisms in food: Current knowledge and future perspectives, Food Microbiology, 42: 232-243.</w:t>
      </w:r>
    </w:p>
    <w:p>
      <w:pPr>
        <w:pStyle w:val="BodyText"/>
        <w:spacing w:line="276" w:lineRule="auto" w:before="120"/>
        <w:ind w:left="142" w:right="136" w:firstLine="67"/>
        <w:jc w:val="both"/>
      </w:pPr>
      <w:r>
        <w:rPr/>
        <w:t>Salgado-Ruíz T., Rodríguez A, Gutiérrez D., Martínez B., García P., Espinoza- Ortega A., Martínez-Campos A., Lagunas-Bernabé S., Vicente F., Arriaga Jordán C., (2014), Molecular characterization and antimicrobial susceptibility of </w:t>
      </w:r>
      <w:r>
        <w:rPr>
          <w:i/>
        </w:rPr>
        <w:t>Staphylococcus aureus </w:t>
      </w:r>
      <w:r>
        <w:rPr/>
        <w:t>from small-scale dairy systems in the highlands of Central México, Dairy Sci. Technol. Original Paper.</w:t>
      </w:r>
    </w:p>
    <w:p>
      <w:pPr>
        <w:pStyle w:val="BodyText"/>
        <w:spacing w:line="276" w:lineRule="auto" w:before="120"/>
        <w:ind w:left="142" w:right="138"/>
        <w:jc w:val="both"/>
      </w:pPr>
      <w:r>
        <w:rPr/>
        <w:t>Sánchez V., Colín N., López G., Avilés N., Castelán O., Estrada F., (2012), Caracterización del queso madurado Zacazonapan producido en el Estado de México, 13er. Congreso Nacional de Investigación Socioeconómica y Ambiental de la Producción Pecuaria, Colegio de Posgraduados, Campus Puebla, México.</w:t>
      </w:r>
    </w:p>
    <w:p>
      <w:pPr>
        <w:pStyle w:val="BodyText"/>
        <w:spacing w:line="278" w:lineRule="auto" w:before="118"/>
        <w:ind w:left="142" w:right="136"/>
        <w:jc w:val="both"/>
      </w:pPr>
      <w:r>
        <w:rPr/>
        <w:t>Sandel M., McKillip J., (2004) Virulence and recovery of </w:t>
      </w:r>
      <w:r>
        <w:rPr>
          <w:i/>
        </w:rPr>
        <w:t>Staphylococcus aureus </w:t>
      </w:r>
      <w:r>
        <w:rPr/>
        <w:t>relevant to the food industry using improvements on traditional approaches, Food Control, 15:5-10.</w:t>
      </w:r>
    </w:p>
    <w:p>
      <w:pPr>
        <w:pStyle w:val="BodyText"/>
        <w:spacing w:line="276" w:lineRule="auto" w:before="118"/>
        <w:ind w:left="142" w:right="142"/>
        <w:jc w:val="both"/>
      </w:pPr>
      <w:r>
        <w:rPr/>
        <w:t>Sasidharan S., Prema B., Yoga L., (2011), Antomicrobial drug resistance of </w:t>
      </w:r>
      <w:r>
        <w:rPr>
          <w:i/>
        </w:rPr>
        <w:t>Staphylococcus aureus </w:t>
      </w:r>
      <w:r>
        <w:rPr/>
        <w:t>in dairy products, Asian Pacific Journal of Tropical Biomedicine, 130-132.</w:t>
      </w:r>
    </w:p>
    <w:p>
      <w:pPr>
        <w:pStyle w:val="BodyText"/>
        <w:spacing w:line="276" w:lineRule="auto" w:before="120"/>
        <w:ind w:left="142" w:right="137"/>
        <w:jc w:val="both"/>
      </w:pPr>
      <w:r>
        <w:rPr/>
        <w:t>Secretaria de Desarrollo Económico (SEDECO), Tianguis del municipio de Toluca, ubicación en Delegaciones, Subdelegaciones y Colonias. Subdirección de Mercados. 12 Jun 2014.</w:t>
      </w:r>
    </w:p>
    <w:p>
      <w:pPr>
        <w:pStyle w:val="BodyText"/>
        <w:spacing w:line="276" w:lineRule="auto" w:before="123"/>
        <w:ind w:left="142" w:right="140"/>
        <w:jc w:val="both"/>
      </w:pPr>
      <w:r>
        <w:rPr/>
        <w:t>Sepúlveda D., Olivas G., Molina J. (2007), Productos lácteos en Buenas prácticas en la producción de alimentos, Trillas; Pp 351-379.</w:t>
      </w:r>
    </w:p>
    <w:p>
      <w:pPr>
        <w:pStyle w:val="BodyText"/>
        <w:spacing w:line="276" w:lineRule="auto" w:before="120"/>
        <w:ind w:left="142" w:right="136"/>
        <w:jc w:val="both"/>
      </w:pPr>
      <w:r>
        <w:rPr/>
        <w:t>Shanehbandi</w:t>
      </w:r>
      <w:r>
        <w:rPr>
          <w:spacing w:val="-5"/>
        </w:rPr>
        <w:t> </w:t>
      </w:r>
      <w:r>
        <w:rPr/>
        <w:t>D.,</w:t>
      </w:r>
      <w:r>
        <w:rPr>
          <w:spacing w:val="-6"/>
        </w:rPr>
        <w:t> </w:t>
      </w:r>
      <w:r>
        <w:rPr/>
        <w:t>Baradaran</w:t>
      </w:r>
      <w:r>
        <w:rPr>
          <w:spacing w:val="-7"/>
        </w:rPr>
        <w:t> </w:t>
      </w:r>
      <w:r>
        <w:rPr/>
        <w:t>B.,</w:t>
      </w:r>
      <w:r>
        <w:rPr>
          <w:spacing w:val="-7"/>
        </w:rPr>
        <w:t> </w:t>
      </w:r>
      <w:r>
        <w:rPr/>
        <w:t>Sadigh-Eteghad</w:t>
      </w:r>
      <w:r>
        <w:rPr>
          <w:spacing w:val="-7"/>
        </w:rPr>
        <w:t> </w:t>
      </w:r>
      <w:r>
        <w:rPr/>
        <w:t>S.,</w:t>
      </w:r>
      <w:r>
        <w:rPr>
          <w:spacing w:val="-6"/>
        </w:rPr>
        <w:t> </w:t>
      </w:r>
      <w:r>
        <w:rPr/>
        <w:t>Zarredar</w:t>
      </w:r>
      <w:r>
        <w:rPr>
          <w:spacing w:val="-6"/>
        </w:rPr>
        <w:t> </w:t>
      </w:r>
      <w:r>
        <w:rPr/>
        <w:t>H.,</w:t>
      </w:r>
      <w:r>
        <w:rPr>
          <w:spacing w:val="-6"/>
        </w:rPr>
        <w:t> </w:t>
      </w:r>
      <w:r>
        <w:rPr/>
        <w:t>(2014),</w:t>
      </w:r>
      <w:r>
        <w:rPr>
          <w:spacing w:val="-6"/>
        </w:rPr>
        <w:t> </w:t>
      </w:r>
      <w:r>
        <w:rPr/>
        <w:t>Ocurrence of Methicillin Resistant and Enterotoxigenic </w:t>
      </w:r>
      <w:r>
        <w:rPr>
          <w:i/>
        </w:rPr>
        <w:t>Staphylococcus aureus </w:t>
      </w:r>
      <w:r>
        <w:rPr/>
        <w:t>in Traditional Cheeses in the North West of Iran, ISRN Microbiology, 5</w:t>
      </w:r>
      <w:r>
        <w:rPr>
          <w:spacing w:val="-23"/>
        </w:rPr>
        <w:t> </w:t>
      </w:r>
      <w:r>
        <w:rPr/>
        <w:t>pp.</w:t>
      </w:r>
    </w:p>
    <w:p>
      <w:pPr>
        <w:pStyle w:val="BodyText"/>
        <w:tabs>
          <w:tab w:pos="2366" w:val="left" w:leader="none"/>
          <w:tab w:pos="4003" w:val="left" w:leader="none"/>
          <w:tab w:pos="6198" w:val="left" w:leader="none"/>
          <w:tab w:pos="8649" w:val="left" w:leader="none"/>
        </w:tabs>
        <w:spacing w:line="276" w:lineRule="auto" w:before="123"/>
        <w:ind w:left="142" w:right="138"/>
        <w:jc w:val="both"/>
      </w:pPr>
      <w:r>
        <w:rPr/>
        <w:t>Servicio</w:t>
      </w:r>
      <w:r>
        <w:rPr>
          <w:spacing w:val="-9"/>
        </w:rPr>
        <w:t> </w:t>
      </w:r>
      <w:r>
        <w:rPr/>
        <w:t>de</w:t>
      </w:r>
      <w:r>
        <w:rPr>
          <w:spacing w:val="-9"/>
        </w:rPr>
        <w:t> </w:t>
      </w:r>
      <w:r>
        <w:rPr/>
        <w:t>Información</w:t>
      </w:r>
      <w:r>
        <w:rPr>
          <w:spacing w:val="-9"/>
        </w:rPr>
        <w:t> </w:t>
      </w:r>
      <w:r>
        <w:rPr/>
        <w:t>Agroalimentaria</w:t>
      </w:r>
      <w:r>
        <w:rPr>
          <w:spacing w:val="-9"/>
        </w:rPr>
        <w:t> </w:t>
      </w:r>
      <w:r>
        <w:rPr/>
        <w:t>y</w:t>
      </w:r>
      <w:r>
        <w:rPr>
          <w:spacing w:val="-13"/>
        </w:rPr>
        <w:t> </w:t>
      </w:r>
      <w:r>
        <w:rPr/>
        <w:t>Pesquera</w:t>
      </w:r>
      <w:r>
        <w:rPr>
          <w:spacing w:val="-9"/>
        </w:rPr>
        <w:t> </w:t>
      </w:r>
      <w:r>
        <w:rPr/>
        <w:t>(SIAP),(2007),</w:t>
      </w:r>
      <w:r>
        <w:rPr>
          <w:spacing w:val="-12"/>
        </w:rPr>
        <w:t> </w:t>
      </w:r>
      <w:r>
        <w:rPr/>
        <w:t>Panorama</w:t>
      </w:r>
      <w:r>
        <w:rPr>
          <w:spacing w:val="-9"/>
        </w:rPr>
        <w:t> </w:t>
      </w:r>
      <w:r>
        <w:rPr/>
        <w:t>de</w:t>
      </w:r>
      <w:r>
        <w:rPr>
          <w:spacing w:val="-9"/>
        </w:rPr>
        <w:t> </w:t>
      </w:r>
      <w:r>
        <w:rPr/>
        <w:t>la lechería</w:t>
        <w:tab/>
        <w:t>en</w:t>
        <w:tab/>
        <w:t>México,</w:t>
        <w:tab/>
        <w:t>disponible</w:t>
        <w:tab/>
      </w:r>
      <w:r>
        <w:rPr>
          <w:spacing w:val="-1"/>
        </w:rPr>
        <w:t>en:</w:t>
      </w:r>
    </w:p>
    <w:p>
      <w:pPr>
        <w:spacing w:after="0" w:line="276" w:lineRule="auto"/>
        <w:jc w:val="both"/>
        <w:sectPr>
          <w:footerReference w:type="default" r:id="rId79"/>
          <w:pgSz w:w="12240" w:h="15840"/>
          <w:pgMar w:footer="710" w:header="728" w:top="1200" w:bottom="900" w:left="1560" w:right="1560"/>
        </w:sectPr>
      </w:pPr>
    </w:p>
    <w:p>
      <w:pPr>
        <w:pStyle w:val="BodyText"/>
        <w:spacing w:before="9"/>
        <w:rPr>
          <w:sz w:val="12"/>
        </w:rPr>
      </w:pPr>
    </w:p>
    <w:p>
      <w:pPr>
        <w:pStyle w:val="BodyText"/>
        <w:spacing w:line="276" w:lineRule="auto" w:before="70"/>
        <w:ind w:left="142" w:right="63"/>
      </w:pPr>
      <w:hyperlink r:id="rId70">
        <w:r>
          <w:rPr/>
          <w:t>http://www.siap.gob.mx/pdfjs/web/viewer.php?file=b_leche_abrjun2015.pdf</w:t>
        </w:r>
      </w:hyperlink>
      <w:r>
        <w:rPr/>
        <w:t> </w:t>
      </w:r>
      <w:r>
        <w:rPr>
          <w:u w:val="single"/>
        </w:rPr>
        <w:t>(Consultado el 5 de Noviembre de 2013).</w:t>
      </w:r>
    </w:p>
    <w:p>
      <w:pPr>
        <w:pStyle w:val="BodyText"/>
        <w:spacing w:line="276" w:lineRule="auto"/>
        <w:ind w:left="142" w:right="136"/>
        <w:jc w:val="both"/>
      </w:pPr>
      <w:r>
        <w:rPr/>
        <w:t>Solís-Méndez A., Estrada-Flores J., Castelan Ortega O., (2012), A study on the texture diversity of the Artisan Ranchero Cheese from Central Mexico, International Journal of Dairy Tecnology 41(1):37-44.</w:t>
      </w:r>
    </w:p>
    <w:p>
      <w:pPr>
        <w:spacing w:before="118"/>
        <w:ind w:left="142" w:right="0" w:firstLine="0"/>
        <w:jc w:val="both"/>
        <w:rPr>
          <w:i/>
          <w:sz w:val="24"/>
        </w:rPr>
      </w:pPr>
      <w:r>
        <w:rPr>
          <w:sz w:val="24"/>
        </w:rPr>
        <w:t>Sollid J., Furberg A., Hanssen A., Johannessen M., (2014), </w:t>
      </w:r>
      <w:r>
        <w:rPr>
          <w:i/>
          <w:sz w:val="24"/>
        </w:rPr>
        <w:t>Staphylococcus aureus:</w:t>
      </w:r>
    </w:p>
    <w:p>
      <w:pPr>
        <w:pStyle w:val="BodyText"/>
        <w:spacing w:before="43"/>
        <w:ind w:left="142"/>
        <w:jc w:val="both"/>
      </w:pPr>
      <w:r>
        <w:rPr/>
        <w:t>Determinants of human carriage, Infection, Genetics and Evolution, 21:531-541.</w:t>
      </w:r>
    </w:p>
    <w:p>
      <w:pPr>
        <w:pStyle w:val="BodyText"/>
        <w:spacing w:line="276" w:lineRule="auto" w:before="163"/>
        <w:ind w:left="142" w:right="135"/>
        <w:jc w:val="both"/>
      </w:pPr>
      <w:r>
        <w:rPr/>
        <w:t>Spanu</w:t>
      </w:r>
      <w:r>
        <w:rPr>
          <w:spacing w:val="-9"/>
        </w:rPr>
        <w:t> </w:t>
      </w:r>
      <w:r>
        <w:rPr/>
        <w:t>V.,</w:t>
      </w:r>
      <w:r>
        <w:rPr>
          <w:spacing w:val="-9"/>
        </w:rPr>
        <w:t> </w:t>
      </w:r>
      <w:r>
        <w:rPr/>
        <w:t>Spanu</w:t>
      </w:r>
      <w:r>
        <w:rPr>
          <w:spacing w:val="-9"/>
        </w:rPr>
        <w:t> </w:t>
      </w:r>
      <w:r>
        <w:rPr/>
        <w:t>C.,</w:t>
      </w:r>
      <w:r>
        <w:rPr>
          <w:spacing w:val="-12"/>
        </w:rPr>
        <w:t> </w:t>
      </w:r>
      <w:r>
        <w:rPr/>
        <w:t>Virdis</w:t>
      </w:r>
      <w:r>
        <w:rPr>
          <w:spacing w:val="-11"/>
        </w:rPr>
        <w:t> </w:t>
      </w:r>
      <w:r>
        <w:rPr/>
        <w:t>S.,</w:t>
      </w:r>
      <w:r>
        <w:rPr>
          <w:spacing w:val="-9"/>
        </w:rPr>
        <w:t> </w:t>
      </w:r>
      <w:r>
        <w:rPr/>
        <w:t>Cossu</w:t>
      </w:r>
      <w:r>
        <w:rPr>
          <w:spacing w:val="-11"/>
        </w:rPr>
        <w:t> </w:t>
      </w:r>
      <w:r>
        <w:rPr/>
        <w:t>F.,</w:t>
      </w:r>
      <w:r>
        <w:rPr>
          <w:spacing w:val="-9"/>
        </w:rPr>
        <w:t> </w:t>
      </w:r>
      <w:r>
        <w:rPr/>
        <w:t>Scarano</w:t>
      </w:r>
      <w:r>
        <w:rPr>
          <w:spacing w:val="-9"/>
        </w:rPr>
        <w:t> </w:t>
      </w:r>
      <w:r>
        <w:rPr/>
        <w:t>C.,</w:t>
      </w:r>
      <w:r>
        <w:rPr>
          <w:spacing w:val="-10"/>
        </w:rPr>
        <w:t> </w:t>
      </w:r>
      <w:r>
        <w:rPr/>
        <w:t>De</w:t>
      </w:r>
      <w:r>
        <w:rPr>
          <w:spacing w:val="-10"/>
        </w:rPr>
        <w:t> </w:t>
      </w:r>
      <w:r>
        <w:rPr/>
        <w:t>Santis</w:t>
      </w:r>
      <w:r>
        <w:rPr>
          <w:spacing w:val="-13"/>
        </w:rPr>
        <w:t> </w:t>
      </w:r>
      <w:r>
        <w:rPr/>
        <w:t>E.,</w:t>
      </w:r>
      <w:r>
        <w:rPr>
          <w:spacing w:val="-9"/>
        </w:rPr>
        <w:t> </w:t>
      </w:r>
      <w:r>
        <w:rPr/>
        <w:t>(2012)</w:t>
      </w:r>
      <w:r>
        <w:rPr>
          <w:spacing w:val="-11"/>
        </w:rPr>
        <w:t> </w:t>
      </w:r>
      <w:r>
        <w:rPr/>
        <w:t>Virulence factors and genetic variability of </w:t>
      </w:r>
      <w:r>
        <w:rPr>
          <w:i/>
        </w:rPr>
        <w:t>Staphylococcus aureus </w:t>
      </w:r>
      <w:r>
        <w:rPr/>
        <w:t>strains isolated from raw sheep´s milk cheese, International Journal of Food Microbiology,</w:t>
      </w:r>
      <w:r>
        <w:rPr>
          <w:spacing w:val="-22"/>
        </w:rPr>
        <w:t> </w:t>
      </w:r>
      <w:r>
        <w:rPr/>
        <w:t>153:53-57.</w:t>
      </w:r>
    </w:p>
    <w:p>
      <w:pPr>
        <w:pStyle w:val="BodyText"/>
        <w:spacing w:line="278" w:lineRule="auto" w:before="118"/>
        <w:ind w:left="142" w:right="136"/>
        <w:jc w:val="both"/>
      </w:pPr>
      <w:r>
        <w:rPr/>
        <w:t>Stefani S. y Goglio A., (2010), Methicillin-resistant </w:t>
      </w:r>
      <w:r>
        <w:rPr>
          <w:i/>
        </w:rPr>
        <w:t>Staphylococcus aureus</w:t>
      </w:r>
      <w:r>
        <w:rPr/>
        <w:t>: related infections and antibiotic resistance, International Journal of Infectious Diseases, 14S4:S19-S22.</w:t>
      </w:r>
    </w:p>
    <w:p>
      <w:pPr>
        <w:pStyle w:val="BodyText"/>
        <w:spacing w:line="276" w:lineRule="auto" w:before="118"/>
        <w:ind w:left="142" w:right="136"/>
        <w:jc w:val="both"/>
      </w:pPr>
      <w:r>
        <w:rPr/>
        <w:t>Traversa</w:t>
      </w:r>
      <w:r>
        <w:rPr>
          <w:spacing w:val="-11"/>
        </w:rPr>
        <w:t> </w:t>
      </w:r>
      <w:r>
        <w:rPr/>
        <w:t>A.,</w:t>
      </w:r>
      <w:r>
        <w:rPr>
          <w:spacing w:val="-13"/>
        </w:rPr>
        <w:t> </w:t>
      </w:r>
      <w:r>
        <w:rPr/>
        <w:t>Gariano</w:t>
      </w:r>
      <w:r>
        <w:rPr>
          <w:spacing w:val="-11"/>
        </w:rPr>
        <w:t> </w:t>
      </w:r>
      <w:r>
        <w:rPr/>
        <w:t>G.,</w:t>
      </w:r>
      <w:r>
        <w:rPr>
          <w:spacing w:val="-11"/>
        </w:rPr>
        <w:t> </w:t>
      </w:r>
      <w:r>
        <w:rPr/>
        <w:t>Gallina</w:t>
      </w:r>
      <w:r>
        <w:rPr>
          <w:spacing w:val="-13"/>
        </w:rPr>
        <w:t> </w:t>
      </w:r>
      <w:r>
        <w:rPr/>
        <w:t>S.,</w:t>
      </w:r>
      <w:r>
        <w:rPr>
          <w:spacing w:val="-13"/>
        </w:rPr>
        <w:t> </w:t>
      </w:r>
      <w:r>
        <w:rPr/>
        <w:t>Bianchi</w:t>
      </w:r>
      <w:r>
        <w:rPr>
          <w:spacing w:val="-12"/>
        </w:rPr>
        <w:t> </w:t>
      </w:r>
      <w:r>
        <w:rPr/>
        <w:t>D.,</w:t>
      </w:r>
      <w:r>
        <w:rPr>
          <w:spacing w:val="-11"/>
        </w:rPr>
        <w:t> </w:t>
      </w:r>
      <w:r>
        <w:rPr/>
        <w:t>Orusa</w:t>
      </w:r>
      <w:r>
        <w:rPr>
          <w:spacing w:val="-11"/>
        </w:rPr>
        <w:t> </w:t>
      </w:r>
      <w:r>
        <w:rPr/>
        <w:t>R.,</w:t>
      </w:r>
      <w:r>
        <w:rPr>
          <w:spacing w:val="-11"/>
        </w:rPr>
        <w:t> </w:t>
      </w:r>
      <w:r>
        <w:rPr/>
        <w:t>Domenis</w:t>
      </w:r>
      <w:r>
        <w:rPr>
          <w:spacing w:val="-14"/>
        </w:rPr>
        <w:t> </w:t>
      </w:r>
      <w:r>
        <w:rPr/>
        <w:t>L.,</w:t>
      </w:r>
      <w:r>
        <w:rPr>
          <w:spacing w:val="-11"/>
        </w:rPr>
        <w:t> </w:t>
      </w:r>
      <w:r>
        <w:rPr/>
        <w:t>Caballerio</w:t>
      </w:r>
      <w:r>
        <w:rPr>
          <w:spacing w:val="-13"/>
        </w:rPr>
        <w:t> </w:t>
      </w:r>
      <w:r>
        <w:rPr/>
        <w:t>P., Fossati L., Serra R., Decastelli, (2015), Methicillin resistance in </w:t>
      </w:r>
      <w:r>
        <w:rPr>
          <w:i/>
        </w:rPr>
        <w:t>Staphylococcus </w:t>
      </w:r>
      <w:r>
        <w:rPr>
          <w:i/>
        </w:rPr>
        <w:t>aureus </w:t>
      </w:r>
      <w:r>
        <w:rPr/>
        <w:t>strains isolated from food and wild animal carcasses in Italy, Food Microbiology,</w:t>
      </w:r>
      <w:r>
        <w:rPr>
          <w:spacing w:val="-8"/>
        </w:rPr>
        <w:t> </w:t>
      </w:r>
      <w:r>
        <w:rPr/>
        <w:t>52:154-158.</w:t>
      </w:r>
    </w:p>
    <w:p>
      <w:pPr>
        <w:pStyle w:val="BodyText"/>
        <w:spacing w:line="276" w:lineRule="auto" w:before="120"/>
        <w:ind w:left="142" w:right="141"/>
        <w:jc w:val="both"/>
      </w:pPr>
      <w:r>
        <w:rPr/>
        <w:t>Valasagiacomo C., Dolina M., Peduzzi R., Jäggli M., (2000), Antimicrobial susceptibility of </w:t>
      </w:r>
      <w:r>
        <w:rPr>
          <w:i/>
        </w:rPr>
        <w:t>Staphylococcus aureus </w:t>
      </w:r>
      <w:r>
        <w:rPr/>
        <w:t>isolates from hospitalizated and dairy food (fresh cheese): a survey over a decade in southern Switzarland, European Society of Clinical Microbiology and infectious Diseases, 6:393-394.</w:t>
      </w:r>
    </w:p>
    <w:p>
      <w:pPr>
        <w:pStyle w:val="BodyText"/>
        <w:spacing w:line="276" w:lineRule="auto" w:before="120"/>
        <w:ind w:left="142" w:right="139"/>
        <w:jc w:val="both"/>
      </w:pPr>
      <w:r>
        <w:rPr/>
        <w:t>Valero-Leal K., Rivera-Salazar J., Valbuena E., Boscán L., Valeris R., Castro G., Briñez W. (2012) Caracterización bioquímica y producción de enterotoxinas de cepas de </w:t>
      </w:r>
      <w:r>
        <w:rPr>
          <w:i/>
        </w:rPr>
        <w:t>Staphylococcus aureus </w:t>
      </w:r>
      <w:r>
        <w:rPr/>
        <w:t>aisladas de leche cruda y queso fresco artesanal en fincas del Estado de Zulia, Revi Científica FCV-LUZ, 22(4):303-314.</w:t>
      </w:r>
    </w:p>
    <w:p>
      <w:pPr>
        <w:pStyle w:val="BodyText"/>
        <w:spacing w:line="276" w:lineRule="auto" w:before="120"/>
        <w:ind w:left="142" w:right="135"/>
        <w:jc w:val="both"/>
      </w:pPr>
      <w:r>
        <w:rPr/>
        <w:t>Vanegas M., González L., Martínez A., Buitrago F.,(2008), Aislamiento y caracterización de cepas de </w:t>
      </w:r>
      <w:r>
        <w:rPr>
          <w:i/>
        </w:rPr>
        <w:t>Staphylococcus </w:t>
      </w:r>
      <w:r>
        <w:rPr/>
        <w:t>enterotoxigénicos aislados de quesos en Bogota, Rev. MVZ Córdoba, 13(2):1288-1293.</w:t>
      </w:r>
    </w:p>
    <w:p>
      <w:pPr>
        <w:pStyle w:val="BodyText"/>
        <w:spacing w:line="276" w:lineRule="auto" w:before="123"/>
        <w:ind w:left="142" w:right="137"/>
        <w:jc w:val="both"/>
      </w:pPr>
      <w:r>
        <w:rPr/>
        <w:t>Vasudevan P., Mohan M., Annamalai T., Venkitanarayanan K., (2003), Phenotypic and</w:t>
      </w:r>
      <w:r>
        <w:rPr>
          <w:spacing w:val="-7"/>
        </w:rPr>
        <w:t> </w:t>
      </w:r>
      <w:r>
        <w:rPr/>
        <w:t>genotypic</w:t>
      </w:r>
      <w:r>
        <w:rPr>
          <w:spacing w:val="-8"/>
        </w:rPr>
        <w:t> </w:t>
      </w:r>
      <w:r>
        <w:rPr/>
        <w:t>characterization</w:t>
      </w:r>
      <w:r>
        <w:rPr>
          <w:spacing w:val="-7"/>
        </w:rPr>
        <w:t> </w:t>
      </w:r>
      <w:r>
        <w:rPr/>
        <w:t>of</w:t>
      </w:r>
      <w:r>
        <w:rPr>
          <w:spacing w:val="-8"/>
        </w:rPr>
        <w:t> </w:t>
      </w:r>
      <w:r>
        <w:rPr/>
        <w:t>bovine</w:t>
      </w:r>
      <w:r>
        <w:rPr>
          <w:spacing w:val="-7"/>
        </w:rPr>
        <w:t> </w:t>
      </w:r>
      <w:r>
        <w:rPr/>
        <w:t>mastitis</w:t>
      </w:r>
      <w:r>
        <w:rPr>
          <w:spacing w:val="-8"/>
        </w:rPr>
        <w:t> </w:t>
      </w:r>
      <w:r>
        <w:rPr/>
        <w:t>isolates</w:t>
      </w:r>
      <w:r>
        <w:rPr>
          <w:spacing w:val="-8"/>
        </w:rPr>
        <w:t> </w:t>
      </w:r>
      <w:r>
        <w:rPr/>
        <w:t>of</w:t>
      </w:r>
      <w:r>
        <w:rPr>
          <w:spacing w:val="-5"/>
        </w:rPr>
        <w:t> </w:t>
      </w:r>
      <w:r>
        <w:rPr/>
        <w:t>S</w:t>
      </w:r>
      <w:r>
        <w:rPr>
          <w:i/>
        </w:rPr>
        <w:t>taphylococcus</w:t>
      </w:r>
      <w:r>
        <w:rPr>
          <w:i/>
          <w:spacing w:val="-8"/>
        </w:rPr>
        <w:t> </w:t>
      </w:r>
      <w:r>
        <w:rPr>
          <w:i/>
        </w:rPr>
        <w:t>aureus </w:t>
      </w:r>
      <w:r>
        <w:rPr/>
        <w:t>for biofilm formation, Veterinary Microbiology,</w:t>
      </w:r>
      <w:r>
        <w:rPr>
          <w:spacing w:val="-18"/>
        </w:rPr>
        <w:t> </w:t>
      </w:r>
      <w:r>
        <w:rPr/>
        <w:t>92:179-185.</w:t>
      </w:r>
    </w:p>
    <w:p>
      <w:pPr>
        <w:spacing w:before="118"/>
        <w:ind w:left="142" w:right="0" w:firstLine="0"/>
        <w:jc w:val="both"/>
        <w:rPr>
          <w:i/>
          <w:sz w:val="24"/>
        </w:rPr>
      </w:pPr>
      <w:r>
        <w:rPr>
          <w:sz w:val="24"/>
        </w:rPr>
        <w:t>Velázquez-Meza M, (2005), Surgimiento y diseminanción de </w:t>
      </w:r>
      <w:r>
        <w:rPr>
          <w:i/>
          <w:sz w:val="24"/>
        </w:rPr>
        <w:t>Staphylococcus aureus</w:t>
      </w:r>
    </w:p>
    <w:p>
      <w:pPr>
        <w:pStyle w:val="BodyText"/>
        <w:spacing w:before="43"/>
        <w:ind w:left="142"/>
        <w:jc w:val="both"/>
      </w:pPr>
      <w:r>
        <w:rPr/>
        <w:t>meticilinorresistente, Salud Pública Mex, 47:381-387.</w:t>
      </w:r>
    </w:p>
    <w:p>
      <w:pPr>
        <w:pStyle w:val="BodyText"/>
        <w:spacing w:line="276" w:lineRule="auto" w:before="163"/>
        <w:ind w:left="142" w:right="142"/>
        <w:jc w:val="both"/>
      </w:pPr>
      <w:r>
        <w:rPr/>
        <w:t>Velázquez-Ordoñez</w:t>
      </w:r>
      <w:r>
        <w:rPr>
          <w:spacing w:val="-14"/>
        </w:rPr>
        <w:t> </w:t>
      </w:r>
      <w:r>
        <w:rPr/>
        <w:t>V.,</w:t>
      </w:r>
      <w:r>
        <w:rPr>
          <w:spacing w:val="-10"/>
        </w:rPr>
        <w:t> </w:t>
      </w:r>
      <w:r>
        <w:rPr/>
        <w:t>Valladares</w:t>
      </w:r>
      <w:r>
        <w:rPr>
          <w:spacing w:val="-13"/>
        </w:rPr>
        <w:t> </w:t>
      </w:r>
      <w:r>
        <w:rPr/>
        <w:t>B.,</w:t>
      </w:r>
      <w:r>
        <w:rPr>
          <w:spacing w:val="-11"/>
        </w:rPr>
        <w:t> </w:t>
      </w:r>
      <w:r>
        <w:rPr/>
        <w:t>Gutiérrez</w:t>
      </w:r>
      <w:r>
        <w:rPr>
          <w:spacing w:val="-14"/>
        </w:rPr>
        <w:t> </w:t>
      </w:r>
      <w:r>
        <w:rPr/>
        <w:t>A.,</w:t>
      </w:r>
      <w:r>
        <w:rPr>
          <w:spacing w:val="-13"/>
        </w:rPr>
        <w:t> </w:t>
      </w:r>
      <w:r>
        <w:rPr/>
        <w:t>Talavera</w:t>
      </w:r>
      <w:r>
        <w:rPr>
          <w:spacing w:val="-11"/>
        </w:rPr>
        <w:t> </w:t>
      </w:r>
      <w:r>
        <w:rPr/>
        <w:t>M.,</w:t>
      </w:r>
      <w:r>
        <w:rPr>
          <w:spacing w:val="-13"/>
        </w:rPr>
        <w:t> </w:t>
      </w:r>
      <w:r>
        <w:rPr/>
        <w:t>Pescador</w:t>
      </w:r>
      <w:r>
        <w:rPr>
          <w:spacing w:val="-12"/>
        </w:rPr>
        <w:t> </w:t>
      </w:r>
      <w:r>
        <w:rPr/>
        <w:t>N.,Valés R.,</w:t>
      </w:r>
      <w:r>
        <w:rPr>
          <w:spacing w:val="-7"/>
        </w:rPr>
        <w:t> </w:t>
      </w:r>
      <w:r>
        <w:rPr/>
        <w:t>(2011),Milk</w:t>
      </w:r>
      <w:r>
        <w:rPr>
          <w:spacing w:val="-8"/>
        </w:rPr>
        <w:t> </w:t>
      </w:r>
      <w:r>
        <w:rPr/>
        <w:t>production</w:t>
      </w:r>
      <w:r>
        <w:rPr>
          <w:spacing w:val="-7"/>
        </w:rPr>
        <w:t> </w:t>
      </w:r>
      <w:r>
        <w:rPr/>
        <w:t>and</w:t>
      </w:r>
      <w:r>
        <w:rPr>
          <w:spacing w:val="-9"/>
        </w:rPr>
        <w:t> </w:t>
      </w:r>
      <w:r>
        <w:rPr/>
        <w:t>Safety</w:t>
      </w:r>
      <w:r>
        <w:rPr>
          <w:spacing w:val="-10"/>
        </w:rPr>
        <w:t> </w:t>
      </w:r>
      <w:r>
        <w:rPr/>
        <w:t>food.</w:t>
      </w:r>
      <w:r>
        <w:rPr>
          <w:spacing w:val="-7"/>
        </w:rPr>
        <w:t> </w:t>
      </w:r>
      <w:r>
        <w:rPr/>
        <w:t>In</w:t>
      </w:r>
      <w:r>
        <w:rPr>
          <w:spacing w:val="-9"/>
        </w:rPr>
        <w:t> </w:t>
      </w:r>
      <w:r>
        <w:rPr/>
        <w:t>:</w:t>
      </w:r>
      <w:r>
        <w:rPr>
          <w:spacing w:val="-7"/>
        </w:rPr>
        <w:t> </w:t>
      </w:r>
      <w:r>
        <w:rPr/>
        <w:t>Nutritional</w:t>
      </w:r>
      <w:r>
        <w:rPr>
          <w:spacing w:val="-8"/>
        </w:rPr>
        <w:t> </w:t>
      </w:r>
      <w:r>
        <w:rPr/>
        <w:t>Insights</w:t>
      </w:r>
      <w:r>
        <w:rPr>
          <w:spacing w:val="-10"/>
        </w:rPr>
        <w:t> </w:t>
      </w:r>
      <w:r>
        <w:rPr/>
        <w:t>and</w:t>
      </w:r>
      <w:r>
        <w:rPr>
          <w:spacing w:val="-7"/>
        </w:rPr>
        <w:t> </w:t>
      </w:r>
      <w:r>
        <w:rPr/>
        <w:t>Food</w:t>
      </w:r>
      <w:r>
        <w:rPr>
          <w:spacing w:val="-7"/>
        </w:rPr>
        <w:t> </w:t>
      </w:r>
      <w:r>
        <w:rPr/>
        <w:t>Safety. Švarc-GajiӔ . Editor. Nova Science Publishers, New York, Fp</w:t>
      </w:r>
      <w:r>
        <w:rPr>
          <w:spacing w:val="-17"/>
        </w:rPr>
        <w:t> </w:t>
      </w:r>
      <w:r>
        <w:rPr/>
        <w:t>335-357.</w:t>
      </w:r>
    </w:p>
    <w:p>
      <w:pPr>
        <w:spacing w:after="0" w:line="276" w:lineRule="auto"/>
        <w:jc w:val="both"/>
        <w:sectPr>
          <w:footerReference w:type="default" r:id="rId80"/>
          <w:pgSz w:w="12240" w:h="15840"/>
          <w:pgMar w:footer="710" w:header="728" w:top="1200" w:bottom="900" w:left="1560" w:right="1560"/>
          <w:pgNumType w:start="101"/>
        </w:sectPr>
      </w:pPr>
    </w:p>
    <w:p>
      <w:pPr>
        <w:pStyle w:val="BodyText"/>
        <w:spacing w:before="9"/>
        <w:rPr>
          <w:sz w:val="12"/>
        </w:rPr>
      </w:pPr>
    </w:p>
    <w:p>
      <w:pPr>
        <w:pStyle w:val="BodyText"/>
        <w:spacing w:line="276" w:lineRule="auto" w:before="70"/>
        <w:ind w:left="142" w:right="135"/>
        <w:jc w:val="both"/>
      </w:pPr>
      <w:r>
        <w:rPr/>
        <w:t>Villegas de Gante Abraham, (2004), Tecnología quesera, Trillas, México pp:11-25, 242-279, 305-309.</w:t>
      </w:r>
    </w:p>
    <w:p>
      <w:pPr>
        <w:pStyle w:val="BodyText"/>
        <w:spacing w:line="276" w:lineRule="auto" w:before="120"/>
        <w:ind w:left="142" w:right="137"/>
        <w:jc w:val="both"/>
      </w:pPr>
      <w:r>
        <w:rPr/>
        <w:t>Visciano</w:t>
      </w:r>
      <w:r>
        <w:rPr>
          <w:spacing w:val="-17"/>
        </w:rPr>
        <w:t> </w:t>
      </w:r>
      <w:r>
        <w:rPr/>
        <w:t>P.,</w:t>
      </w:r>
      <w:r>
        <w:rPr>
          <w:spacing w:val="-17"/>
        </w:rPr>
        <w:t> </w:t>
      </w:r>
      <w:r>
        <w:rPr/>
        <w:t>Pomilio</w:t>
      </w:r>
      <w:r>
        <w:rPr>
          <w:spacing w:val="-13"/>
        </w:rPr>
        <w:t> </w:t>
      </w:r>
      <w:r>
        <w:rPr/>
        <w:t>F.,</w:t>
      </w:r>
      <w:r>
        <w:rPr>
          <w:spacing w:val="-17"/>
        </w:rPr>
        <w:t> </w:t>
      </w:r>
      <w:r>
        <w:rPr/>
        <w:t>Tofalo</w:t>
      </w:r>
      <w:r>
        <w:rPr>
          <w:spacing w:val="-17"/>
        </w:rPr>
        <w:t> </w:t>
      </w:r>
      <w:r>
        <w:rPr/>
        <w:t>R.,</w:t>
      </w:r>
      <w:r>
        <w:rPr>
          <w:spacing w:val="-17"/>
        </w:rPr>
        <w:t> </w:t>
      </w:r>
      <w:r>
        <w:rPr/>
        <w:t>Sacchini</w:t>
      </w:r>
      <w:r>
        <w:rPr>
          <w:spacing w:val="-18"/>
        </w:rPr>
        <w:t> </w:t>
      </w:r>
      <w:r>
        <w:rPr/>
        <w:t>L.,</w:t>
      </w:r>
      <w:r>
        <w:rPr>
          <w:spacing w:val="-19"/>
        </w:rPr>
        <w:t> </w:t>
      </w:r>
      <w:r>
        <w:rPr/>
        <w:t>Saletti</w:t>
      </w:r>
      <w:r>
        <w:rPr>
          <w:spacing w:val="-15"/>
        </w:rPr>
        <w:t> </w:t>
      </w:r>
      <w:r>
        <w:rPr/>
        <w:t>M.,</w:t>
      </w:r>
      <w:r>
        <w:rPr>
          <w:spacing w:val="-19"/>
        </w:rPr>
        <w:t> </w:t>
      </w:r>
      <w:r>
        <w:rPr/>
        <w:t>Tieri</w:t>
      </w:r>
      <w:r>
        <w:rPr>
          <w:spacing w:val="-16"/>
        </w:rPr>
        <w:t> </w:t>
      </w:r>
      <w:r>
        <w:rPr/>
        <w:t>E.,</w:t>
      </w:r>
      <w:r>
        <w:rPr>
          <w:spacing w:val="-17"/>
        </w:rPr>
        <w:t> </w:t>
      </w:r>
      <w:r>
        <w:rPr/>
        <w:t>Schirone</w:t>
      </w:r>
      <w:r>
        <w:rPr>
          <w:spacing w:val="-15"/>
        </w:rPr>
        <w:t> </w:t>
      </w:r>
      <w:r>
        <w:rPr/>
        <w:t>M.,</w:t>
      </w:r>
      <w:r>
        <w:rPr>
          <w:spacing w:val="-17"/>
        </w:rPr>
        <w:t> </w:t>
      </w:r>
      <w:r>
        <w:rPr/>
        <w:t>Suzzi, (2014), Detection of methicillin-resistant </w:t>
      </w:r>
      <w:r>
        <w:rPr>
          <w:i/>
        </w:rPr>
        <w:t>Staphylococcus aureus </w:t>
      </w:r>
      <w:r>
        <w:rPr/>
        <w:t>in dairy cow farms, Food Control,</w:t>
      </w:r>
      <w:r>
        <w:rPr>
          <w:spacing w:val="-8"/>
        </w:rPr>
        <w:t> </w:t>
      </w:r>
      <w:r>
        <w:rPr/>
        <w:t>46:532-538.</w:t>
      </w:r>
    </w:p>
    <w:p>
      <w:pPr>
        <w:pStyle w:val="BodyText"/>
        <w:spacing w:line="278" w:lineRule="auto" w:before="118"/>
        <w:ind w:left="142" w:right="136"/>
        <w:jc w:val="both"/>
      </w:pPr>
      <w:r>
        <w:rPr/>
        <w:t>Wendlandt S., Schwarz S., Silley P., (2013), </w:t>
      </w:r>
      <w:r>
        <w:rPr>
          <w:i/>
        </w:rPr>
        <w:t>Staphylococcus aureus: </w:t>
      </w:r>
      <w:r>
        <w:rPr/>
        <w:t>A</w:t>
      </w:r>
      <w:r>
        <w:rPr>
          <w:spacing w:val="-41"/>
        </w:rPr>
        <w:t> </w:t>
      </w:r>
      <w:r>
        <w:rPr/>
        <w:t>Food-Borne Pathogen, Annu. Rev. Food Sci. Technol.,</w:t>
      </w:r>
      <w:r>
        <w:rPr>
          <w:spacing w:val="-17"/>
        </w:rPr>
        <w:t> </w:t>
      </w:r>
      <w:r>
        <w:rPr/>
        <w:t>4:117-139.</w:t>
      </w:r>
    </w:p>
    <w:p>
      <w:pPr>
        <w:pStyle w:val="BodyText"/>
        <w:spacing w:line="276" w:lineRule="auto" w:before="120"/>
        <w:ind w:left="142" w:right="144"/>
        <w:jc w:val="both"/>
      </w:pPr>
      <w:r>
        <w:rPr/>
        <w:t>World Health Organization 2014, Antimicrobial resistance: global report on Surveillance.</w:t>
      </w:r>
    </w:p>
    <w:p>
      <w:pPr>
        <w:pStyle w:val="BodyText"/>
        <w:spacing w:line="276" w:lineRule="auto" w:before="121"/>
        <w:ind w:left="142" w:right="142"/>
        <w:jc w:val="both"/>
      </w:pPr>
      <w:r>
        <w:rPr>
          <w:spacing w:val="3"/>
        </w:rPr>
        <w:t>Wu</w:t>
      </w:r>
      <w:r>
        <w:rPr>
          <w:spacing w:val="-10"/>
        </w:rPr>
        <w:t> </w:t>
      </w:r>
      <w:r>
        <w:rPr/>
        <w:t>Z.,</w:t>
      </w:r>
      <w:r>
        <w:rPr>
          <w:spacing w:val="-6"/>
        </w:rPr>
        <w:t> </w:t>
      </w:r>
      <w:r>
        <w:rPr/>
        <w:t>Li</w:t>
      </w:r>
      <w:r>
        <w:rPr>
          <w:spacing w:val="-7"/>
        </w:rPr>
        <w:t> </w:t>
      </w:r>
      <w:r>
        <w:rPr/>
        <w:t>F.,</w:t>
      </w:r>
      <w:r>
        <w:rPr>
          <w:spacing w:val="-8"/>
        </w:rPr>
        <w:t> </w:t>
      </w:r>
      <w:r>
        <w:rPr/>
        <w:t>Liu</w:t>
      </w:r>
      <w:r>
        <w:rPr>
          <w:spacing w:val="-6"/>
        </w:rPr>
        <w:t> </w:t>
      </w:r>
      <w:r>
        <w:rPr/>
        <w:t>D.,</w:t>
      </w:r>
      <w:r>
        <w:rPr>
          <w:spacing w:val="-6"/>
        </w:rPr>
        <w:t> </w:t>
      </w:r>
      <w:r>
        <w:rPr/>
        <w:t>Xue</w:t>
      </w:r>
      <w:r>
        <w:rPr>
          <w:spacing w:val="-6"/>
        </w:rPr>
        <w:t> </w:t>
      </w:r>
      <w:r>
        <w:rPr/>
        <w:t>H.,</w:t>
      </w:r>
      <w:r>
        <w:rPr>
          <w:spacing w:val="-6"/>
        </w:rPr>
        <w:t> </w:t>
      </w:r>
      <w:r>
        <w:rPr/>
        <w:t>Zhao</w:t>
      </w:r>
      <w:r>
        <w:rPr>
          <w:spacing w:val="-6"/>
        </w:rPr>
        <w:t> </w:t>
      </w:r>
      <w:r>
        <w:rPr/>
        <w:t>X.,</w:t>
      </w:r>
      <w:r>
        <w:rPr>
          <w:spacing w:val="-6"/>
        </w:rPr>
        <w:t> </w:t>
      </w:r>
      <w:r>
        <w:rPr/>
        <w:t>(2015),</w:t>
      </w:r>
      <w:r>
        <w:rPr>
          <w:spacing w:val="-9"/>
        </w:rPr>
        <w:t> </w:t>
      </w:r>
      <w:r>
        <w:rPr/>
        <w:t>Novel</w:t>
      </w:r>
      <w:r>
        <w:rPr>
          <w:spacing w:val="-7"/>
        </w:rPr>
        <w:t> </w:t>
      </w:r>
      <w:r>
        <w:rPr/>
        <w:t>type</w:t>
      </w:r>
      <w:r>
        <w:rPr>
          <w:spacing w:val="-6"/>
        </w:rPr>
        <w:t> </w:t>
      </w:r>
      <w:r>
        <w:rPr/>
        <w:t>XII</w:t>
      </w:r>
      <w:r>
        <w:rPr>
          <w:spacing w:val="-6"/>
        </w:rPr>
        <w:t> </w:t>
      </w:r>
      <w:r>
        <w:rPr/>
        <w:t>staphylococcal</w:t>
      </w:r>
      <w:r>
        <w:rPr>
          <w:spacing w:val="-7"/>
        </w:rPr>
        <w:t> </w:t>
      </w:r>
      <w:r>
        <w:rPr/>
        <w:t>cassette chromosome mec harboring a new cassette chromosome recombinase, CcrC2. Antimicrobial Agents Chemotherapy,</w:t>
      </w:r>
      <w:r>
        <w:rPr>
          <w:spacing w:val="-15"/>
        </w:rPr>
        <w:t> </w:t>
      </w:r>
      <w:r>
        <w:rPr/>
        <w:t>59:7597-7601.</w:t>
      </w:r>
    </w:p>
    <w:p>
      <w:pPr>
        <w:pStyle w:val="BodyText"/>
        <w:spacing w:before="123"/>
        <w:ind w:left="142"/>
        <w:jc w:val="both"/>
      </w:pPr>
      <w:r>
        <w:rPr/>
        <w:t>Yeşim H. y Haluk T., (2012), Detection of enterotoxigenic and antimicrobial resistant</w:t>
      </w:r>
    </w:p>
    <w:p>
      <w:pPr>
        <w:pStyle w:val="BodyText"/>
        <w:spacing w:before="38"/>
        <w:ind w:left="142"/>
        <w:jc w:val="both"/>
      </w:pPr>
      <w:r>
        <w:rPr>
          <w:i/>
        </w:rPr>
        <w:t>S. aureus </w:t>
      </w:r>
      <w:r>
        <w:rPr/>
        <w:t>in Turkish cheeses, Food Control, 24:100-103.</w:t>
      </w:r>
    </w:p>
    <w:p>
      <w:pPr>
        <w:spacing w:after="0"/>
        <w:jc w:val="both"/>
        <w:sectPr>
          <w:pgSz w:w="12240" w:h="15840"/>
          <w:pgMar w:header="728" w:footer="710" w:top="1200" w:bottom="900" w:left="1560" w:right="1560"/>
        </w:sectPr>
      </w:pPr>
    </w:p>
    <w:p>
      <w:pPr>
        <w:pStyle w:val="BodyText"/>
        <w:spacing w:before="9"/>
        <w:rPr>
          <w:sz w:val="12"/>
        </w:rPr>
      </w:pPr>
    </w:p>
    <w:p>
      <w:pPr>
        <w:pStyle w:val="Heading2"/>
        <w:numPr>
          <w:ilvl w:val="1"/>
          <w:numId w:val="3"/>
        </w:numPr>
        <w:tabs>
          <w:tab w:pos="4105" w:val="left" w:leader="none"/>
        </w:tabs>
        <w:spacing w:line="240" w:lineRule="auto" w:before="70" w:after="0"/>
        <w:ind w:left="4105" w:right="0" w:hanging="432"/>
        <w:jc w:val="left"/>
      </w:pPr>
      <w:bookmarkStart w:name="_bookmark61" w:id="78"/>
      <w:bookmarkEnd w:id="78"/>
      <w:r>
        <w:rPr>
          <w:b w:val="0"/>
        </w:rPr>
      </w:r>
      <w:bookmarkStart w:name="_bookmark61" w:id="79"/>
      <w:bookmarkEnd w:id="79"/>
      <w:r>
        <w:rPr/>
        <w:t>A</w:t>
      </w:r>
      <w:r>
        <w:rPr/>
        <w:t> N E X O</w:t>
      </w:r>
      <w:r>
        <w:rPr>
          <w:spacing w:val="-5"/>
        </w:rPr>
        <w:t> </w:t>
      </w:r>
      <w:r>
        <w:rPr/>
        <w:t>S</w:t>
      </w:r>
    </w:p>
    <w:p>
      <w:pPr>
        <w:pStyle w:val="Heading2"/>
        <w:spacing w:line="264" w:lineRule="auto" w:before="137"/>
        <w:ind w:right="157"/>
      </w:pPr>
      <w:bookmarkStart w:name="_bookmark62" w:id="80"/>
      <w:bookmarkEnd w:id="80"/>
      <w:r>
        <w:rPr>
          <w:b w:val="0"/>
        </w:rPr>
      </w:r>
      <w:r>
        <w:rPr/>
        <w:t>Anexo 1: CUESTIONARIO PARA COMERCIANTES DE QUESOS FRESCOS EN MERCADOS POPULARES DEL MUNICIPIO DE TOLUCA</w:t>
      </w:r>
    </w:p>
    <w:p>
      <w:pPr>
        <w:pStyle w:val="BodyText"/>
        <w:rPr>
          <w:b/>
        </w:rPr>
      </w:pPr>
    </w:p>
    <w:p>
      <w:pPr>
        <w:spacing w:line="360" w:lineRule="auto" w:before="188"/>
        <w:ind w:left="1946" w:right="2095" w:firstLine="0"/>
        <w:jc w:val="center"/>
        <w:rPr>
          <w:sz w:val="20"/>
        </w:rPr>
      </w:pPr>
      <w:r>
        <w:rPr/>
        <w:drawing>
          <wp:anchor distT="0" distB="0" distL="0" distR="0" allowOverlap="1" layoutInCell="1" locked="0" behindDoc="0" simplePos="0" relativeHeight="2608">
            <wp:simplePos x="0" y="0"/>
            <wp:positionH relativeFrom="page">
              <wp:posOffset>5663184</wp:posOffset>
            </wp:positionH>
            <wp:positionV relativeFrom="paragraph">
              <wp:posOffset>120902</wp:posOffset>
            </wp:positionV>
            <wp:extent cx="1024128" cy="1024127"/>
            <wp:effectExtent l="0" t="0" r="0" b="0"/>
            <wp:wrapNone/>
            <wp:docPr id="39" name="image43.png" descr=""/>
            <wp:cNvGraphicFramePr>
              <a:graphicFrameLocks noChangeAspect="1"/>
            </wp:cNvGraphicFramePr>
            <a:graphic>
              <a:graphicData uri="http://schemas.openxmlformats.org/drawingml/2006/picture">
                <pic:pic>
                  <pic:nvPicPr>
                    <pic:cNvPr id="40" name="image43.png"/>
                    <pic:cNvPicPr/>
                  </pic:nvPicPr>
                  <pic:blipFill>
                    <a:blip r:embed="rId81" cstate="print"/>
                    <a:stretch>
                      <a:fillRect/>
                    </a:stretch>
                  </pic:blipFill>
                  <pic:spPr>
                    <a:xfrm>
                      <a:off x="0" y="0"/>
                      <a:ext cx="1024128" cy="1024127"/>
                    </a:xfrm>
                    <a:prstGeom prst="rect">
                      <a:avLst/>
                    </a:prstGeom>
                  </pic:spPr>
                </pic:pic>
              </a:graphicData>
            </a:graphic>
          </wp:anchor>
        </w:drawing>
      </w:r>
      <w:r>
        <w:rPr/>
        <w:drawing>
          <wp:anchor distT="0" distB="0" distL="0" distR="0" allowOverlap="1" layoutInCell="1" locked="0" behindDoc="0" simplePos="0" relativeHeight="2632">
            <wp:simplePos x="0" y="0"/>
            <wp:positionH relativeFrom="page">
              <wp:posOffset>1080516</wp:posOffset>
            </wp:positionH>
            <wp:positionV relativeFrom="paragraph">
              <wp:posOffset>125474</wp:posOffset>
            </wp:positionV>
            <wp:extent cx="937260" cy="794003"/>
            <wp:effectExtent l="0" t="0" r="0" b="0"/>
            <wp:wrapNone/>
            <wp:docPr id="41" name="image44.png" descr=""/>
            <wp:cNvGraphicFramePr>
              <a:graphicFrameLocks noChangeAspect="1"/>
            </wp:cNvGraphicFramePr>
            <a:graphic>
              <a:graphicData uri="http://schemas.openxmlformats.org/drawingml/2006/picture">
                <pic:pic>
                  <pic:nvPicPr>
                    <pic:cNvPr id="42" name="image44.png"/>
                    <pic:cNvPicPr/>
                  </pic:nvPicPr>
                  <pic:blipFill>
                    <a:blip r:embed="rId82" cstate="print"/>
                    <a:stretch>
                      <a:fillRect/>
                    </a:stretch>
                  </pic:blipFill>
                  <pic:spPr>
                    <a:xfrm>
                      <a:off x="0" y="0"/>
                      <a:ext cx="937260" cy="794003"/>
                    </a:xfrm>
                    <a:prstGeom prst="rect">
                      <a:avLst/>
                    </a:prstGeom>
                  </pic:spPr>
                </pic:pic>
              </a:graphicData>
            </a:graphic>
          </wp:anchor>
        </w:drawing>
      </w:r>
      <w:r>
        <w:rPr>
          <w:sz w:val="20"/>
        </w:rPr>
        <w:t>UNIVERSIDAD AUTONOMA DEL ESTADO DE MEXICO MAESTRIA EN CIENCIAS AGROPECUARIAS Y RECURSOS NATURALES</w:t>
      </w:r>
    </w:p>
    <w:p>
      <w:pPr>
        <w:spacing w:line="360" w:lineRule="auto" w:before="1"/>
        <w:ind w:left="2926" w:right="2001" w:hanging="1050"/>
        <w:jc w:val="left"/>
        <w:rPr>
          <w:sz w:val="20"/>
        </w:rPr>
      </w:pPr>
      <w:r>
        <w:rPr>
          <w:sz w:val="20"/>
        </w:rPr>
        <w:t>FACULTAD DE MEDICINA VETERINARIA Y ZOOTECNIA SALUD ANIMAL</w:t>
      </w:r>
    </w:p>
    <w:p>
      <w:pPr>
        <w:spacing w:before="0"/>
        <w:ind w:left="0" w:right="6" w:firstLine="0"/>
        <w:jc w:val="center"/>
        <w:rPr>
          <w:b/>
          <w:sz w:val="14"/>
        </w:rPr>
      </w:pPr>
      <w:r>
        <w:rPr>
          <w:b/>
          <w:sz w:val="14"/>
        </w:rPr>
        <w:t>CUESTIONARIO PARA COMERCIANTES DE QUESOS FRESCOS EN MERCADOS POPULARES DEL MUNICIPIO DE TOLUCA</w:t>
      </w:r>
    </w:p>
    <w:p>
      <w:pPr>
        <w:pStyle w:val="BodyText"/>
        <w:spacing w:before="7"/>
        <w:rPr>
          <w:b/>
          <w:sz w:val="17"/>
        </w:rPr>
      </w:pPr>
    </w:p>
    <w:p>
      <w:pPr>
        <w:tabs>
          <w:tab w:pos="2237" w:val="left" w:leader="none"/>
        </w:tabs>
        <w:spacing w:before="1"/>
        <w:ind w:left="142" w:right="1550" w:firstLine="0"/>
        <w:jc w:val="left"/>
        <w:rPr>
          <w:sz w:val="12"/>
        </w:rPr>
      </w:pPr>
      <w:r>
        <w:rPr>
          <w:sz w:val="12"/>
        </w:rPr>
        <w:t>Fecha: </w:t>
      </w:r>
      <w:r>
        <w:rPr>
          <w:w w:val="100"/>
          <w:sz w:val="12"/>
          <w:u w:val="single"/>
        </w:rPr>
        <w:t> </w:t>
      </w:r>
      <w:r>
        <w:rPr>
          <w:sz w:val="12"/>
          <w:u w:val="single"/>
        </w:rPr>
        <w:tab/>
      </w:r>
    </w:p>
    <w:p>
      <w:pPr>
        <w:pStyle w:val="BodyText"/>
        <w:spacing w:before="2"/>
        <w:rPr>
          <w:sz w:val="9"/>
        </w:rPr>
      </w:pPr>
    </w:p>
    <w:p>
      <w:pPr>
        <w:pStyle w:val="ListParagraph"/>
        <w:numPr>
          <w:ilvl w:val="0"/>
          <w:numId w:val="9"/>
        </w:numPr>
        <w:tabs>
          <w:tab w:pos="861" w:val="left" w:leader="none"/>
          <w:tab w:pos="862" w:val="left" w:leader="none"/>
          <w:tab w:pos="7149" w:val="left" w:leader="none"/>
        </w:tabs>
        <w:spacing w:line="240" w:lineRule="auto" w:before="85" w:after="0"/>
        <w:ind w:left="862" w:right="0" w:hanging="360"/>
        <w:jc w:val="left"/>
        <w:rPr>
          <w:sz w:val="12"/>
        </w:rPr>
      </w:pPr>
      <w:r>
        <w:rPr>
          <w:sz w:val="12"/>
        </w:rPr>
        <w:t>Número de</w:t>
      </w:r>
      <w:r>
        <w:rPr>
          <w:spacing w:val="-7"/>
          <w:sz w:val="12"/>
        </w:rPr>
        <w:t> </w:t>
      </w:r>
      <w:r>
        <w:rPr>
          <w:sz w:val="12"/>
        </w:rPr>
        <w:t>muestra: </w:t>
      </w:r>
      <w:r>
        <w:rPr>
          <w:w w:val="100"/>
          <w:sz w:val="12"/>
          <w:u w:val="single"/>
        </w:rPr>
        <w:t> </w:t>
      </w:r>
      <w:r>
        <w:rPr>
          <w:sz w:val="12"/>
          <w:u w:val="single"/>
        </w:rPr>
        <w:tab/>
      </w:r>
    </w:p>
    <w:p>
      <w:pPr>
        <w:pStyle w:val="ListParagraph"/>
        <w:numPr>
          <w:ilvl w:val="0"/>
          <w:numId w:val="9"/>
        </w:numPr>
        <w:tabs>
          <w:tab w:pos="861" w:val="left" w:leader="none"/>
          <w:tab w:pos="862" w:val="left" w:leader="none"/>
          <w:tab w:pos="7156" w:val="left" w:leader="none"/>
        </w:tabs>
        <w:spacing w:line="240" w:lineRule="auto" w:before="68" w:after="0"/>
        <w:ind w:left="862" w:right="0" w:hanging="360"/>
        <w:jc w:val="left"/>
        <w:rPr>
          <w:sz w:val="12"/>
        </w:rPr>
      </w:pPr>
      <w:r>
        <w:rPr>
          <w:sz w:val="12"/>
        </w:rPr>
        <w:t>Mercado:</w:t>
      </w:r>
      <w:r>
        <w:rPr>
          <w:spacing w:val="1"/>
          <w:sz w:val="12"/>
        </w:rPr>
        <w:t> </w:t>
      </w:r>
      <w:r>
        <w:rPr>
          <w:w w:val="100"/>
          <w:sz w:val="12"/>
          <w:u w:val="single"/>
        </w:rPr>
        <w:t> </w:t>
      </w:r>
      <w:r>
        <w:rPr>
          <w:sz w:val="12"/>
          <w:u w:val="single"/>
        </w:rPr>
        <w:tab/>
      </w:r>
    </w:p>
    <w:p>
      <w:pPr>
        <w:pStyle w:val="ListParagraph"/>
        <w:numPr>
          <w:ilvl w:val="0"/>
          <w:numId w:val="9"/>
        </w:numPr>
        <w:tabs>
          <w:tab w:pos="861" w:val="left" w:leader="none"/>
          <w:tab w:pos="862" w:val="left" w:leader="none"/>
          <w:tab w:pos="7149" w:val="left" w:leader="none"/>
        </w:tabs>
        <w:spacing w:line="240" w:lineRule="auto" w:before="68" w:after="0"/>
        <w:ind w:left="862" w:right="0" w:hanging="360"/>
        <w:jc w:val="left"/>
        <w:rPr>
          <w:sz w:val="12"/>
        </w:rPr>
      </w:pPr>
      <w:r>
        <w:rPr>
          <w:sz w:val="12"/>
        </w:rPr>
        <w:t>Procedencia del</w:t>
      </w:r>
      <w:r>
        <w:rPr>
          <w:spacing w:val="-7"/>
          <w:sz w:val="12"/>
        </w:rPr>
        <w:t> </w:t>
      </w:r>
      <w:r>
        <w:rPr>
          <w:sz w:val="12"/>
        </w:rPr>
        <w:t>vendedor: </w:t>
      </w:r>
      <w:r>
        <w:rPr>
          <w:w w:val="100"/>
          <w:sz w:val="12"/>
          <w:u w:val="single"/>
        </w:rPr>
        <w:t> </w:t>
      </w:r>
      <w:r>
        <w:rPr>
          <w:sz w:val="12"/>
          <w:u w:val="single"/>
        </w:rPr>
        <w:tab/>
      </w:r>
    </w:p>
    <w:p>
      <w:pPr>
        <w:pStyle w:val="ListParagraph"/>
        <w:numPr>
          <w:ilvl w:val="0"/>
          <w:numId w:val="9"/>
        </w:numPr>
        <w:tabs>
          <w:tab w:pos="861" w:val="left" w:leader="none"/>
          <w:tab w:pos="862" w:val="left" w:leader="none"/>
          <w:tab w:pos="7182" w:val="left" w:leader="none"/>
        </w:tabs>
        <w:spacing w:line="240" w:lineRule="auto" w:before="68" w:after="0"/>
        <w:ind w:left="862" w:right="0" w:hanging="360"/>
        <w:jc w:val="left"/>
        <w:rPr>
          <w:sz w:val="12"/>
        </w:rPr>
      </w:pPr>
      <w:r>
        <w:rPr>
          <w:sz w:val="12"/>
        </w:rPr>
        <w:t>Procedencia del</w:t>
      </w:r>
      <w:r>
        <w:rPr>
          <w:spacing w:val="-5"/>
          <w:sz w:val="12"/>
        </w:rPr>
        <w:t> </w:t>
      </w:r>
      <w:r>
        <w:rPr>
          <w:sz w:val="12"/>
        </w:rPr>
        <w:t>queso:</w:t>
      </w:r>
      <w:r>
        <w:rPr>
          <w:spacing w:val="-2"/>
          <w:sz w:val="12"/>
        </w:rPr>
        <w:t> </w:t>
      </w:r>
      <w:r>
        <w:rPr>
          <w:w w:val="100"/>
          <w:sz w:val="12"/>
          <w:u w:val="single"/>
        </w:rPr>
        <w:t> </w:t>
      </w:r>
      <w:r>
        <w:rPr>
          <w:sz w:val="12"/>
          <w:u w:val="single"/>
        </w:rPr>
        <w:tab/>
      </w:r>
    </w:p>
    <w:p>
      <w:pPr>
        <w:pStyle w:val="ListParagraph"/>
        <w:numPr>
          <w:ilvl w:val="0"/>
          <w:numId w:val="9"/>
        </w:numPr>
        <w:tabs>
          <w:tab w:pos="861" w:val="left" w:leader="none"/>
          <w:tab w:pos="862" w:val="left" w:leader="none"/>
          <w:tab w:pos="2057" w:val="left" w:leader="none"/>
          <w:tab w:pos="2456" w:val="left" w:leader="none"/>
          <w:tab w:pos="7183" w:val="left" w:leader="none"/>
        </w:tabs>
        <w:spacing w:line="240" w:lineRule="auto" w:before="71" w:after="0"/>
        <w:ind w:left="862" w:right="0" w:hanging="360"/>
        <w:jc w:val="left"/>
        <w:rPr>
          <w:sz w:val="12"/>
        </w:rPr>
      </w:pPr>
      <w:r>
        <w:rPr>
          <w:sz w:val="12"/>
        </w:rPr>
        <w:t>¿Lo</w:t>
      </w:r>
      <w:r>
        <w:rPr>
          <w:spacing w:val="-1"/>
          <w:sz w:val="12"/>
        </w:rPr>
        <w:t> </w:t>
      </w:r>
      <w:r>
        <w:rPr>
          <w:sz w:val="12"/>
        </w:rPr>
        <w:t>compra?</w:t>
      </w:r>
      <w:r>
        <w:rPr>
          <w:spacing w:val="-1"/>
          <w:sz w:val="12"/>
        </w:rPr>
        <w:t> </w:t>
      </w:r>
      <w:r>
        <w:rPr>
          <w:sz w:val="12"/>
        </w:rPr>
        <w:t>No</w:t>
      </w:r>
      <w:r>
        <w:rPr>
          <w:sz w:val="12"/>
          <w:u w:val="single"/>
        </w:rPr>
        <w:t> </w:t>
        <w:tab/>
      </w:r>
      <w:r>
        <w:rPr>
          <w:sz w:val="12"/>
        </w:rPr>
        <w:t>Si</w:t>
      </w:r>
      <w:r>
        <w:rPr>
          <w:sz w:val="12"/>
          <w:u w:val="single"/>
        </w:rPr>
        <w:t> </w:t>
        <w:tab/>
      </w:r>
      <w:r>
        <w:rPr>
          <w:sz w:val="12"/>
        </w:rPr>
        <w:t>¿Donde?</w:t>
      </w:r>
      <w:r>
        <w:rPr>
          <w:w w:val="100"/>
          <w:sz w:val="12"/>
          <w:u w:val="single"/>
        </w:rPr>
        <w:t> </w:t>
      </w:r>
      <w:r>
        <w:rPr>
          <w:sz w:val="12"/>
          <w:u w:val="single"/>
        </w:rPr>
        <w:tab/>
      </w:r>
    </w:p>
    <w:p>
      <w:pPr>
        <w:pStyle w:val="ListParagraph"/>
        <w:numPr>
          <w:ilvl w:val="0"/>
          <w:numId w:val="9"/>
        </w:numPr>
        <w:tabs>
          <w:tab w:pos="861" w:val="left" w:leader="none"/>
          <w:tab w:pos="862" w:val="left" w:leader="none"/>
          <w:tab w:pos="2057" w:val="left" w:leader="none"/>
          <w:tab w:pos="2456" w:val="left" w:leader="none"/>
          <w:tab w:pos="7182" w:val="left" w:leader="none"/>
        </w:tabs>
        <w:spacing w:line="240" w:lineRule="auto" w:before="68" w:after="0"/>
        <w:ind w:left="862" w:right="0" w:hanging="360"/>
        <w:jc w:val="left"/>
        <w:rPr>
          <w:sz w:val="12"/>
        </w:rPr>
      </w:pPr>
      <w:r>
        <w:rPr>
          <w:sz w:val="12"/>
        </w:rPr>
        <w:t>¿Lo</w:t>
      </w:r>
      <w:r>
        <w:rPr>
          <w:spacing w:val="-2"/>
          <w:sz w:val="12"/>
        </w:rPr>
        <w:t> </w:t>
      </w:r>
      <w:r>
        <w:rPr>
          <w:sz w:val="12"/>
        </w:rPr>
        <w:t>elabora?</w:t>
      </w:r>
      <w:r>
        <w:rPr>
          <w:spacing w:val="-2"/>
          <w:sz w:val="12"/>
        </w:rPr>
        <w:t> </w:t>
      </w:r>
      <w:r>
        <w:rPr>
          <w:sz w:val="12"/>
        </w:rPr>
        <w:t>No</w:t>
      </w:r>
      <w:r>
        <w:rPr>
          <w:sz w:val="12"/>
          <w:u w:val="single"/>
        </w:rPr>
        <w:t> </w:t>
        <w:tab/>
      </w:r>
      <w:r>
        <w:rPr>
          <w:sz w:val="12"/>
        </w:rPr>
        <w:t>Si</w:t>
      </w:r>
      <w:r>
        <w:rPr>
          <w:sz w:val="12"/>
          <w:u w:val="single"/>
        </w:rPr>
        <w:t> </w:t>
        <w:tab/>
      </w:r>
      <w:r>
        <w:rPr>
          <w:sz w:val="12"/>
        </w:rPr>
        <w:t>¿Donde?</w:t>
      </w:r>
      <w:r>
        <w:rPr>
          <w:w w:val="100"/>
          <w:sz w:val="12"/>
          <w:u w:val="single"/>
        </w:rPr>
        <w:t> </w:t>
      </w:r>
      <w:r>
        <w:rPr>
          <w:sz w:val="12"/>
          <w:u w:val="single"/>
        </w:rPr>
        <w:tab/>
      </w:r>
    </w:p>
    <w:p>
      <w:pPr>
        <w:pStyle w:val="ListParagraph"/>
        <w:numPr>
          <w:ilvl w:val="0"/>
          <w:numId w:val="9"/>
        </w:numPr>
        <w:tabs>
          <w:tab w:pos="861" w:val="left" w:leader="none"/>
          <w:tab w:pos="862" w:val="left" w:leader="none"/>
          <w:tab w:pos="7171" w:val="left" w:leader="none"/>
        </w:tabs>
        <w:spacing w:line="240" w:lineRule="auto" w:before="68" w:after="0"/>
        <w:ind w:left="862" w:right="0" w:hanging="360"/>
        <w:jc w:val="left"/>
        <w:rPr>
          <w:sz w:val="12"/>
        </w:rPr>
      </w:pPr>
      <w:r>
        <w:rPr>
          <w:sz w:val="12"/>
        </w:rPr>
        <w:t>Utiliza leche comprada u obtenida de vacas</w:t>
      </w:r>
      <w:r>
        <w:rPr>
          <w:spacing w:val="-11"/>
          <w:sz w:val="12"/>
        </w:rPr>
        <w:t> </w:t>
      </w:r>
      <w:r>
        <w:rPr>
          <w:sz w:val="12"/>
        </w:rPr>
        <w:t>propias</w:t>
      </w:r>
      <w:r>
        <w:rPr>
          <w:w w:val="100"/>
          <w:sz w:val="12"/>
          <w:u w:val="single"/>
        </w:rPr>
        <w:t> </w:t>
      </w:r>
      <w:r>
        <w:rPr>
          <w:sz w:val="12"/>
          <w:u w:val="single"/>
        </w:rPr>
        <w:tab/>
      </w:r>
    </w:p>
    <w:p>
      <w:pPr>
        <w:pStyle w:val="ListParagraph"/>
        <w:numPr>
          <w:ilvl w:val="0"/>
          <w:numId w:val="9"/>
        </w:numPr>
        <w:tabs>
          <w:tab w:pos="861" w:val="left" w:leader="none"/>
          <w:tab w:pos="862" w:val="left" w:leader="none"/>
          <w:tab w:pos="7183" w:val="left" w:leader="none"/>
        </w:tabs>
        <w:spacing w:line="240" w:lineRule="auto" w:before="68" w:after="0"/>
        <w:ind w:left="862" w:right="0" w:hanging="360"/>
        <w:jc w:val="left"/>
        <w:rPr>
          <w:sz w:val="12"/>
        </w:rPr>
      </w:pPr>
      <w:r>
        <w:rPr>
          <w:sz w:val="12"/>
        </w:rPr>
        <w:t>Ud. Ordeña o utiliza personal para esa</w:t>
      </w:r>
      <w:r>
        <w:rPr>
          <w:spacing w:val="-16"/>
          <w:sz w:val="12"/>
        </w:rPr>
        <w:t> </w:t>
      </w:r>
      <w:r>
        <w:rPr>
          <w:sz w:val="12"/>
        </w:rPr>
        <w:t>actividad: </w:t>
      </w:r>
      <w:r>
        <w:rPr>
          <w:w w:val="100"/>
          <w:sz w:val="12"/>
          <w:u w:val="single"/>
        </w:rPr>
        <w:t> </w:t>
      </w:r>
      <w:r>
        <w:rPr>
          <w:sz w:val="12"/>
          <w:u w:val="single"/>
        </w:rPr>
        <w:tab/>
      </w:r>
    </w:p>
    <w:p>
      <w:pPr>
        <w:pStyle w:val="ListParagraph"/>
        <w:numPr>
          <w:ilvl w:val="0"/>
          <w:numId w:val="9"/>
        </w:numPr>
        <w:tabs>
          <w:tab w:pos="861" w:val="left" w:leader="none"/>
          <w:tab w:pos="862" w:val="left" w:leader="none"/>
          <w:tab w:pos="7148" w:val="left" w:leader="none"/>
        </w:tabs>
        <w:spacing w:line="240" w:lineRule="auto" w:before="71" w:after="0"/>
        <w:ind w:left="862" w:right="0" w:hanging="360"/>
        <w:jc w:val="left"/>
        <w:rPr>
          <w:sz w:val="12"/>
        </w:rPr>
      </w:pPr>
      <w:r>
        <w:rPr>
          <w:sz w:val="12"/>
        </w:rPr>
        <w:t>Utiliza la leche de ese día o mezcla la de varios</w:t>
      </w:r>
      <w:r>
        <w:rPr>
          <w:spacing w:val="-11"/>
          <w:sz w:val="12"/>
        </w:rPr>
        <w:t> </w:t>
      </w:r>
      <w:r>
        <w:rPr>
          <w:sz w:val="12"/>
        </w:rPr>
        <w:t>días: </w:t>
      </w:r>
      <w:r>
        <w:rPr>
          <w:w w:val="100"/>
          <w:sz w:val="12"/>
          <w:u w:val="single"/>
        </w:rPr>
        <w:t> </w:t>
      </w:r>
      <w:r>
        <w:rPr>
          <w:sz w:val="12"/>
          <w:u w:val="single"/>
        </w:rPr>
        <w:tab/>
      </w:r>
    </w:p>
    <w:p>
      <w:pPr>
        <w:pStyle w:val="ListParagraph"/>
        <w:numPr>
          <w:ilvl w:val="0"/>
          <w:numId w:val="9"/>
        </w:numPr>
        <w:tabs>
          <w:tab w:pos="862" w:val="left" w:leader="none"/>
          <w:tab w:pos="7197" w:val="left" w:leader="none"/>
        </w:tabs>
        <w:spacing w:line="240" w:lineRule="auto" w:before="68" w:after="0"/>
        <w:ind w:left="862" w:right="0" w:hanging="360"/>
        <w:jc w:val="left"/>
        <w:rPr>
          <w:sz w:val="12"/>
        </w:rPr>
      </w:pPr>
      <w:r>
        <w:rPr>
          <w:sz w:val="12"/>
        </w:rPr>
        <w:t>¿Desde cuándo lo</w:t>
      </w:r>
      <w:r>
        <w:rPr>
          <w:spacing w:val="-7"/>
          <w:sz w:val="12"/>
        </w:rPr>
        <w:t> </w:t>
      </w:r>
      <w:r>
        <w:rPr>
          <w:sz w:val="12"/>
        </w:rPr>
        <w:t>elabora? </w:t>
      </w:r>
      <w:r>
        <w:rPr>
          <w:w w:val="100"/>
          <w:sz w:val="12"/>
          <w:u w:val="single"/>
        </w:rPr>
        <w:t> </w:t>
      </w:r>
      <w:r>
        <w:rPr>
          <w:sz w:val="12"/>
          <w:u w:val="single"/>
        </w:rPr>
        <w:tab/>
      </w:r>
    </w:p>
    <w:p>
      <w:pPr>
        <w:pStyle w:val="ListParagraph"/>
        <w:numPr>
          <w:ilvl w:val="0"/>
          <w:numId w:val="9"/>
        </w:numPr>
        <w:tabs>
          <w:tab w:pos="862" w:val="left" w:leader="none"/>
          <w:tab w:pos="7142" w:val="left" w:leader="none"/>
        </w:tabs>
        <w:spacing w:line="240" w:lineRule="auto" w:before="68" w:after="0"/>
        <w:ind w:left="862" w:right="0" w:hanging="360"/>
        <w:jc w:val="left"/>
        <w:rPr>
          <w:sz w:val="12"/>
        </w:rPr>
      </w:pPr>
      <w:r>
        <w:rPr>
          <w:sz w:val="12"/>
        </w:rPr>
        <w:t>De quien aprendió la</w:t>
      </w:r>
      <w:r>
        <w:rPr>
          <w:spacing w:val="-5"/>
          <w:sz w:val="12"/>
        </w:rPr>
        <w:t> </w:t>
      </w:r>
      <w:r>
        <w:rPr>
          <w:sz w:val="12"/>
        </w:rPr>
        <w:t>técnica:</w:t>
      </w:r>
      <w:r>
        <w:rPr>
          <w:spacing w:val="-2"/>
          <w:sz w:val="12"/>
        </w:rPr>
        <w:t> </w:t>
      </w:r>
      <w:r>
        <w:rPr>
          <w:w w:val="100"/>
          <w:sz w:val="12"/>
          <w:u w:val="single"/>
        </w:rPr>
        <w:t> </w:t>
      </w:r>
      <w:r>
        <w:rPr>
          <w:sz w:val="12"/>
          <w:u w:val="single"/>
        </w:rPr>
        <w:tab/>
      </w:r>
    </w:p>
    <w:p>
      <w:pPr>
        <w:pStyle w:val="ListParagraph"/>
        <w:numPr>
          <w:ilvl w:val="0"/>
          <w:numId w:val="9"/>
        </w:numPr>
        <w:tabs>
          <w:tab w:pos="862" w:val="left" w:leader="none"/>
        </w:tabs>
        <w:spacing w:line="240" w:lineRule="auto" w:before="68" w:after="0"/>
        <w:ind w:left="862" w:right="0" w:hanging="360"/>
        <w:jc w:val="left"/>
        <w:rPr>
          <w:sz w:val="12"/>
        </w:rPr>
      </w:pPr>
      <w:r>
        <w:rPr>
          <w:sz w:val="12"/>
        </w:rPr>
        <w:t>Pasteurización de la leche: Si      </w:t>
      </w:r>
      <w:r>
        <w:rPr>
          <w:spacing w:val="28"/>
          <w:sz w:val="12"/>
        </w:rPr>
        <w:t> </w:t>
      </w:r>
      <w:r>
        <w:rPr>
          <w:sz w:val="12"/>
        </w:rPr>
        <w:t>No </w:t>
      </w:r>
      <w:r>
        <w:rPr>
          <w:w w:val="100"/>
          <w:sz w:val="12"/>
          <w:u w:val="single"/>
        </w:rPr>
        <w:t> </w:t>
      </w:r>
      <w:r>
        <w:rPr>
          <w:spacing w:val="-7"/>
          <w:sz w:val="12"/>
          <w:u w:val="single"/>
        </w:rPr>
        <w:t> </w:t>
      </w:r>
    </w:p>
    <w:p>
      <w:pPr>
        <w:pStyle w:val="ListParagraph"/>
        <w:numPr>
          <w:ilvl w:val="0"/>
          <w:numId w:val="9"/>
        </w:numPr>
        <w:tabs>
          <w:tab w:pos="862" w:val="left" w:leader="none"/>
          <w:tab w:pos="7202" w:val="left" w:leader="none"/>
        </w:tabs>
        <w:spacing w:line="240" w:lineRule="auto" w:before="68" w:after="0"/>
        <w:ind w:left="862" w:right="0" w:hanging="360"/>
        <w:jc w:val="left"/>
        <w:rPr>
          <w:sz w:val="12"/>
        </w:rPr>
      </w:pPr>
      <w:r>
        <w:rPr>
          <w:sz w:val="12"/>
        </w:rPr>
        <w:t>¿Cantidad de sal que</w:t>
      </w:r>
      <w:r>
        <w:rPr>
          <w:spacing w:val="-8"/>
          <w:sz w:val="12"/>
        </w:rPr>
        <w:t> </w:t>
      </w:r>
      <w:r>
        <w:rPr>
          <w:sz w:val="12"/>
        </w:rPr>
        <w:t>utiliza? </w:t>
      </w:r>
      <w:r>
        <w:rPr>
          <w:w w:val="100"/>
          <w:sz w:val="12"/>
          <w:u w:val="single"/>
        </w:rPr>
        <w:t> </w:t>
      </w:r>
      <w:r>
        <w:rPr>
          <w:sz w:val="12"/>
          <w:u w:val="single"/>
        </w:rPr>
        <w:tab/>
      </w:r>
    </w:p>
    <w:p>
      <w:pPr>
        <w:pStyle w:val="ListParagraph"/>
        <w:numPr>
          <w:ilvl w:val="0"/>
          <w:numId w:val="9"/>
        </w:numPr>
        <w:tabs>
          <w:tab w:pos="862" w:val="left" w:leader="none"/>
          <w:tab w:pos="3449" w:val="left" w:leader="none"/>
          <w:tab w:pos="4256" w:val="left" w:leader="none"/>
          <w:tab w:pos="5788" w:val="left" w:leader="none"/>
        </w:tabs>
        <w:spacing w:line="240" w:lineRule="auto" w:before="71" w:after="0"/>
        <w:ind w:left="862" w:right="0" w:hanging="360"/>
        <w:jc w:val="left"/>
        <w:rPr>
          <w:sz w:val="12"/>
        </w:rPr>
      </w:pPr>
      <w:r>
        <w:rPr>
          <w:sz w:val="12"/>
        </w:rPr>
        <w:t>Tipo de sal que</w:t>
      </w:r>
      <w:r>
        <w:rPr>
          <w:spacing w:val="-5"/>
          <w:sz w:val="12"/>
        </w:rPr>
        <w:t> </w:t>
      </w:r>
      <w:r>
        <w:rPr>
          <w:sz w:val="12"/>
        </w:rPr>
        <w:t>utiliza:</w:t>
      </w:r>
      <w:r>
        <w:rPr>
          <w:spacing w:val="-4"/>
          <w:sz w:val="12"/>
        </w:rPr>
        <w:t> </w:t>
      </w:r>
      <w:r>
        <w:rPr>
          <w:sz w:val="12"/>
        </w:rPr>
        <w:t>Grano</w:t>
      </w:r>
      <w:r>
        <w:rPr>
          <w:sz w:val="12"/>
          <w:u w:val="single"/>
        </w:rPr>
        <w:t> </w:t>
        <w:tab/>
      </w:r>
      <w:r>
        <w:rPr>
          <w:sz w:val="12"/>
        </w:rPr>
        <w:t>La</w:t>
      </w:r>
      <w:r>
        <w:rPr>
          <w:spacing w:val="-1"/>
          <w:sz w:val="12"/>
        </w:rPr>
        <w:t> </w:t>
      </w:r>
      <w:r>
        <w:rPr>
          <w:sz w:val="12"/>
        </w:rPr>
        <w:t>Fina</w:t>
      </w:r>
      <w:r>
        <w:rPr>
          <w:sz w:val="12"/>
          <w:u w:val="single"/>
        </w:rPr>
        <w:t> </w:t>
        <w:tab/>
      </w:r>
      <w:r>
        <w:rPr>
          <w:sz w:val="12"/>
        </w:rPr>
        <w:t>¿Otro?</w:t>
      </w:r>
      <w:r>
        <w:rPr>
          <w:w w:val="100"/>
          <w:sz w:val="12"/>
          <w:u w:val="single"/>
        </w:rPr>
        <w:t> </w:t>
      </w:r>
      <w:r>
        <w:rPr>
          <w:sz w:val="12"/>
          <w:u w:val="single"/>
        </w:rPr>
        <w:tab/>
      </w:r>
    </w:p>
    <w:p>
      <w:pPr>
        <w:pStyle w:val="ListParagraph"/>
        <w:numPr>
          <w:ilvl w:val="0"/>
          <w:numId w:val="9"/>
        </w:numPr>
        <w:tabs>
          <w:tab w:pos="862" w:val="left" w:leader="none"/>
          <w:tab w:pos="3716" w:val="left" w:leader="none"/>
          <w:tab w:pos="4481" w:val="left" w:leader="none"/>
          <w:tab w:pos="5320" w:val="left" w:leader="none"/>
          <w:tab w:pos="6660" w:val="left" w:leader="none"/>
        </w:tabs>
        <w:spacing w:line="240" w:lineRule="auto" w:before="68" w:after="0"/>
        <w:ind w:left="862" w:right="0" w:hanging="360"/>
        <w:jc w:val="left"/>
        <w:rPr>
          <w:sz w:val="12"/>
        </w:rPr>
      </w:pPr>
      <w:r>
        <w:rPr>
          <w:sz w:val="12"/>
        </w:rPr>
        <w:t>Adición de cuajo o algún otro aditivo</w:t>
      </w:r>
      <w:r>
        <w:rPr>
          <w:spacing w:val="-10"/>
          <w:sz w:val="12"/>
        </w:rPr>
        <w:t> </w:t>
      </w:r>
      <w:r>
        <w:rPr>
          <w:sz w:val="12"/>
        </w:rPr>
        <w:t>:</w:t>
      </w:r>
      <w:r>
        <w:rPr>
          <w:spacing w:val="-2"/>
          <w:sz w:val="12"/>
        </w:rPr>
        <w:t> </w:t>
      </w:r>
      <w:r>
        <w:rPr>
          <w:sz w:val="12"/>
        </w:rPr>
        <w:t>Líquido</w:t>
      </w:r>
      <w:r>
        <w:rPr>
          <w:sz w:val="12"/>
          <w:u w:val="single"/>
        </w:rPr>
        <w:t> </w:t>
        <w:tab/>
      </w:r>
      <w:r>
        <w:rPr>
          <w:sz w:val="12"/>
        </w:rPr>
        <w:t>Polvo</w:t>
      </w:r>
      <w:r>
        <w:rPr>
          <w:sz w:val="12"/>
          <w:u w:val="single"/>
        </w:rPr>
        <w:t> </w:t>
        <w:tab/>
      </w:r>
      <w:r>
        <w:rPr>
          <w:sz w:val="12"/>
        </w:rPr>
        <w:t>Abomaso</w:t>
      </w:r>
      <w:r>
        <w:rPr>
          <w:sz w:val="12"/>
          <w:u w:val="single"/>
        </w:rPr>
        <w:t> </w:t>
        <w:tab/>
      </w:r>
      <w:r>
        <w:rPr>
          <w:sz w:val="12"/>
        </w:rPr>
        <w:t>¿Otro?</w:t>
      </w:r>
      <w:r>
        <w:rPr>
          <w:w w:val="100"/>
          <w:sz w:val="12"/>
          <w:u w:val="single"/>
        </w:rPr>
        <w:t> </w:t>
      </w:r>
      <w:r>
        <w:rPr>
          <w:sz w:val="12"/>
          <w:u w:val="single"/>
        </w:rPr>
        <w:tab/>
      </w:r>
    </w:p>
    <w:p>
      <w:pPr>
        <w:pStyle w:val="ListParagraph"/>
        <w:numPr>
          <w:ilvl w:val="0"/>
          <w:numId w:val="9"/>
        </w:numPr>
        <w:tabs>
          <w:tab w:pos="862" w:val="left" w:leader="none"/>
          <w:tab w:pos="7183" w:val="left" w:leader="none"/>
        </w:tabs>
        <w:spacing w:line="240" w:lineRule="auto" w:before="68" w:after="0"/>
        <w:ind w:left="862" w:right="0" w:hanging="360"/>
        <w:jc w:val="left"/>
        <w:rPr>
          <w:sz w:val="12"/>
        </w:rPr>
      </w:pPr>
      <w:r>
        <w:rPr>
          <w:sz w:val="12"/>
        </w:rPr>
        <w:t>Técnica de molienda del</w:t>
      </w:r>
      <w:r>
        <w:rPr>
          <w:spacing w:val="-7"/>
          <w:sz w:val="12"/>
        </w:rPr>
        <w:t> </w:t>
      </w:r>
      <w:r>
        <w:rPr>
          <w:sz w:val="12"/>
        </w:rPr>
        <w:t>queso:</w:t>
      </w:r>
      <w:r>
        <w:rPr>
          <w:sz w:val="12"/>
          <w:u w:val="single"/>
        </w:rPr>
        <w:t> </w:t>
        <w:tab/>
      </w:r>
    </w:p>
    <w:p>
      <w:pPr>
        <w:pStyle w:val="ListParagraph"/>
        <w:numPr>
          <w:ilvl w:val="0"/>
          <w:numId w:val="9"/>
        </w:numPr>
        <w:tabs>
          <w:tab w:pos="862" w:val="left" w:leader="none"/>
          <w:tab w:pos="7190" w:val="left" w:leader="none"/>
        </w:tabs>
        <w:spacing w:line="240" w:lineRule="auto" w:before="68" w:after="0"/>
        <w:ind w:left="862" w:right="0" w:hanging="360"/>
        <w:jc w:val="left"/>
        <w:rPr>
          <w:sz w:val="12"/>
        </w:rPr>
      </w:pPr>
      <w:r>
        <w:rPr>
          <w:sz w:val="12"/>
        </w:rPr>
        <w:t>Número de quesos frescos que</w:t>
      </w:r>
      <w:r>
        <w:rPr>
          <w:spacing w:val="-13"/>
          <w:sz w:val="12"/>
        </w:rPr>
        <w:t> </w:t>
      </w:r>
      <w:r>
        <w:rPr>
          <w:sz w:val="12"/>
        </w:rPr>
        <w:t>elabora: </w:t>
      </w:r>
      <w:r>
        <w:rPr>
          <w:w w:val="100"/>
          <w:sz w:val="12"/>
          <w:u w:val="single"/>
        </w:rPr>
        <w:t> </w:t>
      </w:r>
      <w:r>
        <w:rPr>
          <w:sz w:val="12"/>
          <w:u w:val="single"/>
        </w:rPr>
        <w:tab/>
      </w:r>
    </w:p>
    <w:p>
      <w:pPr>
        <w:pStyle w:val="ListParagraph"/>
        <w:numPr>
          <w:ilvl w:val="0"/>
          <w:numId w:val="9"/>
        </w:numPr>
        <w:tabs>
          <w:tab w:pos="862" w:val="left" w:leader="none"/>
          <w:tab w:pos="4612" w:val="left" w:leader="none"/>
          <w:tab w:pos="5777" w:val="left" w:leader="none"/>
        </w:tabs>
        <w:spacing w:line="240" w:lineRule="auto" w:before="71" w:after="0"/>
        <w:ind w:left="862" w:right="0" w:hanging="360"/>
        <w:jc w:val="left"/>
        <w:rPr>
          <w:sz w:val="12"/>
        </w:rPr>
      </w:pPr>
      <w:r>
        <w:rPr>
          <w:sz w:val="12"/>
        </w:rPr>
        <w:t>Quienes participan en la elaboración del</w:t>
      </w:r>
      <w:r>
        <w:rPr>
          <w:spacing w:val="-9"/>
          <w:sz w:val="12"/>
        </w:rPr>
        <w:t> </w:t>
      </w:r>
      <w:r>
        <w:rPr>
          <w:sz w:val="12"/>
        </w:rPr>
        <w:t>queso?</w:t>
      </w:r>
      <w:r>
        <w:rPr>
          <w:spacing w:val="-2"/>
          <w:sz w:val="12"/>
        </w:rPr>
        <w:t> </w:t>
      </w:r>
      <w:r>
        <w:rPr>
          <w:sz w:val="12"/>
        </w:rPr>
        <w:t>Familia:</w:t>
      </w:r>
      <w:r>
        <w:rPr>
          <w:sz w:val="12"/>
          <w:u w:val="single"/>
        </w:rPr>
        <w:t> </w:t>
        <w:tab/>
      </w:r>
      <w:r>
        <w:rPr>
          <w:sz w:val="12"/>
        </w:rPr>
        <w:t>Empleados: </w:t>
      </w:r>
      <w:r>
        <w:rPr>
          <w:w w:val="100"/>
          <w:sz w:val="12"/>
          <w:u w:val="single"/>
        </w:rPr>
        <w:t> </w:t>
      </w:r>
      <w:r>
        <w:rPr>
          <w:sz w:val="12"/>
          <w:u w:val="single"/>
        </w:rPr>
        <w:tab/>
      </w:r>
    </w:p>
    <w:p>
      <w:pPr>
        <w:pStyle w:val="ListParagraph"/>
        <w:numPr>
          <w:ilvl w:val="0"/>
          <w:numId w:val="9"/>
        </w:numPr>
        <w:tabs>
          <w:tab w:pos="862" w:val="left" w:leader="none"/>
          <w:tab w:pos="5381" w:val="left" w:leader="none"/>
          <w:tab w:pos="6769" w:val="left" w:leader="none"/>
        </w:tabs>
        <w:spacing w:line="240" w:lineRule="auto" w:before="68" w:after="0"/>
        <w:ind w:left="862" w:right="0" w:hanging="360"/>
        <w:jc w:val="left"/>
        <w:rPr>
          <w:sz w:val="12"/>
        </w:rPr>
      </w:pPr>
      <w:r>
        <w:rPr>
          <w:sz w:val="12"/>
        </w:rPr>
        <w:t>Acude a otros mercados a vender los quesos que elabora?</w:t>
      </w:r>
      <w:r>
        <w:rPr>
          <w:spacing w:val="-20"/>
          <w:sz w:val="12"/>
        </w:rPr>
        <w:t> </w:t>
      </w:r>
      <w:r>
        <w:rPr>
          <w:sz w:val="12"/>
        </w:rPr>
        <w:t>Si,</w:t>
      </w:r>
      <w:r>
        <w:rPr>
          <w:spacing w:val="-2"/>
          <w:sz w:val="12"/>
        </w:rPr>
        <w:t> </w:t>
      </w:r>
      <w:r>
        <w:rPr>
          <w:sz w:val="12"/>
        </w:rPr>
        <w:t>¿Cuáles?</w:t>
      </w:r>
      <w:r>
        <w:rPr>
          <w:sz w:val="12"/>
          <w:u w:val="single"/>
        </w:rPr>
        <w:t> </w:t>
        <w:tab/>
      </w:r>
      <w:r>
        <w:rPr>
          <w:sz w:val="12"/>
        </w:rPr>
        <w:t>No</w:t>
      </w:r>
      <w:r>
        <w:rPr>
          <w:w w:val="100"/>
          <w:sz w:val="12"/>
          <w:u w:val="single"/>
        </w:rPr>
        <w:t> </w:t>
      </w:r>
      <w:r>
        <w:rPr>
          <w:sz w:val="12"/>
          <w:u w:val="single"/>
        </w:rPr>
        <w:tab/>
      </w:r>
    </w:p>
    <w:p>
      <w:pPr>
        <w:pStyle w:val="ListParagraph"/>
        <w:numPr>
          <w:ilvl w:val="0"/>
          <w:numId w:val="9"/>
        </w:numPr>
        <w:tabs>
          <w:tab w:pos="862" w:val="left" w:leader="none"/>
        </w:tabs>
        <w:spacing w:line="240" w:lineRule="auto" w:before="68" w:after="0"/>
        <w:ind w:left="862" w:right="0" w:hanging="360"/>
        <w:jc w:val="left"/>
        <w:rPr>
          <w:sz w:val="12"/>
        </w:rPr>
      </w:pPr>
      <w:r>
        <w:rPr>
          <w:sz w:val="12"/>
        </w:rPr>
        <w:t>Condiciones en las que son vendidos los quesos</w:t>
      </w:r>
      <w:r>
        <w:rPr>
          <w:spacing w:val="-12"/>
          <w:sz w:val="12"/>
        </w:rPr>
        <w:t> </w:t>
      </w:r>
      <w:r>
        <w:rPr>
          <w:sz w:val="12"/>
        </w:rPr>
        <w:t>frescos:</w:t>
      </w:r>
    </w:p>
    <w:p>
      <w:pPr>
        <w:pStyle w:val="BodyText"/>
        <w:spacing w:before="8"/>
        <w:rPr>
          <w:sz w:val="13"/>
        </w:rPr>
      </w:pPr>
      <w:r>
        <w:rPr/>
        <w:pict>
          <v:group style="position:absolute;margin-left:120.900002pt;margin-top:9.853523pt;width:313.850pt;height:.4pt;mso-position-horizontal-relative:page;mso-position-vertical-relative:paragraph;z-index:2584;mso-wrap-distance-left:0;mso-wrap-distance-right:0" coordorigin="2418,197" coordsize="6277,8">
            <v:line style="position:absolute" from="2422,201" to="3891,201" stroked="true" strokeweight=".378pt" strokecolor="#000000"/>
            <v:line style="position:absolute" from="3893,201" to="8691,201" stroked="true" strokeweight=".378pt" strokecolor="#000000"/>
            <w10:wrap type="topAndBottom"/>
          </v:group>
        </w:pict>
      </w:r>
    </w:p>
    <w:p>
      <w:pPr>
        <w:tabs>
          <w:tab w:pos="2979" w:val="left" w:leader="none"/>
        </w:tabs>
        <w:spacing w:before="43"/>
        <w:ind w:left="501" w:right="1550" w:firstLine="0"/>
        <w:jc w:val="left"/>
        <w:rPr>
          <w:sz w:val="12"/>
        </w:rPr>
      </w:pPr>
      <w:r>
        <w:rPr>
          <w:sz w:val="12"/>
        </w:rPr>
        <w:t>21.    </w:t>
      </w:r>
      <w:r>
        <w:rPr>
          <w:spacing w:val="25"/>
          <w:sz w:val="12"/>
        </w:rPr>
        <w:t> </w:t>
      </w:r>
      <w:r>
        <w:rPr>
          <w:sz w:val="12"/>
        </w:rPr>
        <w:t>T°:</w:t>
      </w:r>
      <w:r>
        <w:rPr>
          <w:w w:val="100"/>
          <w:sz w:val="12"/>
          <w:u w:val="single"/>
        </w:rPr>
        <w:t> </w:t>
      </w:r>
      <w:r>
        <w:rPr>
          <w:sz w:val="12"/>
          <w:u w:val="single"/>
        </w:rPr>
        <w:tab/>
      </w:r>
    </w:p>
    <w:p>
      <w:pPr>
        <w:tabs>
          <w:tab w:pos="3043" w:val="left" w:leader="none"/>
        </w:tabs>
        <w:spacing w:before="68"/>
        <w:ind w:left="501" w:right="1550" w:firstLine="0"/>
        <w:jc w:val="left"/>
        <w:rPr>
          <w:sz w:val="12"/>
        </w:rPr>
      </w:pPr>
      <w:r>
        <w:rPr>
          <w:sz w:val="12"/>
        </w:rPr>
        <w:t>22.    </w:t>
      </w:r>
      <w:r>
        <w:rPr>
          <w:spacing w:val="25"/>
          <w:sz w:val="12"/>
        </w:rPr>
        <w:t> </w:t>
      </w:r>
      <w:r>
        <w:rPr>
          <w:sz w:val="12"/>
        </w:rPr>
        <w:t>pH: </w:t>
      </w:r>
      <w:r>
        <w:rPr>
          <w:w w:val="100"/>
          <w:sz w:val="12"/>
          <w:u w:val="single"/>
        </w:rPr>
        <w:t> </w:t>
      </w:r>
      <w:r>
        <w:rPr>
          <w:sz w:val="12"/>
          <w:u w:val="single"/>
        </w:rPr>
        <w:tab/>
      </w:r>
    </w:p>
    <w:p>
      <w:pPr>
        <w:tabs>
          <w:tab w:pos="3010" w:val="left" w:leader="none"/>
        </w:tabs>
        <w:spacing w:before="68"/>
        <w:ind w:left="501" w:right="1550" w:firstLine="0"/>
        <w:jc w:val="left"/>
        <w:rPr>
          <w:sz w:val="12"/>
        </w:rPr>
      </w:pPr>
      <w:r>
        <w:rPr>
          <w:sz w:val="12"/>
        </w:rPr>
        <w:t>23.      pH</w:t>
      </w:r>
      <w:r>
        <w:rPr>
          <w:spacing w:val="-9"/>
          <w:sz w:val="12"/>
        </w:rPr>
        <w:t> </w:t>
      </w:r>
      <w:r>
        <w:rPr>
          <w:sz w:val="12"/>
        </w:rPr>
        <w:t>1: </w:t>
      </w:r>
      <w:r>
        <w:rPr>
          <w:w w:val="100"/>
          <w:sz w:val="12"/>
          <w:u w:val="single"/>
        </w:rPr>
        <w:t> </w:t>
      </w:r>
      <w:r>
        <w:rPr>
          <w:sz w:val="12"/>
          <w:u w:val="single"/>
        </w:rPr>
        <w:tab/>
      </w:r>
    </w:p>
    <w:p>
      <w:pPr>
        <w:tabs>
          <w:tab w:pos="3010" w:val="left" w:leader="none"/>
        </w:tabs>
        <w:spacing w:before="68"/>
        <w:ind w:left="501" w:right="1550" w:firstLine="0"/>
        <w:jc w:val="left"/>
        <w:rPr>
          <w:sz w:val="12"/>
        </w:rPr>
      </w:pPr>
      <w:r>
        <w:rPr>
          <w:sz w:val="12"/>
        </w:rPr>
        <w:t>24.      pH</w:t>
      </w:r>
      <w:r>
        <w:rPr>
          <w:spacing w:val="-9"/>
          <w:sz w:val="12"/>
        </w:rPr>
        <w:t> </w:t>
      </w:r>
      <w:r>
        <w:rPr>
          <w:sz w:val="12"/>
        </w:rPr>
        <w:t>2: </w:t>
      </w:r>
      <w:r>
        <w:rPr>
          <w:w w:val="100"/>
          <w:sz w:val="12"/>
          <w:u w:val="single"/>
        </w:rPr>
        <w:t> </w:t>
      </w:r>
      <w:r>
        <w:rPr>
          <w:sz w:val="12"/>
          <w:u w:val="single"/>
        </w:rPr>
        <w:tab/>
      </w:r>
    </w:p>
    <w:p>
      <w:pPr>
        <w:tabs>
          <w:tab w:pos="3010" w:val="left" w:leader="none"/>
        </w:tabs>
        <w:spacing w:before="71"/>
        <w:ind w:left="501" w:right="1550" w:firstLine="0"/>
        <w:jc w:val="left"/>
        <w:rPr>
          <w:sz w:val="12"/>
        </w:rPr>
      </w:pPr>
      <w:r>
        <w:rPr>
          <w:sz w:val="12"/>
        </w:rPr>
        <w:t>25.      pH</w:t>
      </w:r>
      <w:r>
        <w:rPr>
          <w:spacing w:val="-9"/>
          <w:sz w:val="12"/>
        </w:rPr>
        <w:t> </w:t>
      </w:r>
      <w:r>
        <w:rPr>
          <w:sz w:val="12"/>
        </w:rPr>
        <w:t>3: </w:t>
      </w:r>
      <w:r>
        <w:rPr>
          <w:w w:val="100"/>
          <w:sz w:val="12"/>
          <w:u w:val="single"/>
        </w:rPr>
        <w:t> </w:t>
      </w:r>
      <w:r>
        <w:rPr>
          <w:sz w:val="12"/>
          <w:u w:val="single"/>
        </w:rPr>
        <w:tab/>
      </w:r>
    </w:p>
    <w:p>
      <w:pPr>
        <w:pStyle w:val="ListParagraph"/>
        <w:numPr>
          <w:ilvl w:val="0"/>
          <w:numId w:val="10"/>
        </w:numPr>
        <w:tabs>
          <w:tab w:pos="862" w:val="left" w:leader="none"/>
          <w:tab w:pos="2539" w:val="left" w:leader="none"/>
          <w:tab w:pos="3850" w:val="left" w:leader="none"/>
          <w:tab w:pos="5789" w:val="left" w:leader="none"/>
        </w:tabs>
        <w:spacing w:line="240" w:lineRule="auto" w:before="68" w:after="0"/>
        <w:ind w:left="744" w:right="0" w:hanging="242"/>
        <w:jc w:val="left"/>
        <w:rPr>
          <w:sz w:val="12"/>
        </w:rPr>
      </w:pPr>
      <w:r>
        <w:rPr>
          <w:sz w:val="12"/>
        </w:rPr>
        <w:t>Presentación:</w:t>
      </w:r>
      <w:r>
        <w:rPr>
          <w:spacing w:val="-2"/>
          <w:sz w:val="12"/>
        </w:rPr>
        <w:t> </w:t>
      </w:r>
      <w:r>
        <w:rPr>
          <w:sz w:val="12"/>
        </w:rPr>
        <w:t>Circular</w:t>
      </w:r>
      <w:r>
        <w:rPr>
          <w:sz w:val="12"/>
          <w:u w:val="single"/>
        </w:rPr>
        <w:t> </w:t>
        <w:tab/>
      </w:r>
      <w:r>
        <w:rPr>
          <w:sz w:val="12"/>
        </w:rPr>
        <w:t>Rectangular</w:t>
      </w:r>
      <w:r>
        <w:rPr>
          <w:sz w:val="12"/>
          <w:u w:val="single"/>
        </w:rPr>
        <w:t> </w:t>
        <w:tab/>
      </w:r>
      <w:r>
        <w:rPr>
          <w:sz w:val="12"/>
        </w:rPr>
        <w:t>¿Otra?</w:t>
      </w:r>
      <w:r>
        <w:rPr>
          <w:w w:val="100"/>
          <w:sz w:val="12"/>
          <w:u w:val="single"/>
        </w:rPr>
        <w:t> </w:t>
      </w:r>
      <w:r>
        <w:rPr>
          <w:sz w:val="12"/>
          <w:u w:val="single"/>
        </w:rPr>
        <w:tab/>
      </w:r>
    </w:p>
    <w:p>
      <w:pPr>
        <w:pStyle w:val="ListParagraph"/>
        <w:numPr>
          <w:ilvl w:val="0"/>
          <w:numId w:val="10"/>
        </w:numPr>
        <w:tabs>
          <w:tab w:pos="862" w:val="left" w:leader="none"/>
          <w:tab w:pos="5821" w:val="left" w:leader="none"/>
        </w:tabs>
        <w:spacing w:line="240" w:lineRule="auto" w:before="68" w:after="0"/>
        <w:ind w:left="862" w:right="0" w:hanging="360"/>
        <w:jc w:val="left"/>
        <w:rPr>
          <w:sz w:val="12"/>
        </w:rPr>
      </w:pPr>
      <w:r>
        <w:rPr>
          <w:sz w:val="12"/>
        </w:rPr>
        <w:t>Peso</w:t>
      </w:r>
      <w:r>
        <w:rPr>
          <w:spacing w:val="-7"/>
          <w:sz w:val="12"/>
        </w:rPr>
        <w:t> </w:t>
      </w:r>
      <w:r>
        <w:rPr>
          <w:sz w:val="12"/>
        </w:rPr>
        <w:t>aproximado: </w:t>
      </w:r>
      <w:r>
        <w:rPr>
          <w:w w:val="100"/>
          <w:sz w:val="12"/>
          <w:u w:val="single"/>
        </w:rPr>
        <w:t> </w:t>
      </w:r>
      <w:r>
        <w:rPr>
          <w:sz w:val="12"/>
          <w:u w:val="single"/>
        </w:rPr>
        <w:tab/>
      </w:r>
    </w:p>
    <w:p>
      <w:pPr>
        <w:pStyle w:val="ListParagraph"/>
        <w:numPr>
          <w:ilvl w:val="0"/>
          <w:numId w:val="10"/>
        </w:numPr>
        <w:tabs>
          <w:tab w:pos="862" w:val="left" w:leader="none"/>
          <w:tab w:pos="3017" w:val="left" w:leader="none"/>
          <w:tab w:pos="3927" w:val="left" w:leader="none"/>
          <w:tab w:pos="5002" w:val="left" w:leader="none"/>
          <w:tab w:pos="6768" w:val="left" w:leader="none"/>
        </w:tabs>
        <w:spacing w:line="240" w:lineRule="auto" w:before="69" w:after="0"/>
        <w:ind w:left="862" w:right="0" w:hanging="360"/>
        <w:jc w:val="left"/>
        <w:rPr>
          <w:sz w:val="12"/>
        </w:rPr>
      </w:pPr>
      <w:r>
        <w:rPr>
          <w:sz w:val="12"/>
        </w:rPr>
        <w:t>Embalaje: Películas</w:t>
      </w:r>
      <w:r>
        <w:rPr>
          <w:spacing w:val="-2"/>
          <w:sz w:val="12"/>
        </w:rPr>
        <w:t> </w:t>
      </w:r>
      <w:r>
        <w:rPr>
          <w:sz w:val="12"/>
        </w:rPr>
        <w:t>de</w:t>
      </w:r>
      <w:r>
        <w:rPr>
          <w:spacing w:val="-3"/>
          <w:sz w:val="12"/>
        </w:rPr>
        <w:t> </w:t>
      </w:r>
      <w:r>
        <w:rPr>
          <w:sz w:val="12"/>
        </w:rPr>
        <w:t>plástico:</w:t>
      </w:r>
      <w:r>
        <w:rPr>
          <w:sz w:val="12"/>
          <w:u w:val="single"/>
        </w:rPr>
        <w:t> </w:t>
        <w:tab/>
      </w:r>
      <w:r>
        <w:rPr>
          <w:sz w:val="12"/>
        </w:rPr>
        <w:t>Papel:</w:t>
      </w:r>
      <w:r>
        <w:rPr>
          <w:sz w:val="12"/>
          <w:u w:val="single"/>
        </w:rPr>
        <w:t> </w:t>
        <w:tab/>
      </w:r>
      <w:r>
        <w:rPr>
          <w:sz w:val="12"/>
        </w:rPr>
        <w:t>Ninguno:</w:t>
      </w:r>
      <w:r>
        <w:rPr>
          <w:sz w:val="12"/>
          <w:u w:val="single"/>
        </w:rPr>
        <w:t> </w:t>
        <w:tab/>
      </w:r>
      <w:r>
        <w:rPr>
          <w:sz w:val="12"/>
        </w:rPr>
        <w:t>Otro:</w:t>
      </w:r>
      <w:r>
        <w:rPr>
          <w:sz w:val="12"/>
          <w:u w:val="single"/>
        </w:rPr>
        <w:t> </w:t>
        <w:tab/>
      </w:r>
    </w:p>
    <w:p>
      <w:pPr>
        <w:pStyle w:val="ListParagraph"/>
        <w:numPr>
          <w:ilvl w:val="0"/>
          <w:numId w:val="10"/>
        </w:numPr>
        <w:tabs>
          <w:tab w:pos="862" w:val="left" w:leader="none"/>
          <w:tab w:pos="3717" w:val="left" w:leader="none"/>
          <w:tab w:pos="4451" w:val="left" w:leader="none"/>
          <w:tab w:pos="5796" w:val="left" w:leader="none"/>
        </w:tabs>
        <w:spacing w:line="240" w:lineRule="auto" w:before="71" w:after="0"/>
        <w:ind w:left="862" w:right="0" w:hanging="360"/>
        <w:jc w:val="left"/>
        <w:rPr>
          <w:sz w:val="12"/>
        </w:rPr>
      </w:pPr>
      <w:r>
        <w:rPr>
          <w:sz w:val="12"/>
        </w:rPr>
        <w:t>Precio</w:t>
      </w:r>
      <w:r>
        <w:rPr>
          <w:spacing w:val="-3"/>
          <w:sz w:val="12"/>
        </w:rPr>
        <w:t> </w:t>
      </w:r>
      <w:r>
        <w:rPr>
          <w:sz w:val="12"/>
        </w:rPr>
        <w:t>del queso:</w:t>
      </w:r>
      <w:r>
        <w:rPr>
          <w:sz w:val="12"/>
          <w:u w:val="single"/>
        </w:rPr>
        <w:t> </w:t>
        <w:tab/>
      </w:r>
      <w:r>
        <w:rPr>
          <w:sz w:val="12"/>
        </w:rPr>
        <w:t>Pieza:</w:t>
      </w:r>
      <w:r>
        <w:rPr>
          <w:sz w:val="12"/>
          <w:u w:val="single"/>
        </w:rPr>
        <w:t> </w:t>
        <w:tab/>
      </w:r>
      <w:r>
        <w:rPr>
          <w:sz w:val="12"/>
        </w:rPr>
        <w:t>Kg.:</w:t>
      </w:r>
      <w:r>
        <w:rPr>
          <w:spacing w:val="-2"/>
          <w:sz w:val="12"/>
        </w:rPr>
        <w:t> </w:t>
      </w:r>
      <w:r>
        <w:rPr>
          <w:w w:val="100"/>
          <w:sz w:val="12"/>
          <w:u w:val="single"/>
        </w:rPr>
        <w:t> </w:t>
      </w:r>
      <w:r>
        <w:rPr>
          <w:sz w:val="12"/>
          <w:u w:val="single"/>
        </w:rPr>
        <w:tab/>
      </w:r>
    </w:p>
    <w:p>
      <w:pPr>
        <w:pStyle w:val="ListParagraph"/>
        <w:numPr>
          <w:ilvl w:val="0"/>
          <w:numId w:val="10"/>
        </w:numPr>
        <w:tabs>
          <w:tab w:pos="862" w:val="left" w:leader="none"/>
          <w:tab w:pos="3852" w:val="left" w:leader="none"/>
        </w:tabs>
        <w:spacing w:line="240" w:lineRule="auto" w:before="68" w:after="0"/>
        <w:ind w:left="862" w:right="0" w:hanging="360"/>
        <w:jc w:val="left"/>
        <w:rPr>
          <w:sz w:val="12"/>
        </w:rPr>
      </w:pPr>
      <w:r>
        <w:rPr>
          <w:sz w:val="12"/>
        </w:rPr>
        <w:t>Cuenta de</w:t>
      </w:r>
      <w:r>
        <w:rPr>
          <w:spacing w:val="-1"/>
          <w:sz w:val="12"/>
        </w:rPr>
        <w:t> </w:t>
      </w:r>
      <w:r>
        <w:rPr>
          <w:i/>
          <w:sz w:val="12"/>
        </w:rPr>
        <w:t>Staphylococcus</w:t>
      </w:r>
      <w:r>
        <w:rPr>
          <w:i/>
          <w:spacing w:val="-1"/>
          <w:sz w:val="12"/>
        </w:rPr>
        <w:t> </w:t>
      </w:r>
      <w:r>
        <w:rPr>
          <w:i/>
          <w:sz w:val="12"/>
        </w:rPr>
        <w:t>aureus</w:t>
      </w:r>
      <w:r>
        <w:rPr>
          <w:sz w:val="12"/>
        </w:rPr>
        <w:t>:</w:t>
      </w:r>
      <w:r>
        <w:rPr>
          <w:sz w:val="12"/>
          <w:u w:val="single"/>
        </w:rPr>
        <w:t> </w:t>
        <w:tab/>
      </w:r>
      <w:r>
        <w:rPr>
          <w:sz w:val="12"/>
        </w:rPr>
        <w:t>ufc/g.</w:t>
      </w:r>
    </w:p>
    <w:p>
      <w:pPr>
        <w:pStyle w:val="ListParagraph"/>
        <w:numPr>
          <w:ilvl w:val="0"/>
          <w:numId w:val="10"/>
        </w:numPr>
        <w:tabs>
          <w:tab w:pos="862" w:val="left" w:leader="none"/>
        </w:tabs>
        <w:spacing w:line="240" w:lineRule="auto" w:before="68" w:after="0"/>
        <w:ind w:left="862" w:right="0" w:hanging="360"/>
        <w:jc w:val="left"/>
        <w:rPr>
          <w:sz w:val="12"/>
        </w:rPr>
      </w:pPr>
      <w:r>
        <w:rPr>
          <w:sz w:val="12"/>
        </w:rPr>
        <w:t>Sensibilidad i</w:t>
      </w:r>
      <w:r>
        <w:rPr>
          <w:i/>
          <w:sz w:val="12"/>
        </w:rPr>
        <w:t>n</w:t>
      </w:r>
      <w:r>
        <w:rPr>
          <w:i/>
          <w:spacing w:val="-6"/>
          <w:sz w:val="12"/>
        </w:rPr>
        <w:t> </w:t>
      </w:r>
      <w:r>
        <w:rPr>
          <w:i/>
          <w:sz w:val="12"/>
        </w:rPr>
        <w:t>vitro</w:t>
      </w:r>
      <w:r>
        <w:rPr>
          <w:sz w:val="12"/>
        </w:rPr>
        <w:t>:</w:t>
      </w:r>
    </w:p>
    <w:p>
      <w:pPr>
        <w:pStyle w:val="BodyText"/>
        <w:spacing w:before="3"/>
      </w:pPr>
    </w:p>
    <w:tbl>
      <w:tblPr>
        <w:tblW w:w="0" w:type="auto"/>
        <w:jc w:val="left"/>
        <w:tblInd w:w="8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72"/>
        <w:gridCol w:w="2002"/>
        <w:gridCol w:w="2019"/>
        <w:gridCol w:w="2017"/>
      </w:tblGrid>
      <w:tr>
        <w:trPr>
          <w:trHeight w:val="216" w:hRule="exact"/>
        </w:trPr>
        <w:tc>
          <w:tcPr>
            <w:tcW w:w="2072" w:type="dxa"/>
          </w:tcPr>
          <w:p>
            <w:pPr>
              <w:pStyle w:val="TableParagraph"/>
              <w:spacing w:line="136" w:lineRule="exact"/>
              <w:ind w:right="398"/>
              <w:jc w:val="left"/>
              <w:rPr>
                <w:sz w:val="12"/>
              </w:rPr>
            </w:pPr>
            <w:r>
              <w:rPr>
                <w:sz w:val="12"/>
              </w:rPr>
              <w:t>Antibiotico</w:t>
            </w:r>
          </w:p>
        </w:tc>
        <w:tc>
          <w:tcPr>
            <w:tcW w:w="2002" w:type="dxa"/>
          </w:tcPr>
          <w:p>
            <w:pPr>
              <w:pStyle w:val="TableParagraph"/>
              <w:spacing w:line="136" w:lineRule="exact"/>
              <w:jc w:val="left"/>
              <w:rPr>
                <w:sz w:val="12"/>
              </w:rPr>
            </w:pPr>
            <w:r>
              <w:rPr>
                <w:sz w:val="12"/>
              </w:rPr>
              <w:t>Sensible</w:t>
            </w:r>
          </w:p>
        </w:tc>
        <w:tc>
          <w:tcPr>
            <w:tcW w:w="2019" w:type="dxa"/>
          </w:tcPr>
          <w:p>
            <w:pPr>
              <w:pStyle w:val="TableParagraph"/>
              <w:spacing w:line="136" w:lineRule="exact"/>
              <w:jc w:val="left"/>
              <w:rPr>
                <w:sz w:val="12"/>
              </w:rPr>
            </w:pPr>
            <w:r>
              <w:rPr>
                <w:sz w:val="12"/>
              </w:rPr>
              <w:t>Intermedia</w:t>
            </w:r>
          </w:p>
        </w:tc>
        <w:tc>
          <w:tcPr>
            <w:tcW w:w="2017" w:type="dxa"/>
          </w:tcPr>
          <w:p>
            <w:pPr>
              <w:pStyle w:val="TableParagraph"/>
              <w:spacing w:line="136" w:lineRule="exact"/>
              <w:ind w:left="100"/>
              <w:jc w:val="left"/>
              <w:rPr>
                <w:sz w:val="12"/>
              </w:rPr>
            </w:pPr>
            <w:r>
              <w:rPr>
                <w:sz w:val="12"/>
              </w:rPr>
              <w:t>Resistente</w:t>
            </w:r>
          </w:p>
        </w:tc>
      </w:tr>
      <w:tr>
        <w:trPr>
          <w:trHeight w:val="216" w:hRule="exact"/>
        </w:trPr>
        <w:tc>
          <w:tcPr>
            <w:tcW w:w="2072" w:type="dxa"/>
          </w:tcPr>
          <w:p>
            <w:pPr>
              <w:pStyle w:val="TableParagraph"/>
              <w:spacing w:line="136" w:lineRule="exact"/>
              <w:ind w:right="398"/>
              <w:jc w:val="left"/>
              <w:rPr>
                <w:sz w:val="12"/>
              </w:rPr>
            </w:pPr>
            <w:r>
              <w:rPr>
                <w:sz w:val="12"/>
              </w:rPr>
              <w:t>oxacilina (1 µg)</w:t>
            </w:r>
          </w:p>
        </w:tc>
        <w:tc>
          <w:tcPr>
            <w:tcW w:w="2002" w:type="dxa"/>
          </w:tcPr>
          <w:p>
            <w:pPr/>
          </w:p>
        </w:tc>
        <w:tc>
          <w:tcPr>
            <w:tcW w:w="2019" w:type="dxa"/>
          </w:tcPr>
          <w:p>
            <w:pPr/>
          </w:p>
        </w:tc>
        <w:tc>
          <w:tcPr>
            <w:tcW w:w="2017" w:type="dxa"/>
          </w:tcPr>
          <w:p>
            <w:pPr/>
          </w:p>
        </w:tc>
      </w:tr>
      <w:tr>
        <w:trPr>
          <w:trHeight w:val="218" w:hRule="exact"/>
        </w:trPr>
        <w:tc>
          <w:tcPr>
            <w:tcW w:w="2072" w:type="dxa"/>
          </w:tcPr>
          <w:p>
            <w:pPr>
              <w:pStyle w:val="TableParagraph"/>
              <w:ind w:right="398"/>
              <w:jc w:val="left"/>
              <w:rPr>
                <w:sz w:val="12"/>
              </w:rPr>
            </w:pPr>
            <w:r>
              <w:rPr>
                <w:sz w:val="12"/>
              </w:rPr>
              <w:t>cefoxitina (30 µg)</w:t>
            </w:r>
          </w:p>
        </w:tc>
        <w:tc>
          <w:tcPr>
            <w:tcW w:w="2002" w:type="dxa"/>
          </w:tcPr>
          <w:p>
            <w:pPr/>
          </w:p>
        </w:tc>
        <w:tc>
          <w:tcPr>
            <w:tcW w:w="2019" w:type="dxa"/>
          </w:tcPr>
          <w:p>
            <w:pPr/>
          </w:p>
        </w:tc>
        <w:tc>
          <w:tcPr>
            <w:tcW w:w="2017" w:type="dxa"/>
          </w:tcPr>
          <w:p>
            <w:pPr/>
          </w:p>
        </w:tc>
      </w:tr>
      <w:tr>
        <w:trPr>
          <w:trHeight w:val="425" w:hRule="exact"/>
        </w:trPr>
        <w:tc>
          <w:tcPr>
            <w:tcW w:w="2072" w:type="dxa"/>
          </w:tcPr>
          <w:p>
            <w:pPr>
              <w:pStyle w:val="TableParagraph"/>
              <w:spacing w:line="360" w:lineRule="auto"/>
              <w:ind w:right="398"/>
              <w:jc w:val="left"/>
              <w:rPr>
                <w:sz w:val="12"/>
              </w:rPr>
            </w:pPr>
            <w:r>
              <w:rPr>
                <w:sz w:val="12"/>
              </w:rPr>
              <w:t>amoxicilina/ácido clavulánico (20/10 µg)</w:t>
            </w:r>
          </w:p>
        </w:tc>
        <w:tc>
          <w:tcPr>
            <w:tcW w:w="2002" w:type="dxa"/>
          </w:tcPr>
          <w:p>
            <w:pPr/>
          </w:p>
        </w:tc>
        <w:tc>
          <w:tcPr>
            <w:tcW w:w="2019" w:type="dxa"/>
          </w:tcPr>
          <w:p>
            <w:pPr/>
          </w:p>
        </w:tc>
        <w:tc>
          <w:tcPr>
            <w:tcW w:w="2017" w:type="dxa"/>
          </w:tcPr>
          <w:p>
            <w:pPr/>
          </w:p>
        </w:tc>
      </w:tr>
    </w:tbl>
    <w:p>
      <w:pPr>
        <w:pStyle w:val="BodyText"/>
        <w:spacing w:before="4"/>
        <w:rPr>
          <w:sz w:val="10"/>
        </w:rPr>
      </w:pPr>
    </w:p>
    <w:p>
      <w:pPr>
        <w:pStyle w:val="ListParagraph"/>
        <w:numPr>
          <w:ilvl w:val="0"/>
          <w:numId w:val="10"/>
        </w:numPr>
        <w:tabs>
          <w:tab w:pos="862" w:val="left" w:leader="none"/>
          <w:tab w:pos="5215" w:val="left" w:leader="none"/>
          <w:tab w:pos="5766" w:val="left" w:leader="none"/>
        </w:tabs>
        <w:spacing w:line="360" w:lineRule="auto" w:before="85" w:after="0"/>
        <w:ind w:left="744" w:right="3351" w:hanging="242"/>
        <w:jc w:val="left"/>
        <w:rPr>
          <w:sz w:val="12"/>
        </w:rPr>
      </w:pPr>
      <w:r>
        <w:rPr>
          <w:sz w:val="12"/>
        </w:rPr>
        <w:t>Cantidad</w:t>
      </w:r>
      <w:r>
        <w:rPr>
          <w:spacing w:val="-2"/>
          <w:sz w:val="12"/>
        </w:rPr>
        <w:t> </w:t>
      </w:r>
      <w:r>
        <w:rPr>
          <w:sz w:val="12"/>
        </w:rPr>
        <w:t>de</w:t>
      </w:r>
      <w:r>
        <w:rPr>
          <w:spacing w:val="-2"/>
          <w:sz w:val="12"/>
        </w:rPr>
        <w:t> </w:t>
      </w:r>
      <w:r>
        <w:rPr>
          <w:sz w:val="12"/>
        </w:rPr>
        <w:t>NaCl:</w:t>
      </w:r>
      <w:r>
        <w:rPr>
          <w:spacing w:val="-3"/>
          <w:sz w:val="12"/>
        </w:rPr>
        <w:t> </w:t>
      </w:r>
      <w:r>
        <w:rPr>
          <w:w w:val="100"/>
          <w:sz w:val="12"/>
          <w:u w:val="single"/>
        </w:rPr>
        <w:t> </w:t>
      </w:r>
      <w:r>
        <w:rPr>
          <w:sz w:val="12"/>
          <w:u w:val="single"/>
        </w:rPr>
        <w:tab/>
        <w:tab/>
      </w:r>
      <w:r>
        <w:rPr>
          <w:sz w:val="12"/>
        </w:rPr>
        <w:t> </w:t>
      </w:r>
      <w:r>
        <w:rPr>
          <w:sz w:val="12"/>
        </w:rPr>
        <w:t>MRSA:</w:t>
      </w:r>
      <w:r>
        <w:rPr>
          <w:sz w:val="12"/>
          <w:u w:val="single"/>
        </w:rPr>
        <w:t> </w:t>
        <w:tab/>
      </w:r>
    </w:p>
    <w:p>
      <w:pPr>
        <w:spacing w:after="0" w:line="360" w:lineRule="auto"/>
        <w:jc w:val="left"/>
        <w:rPr>
          <w:sz w:val="12"/>
        </w:rPr>
        <w:sectPr>
          <w:pgSz w:w="12240" w:h="15840"/>
          <w:pgMar w:header="728" w:footer="710" w:top="1200" w:bottom="900" w:left="1560" w:right="1560"/>
        </w:sectPr>
      </w:pPr>
    </w:p>
    <w:p>
      <w:pPr>
        <w:pStyle w:val="BodyText"/>
        <w:spacing w:before="9"/>
        <w:rPr>
          <w:sz w:val="12"/>
        </w:rPr>
      </w:pPr>
    </w:p>
    <w:p>
      <w:pPr>
        <w:pStyle w:val="Heading2"/>
        <w:spacing w:after="38"/>
        <w:ind w:right="926"/>
      </w:pPr>
      <w:r>
        <w:rPr/>
        <w:pict>
          <v:group style="position:absolute;margin-left:165.839996pt;margin-top:54.935883pt;width:245.2pt;height:94.8pt;mso-position-horizontal-relative:page;mso-position-vertical-relative:paragraph;z-index:-214792" coordorigin="3317,1099" coordsize="4904,1896">
            <v:shape style="position:absolute;left:3317;top:1099;width:2280;height:1896" type="#_x0000_t75" stroked="false">
              <v:imagedata r:id="rId83" o:title=""/>
            </v:shape>
            <v:shape style="position:absolute;left:5554;top:1135;width:2666;height:1615" type="#_x0000_t75" stroked="false">
              <v:imagedata r:id="rId84" o:title=""/>
            </v:shape>
            <w10:wrap type="none"/>
          </v:group>
        </w:pict>
      </w:r>
      <w:r>
        <w:rPr/>
        <w:drawing>
          <wp:anchor distT="0" distB="0" distL="0" distR="0" allowOverlap="1" layoutInCell="1" locked="0" behindDoc="1" simplePos="0" relativeHeight="268220687">
            <wp:simplePos x="0" y="0"/>
            <wp:positionH relativeFrom="page">
              <wp:posOffset>5292852</wp:posOffset>
            </wp:positionH>
            <wp:positionV relativeFrom="paragraph">
              <wp:posOffset>697685</wp:posOffset>
            </wp:positionV>
            <wp:extent cx="1418657" cy="1302448"/>
            <wp:effectExtent l="0" t="0" r="0" b="0"/>
            <wp:wrapNone/>
            <wp:docPr id="43" name="image47.jpeg" descr=""/>
            <wp:cNvGraphicFramePr>
              <a:graphicFrameLocks noChangeAspect="1"/>
            </wp:cNvGraphicFramePr>
            <a:graphic>
              <a:graphicData uri="http://schemas.openxmlformats.org/drawingml/2006/picture">
                <pic:pic>
                  <pic:nvPicPr>
                    <pic:cNvPr id="44" name="image47.jpeg"/>
                    <pic:cNvPicPr/>
                  </pic:nvPicPr>
                  <pic:blipFill>
                    <a:blip r:embed="rId85" cstate="print"/>
                    <a:stretch>
                      <a:fillRect/>
                    </a:stretch>
                  </pic:blipFill>
                  <pic:spPr>
                    <a:xfrm>
                      <a:off x="0" y="0"/>
                      <a:ext cx="1418657" cy="1302448"/>
                    </a:xfrm>
                    <a:prstGeom prst="rect">
                      <a:avLst/>
                    </a:prstGeom>
                  </pic:spPr>
                </pic:pic>
              </a:graphicData>
            </a:graphic>
          </wp:anchor>
        </w:drawing>
      </w:r>
      <w:bookmarkStart w:name="_bookmark63" w:id="81"/>
      <w:bookmarkEnd w:id="81"/>
      <w:r>
        <w:rPr>
          <w:b w:val="0"/>
        </w:rPr>
      </w:r>
      <w:r>
        <w:rPr/>
        <w:t>ANEXO 2: DETERMINACIÓN DE HUMEDAD EN QUESO FRESCO</w:t>
      </w:r>
    </w:p>
    <w:tbl>
      <w:tblPr>
        <w:tblW w:w="0" w:type="auto"/>
        <w:jc w:val="left"/>
        <w:tblInd w:w="142" w:type="dxa"/>
        <w:tblBorders>
          <w:top w:val="single" w:sz="4" w:space="0" w:color="9CC2E4"/>
          <w:left w:val="single" w:sz="4" w:space="0" w:color="9CC2E4"/>
          <w:bottom w:val="single" w:sz="4" w:space="0" w:color="9CC2E4"/>
          <w:right w:val="single" w:sz="4" w:space="0" w:color="9CC2E4"/>
          <w:insideH w:val="single" w:sz="4" w:space="0" w:color="9CC2E4"/>
          <w:insideV w:val="single" w:sz="4" w:space="0" w:color="9CC2E4"/>
        </w:tblBorders>
        <w:tblLayout w:type="fixed"/>
        <w:tblCellMar>
          <w:top w:w="0" w:type="dxa"/>
          <w:left w:w="0" w:type="dxa"/>
          <w:bottom w:w="0" w:type="dxa"/>
          <w:right w:w="0" w:type="dxa"/>
        </w:tblCellMar>
        <w:tblLook w:val="01E0"/>
      </w:tblPr>
      <w:tblGrid>
        <w:gridCol w:w="1502"/>
        <w:gridCol w:w="2329"/>
        <w:gridCol w:w="2693"/>
        <w:gridCol w:w="2305"/>
      </w:tblGrid>
      <w:tr>
        <w:trPr>
          <w:trHeight w:val="590" w:hRule="exact"/>
        </w:trPr>
        <w:tc>
          <w:tcPr>
            <w:tcW w:w="8829" w:type="dxa"/>
            <w:gridSpan w:val="4"/>
            <w:tcBorders>
              <w:top w:val="nil"/>
              <w:left w:val="nil"/>
              <w:bottom w:val="nil"/>
              <w:right w:val="nil"/>
            </w:tcBorders>
            <w:shd w:val="clear" w:color="auto" w:fill="5B9BD4"/>
          </w:tcPr>
          <w:p>
            <w:pPr>
              <w:pStyle w:val="TableParagraph"/>
              <w:spacing w:before="115"/>
              <w:ind w:left="1862"/>
              <w:jc w:val="left"/>
              <w:rPr>
                <w:b/>
                <w:sz w:val="20"/>
              </w:rPr>
            </w:pPr>
            <w:r>
              <w:rPr>
                <w:b/>
                <w:color w:val="FFFFFF"/>
                <w:sz w:val="20"/>
              </w:rPr>
              <w:t>DETERMINACIÓN DE HUMEDAD EN QUESO FRESCO</w:t>
            </w:r>
          </w:p>
        </w:tc>
      </w:tr>
      <w:tr>
        <w:trPr>
          <w:trHeight w:val="2437" w:hRule="exact"/>
        </w:trPr>
        <w:tc>
          <w:tcPr>
            <w:tcW w:w="1502" w:type="dxa"/>
            <w:tcBorders>
              <w:top w:val="single" w:sz="4" w:space="0" w:color="FFFFFF"/>
            </w:tcBorders>
            <w:shd w:val="clear" w:color="auto" w:fill="DEEAF6"/>
          </w:tcPr>
          <w:p>
            <w:pPr>
              <w:pStyle w:val="TableParagraph"/>
              <w:spacing w:before="2"/>
              <w:ind w:left="0"/>
              <w:jc w:val="left"/>
              <w:rPr>
                <w:b/>
                <w:sz w:val="29"/>
              </w:rPr>
            </w:pPr>
          </w:p>
          <w:p>
            <w:pPr>
              <w:pStyle w:val="TableParagraph"/>
              <w:ind w:left="28"/>
              <w:jc w:val="left"/>
              <w:rPr>
                <w:sz w:val="20"/>
              </w:rPr>
            </w:pPr>
            <w:r>
              <w:rPr>
                <w:sz w:val="20"/>
              </w:rPr>
              <w:drawing>
                <wp:inline distT="0" distB="0" distL="0" distR="0">
                  <wp:extent cx="888212" cy="922020"/>
                  <wp:effectExtent l="0" t="0" r="0" b="0"/>
                  <wp:docPr id="45" name="image48.jpeg" descr=""/>
                  <wp:cNvGraphicFramePr>
                    <a:graphicFrameLocks noChangeAspect="1"/>
                  </wp:cNvGraphicFramePr>
                  <a:graphic>
                    <a:graphicData uri="http://schemas.openxmlformats.org/drawingml/2006/picture">
                      <pic:pic>
                        <pic:nvPicPr>
                          <pic:cNvPr id="46" name="image48.jpeg"/>
                          <pic:cNvPicPr/>
                        </pic:nvPicPr>
                        <pic:blipFill>
                          <a:blip r:embed="rId86" cstate="print"/>
                          <a:stretch>
                            <a:fillRect/>
                          </a:stretch>
                        </pic:blipFill>
                        <pic:spPr>
                          <a:xfrm>
                            <a:off x="0" y="0"/>
                            <a:ext cx="888212" cy="922020"/>
                          </a:xfrm>
                          <a:prstGeom prst="rect">
                            <a:avLst/>
                          </a:prstGeom>
                        </pic:spPr>
                      </pic:pic>
                    </a:graphicData>
                  </a:graphic>
                </wp:inline>
              </w:drawing>
            </w:r>
            <w:r>
              <w:rPr>
                <w:sz w:val="20"/>
              </w:rPr>
            </w:r>
          </w:p>
          <w:p>
            <w:pPr>
              <w:pStyle w:val="TableParagraph"/>
              <w:ind w:left="0"/>
              <w:jc w:val="left"/>
              <w:rPr>
                <w:b/>
                <w:sz w:val="20"/>
              </w:rPr>
            </w:pPr>
          </w:p>
          <w:p>
            <w:pPr>
              <w:pStyle w:val="TableParagraph"/>
              <w:ind w:left="0"/>
              <w:jc w:val="left"/>
              <w:rPr>
                <w:b/>
                <w:sz w:val="20"/>
              </w:rPr>
            </w:pPr>
          </w:p>
        </w:tc>
        <w:tc>
          <w:tcPr>
            <w:tcW w:w="2329" w:type="dxa"/>
            <w:tcBorders>
              <w:top w:val="single" w:sz="4" w:space="0" w:color="FFFFFF"/>
            </w:tcBorders>
          </w:tcPr>
          <w:p>
            <w:pPr/>
          </w:p>
        </w:tc>
        <w:tc>
          <w:tcPr>
            <w:tcW w:w="2693" w:type="dxa"/>
            <w:tcBorders>
              <w:top w:val="single" w:sz="4" w:space="0" w:color="FFFFFF"/>
            </w:tcBorders>
            <w:shd w:val="clear" w:color="auto" w:fill="DEEAF6"/>
          </w:tcPr>
          <w:p>
            <w:pPr/>
          </w:p>
        </w:tc>
        <w:tc>
          <w:tcPr>
            <w:tcW w:w="2305" w:type="dxa"/>
            <w:tcBorders>
              <w:top w:val="single" w:sz="4" w:space="0" w:color="FFFFFF"/>
            </w:tcBorders>
          </w:tcPr>
          <w:p>
            <w:pPr/>
          </w:p>
        </w:tc>
      </w:tr>
      <w:tr>
        <w:trPr>
          <w:trHeight w:val="1735" w:hRule="exact"/>
        </w:trPr>
        <w:tc>
          <w:tcPr>
            <w:tcW w:w="1502" w:type="dxa"/>
          </w:tcPr>
          <w:p>
            <w:pPr>
              <w:pStyle w:val="TableParagraph"/>
              <w:spacing w:line="360" w:lineRule="auto" w:before="117"/>
              <w:ind w:left="463" w:hanging="360"/>
              <w:jc w:val="left"/>
              <w:rPr>
                <w:sz w:val="20"/>
              </w:rPr>
            </w:pPr>
            <w:r>
              <w:rPr>
                <w:sz w:val="20"/>
              </w:rPr>
              <w:t>1) Crisoles a peso constante</w:t>
            </w:r>
          </w:p>
        </w:tc>
        <w:tc>
          <w:tcPr>
            <w:tcW w:w="2329" w:type="dxa"/>
          </w:tcPr>
          <w:p>
            <w:pPr>
              <w:pStyle w:val="TableParagraph"/>
              <w:tabs>
                <w:tab w:pos="1204" w:val="left" w:leader="none"/>
                <w:tab w:pos="1537" w:val="left" w:leader="none"/>
                <w:tab w:pos="1991" w:val="left" w:leader="none"/>
              </w:tabs>
              <w:spacing w:line="360" w:lineRule="auto"/>
              <w:ind w:left="463" w:right="104" w:hanging="360"/>
              <w:jc w:val="left"/>
              <w:rPr>
                <w:sz w:val="20"/>
              </w:rPr>
            </w:pPr>
            <w:r>
              <w:rPr>
                <w:sz w:val="20"/>
              </w:rPr>
              <w:t>2)  </w:t>
            </w:r>
            <w:r>
              <w:rPr>
                <w:spacing w:val="13"/>
                <w:sz w:val="20"/>
              </w:rPr>
              <w:t> </w:t>
            </w:r>
            <w:r>
              <w:rPr>
                <w:sz w:val="20"/>
              </w:rPr>
              <w:t>Pesar</w:t>
              <w:tab/>
              <w:t>5</w:t>
              <w:tab/>
              <w:t>gr.</w:t>
              <w:tab/>
              <w:t>de</w:t>
            </w:r>
            <w:r>
              <w:rPr>
                <w:w w:val="99"/>
                <w:sz w:val="20"/>
              </w:rPr>
              <w:t> </w:t>
            </w:r>
            <w:r>
              <w:rPr>
                <w:sz w:val="20"/>
              </w:rPr>
              <w:t>muestra</w:t>
            </w:r>
          </w:p>
        </w:tc>
        <w:tc>
          <w:tcPr>
            <w:tcW w:w="2693" w:type="dxa"/>
          </w:tcPr>
          <w:p>
            <w:pPr>
              <w:pStyle w:val="TableParagraph"/>
              <w:spacing w:line="360" w:lineRule="auto"/>
              <w:ind w:left="463" w:right="65" w:hanging="360"/>
              <w:jc w:val="left"/>
              <w:rPr>
                <w:sz w:val="20"/>
              </w:rPr>
            </w:pPr>
            <w:r>
              <w:rPr>
                <w:sz w:val="20"/>
              </w:rPr>
              <w:t>3) Secado en estufa por 4 hr. a 100 °C</w:t>
            </w:r>
          </w:p>
        </w:tc>
        <w:tc>
          <w:tcPr>
            <w:tcW w:w="2305" w:type="dxa"/>
          </w:tcPr>
          <w:p>
            <w:pPr>
              <w:pStyle w:val="TableParagraph"/>
              <w:tabs>
                <w:tab w:pos="1698" w:val="left" w:leader="none"/>
              </w:tabs>
              <w:spacing w:line="360" w:lineRule="auto"/>
              <w:ind w:left="460" w:right="102" w:hanging="360"/>
              <w:jc w:val="both"/>
              <w:rPr>
                <w:sz w:val="20"/>
              </w:rPr>
            </w:pPr>
            <w:r>
              <w:rPr>
                <w:sz w:val="20"/>
              </w:rPr>
              <w:t>4) Pasar las muestras al desecador y pesar</w:t>
              <w:tab/>
              <w:t>hasta obtener un peso constante</w:t>
            </w:r>
          </w:p>
        </w:tc>
      </w:tr>
    </w:tbl>
    <w:p>
      <w:pPr>
        <w:pStyle w:val="BodyText"/>
        <w:rPr>
          <w:b/>
          <w:sz w:val="20"/>
        </w:rPr>
      </w:pPr>
    </w:p>
    <w:p>
      <w:pPr>
        <w:pStyle w:val="BodyText"/>
        <w:spacing w:before="1"/>
        <w:rPr>
          <w:b/>
          <w:sz w:val="20"/>
        </w:rPr>
      </w:pPr>
    </w:p>
    <w:p>
      <w:pPr>
        <w:pStyle w:val="Heading2"/>
        <w:spacing w:before="0" w:after="40"/>
        <w:ind w:right="926"/>
      </w:pPr>
      <w:bookmarkStart w:name="_bookmark64" w:id="82"/>
      <w:bookmarkEnd w:id="82"/>
      <w:r>
        <w:rPr>
          <w:b w:val="0"/>
        </w:rPr>
      </w:r>
      <w:r>
        <w:rPr/>
        <w:t>Anexo 3: DETERMINACIÓN DE CENIZAS EN QUESO FRESCO</w:t>
      </w:r>
    </w:p>
    <w:tbl>
      <w:tblPr>
        <w:tblW w:w="0" w:type="auto"/>
        <w:jc w:val="left"/>
        <w:tblInd w:w="142" w:type="dxa"/>
        <w:tblBorders>
          <w:top w:val="single" w:sz="4" w:space="0" w:color="F4AF83"/>
          <w:left w:val="single" w:sz="4" w:space="0" w:color="F4AF83"/>
          <w:bottom w:val="single" w:sz="4" w:space="0" w:color="F4AF83"/>
          <w:right w:val="single" w:sz="4" w:space="0" w:color="F4AF83"/>
          <w:insideH w:val="single" w:sz="4" w:space="0" w:color="F4AF83"/>
          <w:insideV w:val="single" w:sz="4" w:space="0" w:color="F4AF83"/>
        </w:tblBorders>
        <w:tblLayout w:type="fixed"/>
        <w:tblCellMar>
          <w:top w:w="0" w:type="dxa"/>
          <w:left w:w="0" w:type="dxa"/>
          <w:bottom w:w="0" w:type="dxa"/>
          <w:right w:w="0" w:type="dxa"/>
        </w:tblCellMar>
        <w:tblLook w:val="01E0"/>
      </w:tblPr>
      <w:tblGrid>
        <w:gridCol w:w="2943"/>
        <w:gridCol w:w="2940"/>
        <w:gridCol w:w="2945"/>
      </w:tblGrid>
      <w:tr>
        <w:trPr>
          <w:trHeight w:val="470" w:hRule="exact"/>
        </w:trPr>
        <w:tc>
          <w:tcPr>
            <w:tcW w:w="8829" w:type="dxa"/>
            <w:gridSpan w:val="3"/>
            <w:tcBorders>
              <w:top w:val="nil"/>
              <w:left w:val="nil"/>
              <w:bottom w:val="nil"/>
              <w:right w:val="nil"/>
            </w:tcBorders>
            <w:shd w:val="clear" w:color="auto" w:fill="EC7C30"/>
          </w:tcPr>
          <w:p>
            <w:pPr>
              <w:pStyle w:val="TableParagraph"/>
              <w:spacing w:line="225" w:lineRule="exact"/>
              <w:ind w:left="1934"/>
              <w:jc w:val="left"/>
              <w:rPr>
                <w:b/>
                <w:sz w:val="20"/>
              </w:rPr>
            </w:pPr>
            <w:r>
              <w:rPr>
                <w:b/>
                <w:color w:val="FFFFFF"/>
                <w:sz w:val="20"/>
              </w:rPr>
              <w:t>DETERMINACIÓN DE CENIZAS EN QUESO FRESCO</w:t>
            </w:r>
          </w:p>
        </w:tc>
      </w:tr>
      <w:tr>
        <w:trPr>
          <w:trHeight w:val="2866" w:hRule="exact"/>
        </w:trPr>
        <w:tc>
          <w:tcPr>
            <w:tcW w:w="2943" w:type="dxa"/>
            <w:tcBorders>
              <w:top w:val="single" w:sz="4" w:space="0" w:color="FFFFFF"/>
            </w:tcBorders>
            <w:shd w:val="clear" w:color="auto" w:fill="FAE3D4"/>
          </w:tcPr>
          <w:p>
            <w:pPr>
              <w:pStyle w:val="TableParagraph"/>
              <w:ind w:left="169"/>
              <w:jc w:val="left"/>
              <w:rPr>
                <w:sz w:val="20"/>
              </w:rPr>
            </w:pPr>
            <w:r>
              <w:rPr>
                <w:sz w:val="20"/>
              </w:rPr>
              <w:drawing>
                <wp:inline distT="0" distB="0" distL="0" distR="0">
                  <wp:extent cx="1661430" cy="1672208"/>
                  <wp:effectExtent l="0" t="0" r="0" b="0"/>
                  <wp:docPr id="47" name="image49.jpeg" descr=""/>
                  <wp:cNvGraphicFramePr>
                    <a:graphicFrameLocks noChangeAspect="1"/>
                  </wp:cNvGraphicFramePr>
                  <a:graphic>
                    <a:graphicData uri="http://schemas.openxmlformats.org/drawingml/2006/picture">
                      <pic:pic>
                        <pic:nvPicPr>
                          <pic:cNvPr id="48" name="image49.jpeg"/>
                          <pic:cNvPicPr/>
                        </pic:nvPicPr>
                        <pic:blipFill>
                          <a:blip r:embed="rId87" cstate="print"/>
                          <a:stretch>
                            <a:fillRect/>
                          </a:stretch>
                        </pic:blipFill>
                        <pic:spPr>
                          <a:xfrm>
                            <a:off x="0" y="0"/>
                            <a:ext cx="1661430" cy="1672208"/>
                          </a:xfrm>
                          <a:prstGeom prst="rect">
                            <a:avLst/>
                          </a:prstGeom>
                        </pic:spPr>
                      </pic:pic>
                    </a:graphicData>
                  </a:graphic>
                </wp:inline>
              </w:drawing>
            </w:r>
            <w:r>
              <w:rPr>
                <w:sz w:val="20"/>
              </w:rPr>
            </w:r>
          </w:p>
          <w:p>
            <w:pPr>
              <w:pStyle w:val="TableParagraph"/>
              <w:spacing w:before="3"/>
              <w:ind w:left="0"/>
              <w:jc w:val="left"/>
              <w:rPr>
                <w:b/>
                <w:sz w:val="19"/>
              </w:rPr>
            </w:pPr>
          </w:p>
        </w:tc>
        <w:tc>
          <w:tcPr>
            <w:tcW w:w="2940" w:type="dxa"/>
            <w:tcBorders>
              <w:top w:val="single" w:sz="4" w:space="0" w:color="FFFFFF"/>
            </w:tcBorders>
            <w:shd w:val="clear" w:color="auto" w:fill="FAE3D4"/>
          </w:tcPr>
          <w:p>
            <w:pPr>
              <w:pStyle w:val="TableParagraph"/>
              <w:spacing w:before="6"/>
              <w:ind w:left="0"/>
              <w:jc w:val="left"/>
              <w:rPr>
                <w:b/>
                <w:sz w:val="15"/>
              </w:rPr>
            </w:pPr>
          </w:p>
          <w:p>
            <w:pPr>
              <w:pStyle w:val="TableParagraph"/>
              <w:ind w:left="476"/>
              <w:jc w:val="left"/>
              <w:rPr>
                <w:sz w:val="20"/>
              </w:rPr>
            </w:pPr>
            <w:r>
              <w:rPr>
                <w:sz w:val="20"/>
              </w:rPr>
              <w:drawing>
                <wp:inline distT="0" distB="0" distL="0" distR="0">
                  <wp:extent cx="894163" cy="1211199"/>
                  <wp:effectExtent l="0" t="0" r="0" b="0"/>
                  <wp:docPr id="49" name="image50.jpeg" descr=""/>
                  <wp:cNvGraphicFramePr>
                    <a:graphicFrameLocks noChangeAspect="1"/>
                  </wp:cNvGraphicFramePr>
                  <a:graphic>
                    <a:graphicData uri="http://schemas.openxmlformats.org/drawingml/2006/picture">
                      <pic:pic>
                        <pic:nvPicPr>
                          <pic:cNvPr id="50" name="image50.jpeg"/>
                          <pic:cNvPicPr/>
                        </pic:nvPicPr>
                        <pic:blipFill>
                          <a:blip r:embed="rId88" cstate="print"/>
                          <a:stretch>
                            <a:fillRect/>
                          </a:stretch>
                        </pic:blipFill>
                        <pic:spPr>
                          <a:xfrm>
                            <a:off x="0" y="0"/>
                            <a:ext cx="894163" cy="1211199"/>
                          </a:xfrm>
                          <a:prstGeom prst="rect">
                            <a:avLst/>
                          </a:prstGeom>
                        </pic:spPr>
                      </pic:pic>
                    </a:graphicData>
                  </a:graphic>
                </wp:inline>
              </w:drawing>
            </w:r>
            <w:r>
              <w:rPr>
                <w:sz w:val="20"/>
              </w:rPr>
            </w:r>
          </w:p>
          <w:p>
            <w:pPr>
              <w:pStyle w:val="TableParagraph"/>
              <w:ind w:left="0"/>
              <w:jc w:val="left"/>
              <w:rPr>
                <w:b/>
                <w:sz w:val="20"/>
              </w:rPr>
            </w:pPr>
          </w:p>
          <w:p>
            <w:pPr>
              <w:pStyle w:val="TableParagraph"/>
              <w:ind w:left="0"/>
              <w:jc w:val="left"/>
              <w:rPr>
                <w:b/>
                <w:sz w:val="20"/>
              </w:rPr>
            </w:pPr>
          </w:p>
          <w:p>
            <w:pPr>
              <w:pStyle w:val="TableParagraph"/>
              <w:spacing w:before="10"/>
              <w:ind w:left="0"/>
              <w:jc w:val="left"/>
              <w:rPr>
                <w:b/>
                <w:sz w:val="26"/>
              </w:rPr>
            </w:pPr>
          </w:p>
        </w:tc>
        <w:tc>
          <w:tcPr>
            <w:tcW w:w="2945" w:type="dxa"/>
            <w:tcBorders>
              <w:top w:val="single" w:sz="4" w:space="0" w:color="FFFFFF"/>
            </w:tcBorders>
            <w:shd w:val="clear" w:color="auto" w:fill="FAE3D4"/>
          </w:tcPr>
          <w:p>
            <w:pPr>
              <w:pStyle w:val="TableParagraph"/>
              <w:ind w:left="236"/>
              <w:jc w:val="left"/>
              <w:rPr>
                <w:sz w:val="20"/>
              </w:rPr>
            </w:pPr>
            <w:r>
              <w:rPr>
                <w:sz w:val="20"/>
              </w:rPr>
              <w:drawing>
                <wp:inline distT="0" distB="0" distL="0" distR="0">
                  <wp:extent cx="1536920" cy="1642395"/>
                  <wp:effectExtent l="0" t="0" r="0" b="0"/>
                  <wp:docPr id="51" name="image51.jpeg" descr=""/>
                  <wp:cNvGraphicFramePr>
                    <a:graphicFrameLocks noChangeAspect="1"/>
                  </wp:cNvGraphicFramePr>
                  <a:graphic>
                    <a:graphicData uri="http://schemas.openxmlformats.org/drawingml/2006/picture">
                      <pic:pic>
                        <pic:nvPicPr>
                          <pic:cNvPr id="52" name="image51.jpeg"/>
                          <pic:cNvPicPr/>
                        </pic:nvPicPr>
                        <pic:blipFill>
                          <a:blip r:embed="rId89" cstate="print"/>
                          <a:stretch>
                            <a:fillRect/>
                          </a:stretch>
                        </pic:blipFill>
                        <pic:spPr>
                          <a:xfrm>
                            <a:off x="0" y="0"/>
                            <a:ext cx="1536920" cy="1642395"/>
                          </a:xfrm>
                          <a:prstGeom prst="rect">
                            <a:avLst/>
                          </a:prstGeom>
                        </pic:spPr>
                      </pic:pic>
                    </a:graphicData>
                  </a:graphic>
                </wp:inline>
              </w:drawing>
            </w:r>
            <w:r>
              <w:rPr>
                <w:sz w:val="20"/>
              </w:rPr>
            </w:r>
          </w:p>
          <w:p>
            <w:pPr>
              <w:pStyle w:val="TableParagraph"/>
              <w:spacing w:before="4"/>
              <w:ind w:left="0"/>
              <w:jc w:val="left"/>
              <w:rPr>
                <w:b/>
                <w:sz w:val="23"/>
              </w:rPr>
            </w:pPr>
          </w:p>
        </w:tc>
      </w:tr>
      <w:tr>
        <w:trPr>
          <w:trHeight w:val="1165" w:hRule="exact"/>
        </w:trPr>
        <w:tc>
          <w:tcPr>
            <w:tcW w:w="2943" w:type="dxa"/>
          </w:tcPr>
          <w:p>
            <w:pPr>
              <w:pStyle w:val="TableParagraph"/>
              <w:spacing w:line="227" w:lineRule="exact"/>
              <w:jc w:val="left"/>
              <w:rPr>
                <w:sz w:val="20"/>
              </w:rPr>
            </w:pPr>
            <w:r>
              <w:rPr>
                <w:sz w:val="20"/>
              </w:rPr>
              <w:t>1)   Muestras secas</w:t>
            </w:r>
          </w:p>
        </w:tc>
        <w:tc>
          <w:tcPr>
            <w:tcW w:w="2940" w:type="dxa"/>
          </w:tcPr>
          <w:p>
            <w:pPr>
              <w:pStyle w:val="TableParagraph"/>
              <w:spacing w:line="360" w:lineRule="auto"/>
              <w:ind w:left="463" w:right="159" w:hanging="360"/>
              <w:jc w:val="left"/>
              <w:rPr>
                <w:sz w:val="20"/>
              </w:rPr>
            </w:pPr>
            <w:r>
              <w:rPr>
                <w:sz w:val="20"/>
              </w:rPr>
              <w:t>2)  Calcinado en la mufla por  4 hr. a</w:t>
            </w:r>
            <w:r>
              <w:rPr>
                <w:spacing w:val="-7"/>
                <w:sz w:val="20"/>
              </w:rPr>
              <w:t> </w:t>
            </w:r>
            <w:r>
              <w:rPr>
                <w:sz w:val="20"/>
              </w:rPr>
              <w:t>550°C</w:t>
            </w:r>
          </w:p>
        </w:tc>
        <w:tc>
          <w:tcPr>
            <w:tcW w:w="2945" w:type="dxa"/>
          </w:tcPr>
          <w:p>
            <w:pPr>
              <w:pStyle w:val="TableParagraph"/>
              <w:spacing w:line="360" w:lineRule="auto"/>
              <w:ind w:left="463" w:right="102" w:hanging="360"/>
              <w:jc w:val="both"/>
              <w:rPr>
                <w:sz w:val="20"/>
              </w:rPr>
            </w:pPr>
            <w:r>
              <w:rPr>
                <w:sz w:val="20"/>
              </w:rPr>
              <w:t>3) Pasar las muestras al desecador y pesar hasta obtener un peso constante</w:t>
            </w:r>
          </w:p>
        </w:tc>
      </w:tr>
    </w:tbl>
    <w:p>
      <w:pPr>
        <w:spacing w:after="0" w:line="360" w:lineRule="auto"/>
        <w:jc w:val="both"/>
        <w:rPr>
          <w:sz w:val="20"/>
        </w:rPr>
        <w:sectPr>
          <w:pgSz w:w="12240" w:h="15840"/>
          <w:pgMar w:header="728" w:footer="710" w:top="1200" w:bottom="900" w:left="1560" w:right="1540"/>
        </w:sectPr>
      </w:pPr>
    </w:p>
    <w:p>
      <w:pPr>
        <w:pStyle w:val="BodyText"/>
        <w:spacing w:before="9"/>
        <w:rPr>
          <w:b/>
          <w:sz w:val="12"/>
        </w:rPr>
      </w:pPr>
    </w:p>
    <w:p>
      <w:pPr>
        <w:pStyle w:val="Heading2"/>
        <w:spacing w:after="38"/>
        <w:ind w:right="1550"/>
      </w:pPr>
      <w:bookmarkStart w:name="_bookmark65" w:id="83"/>
      <w:bookmarkEnd w:id="83"/>
      <w:r>
        <w:rPr>
          <w:b w:val="0"/>
        </w:rPr>
      </w:r>
      <w:r>
        <w:rPr/>
        <w:t>ANEXO 4: DETERMINACIÓN DE NaCl EN QUESO FRESCO</w:t>
      </w:r>
    </w:p>
    <w:tbl>
      <w:tblPr>
        <w:tblW w:w="0" w:type="auto"/>
        <w:jc w:val="left"/>
        <w:tblInd w:w="142" w:type="dxa"/>
        <w:tblBorders>
          <w:top w:val="single" w:sz="4" w:space="0" w:color="C8C8C8"/>
          <w:left w:val="single" w:sz="4" w:space="0" w:color="C8C8C8"/>
          <w:bottom w:val="single" w:sz="4" w:space="0" w:color="C8C8C8"/>
          <w:right w:val="single" w:sz="4" w:space="0" w:color="C8C8C8"/>
          <w:insideH w:val="single" w:sz="4" w:space="0" w:color="C8C8C8"/>
          <w:insideV w:val="single" w:sz="4" w:space="0" w:color="C8C8C8"/>
        </w:tblBorders>
        <w:tblLayout w:type="fixed"/>
        <w:tblCellMar>
          <w:top w:w="0" w:type="dxa"/>
          <w:left w:w="0" w:type="dxa"/>
          <w:bottom w:w="0" w:type="dxa"/>
          <w:right w:w="0" w:type="dxa"/>
        </w:tblCellMar>
        <w:tblLook w:val="01E0"/>
      </w:tblPr>
      <w:tblGrid>
        <w:gridCol w:w="2208"/>
        <w:gridCol w:w="2206"/>
        <w:gridCol w:w="2208"/>
        <w:gridCol w:w="2206"/>
      </w:tblGrid>
      <w:tr>
        <w:trPr>
          <w:trHeight w:val="470" w:hRule="exact"/>
        </w:trPr>
        <w:tc>
          <w:tcPr>
            <w:tcW w:w="8829" w:type="dxa"/>
            <w:gridSpan w:val="4"/>
            <w:tcBorders>
              <w:top w:val="nil"/>
              <w:left w:val="nil"/>
              <w:bottom w:val="nil"/>
              <w:right w:val="nil"/>
            </w:tcBorders>
            <w:shd w:val="clear" w:color="auto" w:fill="A4A4A4"/>
          </w:tcPr>
          <w:p>
            <w:pPr>
              <w:pStyle w:val="TableParagraph"/>
              <w:spacing w:line="225" w:lineRule="exact"/>
              <w:ind w:left="2145"/>
              <w:jc w:val="left"/>
              <w:rPr>
                <w:b/>
                <w:sz w:val="20"/>
              </w:rPr>
            </w:pPr>
            <w:r>
              <w:rPr>
                <w:b/>
                <w:color w:val="FFFFFF"/>
                <w:sz w:val="20"/>
              </w:rPr>
              <w:t>DETERMINACIÓN DE NaCl EN QUESO FRESCO</w:t>
            </w:r>
          </w:p>
        </w:tc>
      </w:tr>
      <w:tr>
        <w:trPr>
          <w:trHeight w:val="3183" w:hRule="exact"/>
        </w:trPr>
        <w:tc>
          <w:tcPr>
            <w:tcW w:w="2208" w:type="dxa"/>
            <w:tcBorders>
              <w:top w:val="single" w:sz="4" w:space="0" w:color="FFFFFF"/>
            </w:tcBorders>
            <w:shd w:val="clear" w:color="auto" w:fill="ECECEC"/>
          </w:tcPr>
          <w:p>
            <w:pPr>
              <w:pStyle w:val="TableParagraph"/>
              <w:spacing w:before="6" w:after="1"/>
              <w:ind w:left="0"/>
              <w:jc w:val="left"/>
              <w:rPr>
                <w:b/>
                <w:sz w:val="15"/>
              </w:rPr>
            </w:pPr>
          </w:p>
          <w:p>
            <w:pPr>
              <w:pStyle w:val="TableParagraph"/>
              <w:ind w:left="306"/>
              <w:jc w:val="left"/>
              <w:rPr>
                <w:sz w:val="20"/>
              </w:rPr>
            </w:pPr>
            <w:r>
              <w:rPr>
                <w:sz w:val="20"/>
              </w:rPr>
              <w:drawing>
                <wp:inline distT="0" distB="0" distL="0" distR="0">
                  <wp:extent cx="867317" cy="1320165"/>
                  <wp:effectExtent l="0" t="0" r="0" b="0"/>
                  <wp:docPr id="53" name="image52.jpeg" descr=""/>
                  <wp:cNvGraphicFramePr>
                    <a:graphicFrameLocks noChangeAspect="1"/>
                  </wp:cNvGraphicFramePr>
                  <a:graphic>
                    <a:graphicData uri="http://schemas.openxmlformats.org/drawingml/2006/picture">
                      <pic:pic>
                        <pic:nvPicPr>
                          <pic:cNvPr id="54" name="image52.jpeg"/>
                          <pic:cNvPicPr/>
                        </pic:nvPicPr>
                        <pic:blipFill>
                          <a:blip r:embed="rId90" cstate="print"/>
                          <a:stretch>
                            <a:fillRect/>
                          </a:stretch>
                        </pic:blipFill>
                        <pic:spPr>
                          <a:xfrm>
                            <a:off x="0" y="0"/>
                            <a:ext cx="867317" cy="1320165"/>
                          </a:xfrm>
                          <a:prstGeom prst="rect">
                            <a:avLst/>
                          </a:prstGeom>
                        </pic:spPr>
                      </pic:pic>
                    </a:graphicData>
                  </a:graphic>
                </wp:inline>
              </w:drawing>
            </w:r>
            <w:r>
              <w:rPr>
                <w:sz w:val="20"/>
              </w:rPr>
            </w:r>
          </w:p>
          <w:p>
            <w:pPr>
              <w:pStyle w:val="TableParagraph"/>
              <w:ind w:left="0"/>
              <w:jc w:val="left"/>
              <w:rPr>
                <w:b/>
                <w:sz w:val="20"/>
              </w:rPr>
            </w:pPr>
          </w:p>
          <w:p>
            <w:pPr>
              <w:pStyle w:val="TableParagraph"/>
              <w:ind w:left="0"/>
              <w:jc w:val="left"/>
              <w:rPr>
                <w:b/>
                <w:sz w:val="20"/>
              </w:rPr>
            </w:pPr>
          </w:p>
          <w:p>
            <w:pPr>
              <w:pStyle w:val="TableParagraph"/>
              <w:ind w:left="0"/>
              <w:jc w:val="left"/>
              <w:rPr>
                <w:b/>
                <w:sz w:val="20"/>
              </w:rPr>
            </w:pPr>
          </w:p>
          <w:p>
            <w:pPr>
              <w:pStyle w:val="TableParagraph"/>
              <w:spacing w:before="6"/>
              <w:ind w:left="0"/>
              <w:jc w:val="left"/>
              <w:rPr>
                <w:b/>
                <w:sz w:val="19"/>
              </w:rPr>
            </w:pPr>
          </w:p>
        </w:tc>
        <w:tc>
          <w:tcPr>
            <w:tcW w:w="2206" w:type="dxa"/>
            <w:tcBorders>
              <w:top w:val="single" w:sz="4" w:space="0" w:color="FFFFFF"/>
            </w:tcBorders>
            <w:shd w:val="clear" w:color="auto" w:fill="ECECEC"/>
          </w:tcPr>
          <w:p>
            <w:pPr>
              <w:pStyle w:val="TableParagraph"/>
              <w:spacing w:before="6" w:after="1"/>
              <w:ind w:left="0"/>
              <w:jc w:val="left"/>
              <w:rPr>
                <w:b/>
                <w:sz w:val="15"/>
              </w:rPr>
            </w:pPr>
          </w:p>
          <w:p>
            <w:pPr>
              <w:pStyle w:val="TableParagraph"/>
              <w:ind w:left="316"/>
              <w:jc w:val="left"/>
              <w:rPr>
                <w:sz w:val="20"/>
              </w:rPr>
            </w:pPr>
            <w:r>
              <w:rPr>
                <w:sz w:val="20"/>
              </w:rPr>
              <w:drawing>
                <wp:inline distT="0" distB="0" distL="0" distR="0">
                  <wp:extent cx="878530" cy="1500377"/>
                  <wp:effectExtent l="0" t="0" r="0" b="0"/>
                  <wp:docPr id="55" name="image53.jpeg" descr=""/>
                  <wp:cNvGraphicFramePr>
                    <a:graphicFrameLocks noChangeAspect="1"/>
                  </wp:cNvGraphicFramePr>
                  <a:graphic>
                    <a:graphicData uri="http://schemas.openxmlformats.org/drawingml/2006/picture">
                      <pic:pic>
                        <pic:nvPicPr>
                          <pic:cNvPr id="56" name="image53.jpeg"/>
                          <pic:cNvPicPr/>
                        </pic:nvPicPr>
                        <pic:blipFill>
                          <a:blip r:embed="rId91" cstate="print"/>
                          <a:stretch>
                            <a:fillRect/>
                          </a:stretch>
                        </pic:blipFill>
                        <pic:spPr>
                          <a:xfrm>
                            <a:off x="0" y="0"/>
                            <a:ext cx="878530" cy="1500377"/>
                          </a:xfrm>
                          <a:prstGeom prst="rect">
                            <a:avLst/>
                          </a:prstGeom>
                        </pic:spPr>
                      </pic:pic>
                    </a:graphicData>
                  </a:graphic>
                </wp:inline>
              </w:drawing>
            </w:r>
            <w:r>
              <w:rPr>
                <w:sz w:val="20"/>
              </w:rPr>
            </w:r>
          </w:p>
          <w:p>
            <w:pPr>
              <w:pStyle w:val="TableParagraph"/>
              <w:ind w:left="0"/>
              <w:jc w:val="left"/>
              <w:rPr>
                <w:b/>
                <w:sz w:val="20"/>
              </w:rPr>
            </w:pPr>
          </w:p>
          <w:p>
            <w:pPr>
              <w:pStyle w:val="TableParagraph"/>
              <w:ind w:left="0"/>
              <w:jc w:val="left"/>
              <w:rPr>
                <w:b/>
                <w:sz w:val="20"/>
              </w:rPr>
            </w:pPr>
          </w:p>
        </w:tc>
        <w:tc>
          <w:tcPr>
            <w:tcW w:w="2208" w:type="dxa"/>
            <w:tcBorders>
              <w:top w:val="single" w:sz="4" w:space="0" w:color="FFFFFF"/>
            </w:tcBorders>
            <w:shd w:val="clear" w:color="auto" w:fill="ECECEC"/>
          </w:tcPr>
          <w:p>
            <w:pPr>
              <w:pStyle w:val="TableParagraph"/>
              <w:spacing w:before="6" w:after="1"/>
              <w:ind w:left="0"/>
              <w:jc w:val="left"/>
              <w:rPr>
                <w:b/>
                <w:sz w:val="15"/>
              </w:rPr>
            </w:pPr>
          </w:p>
          <w:p>
            <w:pPr>
              <w:pStyle w:val="TableParagraph"/>
              <w:ind w:left="361"/>
              <w:jc w:val="left"/>
              <w:rPr>
                <w:sz w:val="20"/>
              </w:rPr>
            </w:pPr>
            <w:r>
              <w:rPr>
                <w:sz w:val="20"/>
              </w:rPr>
              <w:drawing>
                <wp:inline distT="0" distB="0" distL="0" distR="0">
                  <wp:extent cx="892609" cy="1567433"/>
                  <wp:effectExtent l="0" t="0" r="0" b="0"/>
                  <wp:docPr id="57" name="image54.jpeg" descr=""/>
                  <wp:cNvGraphicFramePr>
                    <a:graphicFrameLocks noChangeAspect="1"/>
                  </wp:cNvGraphicFramePr>
                  <a:graphic>
                    <a:graphicData uri="http://schemas.openxmlformats.org/drawingml/2006/picture">
                      <pic:pic>
                        <pic:nvPicPr>
                          <pic:cNvPr id="58" name="image54.jpeg"/>
                          <pic:cNvPicPr/>
                        </pic:nvPicPr>
                        <pic:blipFill>
                          <a:blip r:embed="rId92" cstate="print"/>
                          <a:stretch>
                            <a:fillRect/>
                          </a:stretch>
                        </pic:blipFill>
                        <pic:spPr>
                          <a:xfrm>
                            <a:off x="0" y="0"/>
                            <a:ext cx="892609" cy="1567433"/>
                          </a:xfrm>
                          <a:prstGeom prst="rect">
                            <a:avLst/>
                          </a:prstGeom>
                        </pic:spPr>
                      </pic:pic>
                    </a:graphicData>
                  </a:graphic>
                </wp:inline>
              </w:drawing>
            </w:r>
            <w:r>
              <w:rPr>
                <w:sz w:val="20"/>
              </w:rPr>
            </w:r>
          </w:p>
          <w:p>
            <w:pPr>
              <w:pStyle w:val="TableParagraph"/>
              <w:ind w:left="0"/>
              <w:jc w:val="left"/>
              <w:rPr>
                <w:b/>
                <w:sz w:val="20"/>
              </w:rPr>
            </w:pPr>
          </w:p>
          <w:p>
            <w:pPr>
              <w:pStyle w:val="TableParagraph"/>
              <w:spacing w:before="7"/>
              <w:ind w:left="0"/>
              <w:jc w:val="left"/>
              <w:rPr>
                <w:b/>
                <w:sz w:val="25"/>
              </w:rPr>
            </w:pPr>
          </w:p>
        </w:tc>
        <w:tc>
          <w:tcPr>
            <w:tcW w:w="2206" w:type="dxa"/>
            <w:tcBorders>
              <w:top w:val="single" w:sz="4" w:space="0" w:color="FFFFFF"/>
            </w:tcBorders>
            <w:shd w:val="clear" w:color="auto" w:fill="ECECEC"/>
          </w:tcPr>
          <w:p>
            <w:pPr>
              <w:pStyle w:val="TableParagraph"/>
              <w:ind w:left="0"/>
              <w:jc w:val="left"/>
              <w:rPr>
                <w:b/>
                <w:sz w:val="6"/>
              </w:rPr>
            </w:pPr>
          </w:p>
          <w:p>
            <w:pPr>
              <w:pStyle w:val="TableParagraph"/>
              <w:ind w:left="301"/>
              <w:jc w:val="left"/>
              <w:rPr>
                <w:sz w:val="20"/>
              </w:rPr>
            </w:pPr>
            <w:r>
              <w:rPr>
                <w:sz w:val="20"/>
              </w:rPr>
              <w:drawing>
                <wp:inline distT="0" distB="0" distL="0" distR="0">
                  <wp:extent cx="1042347" cy="1630299"/>
                  <wp:effectExtent l="0" t="0" r="0" b="0"/>
                  <wp:docPr id="59" name="image55.jpeg" descr=""/>
                  <wp:cNvGraphicFramePr>
                    <a:graphicFrameLocks noChangeAspect="1"/>
                  </wp:cNvGraphicFramePr>
                  <a:graphic>
                    <a:graphicData uri="http://schemas.openxmlformats.org/drawingml/2006/picture">
                      <pic:pic>
                        <pic:nvPicPr>
                          <pic:cNvPr id="60" name="image55.jpeg"/>
                          <pic:cNvPicPr/>
                        </pic:nvPicPr>
                        <pic:blipFill>
                          <a:blip r:embed="rId93" cstate="print"/>
                          <a:stretch>
                            <a:fillRect/>
                          </a:stretch>
                        </pic:blipFill>
                        <pic:spPr>
                          <a:xfrm>
                            <a:off x="0" y="0"/>
                            <a:ext cx="1042347" cy="1630299"/>
                          </a:xfrm>
                          <a:prstGeom prst="rect">
                            <a:avLst/>
                          </a:prstGeom>
                        </pic:spPr>
                      </pic:pic>
                    </a:graphicData>
                  </a:graphic>
                </wp:inline>
              </w:drawing>
            </w:r>
            <w:r>
              <w:rPr>
                <w:sz w:val="20"/>
              </w:rPr>
            </w:r>
          </w:p>
          <w:p>
            <w:pPr>
              <w:pStyle w:val="TableParagraph"/>
              <w:ind w:left="0"/>
              <w:jc w:val="left"/>
              <w:rPr>
                <w:b/>
                <w:sz w:val="20"/>
              </w:rPr>
            </w:pPr>
          </w:p>
          <w:p>
            <w:pPr>
              <w:pStyle w:val="TableParagraph"/>
              <w:spacing w:before="7"/>
              <w:ind w:left="0"/>
              <w:jc w:val="left"/>
              <w:rPr>
                <w:b/>
                <w:sz w:val="26"/>
              </w:rPr>
            </w:pPr>
          </w:p>
        </w:tc>
      </w:tr>
      <w:tr>
        <w:trPr>
          <w:trHeight w:val="2890" w:hRule="exact"/>
        </w:trPr>
        <w:tc>
          <w:tcPr>
            <w:tcW w:w="2208" w:type="dxa"/>
          </w:tcPr>
          <w:p>
            <w:pPr>
              <w:pStyle w:val="TableParagraph"/>
              <w:spacing w:line="360" w:lineRule="auto"/>
              <w:ind w:left="463" w:right="170" w:hanging="360"/>
              <w:jc w:val="left"/>
              <w:rPr>
                <w:sz w:val="20"/>
              </w:rPr>
            </w:pPr>
            <w:r>
              <w:rPr>
                <w:sz w:val="20"/>
              </w:rPr>
              <w:t>1) Disolver las cenizas en ácido nítrico, filtrar, lavar y recibir en un matraz Erlenmeyer con agua</w:t>
            </w:r>
          </w:p>
        </w:tc>
        <w:tc>
          <w:tcPr>
            <w:tcW w:w="2206" w:type="dxa"/>
          </w:tcPr>
          <w:p>
            <w:pPr>
              <w:pStyle w:val="TableParagraph"/>
              <w:spacing w:line="360" w:lineRule="auto"/>
              <w:ind w:left="461" w:hanging="361"/>
              <w:jc w:val="left"/>
              <w:rPr>
                <w:sz w:val="20"/>
              </w:rPr>
            </w:pPr>
            <w:r>
              <w:rPr>
                <w:sz w:val="20"/>
              </w:rPr>
              <w:t>2) Agregar 5 ml de nitrato de plata</w:t>
            </w:r>
          </w:p>
        </w:tc>
        <w:tc>
          <w:tcPr>
            <w:tcW w:w="2208" w:type="dxa"/>
          </w:tcPr>
          <w:p>
            <w:pPr>
              <w:pStyle w:val="TableParagraph"/>
              <w:spacing w:line="360" w:lineRule="auto"/>
              <w:ind w:left="463" w:right="103" w:hanging="360"/>
              <w:jc w:val="both"/>
              <w:rPr>
                <w:sz w:val="20"/>
              </w:rPr>
            </w:pPr>
            <w:r>
              <w:rPr>
                <w:sz w:val="20"/>
              </w:rPr>
              <w:t>3) Adicionar 5 ml del indicador sulfato férrico amoniacal y 1 ml de ácido nítrico.</w:t>
            </w:r>
          </w:p>
        </w:tc>
        <w:tc>
          <w:tcPr>
            <w:tcW w:w="2206" w:type="dxa"/>
          </w:tcPr>
          <w:p>
            <w:pPr>
              <w:pStyle w:val="TableParagraph"/>
              <w:tabs>
                <w:tab w:pos="1770" w:val="left" w:leader="none"/>
              </w:tabs>
              <w:spacing w:line="227" w:lineRule="exact"/>
              <w:jc w:val="left"/>
              <w:rPr>
                <w:sz w:val="20"/>
              </w:rPr>
            </w:pPr>
            <w:r>
              <w:rPr>
                <w:sz w:val="20"/>
              </w:rPr>
              <w:t>4)  </w:t>
            </w:r>
            <w:r>
              <w:rPr>
                <w:spacing w:val="13"/>
                <w:sz w:val="20"/>
              </w:rPr>
              <w:t> </w:t>
            </w:r>
            <w:r>
              <w:rPr>
                <w:sz w:val="20"/>
              </w:rPr>
              <w:t>Titular</w:t>
              <w:tab/>
              <w:t>con</w:t>
            </w:r>
          </w:p>
          <w:p>
            <w:pPr>
              <w:pStyle w:val="TableParagraph"/>
              <w:tabs>
                <w:tab w:pos="1868" w:val="left" w:leader="none"/>
              </w:tabs>
              <w:spacing w:before="115"/>
              <w:ind w:left="463"/>
              <w:jc w:val="both"/>
              <w:rPr>
                <w:sz w:val="20"/>
              </w:rPr>
            </w:pPr>
            <w:r>
              <w:rPr>
                <w:sz w:val="20"/>
              </w:rPr>
              <w:t>solución</w:t>
              <w:tab/>
              <w:t>de</w:t>
            </w:r>
          </w:p>
          <w:p>
            <w:pPr>
              <w:pStyle w:val="TableParagraph"/>
              <w:tabs>
                <w:tab w:pos="1995" w:val="left" w:leader="none"/>
              </w:tabs>
              <w:spacing w:line="360" w:lineRule="auto" w:before="115"/>
              <w:ind w:left="463" w:right="99"/>
              <w:jc w:val="both"/>
              <w:rPr>
                <w:sz w:val="20"/>
              </w:rPr>
            </w:pPr>
            <w:r>
              <w:rPr>
                <w:sz w:val="20"/>
              </w:rPr>
              <w:t>tiocianato de potasio o amonio 0.1N hasta que aparezca un</w:t>
            </w:r>
            <w:r>
              <w:rPr>
                <w:spacing w:val="-10"/>
                <w:sz w:val="20"/>
              </w:rPr>
              <w:t> </w:t>
            </w:r>
            <w:r>
              <w:rPr>
                <w:sz w:val="20"/>
              </w:rPr>
              <w:t>viraje detectable</w:t>
              <w:tab/>
              <w:t>y permanente</w:t>
            </w:r>
          </w:p>
        </w:tc>
      </w:tr>
    </w:tbl>
    <w:p>
      <w:pPr>
        <w:spacing w:after="0" w:line="360" w:lineRule="auto"/>
        <w:jc w:val="both"/>
        <w:rPr>
          <w:sz w:val="20"/>
        </w:rPr>
        <w:sectPr>
          <w:pgSz w:w="12240" w:h="15840"/>
          <w:pgMar w:header="728" w:footer="710" w:top="1200" w:bottom="900" w:left="1560" w:right="15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2"/>
        <w:spacing w:before="199"/>
        <w:ind w:left="138"/>
      </w:pPr>
      <w:r>
        <w:rPr/>
        <w:pict>
          <v:group style="position:absolute;margin-left:71.220001pt;margin-top:25.205847pt;width:657.4pt;height:386.5pt;mso-position-horizontal-relative:page;mso-position-vertical-relative:paragraph;z-index:-214744" coordorigin="1424,504" coordsize="13148,7730">
            <v:shape style="position:absolute;left:1424;top:504;width:1282;height:7714" coordorigin="1424,504" coordsize="1282,7714" path="m2578,504l1553,504,1503,514,1462,542,1434,582,1424,632,1424,8090,1434,8139,1462,8180,1503,8208,1553,8218,2578,8218,2628,8208,2668,8180,2696,8139,2706,8090,2706,632,2696,582,2668,542,2628,514,2578,504xe" filled="true" fillcolor="#a4a4a4" stroked="false">
              <v:path arrowok="t"/>
              <v:fill type="solid"/>
            </v:shape>
            <v:shape style="position:absolute;left:1463;top:967;width:1205;height:2568" type="#_x0000_t75" stroked="false">
              <v:imagedata r:id="rId96" o:title=""/>
            </v:shape>
            <v:shape style="position:absolute;left:1463;top:967;width:1205;height:2568" coordorigin="1463,967" coordsize="1205,2568" path="m1463,2251l1465,2151,1470,2053,1479,1957,1491,1864,1506,1774,1524,1687,1545,1603,1569,1524,1595,1448,1624,1377,1655,1311,1688,1249,1724,1193,1761,1143,1841,1059,1927,1001,2018,971,2065,967,2112,971,2203,1001,2289,1059,2369,1143,2407,1193,2442,1249,2475,1311,2506,1377,2535,1448,2562,1524,2585,1603,2606,1687,2625,1774,2640,1864,2652,1957,2660,2053,2666,2151,2668,2251,2666,2352,2660,2450,2652,2546,2640,2639,2625,2729,2606,2816,2585,2899,2562,2979,2535,3054,2506,3125,2475,3192,2442,3253,2407,3309,2369,3360,2289,3444,2203,3501,2112,3531,2065,3535,2018,3531,1927,3501,1841,3444,1761,3360,1724,3309,1688,3253,1655,3192,1624,3125,1595,3054,1569,2979,1545,2899,1524,2816,1506,2729,1491,2639,1479,2546,1470,2450,1465,2352,1463,2251xe" filled="false" stroked="true" strokeweight="1.56pt" strokecolor="#ffffff">
              <v:path arrowok="t"/>
            </v:shape>
            <v:shape style="position:absolute;left:2744;top:504;width:1280;height:7714" coordorigin="2744,504" coordsize="1280,7714" path="m3896,504l2872,504,2823,514,2782,542,2754,582,2744,632,2744,8090,2754,8140,2782,8180,2823,8208,2872,8218,3896,8218,3945,8208,3986,8180,4014,8140,4024,8090,4024,632,4014,582,3986,542,3945,514,3896,504xe" filled="true" fillcolor="#ac966d" stroked="false">
              <v:path arrowok="t"/>
              <v:fill type="solid"/>
            </v:shape>
            <v:shape style="position:absolute;left:2783;top:967;width:1202;height:2568" type="#_x0000_t75" stroked="false">
              <v:imagedata r:id="rId97" o:title=""/>
            </v:shape>
            <v:shape style="position:absolute;left:2783;top:967;width:1203;height:2568" coordorigin="2783,967" coordsize="1203,2568" path="m2783,2251l2785,2151,2790,2053,2799,1957,2811,1864,2826,1774,2844,1687,2865,1603,2889,1524,2915,1448,2944,1377,2975,1311,3008,1249,3043,1193,3081,1143,3160,1059,3246,1001,3337,971,3384,967,3431,971,3522,1001,3608,1059,3687,1143,3725,1193,3760,1249,3793,1311,3824,1377,3853,1448,3879,1524,3903,1603,3924,1687,3942,1774,3957,1864,3969,1957,3978,2053,3983,2151,3985,2251,3983,2352,3978,2450,3969,2546,3957,2639,3942,2729,3924,2816,3903,2899,3879,2979,3853,3054,3824,3125,3793,3192,3760,3253,3725,3309,3687,3360,3608,3444,3522,3501,3431,3531,3384,3535,3337,3531,3246,3501,3160,3444,3081,3360,3043,3309,3008,3253,2975,3192,2944,3125,2915,3054,2889,2979,2865,2899,2844,2816,2826,2729,2811,2639,2799,2546,2790,2450,2785,2352,2783,2251xe" filled="false" stroked="true" strokeweight="1.56pt" strokecolor="#ffffff">
              <v:path arrowok="t"/>
            </v:shape>
            <v:shape style="position:absolute;left:4062;top:504;width:1280;height:7714" coordorigin="4062,504" coordsize="1280,7714" path="m5213,504l4190,504,4140,514,4099,542,4072,582,4062,632,4062,8090,4072,8140,4099,8180,4140,8208,4190,8218,5213,8218,5263,8208,5304,8180,5331,8140,5341,8090,5341,632,5331,582,5304,542,5263,514,5213,504xe" filled="true" fillcolor="#ac863c" stroked="false">
              <v:path arrowok="t"/>
              <v:fill type="solid"/>
            </v:shape>
            <v:shape style="position:absolute;left:4100;top:967;width:1202;height:2568" type="#_x0000_t75" stroked="false">
              <v:imagedata r:id="rId98" o:title=""/>
            </v:shape>
            <v:shape style="position:absolute;left:4100;top:967;width:1203;height:2568" coordorigin="4100,967" coordsize="1203,2568" path="m4100,2251l4102,2151,4108,2053,4116,1957,4128,1864,4143,1774,4162,1687,4182,1603,4206,1524,4232,1448,4261,1377,4292,1311,4326,1249,4361,1193,4398,1143,4478,1059,4564,1001,4655,971,4702,967,4749,971,4839,1001,4925,1059,5005,1143,5042,1193,5078,1249,5111,1311,5142,1377,5171,1448,5197,1524,5221,1603,5242,1687,5260,1774,5275,1864,5287,1957,5296,2053,5301,2151,5303,2251,5301,2352,5296,2450,5287,2546,5275,2639,5260,2729,5242,2816,5221,2899,5197,2979,5171,3054,5142,3125,5111,3192,5078,3253,5042,3309,5005,3360,4925,3444,4839,3501,4749,3531,4702,3535,4655,3531,4564,3501,4478,3444,4398,3360,4361,3309,4326,3253,4292,3192,4261,3125,4232,3054,4206,2979,4182,2899,4162,2816,4143,2729,4128,2639,4116,2546,4108,2450,4102,2352,4100,2251xe" filled="false" stroked="true" strokeweight="1.56pt" strokecolor="#ffffff">
              <v:path arrowok="t"/>
            </v:shape>
            <v:shape style="position:absolute;left:5380;top:504;width:1282;height:7714" coordorigin="5380,504" coordsize="1282,7714" path="m6533,504l5508,504,5458,514,5417,542,5390,582,5380,632,5380,8090,5390,8139,5417,8180,5458,8208,5508,8218,6533,8218,6583,8208,6624,8180,6651,8139,6661,8090,6661,632,6651,582,6624,542,6583,514,6533,504xe" filled="true" fillcolor="#ac770d" stroked="false">
              <v:path arrowok="t"/>
              <v:fill type="solid"/>
            </v:shape>
            <v:shape style="position:absolute;left:5418;top:967;width:1205;height:2568" type="#_x0000_t75" stroked="false">
              <v:imagedata r:id="rId99" o:title=""/>
            </v:shape>
            <v:shape style="position:absolute;left:5418;top:967;width:1205;height:2568" coordorigin="5418,967" coordsize="1205,2568" path="m5418,2251l5420,2151,5425,2053,5434,1957,5446,1864,5461,1774,5479,1687,5500,1603,5524,1524,5550,1448,5579,1377,5610,1311,5644,1249,5679,1193,5716,1143,5796,1059,5882,1001,5973,971,6020,967,6067,971,6158,1001,6244,1059,6324,1143,6362,1193,6397,1249,6430,1311,6462,1377,6490,1448,6517,1524,6541,1603,6562,1687,6580,1774,6595,1864,6607,1957,6616,2053,6621,2151,6623,2251,6621,2352,6616,2450,6607,2546,6595,2639,6580,2729,6562,2816,6541,2899,6517,2979,6490,3054,6462,3125,6430,3192,6397,3253,6362,3309,6324,3360,6244,3444,6158,3501,6067,3531,6020,3535,5973,3531,5882,3501,5796,3444,5716,3360,5679,3309,5644,3253,5610,3192,5579,3125,5550,3054,5524,2979,5500,2899,5479,2816,5461,2729,5446,2639,5434,2546,5425,2450,5420,2352,5418,2251xe" filled="false" stroked="true" strokeweight="1.56pt" strokecolor="#ffffff">
              <v:path arrowok="t"/>
            </v:shape>
            <v:shape style="position:absolute;left:6700;top:504;width:1280;height:7714" coordorigin="6700,504" coordsize="1280,7714" path="m7851,504l6828,504,6778,514,6737,542,6710,582,6700,632,6700,8090,6710,8140,6737,8180,6778,8208,6828,8218,7851,8218,7901,8208,7941,8180,7969,8140,7979,8090,7979,632,7969,582,7941,542,7901,514,7851,504xe" filled="true" fillcolor="#ac6900" stroked="false">
              <v:path arrowok="t"/>
              <v:fill type="solid"/>
            </v:shape>
            <v:shape style="position:absolute;left:6738;top:967;width:1202;height:2568" type="#_x0000_t75" stroked="false">
              <v:imagedata r:id="rId100" o:title=""/>
            </v:shape>
            <v:shape style="position:absolute;left:6738;top:967;width:1203;height:2568" coordorigin="6738,967" coordsize="1203,2568" path="m6738,2251l6740,2151,6745,2053,6754,1957,6766,1864,6781,1774,6799,1687,6820,1603,6844,1524,6870,1448,6899,1377,6930,1311,6963,1249,6999,1193,7036,1143,7116,1059,7201,1001,7292,971,7339,967,7386,971,7477,1001,7563,1059,7643,1143,7680,1193,7715,1249,7748,1311,7780,1377,7808,1448,7835,1524,7858,1603,7879,1687,7897,1774,7913,1864,7925,1957,7933,2053,7939,2151,7940,2251,7939,2352,7933,2450,7925,2546,7913,2639,7897,2729,7879,2816,7858,2899,7835,2979,7808,3054,7780,3125,7748,3192,7715,3253,7680,3309,7643,3360,7563,3444,7477,3501,7386,3531,7339,3535,7292,3531,7201,3501,7116,3444,7036,3360,6999,3309,6963,3253,6930,3192,6899,3125,6870,3054,6844,2979,6820,2899,6799,2816,6781,2729,6766,2639,6754,2546,6745,2450,6740,2352,6738,2251xe" filled="false" stroked="true" strokeweight="1.56pt" strokecolor="#ffffff">
              <v:path arrowok="t"/>
            </v:shape>
            <v:shape style="position:absolute;left:8017;top:504;width:1280;height:7714" coordorigin="8017,504" coordsize="1280,7714" path="m9168,504l8145,504,8095,514,8055,542,8027,582,8017,632,8017,8090,8027,8140,8055,8180,8095,8208,8145,8218,9168,8218,9218,8208,9259,8180,9286,8140,9296,8090,9296,632,9286,582,9259,542,9218,514,9168,504xe" filled="true" fillcolor="#ac5d00" stroked="false">
              <v:path arrowok="t"/>
              <v:fill type="solid"/>
            </v:shape>
            <v:shape style="position:absolute;left:8056;top:967;width:1202;height:2568" type="#_x0000_t75" stroked="false">
              <v:imagedata r:id="rId101" o:title=""/>
            </v:shape>
            <v:shape style="position:absolute;left:8056;top:967;width:1203;height:2568" coordorigin="8056,967" coordsize="1203,2568" path="m8056,2251l8057,2151,8063,2053,8071,1957,8083,1864,8099,1774,8117,1687,8138,1603,8161,1524,8188,1448,8216,1377,8248,1311,8281,1249,8316,1193,8353,1143,8433,1059,8519,1001,8610,971,8657,967,8704,971,8795,1001,8880,1059,8960,1143,8997,1193,9033,1249,9066,1311,9097,1377,9126,1448,9152,1524,9176,1603,9197,1687,9215,1774,9230,1864,9242,1957,9251,2053,9256,2151,9258,2251,9256,2352,9251,2450,9242,2546,9230,2639,9215,2729,9197,2816,9176,2899,9152,2979,9126,3054,9097,3125,9066,3192,9033,3253,8997,3309,8960,3360,8880,3444,8795,3501,8704,3531,8657,3535,8610,3531,8519,3501,8433,3444,8353,3360,8316,3309,8281,3253,8248,3192,8216,3125,8188,3054,8161,2979,8138,2899,8117,2816,8099,2729,8083,2639,8071,2546,8063,2450,8057,2352,8056,2251xe" filled="false" stroked="true" strokeweight="1.56pt" strokecolor="#ffffff">
              <v:path arrowok="t"/>
            </v:shape>
            <v:shape style="position:absolute;left:9335;top:504;width:1282;height:7714" coordorigin="9335,504" coordsize="1282,7714" path="m10488,504l9463,504,9413,514,9372,542,9345,582,9335,632,9335,8090,9345,8139,9372,8180,9413,8208,9463,8218,10488,8218,10538,8208,10579,8180,10606,8139,10616,8090,10616,632,10606,582,10579,542,10538,514,10488,504xe" filled="true" fillcolor="#ae5200" stroked="false">
              <v:path arrowok="t"/>
              <v:fill type="solid"/>
            </v:shape>
            <v:shape style="position:absolute;left:9373;top:967;width:1205;height:2568" type="#_x0000_t75" stroked="false">
              <v:imagedata r:id="rId102" o:title=""/>
            </v:shape>
            <v:shape style="position:absolute;left:9373;top:967;width:1205;height:2568" coordorigin="9373,967" coordsize="1205,2568" path="m9373,2251l9375,2151,9380,2053,9389,1957,9401,1864,9416,1774,9434,1687,9455,1603,9479,1524,9506,1448,9534,1377,9566,1311,9599,1249,9634,1193,9672,1143,9752,1059,9838,1001,9929,971,9976,967,10023,971,10114,1001,10200,1059,10280,1143,10317,1193,10352,1249,10386,1311,10417,1377,10446,1448,10472,1524,10496,1603,10517,1687,10535,1774,10550,1864,10562,1957,10571,2053,10576,2151,10578,2251,10576,2352,10571,2450,10562,2546,10550,2639,10535,2729,10517,2816,10496,2899,10472,2979,10446,3054,10417,3125,10386,3192,10352,3253,10317,3309,10280,3360,10200,3444,10114,3501,10023,3531,9976,3535,9929,3531,9838,3501,9752,3444,9672,3360,9634,3309,9599,3253,9566,3192,9534,3125,9506,3054,9479,2979,9455,2899,9434,2816,9416,2729,9401,2639,9389,2546,9380,2450,9375,2352,9373,2251xe" filled="false" stroked="true" strokeweight="1.56pt" strokecolor="#ffffff">
              <v:path arrowok="t"/>
            </v:shape>
            <v:shape style="position:absolute;left:10655;top:504;width:1280;height:7714" coordorigin="10655,504" coordsize="1280,7714" path="m11806,504l10783,504,10733,514,10692,542,10665,582,10655,632,10655,8090,10665,8140,10692,8180,10733,8208,10783,8218,11806,8218,11856,8208,11897,8180,11924,8140,11934,8090,11934,632,11924,582,11897,542,11856,514,11806,504xe" filled="true" fillcolor="#b04600" stroked="false">
              <v:path arrowok="t"/>
              <v:fill type="solid"/>
            </v:shape>
            <v:shape style="position:absolute;left:10696;top:951;width:1198;height:2604" type="#_x0000_t75" stroked="false">
              <v:imagedata r:id="rId103" o:title=""/>
            </v:shape>
            <v:shape style="position:absolute;left:10696;top:951;width:1198;height:2604" coordorigin="10696,951" coordsize="1198,2604" path="m10696,2253l10697,2151,10703,2051,10711,1954,10723,1860,10738,1768,10756,1680,10777,1595,10801,1515,10827,1438,10856,1366,10887,1299,10920,1237,10955,1180,10992,1128,11072,1044,11157,985,11248,954,11294,951,11341,954,11432,985,11517,1044,11597,1128,11634,1180,11669,1237,11702,1299,11733,1366,11762,1438,11788,1515,11811,1595,11832,1680,11850,1768,11865,1860,11877,1954,11886,2051,11891,2151,11893,2253,11891,2354,11886,2454,11877,2551,11865,2645,11850,2737,11832,2825,11811,2910,11788,2990,11762,3067,11733,3139,11702,3206,11669,3268,11634,3325,11597,3377,11517,3461,11432,3520,11341,3551,11294,3555,11248,3551,11157,3520,11072,3461,10992,3377,10955,3325,10920,3268,10887,3206,10856,3139,10827,3067,10801,2990,10777,2910,10756,2825,10738,2737,10723,2645,10711,2551,10703,2454,10697,2354,10696,2253xe" filled="false" stroked="true" strokeweight="1.56pt" strokecolor="#ffffff">
              <v:path arrowok="t"/>
            </v:shape>
            <v:shape style="position:absolute;left:11972;top:504;width:1282;height:7714" coordorigin="11972,504" coordsize="1282,7714" path="m13126,504l12101,504,12051,514,12010,542,11982,582,11972,632,11972,8090,11982,8139,12010,8180,12051,8208,12101,8218,13126,8218,13176,8208,13216,8180,13244,8139,13254,8090,13254,632,13244,582,13216,542,13176,514,13126,504xe" filled="true" fillcolor="#b13d00" stroked="false">
              <v:path arrowok="t"/>
              <v:fill type="solid"/>
            </v:shape>
            <v:shape style="position:absolute;left:12011;top:967;width:1205;height:2568" type="#_x0000_t75" stroked="false">
              <v:imagedata r:id="rId104" o:title=""/>
            </v:shape>
            <v:shape style="position:absolute;left:12011;top:967;width:1205;height:2568" coordorigin="12011,967" coordsize="1205,2568" path="m12011,2251l12013,2151,12018,2053,12027,1957,12039,1864,12054,1774,12072,1687,12093,1603,12117,1524,12143,1448,12172,1377,12203,1311,12236,1249,12272,1193,12309,1143,12389,1059,12475,1001,12566,971,12613,967,12660,971,12751,1001,12837,1059,12917,1143,12955,1193,12990,1249,13023,1311,13054,1377,13083,1448,13110,1524,13133,1603,13154,1687,13173,1774,13188,1864,13200,1957,13208,2053,13214,2151,13216,2251,13214,2352,13208,2450,13200,2546,13188,2639,13173,2729,13154,2816,13133,2899,13110,2979,13083,3054,13054,3125,13023,3192,12990,3253,12955,3309,12917,3360,12837,3444,12751,3501,12660,3531,12613,3535,12566,3531,12475,3501,12389,3444,12309,3360,12272,3309,12236,3253,12203,3192,12172,3125,12143,3054,12117,2979,12093,2899,12072,2816,12054,2729,12039,2639,12027,2546,12018,2450,12013,2352,12011,2251xe" filled="false" stroked="true" strokeweight="1.56pt" strokecolor="#ffffff">
              <v:path arrowok="t"/>
            </v:shape>
            <v:shape style="position:absolute;left:13292;top:504;width:1280;height:7714" coordorigin="13292,504" coordsize="1280,7714" path="m14444,504l13420,504,13371,514,13330,542,13302,582,13292,632,13292,8090,13302,8140,13330,8180,13371,8208,13420,8218,14444,8218,14493,8208,14534,8180,14562,8140,14572,8090,14572,632,14562,582,14534,542,14493,514,14444,504xe" filled="true" fillcolor="#b43500" stroked="false">
              <v:path arrowok="t"/>
              <v:fill type="solid"/>
            </v:shape>
            <v:shape style="position:absolute;left:13331;top:967;width:1202;height:2568" type="#_x0000_t75" stroked="false">
              <v:imagedata r:id="rId105" o:title=""/>
            </v:shape>
            <v:shape style="position:absolute;left:13331;top:967;width:1203;height:2568" coordorigin="13331,967" coordsize="1203,2568" path="m13331,2251l13333,2151,13338,2053,13347,1957,13359,1864,13374,1774,13392,1687,13413,1603,13437,1524,13463,1448,13492,1377,13523,1311,13556,1249,13591,1193,13629,1143,13708,1059,13794,1001,13885,971,13932,967,13979,971,14070,1001,14156,1059,14235,1143,14273,1193,14308,1249,14341,1311,14372,1377,14401,1448,14427,1524,14451,1603,14472,1687,14490,1774,14505,1864,14517,1957,14526,2053,14531,2151,14533,2251,14531,2352,14526,2450,14517,2546,14505,2639,14490,2729,14472,2816,14451,2899,14427,2979,14401,3054,14372,3125,14341,3192,14308,3253,14273,3309,14235,3360,14156,3444,14070,3501,13979,3531,13932,3535,13885,3531,13794,3501,13708,3444,13629,3360,13591,3309,13556,3253,13523,3192,13492,3125,13463,3054,13437,2979,13413,2899,13392,2816,13374,2729,13359,2639,13347,2546,13338,2450,13333,2352,13331,2251xe" filled="false" stroked="true" strokeweight="1.56pt" strokecolor="#ffffff">
              <v:path arrowok="t"/>
            </v:shape>
            <v:shape style="position:absolute;left:2252;top:7061;width:12106;height:1157" coordorigin="2252,7061" coordsize="12106,1157" path="m13780,7061l13780,7350,2252,7350,2252,7929,13780,7929,13780,8218,14358,7639,13780,7061xe" filled="true" fillcolor="#e0e0e0" stroked="false">
              <v:path arrowok="t"/>
              <v:fill type="solid"/>
            </v:shape>
            <v:shape style="position:absolute;left:2252;top:7061;width:12106;height:1157" coordorigin="2252,7061" coordsize="12106,1157" path="m2252,7350l13780,7350,13780,7061,14358,7639,13780,8218,13780,7929,2252,7929,2252,7350xe" filled="false" stroked="true" strokeweight="1.56pt" strokecolor="#ffffff">
              <v:path arrowok="t"/>
            </v:shape>
            <w10:wrap type="none"/>
          </v:group>
        </w:pict>
      </w:r>
      <w:bookmarkStart w:name="_bookmark66" w:id="84"/>
      <w:bookmarkEnd w:id="84"/>
      <w:r>
        <w:rPr>
          <w:b w:val="0"/>
        </w:rPr>
      </w:r>
      <w:r>
        <w:rPr/>
        <w:t>ANEXO 5: DETERMINACIÓN DE GRASA EN QUESO FRESCO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after="0"/>
        <w:rPr>
          <w:sz w:val="20"/>
        </w:rPr>
        <w:sectPr>
          <w:headerReference w:type="default" r:id="rId94"/>
          <w:footerReference w:type="default" r:id="rId95"/>
          <w:pgSz w:w="15840" w:h="12240" w:orient="landscape"/>
          <w:pgMar w:header="730" w:footer="711" w:top="960" w:bottom="900" w:left="1280" w:right="1160"/>
          <w:pgNumType w:start="106"/>
        </w:sectPr>
      </w:pPr>
    </w:p>
    <w:p>
      <w:pPr>
        <w:pStyle w:val="BodyText"/>
        <w:rPr>
          <w:b/>
          <w:sz w:val="20"/>
        </w:rPr>
      </w:pPr>
    </w:p>
    <w:p>
      <w:pPr>
        <w:pStyle w:val="BodyText"/>
        <w:rPr>
          <w:b/>
          <w:sz w:val="20"/>
        </w:rPr>
      </w:pPr>
    </w:p>
    <w:p>
      <w:pPr>
        <w:spacing w:line="232" w:lineRule="exact" w:before="163"/>
        <w:ind w:left="344" w:right="-20" w:firstLine="0"/>
        <w:jc w:val="left"/>
        <w:rPr>
          <w:rFonts w:ascii="Calibri" w:hAnsi="Calibri"/>
          <w:sz w:val="20"/>
        </w:rPr>
      </w:pPr>
      <w:r>
        <w:rPr>
          <w:rFonts w:ascii="Calibri" w:hAnsi="Calibri"/>
          <w:color w:val="FFFFFF"/>
          <w:sz w:val="20"/>
        </w:rPr>
        <w:t>Pesar 1 g ±</w:t>
      </w:r>
    </w:p>
    <w:p>
      <w:pPr>
        <w:pStyle w:val="ListParagraph"/>
        <w:numPr>
          <w:ilvl w:val="1"/>
          <w:numId w:val="11"/>
        </w:numPr>
        <w:tabs>
          <w:tab w:pos="863" w:val="left" w:leader="none"/>
        </w:tabs>
        <w:spacing w:line="218" w:lineRule="exact" w:before="4" w:after="0"/>
        <w:ind w:left="512" w:right="13" w:hanging="151"/>
        <w:jc w:val="left"/>
        <w:rPr>
          <w:rFonts w:ascii="Calibri"/>
          <w:sz w:val="20"/>
        </w:rPr>
      </w:pPr>
      <w:r>
        <w:rPr>
          <w:rFonts w:ascii="Calibri"/>
          <w:color w:val="FFFFFF"/>
          <w:sz w:val="20"/>
        </w:rPr>
        <w:t>g de queso.</w:t>
      </w:r>
    </w:p>
    <w:p>
      <w:pPr>
        <w:pStyle w:val="BodyText"/>
        <w:spacing w:before="7"/>
        <w:rPr>
          <w:rFonts w:ascii="Calibri"/>
          <w:sz w:val="25"/>
        </w:rPr>
      </w:pPr>
      <w:r>
        <w:rPr/>
        <w:br w:type="column"/>
      </w:r>
      <w:r>
        <w:rPr>
          <w:rFonts w:ascii="Calibri"/>
          <w:sz w:val="25"/>
        </w:rPr>
      </w:r>
    </w:p>
    <w:p>
      <w:pPr>
        <w:spacing w:line="216" w:lineRule="auto" w:before="0"/>
        <w:ind w:left="341" w:right="0" w:hanging="1"/>
        <w:jc w:val="center"/>
        <w:rPr>
          <w:rFonts w:ascii="Calibri" w:hAnsi="Calibri"/>
          <w:sz w:val="20"/>
        </w:rPr>
      </w:pPr>
      <w:r>
        <w:rPr>
          <w:rFonts w:ascii="Calibri" w:hAnsi="Calibri"/>
          <w:color w:val="FFFFFF"/>
          <w:sz w:val="20"/>
        </w:rPr>
        <w:t>Meter la copa con la muestra de queso dentro del </w:t>
      </w:r>
      <w:r>
        <w:rPr>
          <w:rFonts w:ascii="Calibri" w:hAnsi="Calibri"/>
          <w:color w:val="FFFFFF"/>
          <w:spacing w:val="-1"/>
          <w:sz w:val="20"/>
        </w:rPr>
        <w:t>butirómetro</w:t>
      </w:r>
    </w:p>
    <w:p>
      <w:pPr>
        <w:pStyle w:val="BodyText"/>
        <w:rPr>
          <w:rFonts w:ascii="Calibri"/>
          <w:sz w:val="20"/>
        </w:rPr>
      </w:pPr>
      <w:r>
        <w:rPr/>
        <w:br w:type="column"/>
      </w:r>
      <w:r>
        <w:rPr>
          <w:rFonts w:ascii="Calibri"/>
          <w:sz w:val="20"/>
        </w:rPr>
      </w:r>
    </w:p>
    <w:p>
      <w:pPr>
        <w:pStyle w:val="BodyText"/>
        <w:rPr>
          <w:rFonts w:ascii="Calibri"/>
          <w:sz w:val="20"/>
        </w:rPr>
      </w:pPr>
    </w:p>
    <w:p>
      <w:pPr>
        <w:spacing w:line="216" w:lineRule="auto" w:before="154"/>
        <w:ind w:left="291" w:right="0" w:firstLine="3"/>
        <w:jc w:val="center"/>
        <w:rPr>
          <w:rFonts w:ascii="Calibri" w:hAnsi="Calibri"/>
          <w:sz w:val="20"/>
        </w:rPr>
      </w:pPr>
      <w:r>
        <w:rPr>
          <w:rFonts w:ascii="Calibri" w:hAnsi="Calibri"/>
          <w:color w:val="FFFFFF"/>
          <w:sz w:val="20"/>
        </w:rPr>
        <w:t>Agregar 10 cm</w:t>
      </w:r>
      <w:r>
        <w:rPr>
          <w:rFonts w:ascii="Calibri" w:hAnsi="Calibri"/>
          <w:color w:val="FFFFFF"/>
          <w:spacing w:val="-1"/>
          <w:sz w:val="20"/>
        </w:rPr>
        <w:t> </w:t>
      </w:r>
      <w:r>
        <w:rPr>
          <w:rFonts w:ascii="Calibri" w:hAnsi="Calibri"/>
          <w:color w:val="FFFFFF"/>
          <w:sz w:val="20"/>
        </w:rPr>
        <w:t>de</w:t>
      </w:r>
      <w:r>
        <w:rPr>
          <w:rFonts w:ascii="Calibri" w:hAnsi="Calibri"/>
          <w:color w:val="FFFFFF"/>
          <w:spacing w:val="-3"/>
          <w:sz w:val="20"/>
        </w:rPr>
        <w:t> </w:t>
      </w:r>
      <w:r>
        <w:rPr>
          <w:rFonts w:ascii="Calibri" w:hAnsi="Calibri"/>
          <w:color w:val="FFFFFF"/>
          <w:sz w:val="20"/>
        </w:rPr>
        <w:t>ácido</w:t>
      </w:r>
      <w:r>
        <w:rPr>
          <w:rFonts w:ascii="Calibri" w:hAnsi="Calibri"/>
          <w:color w:val="FFFFFF"/>
          <w:w w:val="99"/>
          <w:sz w:val="20"/>
        </w:rPr>
        <w:t> </w:t>
      </w:r>
      <w:r>
        <w:rPr>
          <w:rFonts w:ascii="Calibri" w:hAnsi="Calibri"/>
          <w:color w:val="FFFFFF"/>
          <w:sz w:val="20"/>
        </w:rPr>
        <w:t>sulfúrico</w:t>
      </w:r>
    </w:p>
    <w:p>
      <w:pPr>
        <w:pStyle w:val="BodyText"/>
        <w:rPr>
          <w:rFonts w:ascii="Calibri"/>
          <w:sz w:val="20"/>
        </w:rPr>
      </w:pPr>
      <w:r>
        <w:rPr/>
        <w:br w:type="column"/>
      </w:r>
      <w:r>
        <w:rPr>
          <w:rFonts w:ascii="Calibri"/>
          <w:sz w:val="20"/>
        </w:rPr>
      </w:r>
    </w:p>
    <w:p>
      <w:pPr>
        <w:spacing w:line="216" w:lineRule="auto" w:before="178"/>
        <w:ind w:left="277" w:right="0" w:hanging="2"/>
        <w:jc w:val="center"/>
        <w:rPr>
          <w:rFonts w:ascii="Calibri" w:hAnsi="Calibri"/>
          <w:sz w:val="20"/>
        </w:rPr>
      </w:pPr>
      <w:r>
        <w:rPr>
          <w:rFonts w:ascii="Calibri" w:hAnsi="Calibri"/>
          <w:color w:val="FFFFFF"/>
          <w:sz w:val="20"/>
        </w:rPr>
        <w:t>Colocarlo en baño de agua a</w:t>
      </w:r>
      <w:r>
        <w:rPr>
          <w:rFonts w:ascii="Calibri" w:hAnsi="Calibri"/>
          <w:color w:val="FFFFFF"/>
          <w:spacing w:val="-4"/>
          <w:sz w:val="20"/>
        </w:rPr>
        <w:t> </w:t>
      </w:r>
      <w:r>
        <w:rPr>
          <w:rFonts w:ascii="Calibri" w:hAnsi="Calibri"/>
          <w:color w:val="FFFFFF"/>
          <w:sz w:val="20"/>
        </w:rPr>
        <w:t>338 K</w:t>
      </w:r>
      <w:r>
        <w:rPr>
          <w:rFonts w:ascii="Calibri" w:hAnsi="Calibri"/>
          <w:color w:val="FFFFFF"/>
          <w:w w:val="99"/>
          <w:sz w:val="20"/>
        </w:rPr>
        <w:t> </w:t>
      </w:r>
      <w:r>
        <w:rPr>
          <w:rFonts w:ascii="Calibri" w:hAnsi="Calibri"/>
          <w:color w:val="FFFFFF"/>
          <w:sz w:val="20"/>
        </w:rPr>
        <w:t>(65ºC) por 30</w:t>
      </w:r>
      <w:r>
        <w:rPr>
          <w:rFonts w:ascii="Calibri" w:hAnsi="Calibri"/>
          <w:color w:val="FFFFFF"/>
          <w:spacing w:val="-6"/>
          <w:sz w:val="20"/>
        </w:rPr>
        <w:t> </w:t>
      </w:r>
      <w:r>
        <w:rPr>
          <w:rFonts w:ascii="Calibri" w:hAnsi="Calibri"/>
          <w:color w:val="FFFFFF"/>
          <w:sz w:val="20"/>
        </w:rPr>
        <w:t>minutos</w:t>
      </w:r>
    </w:p>
    <w:p>
      <w:pPr>
        <w:pStyle w:val="BodyText"/>
        <w:rPr>
          <w:rFonts w:ascii="Calibri"/>
          <w:sz w:val="20"/>
        </w:rPr>
      </w:pPr>
      <w:r>
        <w:rPr/>
        <w:br w:type="column"/>
      </w:r>
      <w:r>
        <w:rPr>
          <w:rFonts w:ascii="Calibri"/>
          <w:sz w:val="20"/>
        </w:rPr>
      </w:r>
    </w:p>
    <w:p>
      <w:pPr>
        <w:pStyle w:val="BodyText"/>
        <w:spacing w:before="7"/>
        <w:rPr>
          <w:rFonts w:ascii="Calibri"/>
          <w:sz w:val="23"/>
        </w:rPr>
      </w:pPr>
    </w:p>
    <w:p>
      <w:pPr>
        <w:spacing w:line="216" w:lineRule="auto" w:before="0"/>
        <w:ind w:left="335" w:right="0" w:hanging="3"/>
        <w:jc w:val="center"/>
        <w:rPr>
          <w:rFonts w:ascii="Calibri" w:hAnsi="Calibri"/>
          <w:sz w:val="20"/>
        </w:rPr>
      </w:pPr>
      <w:r>
        <w:rPr>
          <w:rFonts w:ascii="Calibri" w:hAnsi="Calibri"/>
          <w:color w:val="FFFFFF"/>
          <w:sz w:val="20"/>
        </w:rPr>
        <w:t>Agregar 1 cm</w:t>
      </w:r>
      <w:r>
        <w:rPr>
          <w:rFonts w:ascii="Calibri" w:hAnsi="Calibri"/>
          <w:color w:val="FFFFFF"/>
          <w:position w:val="6"/>
          <w:sz w:val="13"/>
        </w:rPr>
        <w:t>3 </w:t>
      </w:r>
      <w:r>
        <w:rPr>
          <w:rFonts w:ascii="Calibri" w:hAnsi="Calibri"/>
          <w:color w:val="FFFFFF"/>
          <w:sz w:val="20"/>
        </w:rPr>
        <w:t>de alcohol </w:t>
      </w:r>
      <w:r>
        <w:rPr>
          <w:rFonts w:ascii="Calibri" w:hAnsi="Calibri"/>
          <w:color w:val="FFFFFF"/>
          <w:spacing w:val="-1"/>
          <w:sz w:val="20"/>
        </w:rPr>
        <w:t>isoamílico.</w:t>
      </w:r>
    </w:p>
    <w:p>
      <w:pPr>
        <w:pStyle w:val="BodyText"/>
        <w:rPr>
          <w:rFonts w:ascii="Calibri"/>
          <w:sz w:val="20"/>
        </w:rPr>
      </w:pPr>
      <w:r>
        <w:rPr/>
        <w:br w:type="column"/>
      </w:r>
      <w:r>
        <w:rPr>
          <w:rFonts w:ascii="Calibri"/>
          <w:sz w:val="20"/>
        </w:rPr>
      </w:r>
    </w:p>
    <w:p>
      <w:pPr>
        <w:pStyle w:val="BodyText"/>
        <w:spacing w:before="7"/>
        <w:rPr>
          <w:rFonts w:ascii="Calibri"/>
          <w:sz w:val="23"/>
        </w:rPr>
      </w:pPr>
    </w:p>
    <w:p>
      <w:pPr>
        <w:spacing w:line="216" w:lineRule="auto" w:before="0"/>
        <w:ind w:left="332" w:right="2" w:firstLine="0"/>
        <w:jc w:val="center"/>
        <w:rPr>
          <w:rFonts w:ascii="Calibri" w:hAnsi="Calibri"/>
          <w:sz w:val="20"/>
        </w:rPr>
      </w:pPr>
      <w:r>
        <w:rPr>
          <w:rFonts w:ascii="Calibri" w:hAnsi="Calibri"/>
          <w:color w:val="FFFFFF"/>
          <w:sz w:val="20"/>
        </w:rPr>
        <w:t>Terminar de llenar con ácido sulfúrico.</w:t>
      </w:r>
    </w:p>
    <w:p>
      <w:pPr>
        <w:pStyle w:val="BodyText"/>
        <w:rPr>
          <w:rFonts w:ascii="Calibri"/>
          <w:sz w:val="20"/>
        </w:rPr>
      </w:pPr>
      <w:r>
        <w:rPr/>
        <w:br w:type="column"/>
      </w:r>
      <w:r>
        <w:rPr>
          <w:rFonts w:ascii="Calibri"/>
          <w:sz w:val="20"/>
        </w:rPr>
      </w:r>
    </w:p>
    <w:p>
      <w:pPr>
        <w:spacing w:line="216" w:lineRule="auto" w:before="178"/>
        <w:ind w:left="328" w:right="0" w:hanging="1"/>
        <w:jc w:val="center"/>
        <w:rPr>
          <w:rFonts w:ascii="Calibri" w:hAnsi="Calibri"/>
          <w:sz w:val="20"/>
        </w:rPr>
      </w:pPr>
      <w:r>
        <w:rPr>
          <w:rFonts w:ascii="Calibri" w:hAnsi="Calibri"/>
          <w:color w:val="FFFFFF"/>
          <w:sz w:val="20"/>
        </w:rPr>
        <w:t>Volver a meterlo al baño de agua</w:t>
      </w:r>
      <w:r>
        <w:rPr>
          <w:rFonts w:ascii="Calibri" w:hAnsi="Calibri"/>
          <w:color w:val="FFFFFF"/>
          <w:spacing w:val="-2"/>
          <w:sz w:val="20"/>
        </w:rPr>
        <w:t> </w:t>
      </w:r>
      <w:r>
        <w:rPr>
          <w:rFonts w:ascii="Calibri" w:hAnsi="Calibri"/>
          <w:color w:val="FFFFFF"/>
          <w:sz w:val="20"/>
        </w:rPr>
        <w:t>por</w:t>
      </w:r>
      <w:r>
        <w:rPr>
          <w:rFonts w:ascii="Calibri" w:hAnsi="Calibri"/>
          <w:color w:val="FFFFFF"/>
          <w:spacing w:val="-3"/>
          <w:sz w:val="20"/>
        </w:rPr>
        <w:t> </w:t>
      </w:r>
      <w:r>
        <w:rPr>
          <w:rFonts w:ascii="Calibri" w:hAnsi="Calibri"/>
          <w:color w:val="FFFFFF"/>
          <w:sz w:val="20"/>
        </w:rPr>
        <w:t>5</w:t>
      </w:r>
      <w:r>
        <w:rPr>
          <w:rFonts w:ascii="Calibri" w:hAnsi="Calibri"/>
          <w:color w:val="FFFFFF"/>
          <w:w w:val="99"/>
          <w:sz w:val="20"/>
        </w:rPr>
        <w:t> </w:t>
      </w:r>
      <w:r>
        <w:rPr>
          <w:rFonts w:ascii="Calibri" w:hAnsi="Calibri"/>
          <w:color w:val="FFFFFF"/>
          <w:sz w:val="20"/>
        </w:rPr>
        <w:t>minutos.</w:t>
      </w:r>
    </w:p>
    <w:p>
      <w:pPr>
        <w:pStyle w:val="BodyText"/>
        <w:rPr>
          <w:rFonts w:ascii="Calibri"/>
          <w:sz w:val="20"/>
        </w:rPr>
      </w:pPr>
      <w:r>
        <w:rPr/>
        <w:br w:type="column"/>
      </w:r>
      <w:r>
        <w:rPr>
          <w:rFonts w:ascii="Calibri"/>
          <w:sz w:val="20"/>
        </w:rPr>
      </w:r>
    </w:p>
    <w:p>
      <w:pPr>
        <w:spacing w:line="216" w:lineRule="auto" w:before="178"/>
        <w:ind w:left="328" w:right="0" w:firstLine="1"/>
        <w:jc w:val="center"/>
        <w:rPr>
          <w:rFonts w:ascii="Calibri"/>
          <w:sz w:val="20"/>
        </w:rPr>
      </w:pPr>
      <w:r>
        <w:rPr>
          <w:rFonts w:ascii="Calibri"/>
          <w:color w:val="FFFFFF"/>
          <w:sz w:val="20"/>
        </w:rPr>
        <w:t>Mezclar y centrifugar a</w:t>
      </w:r>
      <w:r>
        <w:rPr>
          <w:rFonts w:ascii="Calibri"/>
          <w:color w:val="FFFFFF"/>
          <w:w w:val="99"/>
          <w:sz w:val="20"/>
        </w:rPr>
        <w:t> </w:t>
      </w:r>
      <w:r>
        <w:rPr>
          <w:rFonts w:ascii="Calibri"/>
          <w:color w:val="FFFFFF"/>
          <w:sz w:val="20"/>
        </w:rPr>
        <w:t>1,200 r.p.m.,</w:t>
      </w:r>
    </w:p>
    <w:p>
      <w:pPr>
        <w:spacing w:line="213" w:lineRule="auto" w:before="3"/>
        <w:ind w:left="451" w:right="120" w:firstLine="0"/>
        <w:jc w:val="center"/>
        <w:rPr>
          <w:rFonts w:ascii="Calibri"/>
          <w:sz w:val="20"/>
        </w:rPr>
      </w:pPr>
      <w:r>
        <w:rPr>
          <w:rFonts w:ascii="Calibri"/>
          <w:color w:val="FFFFFF"/>
          <w:sz w:val="20"/>
        </w:rPr>
        <w:t>durante 5 minutos.</w:t>
      </w:r>
    </w:p>
    <w:p>
      <w:pPr>
        <w:pStyle w:val="BodyText"/>
        <w:spacing w:before="7"/>
        <w:rPr>
          <w:rFonts w:ascii="Calibri"/>
          <w:sz w:val="16"/>
        </w:rPr>
      </w:pPr>
      <w:r>
        <w:rPr/>
        <w:br w:type="column"/>
      </w:r>
      <w:r>
        <w:rPr>
          <w:rFonts w:ascii="Calibri"/>
          <w:sz w:val="16"/>
        </w:rPr>
      </w:r>
    </w:p>
    <w:p>
      <w:pPr>
        <w:spacing w:line="216" w:lineRule="auto" w:before="0"/>
        <w:ind w:left="262" w:right="0" w:hanging="3"/>
        <w:jc w:val="center"/>
        <w:rPr>
          <w:rFonts w:ascii="Calibri" w:hAnsi="Calibri"/>
          <w:sz w:val="20"/>
        </w:rPr>
      </w:pPr>
      <w:r>
        <w:rPr>
          <w:rFonts w:ascii="Calibri" w:hAnsi="Calibri"/>
          <w:color w:val="FFFFFF"/>
          <w:sz w:val="20"/>
        </w:rPr>
        <w:t>Volver a meter el </w:t>
      </w:r>
      <w:r>
        <w:rPr>
          <w:rFonts w:ascii="Calibri" w:hAnsi="Calibri"/>
          <w:color w:val="FFFFFF"/>
          <w:w w:val="95"/>
          <w:sz w:val="20"/>
        </w:rPr>
        <w:t>butirómetro </w:t>
      </w:r>
      <w:r>
        <w:rPr>
          <w:rFonts w:ascii="Calibri" w:hAnsi="Calibri"/>
          <w:color w:val="FFFFFF"/>
          <w:sz w:val="20"/>
        </w:rPr>
        <w:t>al baño de agua y dejarlo ahí 10 minutos</w:t>
      </w:r>
    </w:p>
    <w:p>
      <w:pPr>
        <w:pStyle w:val="BodyText"/>
        <w:rPr>
          <w:rFonts w:ascii="Calibri"/>
          <w:sz w:val="20"/>
        </w:rPr>
      </w:pPr>
      <w:r>
        <w:rPr/>
        <w:br w:type="column"/>
      </w:r>
      <w:r>
        <w:rPr>
          <w:rFonts w:ascii="Calibri"/>
          <w:sz w:val="20"/>
        </w:rPr>
      </w:r>
    </w:p>
    <w:p>
      <w:pPr>
        <w:pStyle w:val="BodyText"/>
        <w:rPr>
          <w:rFonts w:ascii="Calibri"/>
          <w:sz w:val="20"/>
        </w:rPr>
      </w:pPr>
    </w:p>
    <w:p>
      <w:pPr>
        <w:pStyle w:val="BodyText"/>
        <w:spacing w:before="3"/>
        <w:rPr>
          <w:rFonts w:ascii="Calibri"/>
          <w:sz w:val="21"/>
        </w:rPr>
      </w:pPr>
    </w:p>
    <w:p>
      <w:pPr>
        <w:spacing w:line="220" w:lineRule="exact" w:before="0"/>
        <w:ind w:left="387" w:right="0" w:hanging="44"/>
        <w:jc w:val="left"/>
        <w:rPr>
          <w:rFonts w:ascii="Calibri"/>
          <w:sz w:val="20"/>
        </w:rPr>
      </w:pPr>
      <w:r>
        <w:rPr>
          <w:rFonts w:ascii="Calibri"/>
          <w:color w:val="FFFFFF"/>
          <w:sz w:val="20"/>
        </w:rPr>
        <w:t>Hacer la lectura.</w:t>
      </w:r>
    </w:p>
    <w:p>
      <w:pPr>
        <w:spacing w:after="0" w:line="220" w:lineRule="exact"/>
        <w:jc w:val="left"/>
        <w:rPr>
          <w:rFonts w:ascii="Calibri"/>
          <w:sz w:val="20"/>
        </w:rPr>
        <w:sectPr>
          <w:type w:val="continuous"/>
          <w:pgSz w:w="15840" w:h="12240" w:orient="landscape"/>
          <w:pgMar w:top="1300" w:bottom="280" w:left="1280" w:right="1160"/>
          <w:cols w:num="10" w:equalWidth="0">
            <w:col w:w="1222" w:space="40"/>
            <w:col w:w="1339" w:space="40"/>
            <w:col w:w="1267" w:space="40"/>
            <w:col w:w="1307" w:space="40"/>
            <w:col w:w="1195" w:space="40"/>
            <w:col w:w="1368" w:space="40"/>
            <w:col w:w="1190" w:space="40"/>
            <w:col w:w="1367" w:space="40"/>
            <w:col w:w="1261" w:space="122"/>
            <w:col w:w="1442"/>
          </w:cols>
        </w:sectPr>
      </w:pPr>
    </w:p>
    <w:p>
      <w:pPr>
        <w:pStyle w:val="BodyText"/>
        <w:rPr>
          <w:rFonts w:ascii="Calibri"/>
          <w:sz w:val="20"/>
        </w:rPr>
      </w:pPr>
    </w:p>
    <w:p>
      <w:pPr>
        <w:pStyle w:val="BodyText"/>
        <w:rPr>
          <w:rFonts w:ascii="Calibri"/>
          <w:sz w:val="20"/>
        </w:rPr>
      </w:pPr>
    </w:p>
    <w:p>
      <w:pPr>
        <w:pStyle w:val="BodyText"/>
        <w:spacing w:before="10"/>
        <w:rPr>
          <w:rFonts w:ascii="Calibri"/>
          <w:sz w:val="19"/>
        </w:rPr>
      </w:pPr>
    </w:p>
    <w:p>
      <w:pPr>
        <w:pStyle w:val="Heading2"/>
        <w:spacing w:before="0" w:after="38"/>
        <w:ind w:left="138"/>
      </w:pPr>
      <w:bookmarkStart w:name="_bookmark67" w:id="85"/>
      <w:bookmarkEnd w:id="85"/>
      <w:r>
        <w:rPr>
          <w:b w:val="0"/>
        </w:rPr>
      </w:r>
      <w:r>
        <w:rPr/>
        <w:t>ANEXO 6: DETERMINACIÓN DE PROTEINA EN QUESO FRESCO</w:t>
      </w:r>
    </w:p>
    <w:tbl>
      <w:tblPr>
        <w:tblW w:w="0" w:type="auto"/>
        <w:jc w:val="left"/>
        <w:tblInd w:w="138"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ayout w:type="fixed"/>
        <w:tblCellMar>
          <w:top w:w="0" w:type="dxa"/>
          <w:left w:w="0" w:type="dxa"/>
          <w:bottom w:w="0" w:type="dxa"/>
          <w:right w:w="0" w:type="dxa"/>
        </w:tblCellMar>
        <w:tblLook w:val="01E0"/>
      </w:tblPr>
      <w:tblGrid>
        <w:gridCol w:w="1947"/>
        <w:gridCol w:w="1549"/>
        <w:gridCol w:w="2225"/>
        <w:gridCol w:w="2004"/>
        <w:gridCol w:w="1670"/>
        <w:gridCol w:w="1717"/>
        <w:gridCol w:w="1884"/>
      </w:tblGrid>
      <w:tr>
        <w:trPr>
          <w:trHeight w:val="470" w:hRule="exact"/>
        </w:trPr>
        <w:tc>
          <w:tcPr>
            <w:tcW w:w="12996" w:type="dxa"/>
            <w:gridSpan w:val="7"/>
            <w:tcBorders>
              <w:top w:val="nil"/>
              <w:left w:val="nil"/>
              <w:bottom w:val="nil"/>
              <w:right w:val="nil"/>
            </w:tcBorders>
            <w:shd w:val="clear" w:color="auto" w:fill="6FAC46"/>
          </w:tcPr>
          <w:p>
            <w:pPr>
              <w:pStyle w:val="TableParagraph"/>
              <w:spacing w:line="225" w:lineRule="exact"/>
              <w:ind w:left="3874"/>
              <w:jc w:val="left"/>
              <w:rPr>
                <w:b/>
                <w:sz w:val="20"/>
              </w:rPr>
            </w:pPr>
            <w:r>
              <w:rPr>
                <w:b/>
                <w:color w:val="FFFFFF"/>
                <w:sz w:val="20"/>
              </w:rPr>
              <w:t>DETERMINACIÓN DE PROTEINAS EN QUESO FRESCO</w:t>
            </w:r>
          </w:p>
        </w:tc>
      </w:tr>
      <w:tr>
        <w:trPr>
          <w:trHeight w:val="3236" w:hRule="exact"/>
        </w:trPr>
        <w:tc>
          <w:tcPr>
            <w:tcW w:w="1947" w:type="dxa"/>
            <w:tcBorders>
              <w:top w:val="single" w:sz="4" w:space="0" w:color="FFFFFF"/>
            </w:tcBorders>
            <w:shd w:val="clear" w:color="auto" w:fill="E1EED9"/>
          </w:tcPr>
          <w:p>
            <w:pPr>
              <w:pStyle w:val="TableParagraph"/>
              <w:spacing w:before="7" w:after="1"/>
              <w:ind w:left="0"/>
              <w:jc w:val="left"/>
              <w:rPr>
                <w:b/>
                <w:sz w:val="12"/>
              </w:rPr>
            </w:pPr>
          </w:p>
          <w:p>
            <w:pPr>
              <w:pStyle w:val="TableParagraph"/>
              <w:ind w:left="93"/>
              <w:jc w:val="left"/>
              <w:rPr>
                <w:sz w:val="20"/>
              </w:rPr>
            </w:pPr>
            <w:r>
              <w:rPr>
                <w:sz w:val="20"/>
              </w:rPr>
              <w:pict>
                <v:group style="width:79.6pt;height:130.7pt;mso-position-horizontal-relative:char;mso-position-vertical-relative:line" coordorigin="0,0" coordsize="1592,2614">
                  <v:shape style="position:absolute;left:0;top:0;width:1591;height:2527" type="#_x0000_t75" stroked="false">
                    <v:imagedata r:id="rId106" o:title=""/>
                  </v:shape>
                  <v:shape style="position:absolute;left:0;top:84;width:1591;height:2530" type="#_x0000_t75" stroked="false">
                    <v:imagedata r:id="rId106" o:title=""/>
                  </v:shape>
                </v:group>
              </w:pict>
            </w:r>
            <w:r>
              <w:rPr>
                <w:sz w:val="20"/>
              </w:rPr>
            </w:r>
          </w:p>
          <w:p>
            <w:pPr>
              <w:pStyle w:val="TableParagraph"/>
              <w:ind w:left="0"/>
              <w:jc w:val="left"/>
              <w:rPr>
                <w:b/>
                <w:sz w:val="20"/>
              </w:rPr>
            </w:pPr>
          </w:p>
          <w:p>
            <w:pPr>
              <w:pStyle w:val="TableParagraph"/>
              <w:spacing w:before="7"/>
              <w:ind w:left="0"/>
              <w:jc w:val="left"/>
              <w:rPr>
                <w:b/>
                <w:sz w:val="19"/>
              </w:rPr>
            </w:pPr>
          </w:p>
        </w:tc>
        <w:tc>
          <w:tcPr>
            <w:tcW w:w="1549" w:type="dxa"/>
            <w:tcBorders>
              <w:top w:val="single" w:sz="4" w:space="0" w:color="FFFFFF"/>
            </w:tcBorders>
            <w:shd w:val="clear" w:color="auto" w:fill="E1EED9"/>
          </w:tcPr>
          <w:p>
            <w:pPr>
              <w:pStyle w:val="TableParagraph"/>
              <w:ind w:left="162"/>
              <w:jc w:val="left"/>
              <w:rPr>
                <w:sz w:val="20"/>
              </w:rPr>
            </w:pPr>
            <w:r>
              <w:rPr>
                <w:sz w:val="20"/>
              </w:rPr>
              <w:drawing>
                <wp:inline distT="0" distB="0" distL="0" distR="0">
                  <wp:extent cx="774279" cy="1757076"/>
                  <wp:effectExtent l="0" t="0" r="0" b="0"/>
                  <wp:docPr id="61" name="image67.jpeg" descr=""/>
                  <wp:cNvGraphicFramePr>
                    <a:graphicFrameLocks noChangeAspect="1"/>
                  </wp:cNvGraphicFramePr>
                  <a:graphic>
                    <a:graphicData uri="http://schemas.openxmlformats.org/drawingml/2006/picture">
                      <pic:pic>
                        <pic:nvPicPr>
                          <pic:cNvPr id="62" name="image67.jpeg"/>
                          <pic:cNvPicPr/>
                        </pic:nvPicPr>
                        <pic:blipFill>
                          <a:blip r:embed="rId107" cstate="print"/>
                          <a:stretch>
                            <a:fillRect/>
                          </a:stretch>
                        </pic:blipFill>
                        <pic:spPr>
                          <a:xfrm>
                            <a:off x="0" y="0"/>
                            <a:ext cx="774279" cy="1757076"/>
                          </a:xfrm>
                          <a:prstGeom prst="rect">
                            <a:avLst/>
                          </a:prstGeom>
                        </pic:spPr>
                      </pic:pic>
                    </a:graphicData>
                  </a:graphic>
                </wp:inline>
              </w:drawing>
            </w:r>
            <w:r>
              <w:rPr>
                <w:sz w:val="20"/>
              </w:rPr>
            </w:r>
          </w:p>
          <w:p>
            <w:pPr>
              <w:pStyle w:val="TableParagraph"/>
              <w:ind w:left="0"/>
              <w:jc w:val="left"/>
              <w:rPr>
                <w:b/>
                <w:sz w:val="20"/>
              </w:rPr>
            </w:pPr>
          </w:p>
          <w:p>
            <w:pPr>
              <w:pStyle w:val="TableParagraph"/>
              <w:spacing w:before="9"/>
              <w:ind w:left="0"/>
              <w:jc w:val="left"/>
              <w:rPr>
                <w:b/>
                <w:sz w:val="19"/>
              </w:rPr>
            </w:pPr>
          </w:p>
        </w:tc>
        <w:tc>
          <w:tcPr>
            <w:tcW w:w="2225" w:type="dxa"/>
            <w:tcBorders>
              <w:top w:val="single" w:sz="4" w:space="0" w:color="FFFFFF"/>
            </w:tcBorders>
            <w:shd w:val="clear" w:color="auto" w:fill="E1EED9"/>
          </w:tcPr>
          <w:p>
            <w:pPr>
              <w:pStyle w:val="TableParagraph"/>
              <w:spacing w:before="6" w:after="1"/>
              <w:ind w:left="0"/>
              <w:jc w:val="left"/>
              <w:rPr>
                <w:b/>
                <w:sz w:val="10"/>
              </w:rPr>
            </w:pPr>
          </w:p>
          <w:p>
            <w:pPr>
              <w:pStyle w:val="TableParagraph"/>
              <w:ind w:left="104"/>
              <w:jc w:val="left"/>
              <w:rPr>
                <w:sz w:val="20"/>
              </w:rPr>
            </w:pPr>
            <w:r>
              <w:rPr>
                <w:sz w:val="20"/>
              </w:rPr>
              <w:drawing>
                <wp:inline distT="0" distB="0" distL="0" distR="0">
                  <wp:extent cx="1189835" cy="1320164"/>
                  <wp:effectExtent l="0" t="0" r="0" b="0"/>
                  <wp:docPr id="63" name="image68.jpeg" descr=""/>
                  <wp:cNvGraphicFramePr>
                    <a:graphicFrameLocks noChangeAspect="1"/>
                  </wp:cNvGraphicFramePr>
                  <a:graphic>
                    <a:graphicData uri="http://schemas.openxmlformats.org/drawingml/2006/picture">
                      <pic:pic>
                        <pic:nvPicPr>
                          <pic:cNvPr id="64" name="image68.jpeg"/>
                          <pic:cNvPicPr/>
                        </pic:nvPicPr>
                        <pic:blipFill>
                          <a:blip r:embed="rId108" cstate="print"/>
                          <a:stretch>
                            <a:fillRect/>
                          </a:stretch>
                        </pic:blipFill>
                        <pic:spPr>
                          <a:xfrm>
                            <a:off x="0" y="0"/>
                            <a:ext cx="1189835" cy="1320164"/>
                          </a:xfrm>
                          <a:prstGeom prst="rect">
                            <a:avLst/>
                          </a:prstGeom>
                        </pic:spPr>
                      </pic:pic>
                    </a:graphicData>
                  </a:graphic>
                </wp:inline>
              </w:drawing>
            </w:r>
            <w:r>
              <w:rPr>
                <w:sz w:val="20"/>
              </w:rPr>
            </w:r>
          </w:p>
          <w:p>
            <w:pPr>
              <w:pStyle w:val="TableParagraph"/>
              <w:ind w:left="0"/>
              <w:jc w:val="left"/>
              <w:rPr>
                <w:b/>
                <w:sz w:val="20"/>
              </w:rPr>
            </w:pPr>
          </w:p>
          <w:p>
            <w:pPr>
              <w:pStyle w:val="TableParagraph"/>
              <w:ind w:left="0"/>
              <w:jc w:val="left"/>
              <w:rPr>
                <w:b/>
                <w:sz w:val="20"/>
              </w:rPr>
            </w:pPr>
          </w:p>
          <w:p>
            <w:pPr>
              <w:pStyle w:val="TableParagraph"/>
              <w:ind w:left="0"/>
              <w:jc w:val="left"/>
              <w:rPr>
                <w:b/>
                <w:sz w:val="20"/>
              </w:rPr>
            </w:pPr>
          </w:p>
          <w:p>
            <w:pPr>
              <w:pStyle w:val="TableParagraph"/>
              <w:spacing w:before="1"/>
              <w:ind w:left="0"/>
              <w:jc w:val="left"/>
              <w:rPr>
                <w:b/>
                <w:sz w:val="29"/>
              </w:rPr>
            </w:pPr>
          </w:p>
        </w:tc>
        <w:tc>
          <w:tcPr>
            <w:tcW w:w="2004" w:type="dxa"/>
            <w:tcBorders>
              <w:top w:val="single" w:sz="4" w:space="0" w:color="FFFFFF"/>
            </w:tcBorders>
            <w:shd w:val="clear" w:color="auto" w:fill="E1EED9"/>
          </w:tcPr>
          <w:p>
            <w:pPr>
              <w:pStyle w:val="TableParagraph"/>
              <w:spacing w:before="2"/>
              <w:ind w:left="0"/>
              <w:jc w:val="left"/>
              <w:rPr>
                <w:b/>
                <w:sz w:val="10"/>
              </w:rPr>
            </w:pPr>
          </w:p>
          <w:p>
            <w:pPr>
              <w:pStyle w:val="TableParagraph"/>
              <w:ind w:left="131"/>
              <w:jc w:val="left"/>
              <w:rPr>
                <w:sz w:val="20"/>
              </w:rPr>
            </w:pPr>
            <w:r>
              <w:rPr>
                <w:sz w:val="20"/>
              </w:rPr>
              <w:drawing>
                <wp:inline distT="0" distB="0" distL="0" distR="0">
                  <wp:extent cx="1051984" cy="1345311"/>
                  <wp:effectExtent l="0" t="0" r="0" b="0"/>
                  <wp:docPr id="65" name="image69.jpeg" descr=""/>
                  <wp:cNvGraphicFramePr>
                    <a:graphicFrameLocks noChangeAspect="1"/>
                  </wp:cNvGraphicFramePr>
                  <a:graphic>
                    <a:graphicData uri="http://schemas.openxmlformats.org/drawingml/2006/picture">
                      <pic:pic>
                        <pic:nvPicPr>
                          <pic:cNvPr id="66" name="image69.jpeg"/>
                          <pic:cNvPicPr/>
                        </pic:nvPicPr>
                        <pic:blipFill>
                          <a:blip r:embed="rId109" cstate="print"/>
                          <a:stretch>
                            <a:fillRect/>
                          </a:stretch>
                        </pic:blipFill>
                        <pic:spPr>
                          <a:xfrm>
                            <a:off x="0" y="0"/>
                            <a:ext cx="1051984" cy="1345311"/>
                          </a:xfrm>
                          <a:prstGeom prst="rect">
                            <a:avLst/>
                          </a:prstGeom>
                        </pic:spPr>
                      </pic:pic>
                    </a:graphicData>
                  </a:graphic>
                </wp:inline>
              </w:drawing>
            </w:r>
            <w:r>
              <w:rPr>
                <w:sz w:val="20"/>
              </w:rPr>
            </w:r>
          </w:p>
          <w:p>
            <w:pPr>
              <w:pStyle w:val="TableParagraph"/>
              <w:ind w:left="0"/>
              <w:jc w:val="left"/>
              <w:rPr>
                <w:b/>
                <w:sz w:val="20"/>
              </w:rPr>
            </w:pPr>
          </w:p>
          <w:p>
            <w:pPr>
              <w:pStyle w:val="TableParagraph"/>
              <w:ind w:left="0"/>
              <w:jc w:val="left"/>
              <w:rPr>
                <w:b/>
                <w:sz w:val="20"/>
              </w:rPr>
            </w:pPr>
          </w:p>
          <w:p>
            <w:pPr>
              <w:pStyle w:val="TableParagraph"/>
              <w:ind w:left="0"/>
              <w:jc w:val="left"/>
              <w:rPr>
                <w:b/>
                <w:sz w:val="20"/>
              </w:rPr>
            </w:pPr>
          </w:p>
          <w:p>
            <w:pPr>
              <w:pStyle w:val="TableParagraph"/>
              <w:spacing w:before="1"/>
              <w:ind w:left="0"/>
              <w:jc w:val="left"/>
              <w:rPr>
                <w:b/>
                <w:sz w:val="26"/>
              </w:rPr>
            </w:pPr>
          </w:p>
        </w:tc>
        <w:tc>
          <w:tcPr>
            <w:tcW w:w="1670" w:type="dxa"/>
            <w:tcBorders>
              <w:top w:val="single" w:sz="4" w:space="0" w:color="FFFFFF"/>
            </w:tcBorders>
            <w:shd w:val="clear" w:color="auto" w:fill="E1EED9"/>
          </w:tcPr>
          <w:p>
            <w:pPr>
              <w:pStyle w:val="TableParagraph"/>
              <w:spacing w:before="1"/>
              <w:ind w:left="0"/>
              <w:jc w:val="left"/>
              <w:rPr>
                <w:b/>
                <w:sz w:val="8"/>
              </w:rPr>
            </w:pPr>
          </w:p>
          <w:p>
            <w:pPr>
              <w:pStyle w:val="TableParagraph"/>
              <w:ind w:left="169" w:right="-5"/>
              <w:jc w:val="left"/>
              <w:rPr>
                <w:sz w:val="20"/>
              </w:rPr>
            </w:pPr>
            <w:r>
              <w:rPr>
                <w:sz w:val="20"/>
              </w:rPr>
              <w:drawing>
                <wp:inline distT="0" distB="0" distL="0" distR="0">
                  <wp:extent cx="924829" cy="1296162"/>
                  <wp:effectExtent l="0" t="0" r="0" b="0"/>
                  <wp:docPr id="67" name="image70.jpeg" descr=""/>
                  <wp:cNvGraphicFramePr>
                    <a:graphicFrameLocks noChangeAspect="1"/>
                  </wp:cNvGraphicFramePr>
                  <a:graphic>
                    <a:graphicData uri="http://schemas.openxmlformats.org/drawingml/2006/picture">
                      <pic:pic>
                        <pic:nvPicPr>
                          <pic:cNvPr id="68" name="image70.jpeg"/>
                          <pic:cNvPicPr/>
                        </pic:nvPicPr>
                        <pic:blipFill>
                          <a:blip r:embed="rId110" cstate="print"/>
                          <a:stretch>
                            <a:fillRect/>
                          </a:stretch>
                        </pic:blipFill>
                        <pic:spPr>
                          <a:xfrm>
                            <a:off x="0" y="0"/>
                            <a:ext cx="924829" cy="1296162"/>
                          </a:xfrm>
                          <a:prstGeom prst="rect">
                            <a:avLst/>
                          </a:prstGeom>
                        </pic:spPr>
                      </pic:pic>
                    </a:graphicData>
                  </a:graphic>
                </wp:inline>
              </w:drawing>
            </w:r>
            <w:r>
              <w:rPr>
                <w:sz w:val="20"/>
              </w:rPr>
            </w:r>
          </w:p>
          <w:p>
            <w:pPr>
              <w:pStyle w:val="TableParagraph"/>
              <w:ind w:left="0"/>
              <w:jc w:val="left"/>
              <w:rPr>
                <w:b/>
                <w:sz w:val="20"/>
              </w:rPr>
            </w:pPr>
          </w:p>
          <w:p>
            <w:pPr>
              <w:pStyle w:val="TableParagraph"/>
              <w:ind w:left="0"/>
              <w:jc w:val="left"/>
              <w:rPr>
                <w:b/>
                <w:sz w:val="20"/>
              </w:rPr>
            </w:pPr>
          </w:p>
          <w:p>
            <w:pPr>
              <w:pStyle w:val="TableParagraph"/>
              <w:ind w:left="0"/>
              <w:jc w:val="left"/>
              <w:rPr>
                <w:b/>
                <w:sz w:val="20"/>
              </w:rPr>
            </w:pPr>
          </w:p>
          <w:p>
            <w:pPr>
              <w:pStyle w:val="TableParagraph"/>
              <w:ind w:left="0"/>
              <w:jc w:val="left"/>
              <w:rPr>
                <w:b/>
                <w:sz w:val="20"/>
              </w:rPr>
            </w:pPr>
          </w:p>
        </w:tc>
        <w:tc>
          <w:tcPr>
            <w:tcW w:w="1717" w:type="dxa"/>
            <w:tcBorders>
              <w:top w:val="single" w:sz="4" w:space="0" w:color="FFFFFF"/>
            </w:tcBorders>
            <w:shd w:val="clear" w:color="auto" w:fill="E1EED9"/>
          </w:tcPr>
          <w:p>
            <w:pPr>
              <w:pStyle w:val="TableParagraph"/>
              <w:spacing w:before="2"/>
              <w:ind w:left="0"/>
              <w:jc w:val="left"/>
              <w:rPr>
                <w:b/>
                <w:sz w:val="11"/>
              </w:rPr>
            </w:pPr>
          </w:p>
          <w:p>
            <w:pPr>
              <w:pStyle w:val="TableParagraph"/>
              <w:ind w:left="133"/>
              <w:jc w:val="left"/>
              <w:rPr>
                <w:sz w:val="20"/>
              </w:rPr>
            </w:pPr>
            <w:r>
              <w:rPr>
                <w:sz w:val="20"/>
              </w:rPr>
              <w:drawing>
                <wp:inline distT="0" distB="0" distL="0" distR="0">
                  <wp:extent cx="948661" cy="1055941"/>
                  <wp:effectExtent l="0" t="0" r="0" b="0"/>
                  <wp:docPr id="69" name="image71.jpeg" descr=""/>
                  <wp:cNvGraphicFramePr>
                    <a:graphicFrameLocks noChangeAspect="1"/>
                  </wp:cNvGraphicFramePr>
                  <a:graphic>
                    <a:graphicData uri="http://schemas.openxmlformats.org/drawingml/2006/picture">
                      <pic:pic>
                        <pic:nvPicPr>
                          <pic:cNvPr id="70" name="image71.jpeg"/>
                          <pic:cNvPicPr/>
                        </pic:nvPicPr>
                        <pic:blipFill>
                          <a:blip r:embed="rId111" cstate="print"/>
                          <a:stretch>
                            <a:fillRect/>
                          </a:stretch>
                        </pic:blipFill>
                        <pic:spPr>
                          <a:xfrm>
                            <a:off x="0" y="0"/>
                            <a:ext cx="948661" cy="1055941"/>
                          </a:xfrm>
                          <a:prstGeom prst="rect">
                            <a:avLst/>
                          </a:prstGeom>
                        </pic:spPr>
                      </pic:pic>
                    </a:graphicData>
                  </a:graphic>
                </wp:inline>
              </w:drawing>
            </w:r>
            <w:r>
              <w:rPr>
                <w:sz w:val="20"/>
              </w:rPr>
            </w:r>
          </w:p>
          <w:p>
            <w:pPr>
              <w:pStyle w:val="TableParagraph"/>
              <w:ind w:left="0"/>
              <w:jc w:val="left"/>
              <w:rPr>
                <w:b/>
                <w:sz w:val="20"/>
              </w:rPr>
            </w:pPr>
          </w:p>
          <w:p>
            <w:pPr>
              <w:pStyle w:val="TableParagraph"/>
              <w:ind w:left="0"/>
              <w:jc w:val="left"/>
              <w:rPr>
                <w:b/>
                <w:sz w:val="20"/>
              </w:rPr>
            </w:pPr>
          </w:p>
          <w:p>
            <w:pPr>
              <w:pStyle w:val="TableParagraph"/>
              <w:ind w:left="0"/>
              <w:jc w:val="left"/>
              <w:rPr>
                <w:b/>
                <w:sz w:val="20"/>
              </w:rPr>
            </w:pPr>
          </w:p>
          <w:p>
            <w:pPr>
              <w:pStyle w:val="TableParagraph"/>
              <w:ind w:left="0"/>
              <w:jc w:val="left"/>
              <w:rPr>
                <w:b/>
                <w:sz w:val="20"/>
              </w:rPr>
            </w:pPr>
          </w:p>
          <w:p>
            <w:pPr>
              <w:pStyle w:val="TableParagraph"/>
              <w:ind w:left="0"/>
              <w:jc w:val="left"/>
              <w:rPr>
                <w:b/>
                <w:sz w:val="20"/>
              </w:rPr>
            </w:pPr>
          </w:p>
          <w:p>
            <w:pPr>
              <w:pStyle w:val="TableParagraph"/>
              <w:spacing w:before="8"/>
              <w:ind w:left="0"/>
              <w:jc w:val="left"/>
              <w:rPr>
                <w:b/>
                <w:sz w:val="24"/>
              </w:rPr>
            </w:pPr>
          </w:p>
        </w:tc>
        <w:tc>
          <w:tcPr>
            <w:tcW w:w="1884" w:type="dxa"/>
            <w:tcBorders>
              <w:top w:val="single" w:sz="4" w:space="0" w:color="FFFFFF"/>
              <w:right w:val="single" w:sz="4" w:space="0" w:color="A8D08D"/>
            </w:tcBorders>
            <w:shd w:val="clear" w:color="auto" w:fill="E1EED9"/>
          </w:tcPr>
          <w:p>
            <w:pPr>
              <w:pStyle w:val="TableParagraph"/>
              <w:spacing w:before="2"/>
              <w:ind w:left="0"/>
              <w:jc w:val="left"/>
              <w:rPr>
                <w:b/>
                <w:sz w:val="11"/>
              </w:rPr>
            </w:pPr>
          </w:p>
          <w:p>
            <w:pPr>
              <w:pStyle w:val="TableParagraph"/>
              <w:ind w:left="96"/>
              <w:jc w:val="left"/>
              <w:rPr>
                <w:sz w:val="20"/>
              </w:rPr>
            </w:pPr>
            <w:r>
              <w:rPr>
                <w:sz w:val="20"/>
              </w:rPr>
              <w:drawing>
                <wp:inline distT="0" distB="0" distL="0" distR="0">
                  <wp:extent cx="981079" cy="1307591"/>
                  <wp:effectExtent l="0" t="0" r="0" b="0"/>
                  <wp:docPr id="71" name="image72.jpeg" descr=""/>
                  <wp:cNvGraphicFramePr>
                    <a:graphicFrameLocks noChangeAspect="1"/>
                  </wp:cNvGraphicFramePr>
                  <a:graphic>
                    <a:graphicData uri="http://schemas.openxmlformats.org/drawingml/2006/picture">
                      <pic:pic>
                        <pic:nvPicPr>
                          <pic:cNvPr id="72" name="image72.jpeg"/>
                          <pic:cNvPicPr/>
                        </pic:nvPicPr>
                        <pic:blipFill>
                          <a:blip r:embed="rId112" cstate="print"/>
                          <a:stretch>
                            <a:fillRect/>
                          </a:stretch>
                        </pic:blipFill>
                        <pic:spPr>
                          <a:xfrm>
                            <a:off x="0" y="0"/>
                            <a:ext cx="981079" cy="1307591"/>
                          </a:xfrm>
                          <a:prstGeom prst="rect">
                            <a:avLst/>
                          </a:prstGeom>
                        </pic:spPr>
                      </pic:pic>
                    </a:graphicData>
                  </a:graphic>
                </wp:inline>
              </w:drawing>
            </w:r>
            <w:r>
              <w:rPr>
                <w:sz w:val="20"/>
              </w:rPr>
            </w:r>
          </w:p>
          <w:p>
            <w:pPr>
              <w:pStyle w:val="TableParagraph"/>
              <w:ind w:left="0"/>
              <w:jc w:val="left"/>
              <w:rPr>
                <w:b/>
                <w:sz w:val="20"/>
              </w:rPr>
            </w:pPr>
          </w:p>
          <w:p>
            <w:pPr>
              <w:pStyle w:val="TableParagraph"/>
              <w:ind w:left="0"/>
              <w:jc w:val="left"/>
              <w:rPr>
                <w:b/>
                <w:sz w:val="20"/>
              </w:rPr>
            </w:pPr>
          </w:p>
          <w:p>
            <w:pPr>
              <w:pStyle w:val="TableParagraph"/>
              <w:ind w:left="0"/>
              <w:jc w:val="left"/>
              <w:rPr>
                <w:b/>
                <w:sz w:val="20"/>
              </w:rPr>
            </w:pPr>
          </w:p>
          <w:p>
            <w:pPr>
              <w:pStyle w:val="TableParagraph"/>
              <w:ind w:left="0"/>
              <w:jc w:val="left"/>
              <w:rPr>
                <w:b/>
                <w:sz w:val="20"/>
              </w:rPr>
            </w:pPr>
          </w:p>
        </w:tc>
      </w:tr>
      <w:tr>
        <w:trPr>
          <w:trHeight w:val="4616" w:hRule="exact"/>
        </w:trPr>
        <w:tc>
          <w:tcPr>
            <w:tcW w:w="1947" w:type="dxa"/>
          </w:tcPr>
          <w:p>
            <w:pPr>
              <w:pStyle w:val="TableParagraph"/>
              <w:spacing w:line="227" w:lineRule="exact"/>
              <w:jc w:val="left"/>
              <w:rPr>
                <w:sz w:val="20"/>
              </w:rPr>
            </w:pPr>
            <w:r>
              <w:rPr>
                <w:sz w:val="20"/>
              </w:rPr>
              <w:t>Pesar 0.25 g</w:t>
            </w:r>
          </w:p>
        </w:tc>
        <w:tc>
          <w:tcPr>
            <w:tcW w:w="1549" w:type="dxa"/>
          </w:tcPr>
          <w:p>
            <w:pPr>
              <w:pStyle w:val="TableParagraph"/>
              <w:tabs>
                <w:tab w:pos="1278" w:val="left" w:leader="none"/>
              </w:tabs>
              <w:spacing w:line="360" w:lineRule="auto"/>
              <w:ind w:right="101"/>
              <w:jc w:val="left"/>
              <w:rPr>
                <w:sz w:val="20"/>
              </w:rPr>
            </w:pPr>
            <w:r>
              <w:rPr>
                <w:sz w:val="20"/>
              </w:rPr>
              <w:t>Agregar</w:t>
              <w:tab/>
              <w:t>al tubo 1 pastilla catalizadora y 12 ml de ácido sulfúrico concentrado.</w:t>
            </w:r>
          </w:p>
        </w:tc>
        <w:tc>
          <w:tcPr>
            <w:tcW w:w="2225" w:type="dxa"/>
          </w:tcPr>
          <w:p>
            <w:pPr>
              <w:pStyle w:val="TableParagraph"/>
              <w:spacing w:line="360" w:lineRule="auto"/>
              <w:ind w:right="224"/>
              <w:jc w:val="left"/>
              <w:rPr>
                <w:sz w:val="20"/>
              </w:rPr>
            </w:pPr>
            <w:r>
              <w:rPr>
                <w:sz w:val="20"/>
              </w:rPr>
              <w:t>Colocar el tubo digestor previamente calentado (a 420ºC) hasta su completa digestión.</w:t>
            </w:r>
          </w:p>
        </w:tc>
        <w:tc>
          <w:tcPr>
            <w:tcW w:w="2004" w:type="dxa"/>
          </w:tcPr>
          <w:p>
            <w:pPr>
              <w:pStyle w:val="TableParagraph"/>
              <w:spacing w:line="360" w:lineRule="auto"/>
              <w:ind w:right="325"/>
              <w:jc w:val="both"/>
              <w:rPr>
                <w:sz w:val="20"/>
              </w:rPr>
            </w:pPr>
            <w:r>
              <w:rPr>
                <w:sz w:val="20"/>
              </w:rPr>
              <w:t>Sacar el tubo del digestor y dejarlo enfriar de 20 a</w:t>
            </w:r>
            <w:r>
              <w:rPr>
                <w:spacing w:val="-6"/>
                <w:sz w:val="20"/>
              </w:rPr>
              <w:t> </w:t>
            </w:r>
            <w:r>
              <w:rPr>
                <w:sz w:val="20"/>
              </w:rPr>
              <w:t>30 minutos.</w:t>
            </w:r>
          </w:p>
        </w:tc>
        <w:tc>
          <w:tcPr>
            <w:tcW w:w="1670" w:type="dxa"/>
          </w:tcPr>
          <w:p>
            <w:pPr>
              <w:pStyle w:val="TableParagraph"/>
              <w:spacing w:line="360" w:lineRule="auto"/>
              <w:ind w:right="114"/>
              <w:jc w:val="left"/>
              <w:rPr>
                <w:sz w:val="20"/>
              </w:rPr>
            </w:pPr>
            <w:r>
              <w:rPr>
                <w:sz w:val="20"/>
              </w:rPr>
              <w:t>Adicionar 60 ml de agua y 50 ml de NaOH al 40% y colocarlo en el destilador</w:t>
            </w:r>
          </w:p>
        </w:tc>
        <w:tc>
          <w:tcPr>
            <w:tcW w:w="1717" w:type="dxa"/>
          </w:tcPr>
          <w:p>
            <w:pPr>
              <w:pStyle w:val="TableParagraph"/>
              <w:spacing w:line="360" w:lineRule="auto"/>
              <w:ind w:right="183"/>
              <w:jc w:val="left"/>
              <w:rPr>
                <w:sz w:val="20"/>
              </w:rPr>
            </w:pPr>
            <w:r>
              <w:rPr>
                <w:sz w:val="20"/>
              </w:rPr>
              <w:t>En un matraz Erlenmeyer agregar 30 ml de ácido bórico al 4% y 6 gotas de indicador verde de bromocresol – rojo de metilo; ahí se recibió el destilado durante 5 minutos</w:t>
            </w:r>
          </w:p>
        </w:tc>
        <w:tc>
          <w:tcPr>
            <w:tcW w:w="1884" w:type="dxa"/>
            <w:tcBorders>
              <w:right w:val="single" w:sz="4" w:space="0" w:color="A8D08D"/>
            </w:tcBorders>
          </w:tcPr>
          <w:p>
            <w:pPr>
              <w:pStyle w:val="TableParagraph"/>
              <w:spacing w:line="360" w:lineRule="auto"/>
              <w:ind w:right="57"/>
              <w:jc w:val="left"/>
              <w:rPr>
                <w:sz w:val="20"/>
              </w:rPr>
            </w:pPr>
            <w:r>
              <w:rPr>
                <w:sz w:val="20"/>
              </w:rPr>
              <w:t>Titular con ácido clorhídrico 0.1 N (verde a rosa claro).</w:t>
            </w:r>
          </w:p>
        </w:tc>
      </w:tr>
    </w:tbl>
    <w:p>
      <w:pPr>
        <w:spacing w:after="0" w:line="360" w:lineRule="auto"/>
        <w:jc w:val="left"/>
        <w:rPr>
          <w:sz w:val="20"/>
        </w:rPr>
        <w:sectPr>
          <w:pgSz w:w="15840" w:h="12240" w:orient="landscape"/>
          <w:pgMar w:header="730" w:footer="711" w:top="960" w:bottom="900" w:left="1280" w:right="1280"/>
        </w:sectPr>
      </w:pPr>
    </w:p>
    <w:p>
      <w:pPr>
        <w:pStyle w:val="BodyText"/>
        <w:rPr>
          <w:b/>
          <w:sz w:val="20"/>
        </w:rPr>
      </w:pPr>
    </w:p>
    <w:p>
      <w:pPr>
        <w:pStyle w:val="BodyText"/>
        <w:spacing w:before="3"/>
        <w:rPr>
          <w:b/>
          <w:sz w:val="27"/>
        </w:rPr>
      </w:pPr>
    </w:p>
    <w:p>
      <w:pPr>
        <w:pStyle w:val="Heading2"/>
        <w:spacing w:before="69"/>
        <w:ind w:left="152" w:right="926"/>
      </w:pPr>
      <w:bookmarkStart w:name="_bookmark68" w:id="86"/>
      <w:bookmarkEnd w:id="86"/>
      <w:r>
        <w:rPr>
          <w:b w:val="0"/>
        </w:rPr>
      </w:r>
      <w:r>
        <w:rPr/>
        <w:t>Anexo 7: MÉTODO McFARLAND</w:t>
      </w:r>
    </w:p>
    <w:p>
      <w:pPr>
        <w:pStyle w:val="BodyText"/>
        <w:rPr>
          <w:b/>
        </w:rPr>
      </w:pPr>
    </w:p>
    <w:p>
      <w:pPr>
        <w:pStyle w:val="ListParagraph"/>
        <w:numPr>
          <w:ilvl w:val="2"/>
          <w:numId w:val="11"/>
        </w:numPr>
        <w:tabs>
          <w:tab w:pos="873" w:val="left" w:leader="none"/>
        </w:tabs>
        <w:spacing w:line="360" w:lineRule="auto" w:before="165" w:after="0"/>
        <w:ind w:left="872" w:right="147" w:hanging="360"/>
        <w:jc w:val="both"/>
        <w:rPr>
          <w:sz w:val="24"/>
        </w:rPr>
      </w:pPr>
      <w:r>
        <w:rPr>
          <w:position w:val="1"/>
          <w:sz w:val="24"/>
        </w:rPr>
        <w:t>Agregar</w:t>
      </w:r>
      <w:r>
        <w:rPr>
          <w:spacing w:val="-10"/>
          <w:position w:val="1"/>
          <w:sz w:val="24"/>
        </w:rPr>
        <w:t> </w:t>
      </w:r>
      <w:r>
        <w:rPr>
          <w:position w:val="1"/>
          <w:sz w:val="24"/>
        </w:rPr>
        <w:t>0.5</w:t>
      </w:r>
      <w:r>
        <w:rPr>
          <w:spacing w:val="-8"/>
          <w:position w:val="1"/>
          <w:sz w:val="24"/>
        </w:rPr>
        <w:t> </w:t>
      </w:r>
      <w:r>
        <w:rPr>
          <w:position w:val="1"/>
          <w:sz w:val="24"/>
        </w:rPr>
        <w:t>mL</w:t>
      </w:r>
      <w:r>
        <w:rPr>
          <w:spacing w:val="-11"/>
          <w:position w:val="1"/>
          <w:sz w:val="24"/>
        </w:rPr>
        <w:t> </w:t>
      </w:r>
      <w:r>
        <w:rPr>
          <w:position w:val="1"/>
          <w:sz w:val="24"/>
        </w:rPr>
        <w:t>de</w:t>
      </w:r>
      <w:r>
        <w:rPr>
          <w:spacing w:val="-8"/>
          <w:position w:val="1"/>
          <w:sz w:val="24"/>
        </w:rPr>
        <w:t> </w:t>
      </w:r>
      <w:r>
        <w:rPr>
          <w:position w:val="1"/>
          <w:sz w:val="24"/>
        </w:rPr>
        <w:t>0.048</w:t>
      </w:r>
      <w:r>
        <w:rPr>
          <w:spacing w:val="-8"/>
          <w:position w:val="1"/>
          <w:sz w:val="24"/>
        </w:rPr>
        <w:t> </w:t>
      </w:r>
      <w:r>
        <w:rPr>
          <w:position w:val="1"/>
          <w:sz w:val="24"/>
        </w:rPr>
        <w:t>mol/L</w:t>
      </w:r>
      <w:r>
        <w:rPr>
          <w:spacing w:val="-11"/>
          <w:position w:val="1"/>
          <w:sz w:val="24"/>
        </w:rPr>
        <w:t> </w:t>
      </w:r>
      <w:r>
        <w:rPr>
          <w:position w:val="1"/>
          <w:sz w:val="24"/>
        </w:rPr>
        <w:t>de</w:t>
      </w:r>
      <w:r>
        <w:rPr>
          <w:spacing w:val="-8"/>
          <w:position w:val="1"/>
          <w:sz w:val="24"/>
        </w:rPr>
        <w:t> </w:t>
      </w:r>
      <w:r>
        <w:rPr>
          <w:position w:val="1"/>
          <w:sz w:val="24"/>
        </w:rPr>
        <w:t>BaCl</w:t>
      </w:r>
      <w:r>
        <w:rPr>
          <w:sz w:val="16"/>
        </w:rPr>
        <w:t>2</w:t>
      </w:r>
      <w:r>
        <w:rPr>
          <w:spacing w:val="13"/>
          <w:sz w:val="16"/>
        </w:rPr>
        <w:t> </w:t>
      </w:r>
      <w:r>
        <w:rPr>
          <w:position w:val="1"/>
          <w:sz w:val="24"/>
        </w:rPr>
        <w:t>(1.175%</w:t>
      </w:r>
      <w:r>
        <w:rPr>
          <w:spacing w:val="-9"/>
          <w:position w:val="1"/>
          <w:sz w:val="24"/>
        </w:rPr>
        <w:t> </w:t>
      </w:r>
      <w:r>
        <w:rPr>
          <w:position w:val="1"/>
          <w:sz w:val="24"/>
        </w:rPr>
        <w:t>w/v</w:t>
      </w:r>
      <w:r>
        <w:rPr>
          <w:spacing w:val="-11"/>
          <w:position w:val="1"/>
          <w:sz w:val="24"/>
        </w:rPr>
        <w:t> </w:t>
      </w:r>
      <w:r>
        <w:rPr>
          <w:position w:val="1"/>
          <w:sz w:val="24"/>
        </w:rPr>
        <w:t>BaCl</w:t>
      </w:r>
      <w:r>
        <w:rPr>
          <w:sz w:val="16"/>
        </w:rPr>
        <w:t>2</w:t>
      </w:r>
      <w:r>
        <w:rPr>
          <w:position w:val="1"/>
          <w:sz w:val="24"/>
        </w:rPr>
        <w:t>-2H</w:t>
      </w:r>
      <w:r>
        <w:rPr>
          <w:sz w:val="16"/>
        </w:rPr>
        <w:t>2</w:t>
      </w:r>
      <w:r>
        <w:rPr>
          <w:position w:val="1"/>
          <w:sz w:val="24"/>
        </w:rPr>
        <w:t>o)</w:t>
      </w:r>
      <w:r>
        <w:rPr>
          <w:spacing w:val="-10"/>
          <w:position w:val="1"/>
          <w:sz w:val="24"/>
        </w:rPr>
        <w:t> </w:t>
      </w:r>
      <w:r>
        <w:rPr>
          <w:position w:val="1"/>
          <w:sz w:val="24"/>
        </w:rPr>
        <w:t>a</w:t>
      </w:r>
      <w:r>
        <w:rPr>
          <w:spacing w:val="-6"/>
          <w:position w:val="1"/>
          <w:sz w:val="24"/>
        </w:rPr>
        <w:t> </w:t>
      </w:r>
      <w:r>
        <w:rPr>
          <w:position w:val="1"/>
          <w:sz w:val="24"/>
        </w:rPr>
        <w:t>99.5</w:t>
      </w:r>
      <w:r>
        <w:rPr>
          <w:spacing w:val="-10"/>
          <w:position w:val="1"/>
          <w:sz w:val="24"/>
        </w:rPr>
        <w:t> </w:t>
      </w:r>
      <w:r>
        <w:rPr>
          <w:position w:val="1"/>
          <w:sz w:val="24"/>
        </w:rPr>
        <w:t>mL de 0.18 mol/L de H</w:t>
      </w:r>
      <w:r>
        <w:rPr>
          <w:sz w:val="16"/>
        </w:rPr>
        <w:t>2</w:t>
      </w:r>
      <w:r>
        <w:rPr>
          <w:position w:val="1"/>
          <w:sz w:val="24"/>
        </w:rPr>
        <w:t>SO</w:t>
      </w:r>
      <w:r>
        <w:rPr>
          <w:sz w:val="16"/>
        </w:rPr>
        <w:t>4 </w:t>
      </w:r>
      <w:r>
        <w:rPr>
          <w:position w:val="1"/>
          <w:sz w:val="24"/>
        </w:rPr>
        <w:t>(1% v/v) en constante agitación hasta obtener una </w:t>
      </w:r>
      <w:r>
        <w:rPr>
          <w:sz w:val="24"/>
        </w:rPr>
        <w:t>suspensión.</w:t>
      </w:r>
    </w:p>
    <w:p>
      <w:pPr>
        <w:pStyle w:val="ListParagraph"/>
        <w:numPr>
          <w:ilvl w:val="2"/>
          <w:numId w:val="11"/>
        </w:numPr>
        <w:tabs>
          <w:tab w:pos="873" w:val="left" w:leader="none"/>
        </w:tabs>
        <w:spacing w:line="360" w:lineRule="auto" w:before="2" w:after="0"/>
        <w:ind w:left="872" w:right="153" w:hanging="360"/>
        <w:jc w:val="left"/>
        <w:rPr>
          <w:sz w:val="24"/>
        </w:rPr>
      </w:pPr>
      <w:r>
        <w:rPr>
          <w:sz w:val="24"/>
        </w:rPr>
        <w:t>Verificar la correcta densidad de la turbidez mediante la medición de la absorbancia en un espectrofotómetro. La absorbancia a 625nm debe ser</w:t>
      </w:r>
      <w:r>
        <w:rPr>
          <w:spacing w:val="-1"/>
          <w:sz w:val="24"/>
        </w:rPr>
        <w:t> </w:t>
      </w:r>
      <w:r>
        <w:rPr>
          <w:sz w:val="24"/>
        </w:rPr>
        <w:t>de</w:t>
      </w:r>
    </w:p>
    <w:p>
      <w:pPr>
        <w:pStyle w:val="BodyText"/>
        <w:spacing w:before="3"/>
        <w:ind w:left="872" w:right="926"/>
      </w:pPr>
      <w:r>
        <w:rPr/>
        <w:t>0.08 a 0.13 para el standard de McFarland.</w:t>
      </w:r>
    </w:p>
    <w:p>
      <w:pPr>
        <w:pStyle w:val="ListParagraph"/>
        <w:numPr>
          <w:ilvl w:val="2"/>
          <w:numId w:val="11"/>
        </w:numPr>
        <w:tabs>
          <w:tab w:pos="873" w:val="left" w:leader="none"/>
        </w:tabs>
        <w:spacing w:line="240" w:lineRule="auto" w:before="139" w:after="0"/>
        <w:ind w:left="872" w:right="0" w:hanging="360"/>
        <w:jc w:val="left"/>
        <w:rPr>
          <w:sz w:val="24"/>
        </w:rPr>
      </w:pPr>
      <w:r>
        <w:rPr>
          <w:sz w:val="24"/>
        </w:rPr>
        <w:t>Transferir la solución de Sulfato de Bario en alícuotas de 4 a 60</w:t>
      </w:r>
      <w:r>
        <w:rPr>
          <w:spacing w:val="-26"/>
          <w:sz w:val="24"/>
        </w:rPr>
        <w:t> </w:t>
      </w:r>
      <w:r>
        <w:rPr>
          <w:sz w:val="24"/>
        </w:rPr>
        <w:t>mL.</w:t>
      </w:r>
    </w:p>
    <w:p>
      <w:pPr>
        <w:pStyle w:val="ListParagraph"/>
        <w:numPr>
          <w:ilvl w:val="2"/>
          <w:numId w:val="11"/>
        </w:numPr>
        <w:tabs>
          <w:tab w:pos="873" w:val="left" w:leader="none"/>
        </w:tabs>
        <w:spacing w:line="240" w:lineRule="auto" w:before="137" w:after="0"/>
        <w:ind w:left="872" w:right="0" w:hanging="360"/>
        <w:jc w:val="left"/>
        <w:rPr>
          <w:sz w:val="24"/>
        </w:rPr>
      </w:pPr>
      <w:r>
        <w:rPr>
          <w:sz w:val="24"/>
        </w:rPr>
        <w:t>Guardar los tubos en un lugar oscuro a temperatura</w:t>
      </w:r>
      <w:r>
        <w:rPr>
          <w:spacing w:val="-25"/>
          <w:sz w:val="24"/>
        </w:rPr>
        <w:t> </w:t>
      </w:r>
      <w:r>
        <w:rPr>
          <w:sz w:val="24"/>
        </w:rPr>
        <w:t>ambiente.</w:t>
      </w:r>
    </w:p>
    <w:p>
      <w:pPr>
        <w:pStyle w:val="ListParagraph"/>
        <w:numPr>
          <w:ilvl w:val="2"/>
          <w:numId w:val="11"/>
        </w:numPr>
        <w:tabs>
          <w:tab w:pos="873" w:val="left" w:leader="none"/>
        </w:tabs>
        <w:spacing w:line="240" w:lineRule="auto" w:before="139" w:after="0"/>
        <w:ind w:left="872" w:right="0" w:hanging="360"/>
        <w:jc w:val="left"/>
        <w:rPr>
          <w:sz w:val="24"/>
        </w:rPr>
      </w:pPr>
      <w:r>
        <w:rPr>
          <w:sz w:val="24"/>
        </w:rPr>
        <w:t>Verificar cada mes la</w:t>
      </w:r>
      <w:r>
        <w:rPr>
          <w:spacing w:val="-11"/>
          <w:sz w:val="24"/>
        </w:rPr>
        <w:t> </w:t>
      </w:r>
      <w:r>
        <w:rPr>
          <w:sz w:val="24"/>
        </w:rPr>
        <w:t>densidad.</w:t>
      </w:r>
    </w:p>
    <w:p>
      <w:pPr>
        <w:spacing w:after="0" w:line="240" w:lineRule="auto"/>
        <w:jc w:val="left"/>
        <w:rPr>
          <w:sz w:val="24"/>
        </w:rPr>
        <w:sectPr>
          <w:headerReference w:type="default" r:id="rId113"/>
          <w:footerReference w:type="default" r:id="rId114"/>
          <w:pgSz w:w="12240" w:h="15840"/>
          <w:pgMar w:header="728" w:footer="710" w:top="1200" w:bottom="900" w:left="1720" w:right="1380"/>
          <w:pgNumType w:start="108"/>
        </w:sectPr>
      </w:pPr>
    </w:p>
    <w:p>
      <w:pPr>
        <w:pStyle w:val="BodyText"/>
        <w:rPr>
          <w:sz w:val="20"/>
        </w:rPr>
      </w:pPr>
    </w:p>
    <w:p>
      <w:pPr>
        <w:pStyle w:val="BodyText"/>
        <w:spacing w:before="3"/>
        <w:rPr>
          <w:sz w:val="27"/>
        </w:rPr>
      </w:pPr>
    </w:p>
    <w:p>
      <w:pPr>
        <w:pStyle w:val="Heading2"/>
        <w:spacing w:line="264" w:lineRule="auto" w:before="69"/>
        <w:ind w:left="152" w:right="926"/>
        <w:rPr>
          <w:i/>
        </w:rPr>
      </w:pPr>
      <w:bookmarkStart w:name="_bookmark69" w:id="87"/>
      <w:bookmarkEnd w:id="87"/>
      <w:r>
        <w:rPr>
          <w:b w:val="0"/>
        </w:rPr>
      </w:r>
      <w:r>
        <w:rPr/>
        <w:t>Anexo 8: NORMA OFICIAL MEXICANA NOM-115-SSA1-1994, BIENES Y SERVICIOS. MÉTODO PARA LA DETERMINACIÓN DE </w:t>
      </w:r>
      <w:r>
        <w:rPr>
          <w:i/>
        </w:rPr>
        <w:t>Staphylococcus</w:t>
      </w:r>
    </w:p>
    <w:p>
      <w:pPr>
        <w:spacing w:before="2"/>
        <w:ind w:left="152" w:right="926" w:firstLine="0"/>
        <w:jc w:val="left"/>
        <w:rPr>
          <w:b/>
          <w:sz w:val="24"/>
        </w:rPr>
      </w:pPr>
      <w:r>
        <w:rPr>
          <w:b/>
          <w:i/>
          <w:sz w:val="24"/>
        </w:rPr>
        <w:t>aureus </w:t>
      </w:r>
      <w:r>
        <w:rPr>
          <w:b/>
          <w:sz w:val="24"/>
        </w:rPr>
        <w:t>EN ALIMENTOS.</w:t>
      </w:r>
    </w:p>
    <w:p>
      <w:pPr>
        <w:pStyle w:val="BodyText"/>
        <w:spacing w:before="3"/>
        <w:rPr>
          <w:b/>
          <w:sz w:val="32"/>
        </w:rPr>
      </w:pPr>
    </w:p>
    <w:p>
      <w:pPr>
        <w:spacing w:line="360" w:lineRule="auto" w:before="0"/>
        <w:ind w:left="152" w:right="154" w:firstLine="0"/>
        <w:jc w:val="left"/>
        <w:rPr>
          <w:sz w:val="20"/>
        </w:rPr>
      </w:pPr>
      <w:r>
        <w:rPr>
          <w:sz w:val="20"/>
        </w:rPr>
        <w:t>Al margen un sello con el Escudo Nacional, que dice: Estados Unidos Mexicanos.- Secretaría de Salud.</w:t>
      </w:r>
    </w:p>
    <w:p>
      <w:pPr>
        <w:spacing w:line="360" w:lineRule="auto" w:before="4"/>
        <w:ind w:left="152" w:right="149" w:firstLine="0"/>
        <w:jc w:val="both"/>
        <w:rPr>
          <w:sz w:val="20"/>
        </w:rPr>
      </w:pPr>
      <w:r>
        <w:rPr>
          <w:sz w:val="20"/>
        </w:rPr>
        <w:t>JOSE MELJEM MOCTEZUMA, Director General de Control Sanitario de Bienes y Servicios, por acuerdo del Comité Consultivo Nacional de Normalización de Regulación y Fomento Sanitario, con fundamento</w:t>
      </w:r>
      <w:r>
        <w:rPr>
          <w:spacing w:val="-6"/>
          <w:sz w:val="20"/>
        </w:rPr>
        <w:t> </w:t>
      </w:r>
      <w:r>
        <w:rPr>
          <w:sz w:val="20"/>
        </w:rPr>
        <w:t>en</w:t>
      </w:r>
      <w:r>
        <w:rPr>
          <w:spacing w:val="-4"/>
          <w:sz w:val="20"/>
        </w:rPr>
        <w:t> </w:t>
      </w:r>
      <w:r>
        <w:rPr>
          <w:sz w:val="20"/>
        </w:rPr>
        <w:t>los</w:t>
      </w:r>
      <w:r>
        <w:rPr>
          <w:spacing w:val="-5"/>
          <w:sz w:val="20"/>
        </w:rPr>
        <w:t> </w:t>
      </w:r>
      <w:r>
        <w:rPr>
          <w:sz w:val="20"/>
        </w:rPr>
        <w:t>artículos</w:t>
      </w:r>
      <w:r>
        <w:rPr>
          <w:spacing w:val="-2"/>
          <w:sz w:val="20"/>
        </w:rPr>
        <w:t> </w:t>
      </w:r>
      <w:r>
        <w:rPr>
          <w:sz w:val="20"/>
        </w:rPr>
        <w:t>39</w:t>
      </w:r>
      <w:r>
        <w:rPr>
          <w:spacing w:val="-4"/>
          <w:sz w:val="20"/>
        </w:rPr>
        <w:t> </w:t>
      </w:r>
      <w:r>
        <w:rPr>
          <w:sz w:val="20"/>
        </w:rPr>
        <w:t>de</w:t>
      </w:r>
      <w:r>
        <w:rPr>
          <w:spacing w:val="-4"/>
          <w:sz w:val="20"/>
        </w:rPr>
        <w:t> </w:t>
      </w:r>
      <w:r>
        <w:rPr>
          <w:sz w:val="20"/>
        </w:rPr>
        <w:t>la</w:t>
      </w:r>
      <w:r>
        <w:rPr>
          <w:spacing w:val="-3"/>
          <w:sz w:val="20"/>
        </w:rPr>
        <w:t> </w:t>
      </w:r>
      <w:r>
        <w:rPr>
          <w:sz w:val="20"/>
        </w:rPr>
        <w:t>Ley</w:t>
      </w:r>
      <w:r>
        <w:rPr>
          <w:spacing w:val="-9"/>
          <w:sz w:val="20"/>
        </w:rPr>
        <w:t> </w:t>
      </w:r>
      <w:r>
        <w:rPr>
          <w:sz w:val="20"/>
        </w:rPr>
        <w:t>Orgánica</w:t>
      </w:r>
      <w:r>
        <w:rPr>
          <w:spacing w:val="-3"/>
          <w:sz w:val="20"/>
        </w:rPr>
        <w:t> </w:t>
      </w:r>
      <w:r>
        <w:rPr>
          <w:sz w:val="20"/>
        </w:rPr>
        <w:t>de</w:t>
      </w:r>
      <w:r>
        <w:rPr>
          <w:spacing w:val="-3"/>
          <w:sz w:val="20"/>
        </w:rPr>
        <w:t> </w:t>
      </w:r>
      <w:r>
        <w:rPr>
          <w:sz w:val="20"/>
        </w:rPr>
        <w:t>la</w:t>
      </w:r>
      <w:r>
        <w:rPr>
          <w:spacing w:val="-6"/>
          <w:sz w:val="20"/>
        </w:rPr>
        <w:t> </w:t>
      </w:r>
      <w:r>
        <w:rPr>
          <w:sz w:val="20"/>
        </w:rPr>
        <w:t>Administración</w:t>
      </w:r>
      <w:r>
        <w:rPr>
          <w:spacing w:val="-1"/>
          <w:sz w:val="20"/>
        </w:rPr>
        <w:t> </w:t>
      </w:r>
      <w:r>
        <w:rPr>
          <w:sz w:val="20"/>
        </w:rPr>
        <w:t>Pública</w:t>
      </w:r>
      <w:r>
        <w:rPr>
          <w:spacing w:val="-3"/>
          <w:sz w:val="20"/>
        </w:rPr>
        <w:t> </w:t>
      </w:r>
      <w:r>
        <w:rPr>
          <w:sz w:val="20"/>
        </w:rPr>
        <w:t>Federal;</w:t>
      </w:r>
      <w:r>
        <w:rPr>
          <w:spacing w:val="-3"/>
          <w:sz w:val="20"/>
        </w:rPr>
        <w:t> </w:t>
      </w:r>
      <w:r>
        <w:rPr>
          <w:sz w:val="20"/>
        </w:rPr>
        <w:t>38</w:t>
      </w:r>
      <w:r>
        <w:rPr>
          <w:spacing w:val="-3"/>
          <w:sz w:val="20"/>
        </w:rPr>
        <w:t> </w:t>
      </w:r>
      <w:r>
        <w:rPr>
          <w:sz w:val="20"/>
        </w:rPr>
        <w:t>fracción II,</w:t>
      </w:r>
      <w:r>
        <w:rPr>
          <w:spacing w:val="-7"/>
          <w:sz w:val="20"/>
        </w:rPr>
        <w:t> </w:t>
      </w:r>
      <w:r>
        <w:rPr>
          <w:sz w:val="20"/>
        </w:rPr>
        <w:t>47</w:t>
      </w:r>
      <w:r>
        <w:rPr>
          <w:spacing w:val="-5"/>
          <w:sz w:val="20"/>
        </w:rPr>
        <w:t> </w:t>
      </w:r>
      <w:r>
        <w:rPr>
          <w:sz w:val="20"/>
        </w:rPr>
        <w:t>de</w:t>
      </w:r>
      <w:r>
        <w:rPr>
          <w:spacing w:val="-5"/>
          <w:sz w:val="20"/>
        </w:rPr>
        <w:t> </w:t>
      </w:r>
      <w:r>
        <w:rPr>
          <w:sz w:val="20"/>
        </w:rPr>
        <w:t>la</w:t>
      </w:r>
      <w:r>
        <w:rPr>
          <w:spacing w:val="-7"/>
          <w:sz w:val="20"/>
        </w:rPr>
        <w:t> </w:t>
      </w:r>
      <w:r>
        <w:rPr>
          <w:sz w:val="20"/>
        </w:rPr>
        <w:t>Ley</w:t>
      </w:r>
      <w:r>
        <w:rPr>
          <w:spacing w:val="-10"/>
          <w:sz w:val="20"/>
        </w:rPr>
        <w:t> </w:t>
      </w:r>
      <w:r>
        <w:rPr>
          <w:sz w:val="20"/>
        </w:rPr>
        <w:t>Federal</w:t>
      </w:r>
      <w:r>
        <w:rPr>
          <w:spacing w:val="-7"/>
          <w:sz w:val="20"/>
        </w:rPr>
        <w:t> </w:t>
      </w:r>
      <w:r>
        <w:rPr>
          <w:sz w:val="20"/>
        </w:rPr>
        <w:t>sobre</w:t>
      </w:r>
      <w:r>
        <w:rPr>
          <w:spacing w:val="-7"/>
          <w:sz w:val="20"/>
        </w:rPr>
        <w:t> </w:t>
      </w:r>
      <w:r>
        <w:rPr>
          <w:sz w:val="20"/>
        </w:rPr>
        <w:t>Metrología</w:t>
      </w:r>
      <w:r>
        <w:rPr>
          <w:spacing w:val="-2"/>
          <w:sz w:val="20"/>
        </w:rPr>
        <w:t> </w:t>
      </w:r>
      <w:r>
        <w:rPr>
          <w:sz w:val="20"/>
        </w:rPr>
        <w:t>y</w:t>
      </w:r>
      <w:r>
        <w:rPr>
          <w:spacing w:val="-10"/>
          <w:sz w:val="20"/>
        </w:rPr>
        <w:t> </w:t>
      </w:r>
      <w:r>
        <w:rPr>
          <w:sz w:val="20"/>
        </w:rPr>
        <w:t>Normalización;</w:t>
      </w:r>
      <w:r>
        <w:rPr>
          <w:spacing w:val="-7"/>
          <w:sz w:val="20"/>
        </w:rPr>
        <w:t> </w:t>
      </w:r>
      <w:r>
        <w:rPr>
          <w:sz w:val="20"/>
        </w:rPr>
        <w:t>194</w:t>
      </w:r>
      <w:r>
        <w:rPr>
          <w:spacing w:val="-7"/>
          <w:sz w:val="20"/>
        </w:rPr>
        <w:t> </w:t>
      </w:r>
      <w:r>
        <w:rPr>
          <w:sz w:val="20"/>
        </w:rPr>
        <w:t>fracción</w:t>
      </w:r>
      <w:r>
        <w:rPr>
          <w:spacing w:val="-7"/>
          <w:sz w:val="20"/>
        </w:rPr>
        <w:t> </w:t>
      </w:r>
      <w:r>
        <w:rPr>
          <w:sz w:val="20"/>
        </w:rPr>
        <w:t>I</w:t>
      </w:r>
      <w:r>
        <w:rPr>
          <w:spacing w:val="-4"/>
          <w:sz w:val="20"/>
        </w:rPr>
        <w:t> </w:t>
      </w:r>
      <w:r>
        <w:rPr>
          <w:sz w:val="20"/>
        </w:rPr>
        <w:t>de</w:t>
      </w:r>
      <w:r>
        <w:rPr>
          <w:spacing w:val="-5"/>
          <w:sz w:val="20"/>
        </w:rPr>
        <w:t> </w:t>
      </w:r>
      <w:r>
        <w:rPr>
          <w:sz w:val="20"/>
        </w:rPr>
        <w:t>la</w:t>
      </w:r>
      <w:r>
        <w:rPr>
          <w:spacing w:val="-7"/>
          <w:sz w:val="20"/>
        </w:rPr>
        <w:t> </w:t>
      </w:r>
      <w:r>
        <w:rPr>
          <w:sz w:val="20"/>
        </w:rPr>
        <w:t>Ley</w:t>
      </w:r>
      <w:r>
        <w:rPr>
          <w:spacing w:val="-8"/>
          <w:sz w:val="20"/>
        </w:rPr>
        <w:t> </w:t>
      </w:r>
      <w:r>
        <w:rPr>
          <w:sz w:val="20"/>
        </w:rPr>
        <w:t>General</w:t>
      </w:r>
      <w:r>
        <w:rPr>
          <w:spacing w:val="-5"/>
          <w:sz w:val="20"/>
        </w:rPr>
        <w:t> </w:t>
      </w:r>
      <w:r>
        <w:rPr>
          <w:sz w:val="20"/>
        </w:rPr>
        <w:t>de</w:t>
      </w:r>
      <w:r>
        <w:rPr>
          <w:spacing w:val="-5"/>
          <w:sz w:val="20"/>
        </w:rPr>
        <w:t> </w:t>
      </w:r>
      <w:r>
        <w:rPr>
          <w:sz w:val="20"/>
        </w:rPr>
        <w:t>Salud; 2o. fracción III, 34, 37, 40 y los demás aplicables del Reglamento de la Ley General de Salud en Materia</w:t>
      </w:r>
      <w:r>
        <w:rPr>
          <w:spacing w:val="-8"/>
          <w:sz w:val="20"/>
        </w:rPr>
        <w:t> </w:t>
      </w:r>
      <w:r>
        <w:rPr>
          <w:sz w:val="20"/>
        </w:rPr>
        <w:t>de</w:t>
      </w:r>
      <w:r>
        <w:rPr>
          <w:spacing w:val="-8"/>
          <w:sz w:val="20"/>
        </w:rPr>
        <w:t> </w:t>
      </w:r>
      <w:r>
        <w:rPr>
          <w:sz w:val="20"/>
        </w:rPr>
        <w:t>Control</w:t>
      </w:r>
      <w:r>
        <w:rPr>
          <w:spacing w:val="-6"/>
          <w:sz w:val="20"/>
        </w:rPr>
        <w:t> </w:t>
      </w:r>
      <w:r>
        <w:rPr>
          <w:sz w:val="20"/>
        </w:rPr>
        <w:t>Sanitario</w:t>
      </w:r>
      <w:r>
        <w:rPr>
          <w:spacing w:val="-8"/>
          <w:sz w:val="20"/>
        </w:rPr>
        <w:t> </w:t>
      </w:r>
      <w:r>
        <w:rPr>
          <w:sz w:val="20"/>
        </w:rPr>
        <w:t>de</w:t>
      </w:r>
      <w:r>
        <w:rPr>
          <w:spacing w:val="-6"/>
          <w:sz w:val="20"/>
        </w:rPr>
        <w:t> </w:t>
      </w:r>
      <w:r>
        <w:rPr>
          <w:sz w:val="20"/>
        </w:rPr>
        <w:t>Actividades,</w:t>
      </w:r>
      <w:r>
        <w:rPr>
          <w:spacing w:val="-5"/>
          <w:sz w:val="20"/>
        </w:rPr>
        <w:t> </w:t>
      </w:r>
      <w:r>
        <w:rPr>
          <w:sz w:val="20"/>
        </w:rPr>
        <w:t>Establecimientos,</w:t>
      </w:r>
      <w:r>
        <w:rPr>
          <w:spacing w:val="-8"/>
          <w:sz w:val="20"/>
        </w:rPr>
        <w:t> </w:t>
      </w:r>
      <w:r>
        <w:rPr>
          <w:sz w:val="20"/>
        </w:rPr>
        <w:t>Productos</w:t>
      </w:r>
      <w:r>
        <w:rPr>
          <w:spacing w:val="-5"/>
          <w:sz w:val="20"/>
        </w:rPr>
        <w:t> </w:t>
      </w:r>
      <w:r>
        <w:rPr>
          <w:sz w:val="20"/>
        </w:rPr>
        <w:t>y</w:t>
      </w:r>
      <w:r>
        <w:rPr>
          <w:spacing w:val="-9"/>
          <w:sz w:val="20"/>
        </w:rPr>
        <w:t> </w:t>
      </w:r>
      <w:r>
        <w:rPr>
          <w:sz w:val="20"/>
        </w:rPr>
        <w:t>Servicios;</w:t>
      </w:r>
      <w:r>
        <w:rPr>
          <w:spacing w:val="-8"/>
          <w:sz w:val="20"/>
        </w:rPr>
        <w:t> </w:t>
      </w:r>
      <w:r>
        <w:rPr>
          <w:sz w:val="20"/>
        </w:rPr>
        <w:t>8o.</w:t>
      </w:r>
      <w:r>
        <w:rPr>
          <w:spacing w:val="-6"/>
          <w:sz w:val="20"/>
        </w:rPr>
        <w:t> </w:t>
      </w:r>
      <w:r>
        <w:rPr>
          <w:sz w:val="20"/>
        </w:rPr>
        <w:t>fracción</w:t>
      </w:r>
      <w:r>
        <w:rPr>
          <w:spacing w:val="-8"/>
          <w:sz w:val="20"/>
        </w:rPr>
        <w:t> </w:t>
      </w:r>
      <w:r>
        <w:rPr>
          <w:sz w:val="20"/>
        </w:rPr>
        <w:t>IV y 13 fracción I del Reglamento Interior de la Secretaría de</w:t>
      </w:r>
      <w:r>
        <w:rPr>
          <w:spacing w:val="-18"/>
          <w:sz w:val="20"/>
        </w:rPr>
        <w:t> </w:t>
      </w:r>
      <w:r>
        <w:rPr>
          <w:sz w:val="20"/>
        </w:rPr>
        <w:t>Salud.</w:t>
      </w:r>
    </w:p>
    <w:p>
      <w:pPr>
        <w:spacing w:before="4"/>
        <w:ind w:left="152" w:right="926" w:firstLine="0"/>
        <w:jc w:val="left"/>
        <w:rPr>
          <w:sz w:val="20"/>
        </w:rPr>
      </w:pPr>
      <w:r>
        <w:rPr>
          <w:sz w:val="20"/>
        </w:rPr>
        <w:t>PREFACIO</w:t>
      </w:r>
    </w:p>
    <w:p>
      <w:pPr>
        <w:spacing w:line="360" w:lineRule="auto" w:before="113"/>
        <w:ind w:left="152" w:right="154" w:firstLine="0"/>
        <w:jc w:val="left"/>
        <w:rPr>
          <w:sz w:val="20"/>
        </w:rPr>
      </w:pPr>
      <w:r>
        <w:rPr>
          <w:sz w:val="20"/>
        </w:rPr>
        <w:t>En la elaboración de la presente norma participaron los siguientes organismos e instituciones: SECRETARIA DE SALUD</w:t>
      </w:r>
    </w:p>
    <w:p>
      <w:pPr>
        <w:tabs>
          <w:tab w:pos="1469" w:val="left" w:leader="none"/>
          <w:tab w:pos="2670" w:val="left" w:leader="none"/>
          <w:tab w:pos="3377" w:val="left" w:leader="none"/>
          <w:tab w:pos="4507" w:val="left" w:leader="none"/>
          <w:tab w:pos="5781" w:val="left" w:leader="none"/>
          <w:tab w:pos="6491" w:val="left" w:leader="none"/>
          <w:tab w:pos="7592" w:val="left" w:leader="none"/>
          <w:tab w:pos="8175" w:val="left" w:leader="none"/>
        </w:tabs>
        <w:spacing w:line="360" w:lineRule="auto" w:before="4"/>
        <w:ind w:left="152" w:right="154" w:firstLine="0"/>
        <w:jc w:val="left"/>
        <w:rPr>
          <w:sz w:val="20"/>
        </w:rPr>
      </w:pPr>
      <w:r>
        <w:rPr>
          <w:sz w:val="20"/>
        </w:rPr>
        <w:t>Dirección</w:t>
        <w:tab/>
        <w:t>General</w:t>
        <w:tab/>
        <w:t>de</w:t>
        <w:tab/>
        <w:t>Control</w:t>
        <w:tab/>
        <w:t>Sanitario</w:t>
        <w:tab/>
        <w:t>de</w:t>
        <w:tab/>
        <w:t>Bienes</w:t>
        <w:tab/>
        <w:t>y</w:t>
        <w:tab/>
      </w:r>
      <w:r>
        <w:rPr>
          <w:w w:val="95"/>
          <w:sz w:val="20"/>
        </w:rPr>
        <w:t>Servicios </w:t>
      </w:r>
      <w:r>
        <w:rPr>
          <w:sz w:val="20"/>
        </w:rPr>
        <w:t>Laboratorio Nacional de Salud</w:t>
      </w:r>
      <w:r>
        <w:rPr>
          <w:spacing w:val="-11"/>
          <w:sz w:val="20"/>
        </w:rPr>
        <w:t> </w:t>
      </w:r>
      <w:r>
        <w:rPr>
          <w:sz w:val="20"/>
        </w:rPr>
        <w:t>Pública</w:t>
      </w:r>
    </w:p>
    <w:p>
      <w:pPr>
        <w:spacing w:before="2"/>
        <w:ind w:left="152" w:right="926" w:firstLine="0"/>
        <w:jc w:val="left"/>
        <w:rPr>
          <w:sz w:val="20"/>
        </w:rPr>
      </w:pPr>
      <w:r>
        <w:rPr>
          <w:sz w:val="20"/>
        </w:rPr>
        <w:t>SECRETARIA DE AGRICULTURA, GANADERIA Y DESARROLLO RURAL</w:t>
      </w:r>
    </w:p>
    <w:p>
      <w:pPr>
        <w:spacing w:before="115"/>
        <w:ind w:left="152" w:right="926" w:firstLine="0"/>
        <w:jc w:val="left"/>
        <w:rPr>
          <w:sz w:val="20"/>
        </w:rPr>
      </w:pPr>
      <w:r>
        <w:rPr>
          <w:sz w:val="20"/>
        </w:rPr>
        <w:t>Comisión Nacional del Agua</w:t>
      </w:r>
    </w:p>
    <w:p>
      <w:pPr>
        <w:spacing w:before="115"/>
        <w:ind w:left="152" w:right="926" w:firstLine="0"/>
        <w:jc w:val="left"/>
        <w:rPr>
          <w:sz w:val="20"/>
        </w:rPr>
      </w:pPr>
      <w:r>
        <w:rPr>
          <w:sz w:val="20"/>
        </w:rPr>
        <w:t>SECRETARIA DE MEDIO AMBIENTE, RECURSOS NATURALES Y PESCA</w:t>
      </w:r>
    </w:p>
    <w:p>
      <w:pPr>
        <w:spacing w:line="357" w:lineRule="auto" w:before="115"/>
        <w:ind w:left="152" w:right="5423" w:firstLine="0"/>
        <w:jc w:val="left"/>
        <w:rPr>
          <w:sz w:val="20"/>
        </w:rPr>
      </w:pPr>
      <w:r>
        <w:rPr>
          <w:sz w:val="20"/>
        </w:rPr>
        <w:t>Instituto Nacional de la Pesca INSTITUTO POLITECNICO NACIONAL</w:t>
      </w:r>
    </w:p>
    <w:p>
      <w:pPr>
        <w:spacing w:line="360" w:lineRule="auto" w:before="6"/>
        <w:ind w:left="152" w:right="4951" w:firstLine="0"/>
        <w:jc w:val="left"/>
        <w:rPr>
          <w:sz w:val="20"/>
        </w:rPr>
      </w:pPr>
      <w:r>
        <w:rPr>
          <w:sz w:val="20"/>
        </w:rPr>
        <w:t>Escuela Nacional de Ciencias Biológicas JUGOS DEL VALLE, S.A. DE C.V. LABORATORIO FERMI, S.A. LABORATORIO ICCABI, S.A. DE C.V.</w:t>
      </w:r>
    </w:p>
    <w:p>
      <w:pPr>
        <w:spacing w:line="360" w:lineRule="auto" w:before="4"/>
        <w:ind w:left="152" w:right="2208" w:firstLine="0"/>
        <w:jc w:val="left"/>
        <w:rPr>
          <w:sz w:val="20"/>
        </w:rPr>
      </w:pPr>
      <w:r>
        <w:rPr>
          <w:sz w:val="20"/>
        </w:rPr>
        <w:t>LECHE INDUSTRIALIZADA CONASUPO, S.A DE C.V. LICONSA SOCIEDAD MEXICANA DE NORMALIZACION Y CERTIFICACION, S.C. NORMEX</w:t>
      </w:r>
    </w:p>
    <w:p>
      <w:pPr>
        <w:spacing w:before="4"/>
        <w:ind w:left="152" w:right="926" w:firstLine="0"/>
        <w:jc w:val="left"/>
        <w:rPr>
          <w:sz w:val="20"/>
        </w:rPr>
      </w:pPr>
      <w:r>
        <w:rPr>
          <w:sz w:val="20"/>
        </w:rPr>
        <w:t>INDICE</w:t>
      </w:r>
    </w:p>
    <w:p>
      <w:pPr>
        <w:pStyle w:val="ListParagraph"/>
        <w:numPr>
          <w:ilvl w:val="0"/>
          <w:numId w:val="12"/>
        </w:numPr>
        <w:tabs>
          <w:tab w:pos="374" w:val="left" w:leader="none"/>
        </w:tabs>
        <w:spacing w:line="240" w:lineRule="auto" w:before="115" w:after="0"/>
        <w:ind w:left="373" w:right="0" w:hanging="221"/>
        <w:jc w:val="left"/>
        <w:rPr>
          <w:sz w:val="20"/>
        </w:rPr>
      </w:pPr>
      <w:r>
        <w:rPr>
          <w:sz w:val="20"/>
        </w:rPr>
        <w:t>INTRODUCCION</w:t>
      </w:r>
    </w:p>
    <w:p>
      <w:pPr>
        <w:pStyle w:val="ListParagraph"/>
        <w:numPr>
          <w:ilvl w:val="0"/>
          <w:numId w:val="12"/>
        </w:numPr>
        <w:tabs>
          <w:tab w:pos="374" w:val="left" w:leader="none"/>
        </w:tabs>
        <w:spacing w:line="240" w:lineRule="auto" w:before="115" w:after="0"/>
        <w:ind w:left="373" w:right="0" w:hanging="221"/>
        <w:jc w:val="left"/>
        <w:rPr>
          <w:sz w:val="20"/>
        </w:rPr>
      </w:pPr>
      <w:r>
        <w:rPr>
          <w:sz w:val="20"/>
        </w:rPr>
        <w:t>OBJETIVO Y CAMPO DE</w:t>
      </w:r>
      <w:r>
        <w:rPr>
          <w:spacing w:val="-8"/>
          <w:sz w:val="20"/>
        </w:rPr>
        <w:t> </w:t>
      </w:r>
      <w:r>
        <w:rPr>
          <w:sz w:val="20"/>
        </w:rPr>
        <w:t>APLICACION</w:t>
      </w:r>
    </w:p>
    <w:p>
      <w:pPr>
        <w:pStyle w:val="ListParagraph"/>
        <w:numPr>
          <w:ilvl w:val="0"/>
          <w:numId w:val="12"/>
        </w:numPr>
        <w:tabs>
          <w:tab w:pos="374" w:val="left" w:leader="none"/>
        </w:tabs>
        <w:spacing w:line="240" w:lineRule="auto" w:before="113" w:after="0"/>
        <w:ind w:left="373" w:right="0" w:hanging="221"/>
        <w:jc w:val="left"/>
        <w:rPr>
          <w:sz w:val="20"/>
        </w:rPr>
      </w:pPr>
      <w:r>
        <w:rPr>
          <w:sz w:val="20"/>
        </w:rPr>
        <w:t>FUNDAMENTO</w:t>
      </w:r>
    </w:p>
    <w:p>
      <w:pPr>
        <w:pStyle w:val="ListParagraph"/>
        <w:numPr>
          <w:ilvl w:val="0"/>
          <w:numId w:val="12"/>
        </w:numPr>
        <w:tabs>
          <w:tab w:pos="374" w:val="left" w:leader="none"/>
        </w:tabs>
        <w:spacing w:line="240" w:lineRule="auto" w:before="115" w:after="0"/>
        <w:ind w:left="373" w:right="0" w:hanging="221"/>
        <w:jc w:val="left"/>
        <w:rPr>
          <w:sz w:val="20"/>
        </w:rPr>
      </w:pPr>
      <w:r>
        <w:rPr>
          <w:sz w:val="20"/>
        </w:rPr>
        <w:t>REFERENCIAS</w:t>
      </w:r>
    </w:p>
    <w:p>
      <w:pPr>
        <w:spacing w:after="0" w:line="240" w:lineRule="auto"/>
        <w:jc w:val="left"/>
        <w:rPr>
          <w:sz w:val="20"/>
        </w:rPr>
        <w:sectPr>
          <w:pgSz w:w="12240" w:h="15840"/>
          <w:pgMar w:header="728" w:footer="710" w:top="1200" w:bottom="900" w:left="1720" w:right="1380"/>
        </w:sectPr>
      </w:pPr>
    </w:p>
    <w:p>
      <w:pPr>
        <w:pStyle w:val="BodyText"/>
        <w:rPr>
          <w:sz w:val="20"/>
        </w:rPr>
      </w:pPr>
    </w:p>
    <w:p>
      <w:pPr>
        <w:pStyle w:val="BodyText"/>
        <w:spacing w:before="9"/>
        <w:rPr>
          <w:sz w:val="26"/>
        </w:rPr>
      </w:pPr>
    </w:p>
    <w:p>
      <w:pPr>
        <w:pStyle w:val="ListParagraph"/>
        <w:numPr>
          <w:ilvl w:val="0"/>
          <w:numId w:val="12"/>
        </w:numPr>
        <w:tabs>
          <w:tab w:pos="374" w:val="left" w:leader="none"/>
        </w:tabs>
        <w:spacing w:line="240" w:lineRule="auto" w:before="74" w:after="0"/>
        <w:ind w:left="373" w:right="0" w:hanging="221"/>
        <w:jc w:val="both"/>
        <w:rPr>
          <w:sz w:val="20"/>
        </w:rPr>
      </w:pPr>
      <w:r>
        <w:rPr>
          <w:sz w:val="20"/>
        </w:rPr>
        <w:t>DEFINICIONES</w:t>
      </w:r>
    </w:p>
    <w:p>
      <w:pPr>
        <w:pStyle w:val="ListParagraph"/>
        <w:numPr>
          <w:ilvl w:val="0"/>
          <w:numId w:val="12"/>
        </w:numPr>
        <w:tabs>
          <w:tab w:pos="374" w:val="left" w:leader="none"/>
        </w:tabs>
        <w:spacing w:line="240" w:lineRule="auto" w:before="115" w:after="0"/>
        <w:ind w:left="373" w:right="0" w:hanging="221"/>
        <w:jc w:val="both"/>
        <w:rPr>
          <w:sz w:val="20"/>
        </w:rPr>
      </w:pPr>
      <w:r>
        <w:rPr>
          <w:sz w:val="20"/>
        </w:rPr>
        <w:t>SIMBOLOS Y</w:t>
      </w:r>
      <w:r>
        <w:rPr>
          <w:spacing w:val="-3"/>
          <w:sz w:val="20"/>
        </w:rPr>
        <w:t> </w:t>
      </w:r>
      <w:r>
        <w:rPr>
          <w:sz w:val="20"/>
        </w:rPr>
        <w:t>ABREVIATURAS</w:t>
      </w:r>
    </w:p>
    <w:p>
      <w:pPr>
        <w:pStyle w:val="ListParagraph"/>
        <w:numPr>
          <w:ilvl w:val="0"/>
          <w:numId w:val="12"/>
        </w:numPr>
        <w:tabs>
          <w:tab w:pos="374" w:val="left" w:leader="none"/>
        </w:tabs>
        <w:spacing w:line="240" w:lineRule="auto" w:before="113" w:after="0"/>
        <w:ind w:left="373" w:right="0" w:hanging="221"/>
        <w:jc w:val="both"/>
        <w:rPr>
          <w:sz w:val="20"/>
        </w:rPr>
      </w:pPr>
      <w:r>
        <w:rPr>
          <w:sz w:val="20"/>
        </w:rPr>
        <w:t>REACTIVOS Y</w:t>
      </w:r>
      <w:r>
        <w:rPr>
          <w:spacing w:val="-6"/>
          <w:sz w:val="20"/>
        </w:rPr>
        <w:t> </w:t>
      </w:r>
      <w:r>
        <w:rPr>
          <w:sz w:val="20"/>
        </w:rPr>
        <w:t>MATERIALES</w:t>
      </w:r>
    </w:p>
    <w:p>
      <w:pPr>
        <w:pStyle w:val="ListParagraph"/>
        <w:numPr>
          <w:ilvl w:val="0"/>
          <w:numId w:val="12"/>
        </w:numPr>
        <w:tabs>
          <w:tab w:pos="374" w:val="left" w:leader="none"/>
        </w:tabs>
        <w:spacing w:line="240" w:lineRule="auto" w:before="115" w:after="0"/>
        <w:ind w:left="373" w:right="0" w:hanging="221"/>
        <w:jc w:val="both"/>
        <w:rPr>
          <w:sz w:val="20"/>
        </w:rPr>
      </w:pPr>
      <w:r>
        <w:rPr>
          <w:sz w:val="20"/>
        </w:rPr>
        <w:t>APARATOS</w:t>
      </w:r>
    </w:p>
    <w:p>
      <w:pPr>
        <w:pStyle w:val="ListParagraph"/>
        <w:numPr>
          <w:ilvl w:val="0"/>
          <w:numId w:val="12"/>
        </w:numPr>
        <w:tabs>
          <w:tab w:pos="374" w:val="left" w:leader="none"/>
        </w:tabs>
        <w:spacing w:line="240" w:lineRule="auto" w:before="115" w:after="0"/>
        <w:ind w:left="373" w:right="0" w:hanging="221"/>
        <w:jc w:val="both"/>
        <w:rPr>
          <w:sz w:val="20"/>
        </w:rPr>
      </w:pPr>
      <w:r>
        <w:rPr>
          <w:sz w:val="20"/>
        </w:rPr>
        <w:t>PREPARACION DE LA</w:t>
      </w:r>
      <w:r>
        <w:rPr>
          <w:spacing w:val="-6"/>
          <w:sz w:val="20"/>
        </w:rPr>
        <w:t> </w:t>
      </w:r>
      <w:r>
        <w:rPr>
          <w:sz w:val="20"/>
        </w:rPr>
        <w:t>MUESTRA</w:t>
      </w:r>
    </w:p>
    <w:p>
      <w:pPr>
        <w:pStyle w:val="ListParagraph"/>
        <w:numPr>
          <w:ilvl w:val="0"/>
          <w:numId w:val="12"/>
        </w:numPr>
        <w:tabs>
          <w:tab w:pos="374" w:val="left" w:leader="none"/>
        </w:tabs>
        <w:spacing w:line="240" w:lineRule="auto" w:before="115" w:after="0"/>
        <w:ind w:left="373" w:right="0" w:hanging="221"/>
        <w:jc w:val="both"/>
        <w:rPr>
          <w:sz w:val="20"/>
        </w:rPr>
      </w:pPr>
      <w:r>
        <w:rPr>
          <w:sz w:val="20"/>
        </w:rPr>
        <w:t>PROCEDIMIENTO</w:t>
      </w:r>
    </w:p>
    <w:p>
      <w:pPr>
        <w:pStyle w:val="ListParagraph"/>
        <w:numPr>
          <w:ilvl w:val="0"/>
          <w:numId w:val="12"/>
        </w:numPr>
        <w:tabs>
          <w:tab w:pos="484" w:val="left" w:leader="none"/>
        </w:tabs>
        <w:spacing w:line="240" w:lineRule="auto" w:before="113" w:after="0"/>
        <w:ind w:left="483" w:right="0" w:hanging="331"/>
        <w:jc w:val="both"/>
        <w:rPr>
          <w:sz w:val="20"/>
        </w:rPr>
      </w:pPr>
      <w:r>
        <w:rPr>
          <w:sz w:val="20"/>
        </w:rPr>
        <w:t>CALCULO Y EXPRESION DE</w:t>
      </w:r>
      <w:r>
        <w:rPr>
          <w:spacing w:val="-7"/>
          <w:sz w:val="20"/>
        </w:rPr>
        <w:t> </w:t>
      </w:r>
      <w:r>
        <w:rPr>
          <w:sz w:val="20"/>
        </w:rPr>
        <w:t>RESULTADOS</w:t>
      </w:r>
    </w:p>
    <w:p>
      <w:pPr>
        <w:pStyle w:val="ListParagraph"/>
        <w:numPr>
          <w:ilvl w:val="0"/>
          <w:numId w:val="12"/>
        </w:numPr>
        <w:tabs>
          <w:tab w:pos="484" w:val="left" w:leader="none"/>
        </w:tabs>
        <w:spacing w:line="240" w:lineRule="auto" w:before="115" w:after="0"/>
        <w:ind w:left="483" w:right="0" w:hanging="331"/>
        <w:jc w:val="both"/>
        <w:rPr>
          <w:sz w:val="20"/>
        </w:rPr>
      </w:pPr>
      <w:r>
        <w:rPr>
          <w:sz w:val="20"/>
        </w:rPr>
        <w:t>CONCORDANCIA CON NORMAS</w:t>
      </w:r>
      <w:r>
        <w:rPr>
          <w:spacing w:val="-8"/>
          <w:sz w:val="20"/>
        </w:rPr>
        <w:t> </w:t>
      </w:r>
      <w:r>
        <w:rPr>
          <w:sz w:val="20"/>
        </w:rPr>
        <w:t>INTERNACIONALES</w:t>
      </w:r>
    </w:p>
    <w:p>
      <w:pPr>
        <w:pStyle w:val="ListParagraph"/>
        <w:numPr>
          <w:ilvl w:val="0"/>
          <w:numId w:val="12"/>
        </w:numPr>
        <w:tabs>
          <w:tab w:pos="486" w:val="left" w:leader="none"/>
        </w:tabs>
        <w:spacing w:line="240" w:lineRule="auto" w:before="116" w:after="0"/>
        <w:ind w:left="485" w:right="0" w:hanging="333"/>
        <w:jc w:val="both"/>
        <w:rPr>
          <w:sz w:val="20"/>
        </w:rPr>
      </w:pPr>
      <w:r>
        <w:rPr>
          <w:sz w:val="20"/>
        </w:rPr>
        <w:t>BIBLIOGRAFIA</w:t>
      </w:r>
    </w:p>
    <w:p>
      <w:pPr>
        <w:pStyle w:val="ListParagraph"/>
        <w:numPr>
          <w:ilvl w:val="0"/>
          <w:numId w:val="12"/>
        </w:numPr>
        <w:tabs>
          <w:tab w:pos="484" w:val="left" w:leader="none"/>
        </w:tabs>
        <w:spacing w:line="240" w:lineRule="auto" w:before="113" w:after="0"/>
        <w:ind w:left="483" w:right="0" w:hanging="331"/>
        <w:jc w:val="both"/>
        <w:rPr>
          <w:sz w:val="20"/>
        </w:rPr>
      </w:pPr>
      <w:r>
        <w:rPr>
          <w:sz w:val="20"/>
        </w:rPr>
        <w:t>OBSERVANCIA DE LA</w:t>
      </w:r>
      <w:r>
        <w:rPr>
          <w:spacing w:val="-6"/>
          <w:sz w:val="20"/>
        </w:rPr>
        <w:t> </w:t>
      </w:r>
      <w:r>
        <w:rPr>
          <w:sz w:val="20"/>
        </w:rPr>
        <w:t>NORMA</w:t>
      </w:r>
    </w:p>
    <w:p>
      <w:pPr>
        <w:pStyle w:val="ListParagraph"/>
        <w:numPr>
          <w:ilvl w:val="0"/>
          <w:numId w:val="12"/>
        </w:numPr>
        <w:tabs>
          <w:tab w:pos="486" w:val="left" w:leader="none"/>
        </w:tabs>
        <w:spacing w:line="240" w:lineRule="auto" w:before="115" w:after="0"/>
        <w:ind w:left="485" w:right="0" w:hanging="333"/>
        <w:jc w:val="both"/>
        <w:rPr>
          <w:sz w:val="20"/>
        </w:rPr>
      </w:pPr>
      <w:r>
        <w:rPr>
          <w:sz w:val="20"/>
        </w:rPr>
        <w:t>VIGENCIA</w:t>
      </w:r>
    </w:p>
    <w:p>
      <w:pPr>
        <w:pStyle w:val="ListParagraph"/>
        <w:numPr>
          <w:ilvl w:val="0"/>
          <w:numId w:val="13"/>
        </w:numPr>
        <w:tabs>
          <w:tab w:pos="374" w:val="left" w:leader="none"/>
        </w:tabs>
        <w:spacing w:line="240" w:lineRule="auto" w:before="115" w:after="0"/>
        <w:ind w:left="373" w:right="0" w:hanging="221"/>
        <w:jc w:val="both"/>
        <w:rPr>
          <w:sz w:val="20"/>
        </w:rPr>
      </w:pPr>
      <w:r>
        <w:rPr>
          <w:sz w:val="20"/>
        </w:rPr>
        <w:t>Introducción</w:t>
      </w:r>
    </w:p>
    <w:p>
      <w:pPr>
        <w:spacing w:line="360" w:lineRule="auto" w:before="113"/>
        <w:ind w:left="152" w:right="148" w:firstLine="0"/>
        <w:jc w:val="both"/>
        <w:rPr>
          <w:sz w:val="20"/>
        </w:rPr>
      </w:pPr>
      <w:r>
        <w:rPr>
          <w:sz w:val="20"/>
        </w:rPr>
        <w:t>El crecimiento de </w:t>
      </w:r>
      <w:r>
        <w:rPr>
          <w:i/>
          <w:sz w:val="20"/>
        </w:rPr>
        <w:t>Staphylococcus aureus </w:t>
      </w:r>
      <w:r>
        <w:rPr>
          <w:sz w:val="20"/>
        </w:rPr>
        <w:t>en alimentos tiene gran importancia por tratarse de un microorganismo capaz de producir una poderosa enterotoxina que al ingerirse causa intoxicaciones alimentarias.</w:t>
      </w:r>
    </w:p>
    <w:p>
      <w:pPr>
        <w:spacing w:before="1"/>
        <w:ind w:left="152" w:right="0" w:firstLine="0"/>
        <w:jc w:val="both"/>
        <w:rPr>
          <w:sz w:val="20"/>
        </w:rPr>
      </w:pPr>
      <w:r>
        <w:rPr>
          <w:sz w:val="20"/>
        </w:rPr>
        <w:t>Entre las razones para determinar el </w:t>
      </w:r>
      <w:r>
        <w:rPr>
          <w:i/>
          <w:sz w:val="20"/>
        </w:rPr>
        <w:t>Staphylococcus aureus </w:t>
      </w:r>
      <w:r>
        <w:rPr>
          <w:sz w:val="20"/>
        </w:rPr>
        <w:t>en alimentos están:</w:t>
      </w:r>
    </w:p>
    <w:p>
      <w:pPr>
        <w:spacing w:line="357" w:lineRule="auto" w:before="118"/>
        <w:ind w:left="152" w:right="154" w:firstLine="0"/>
        <w:jc w:val="left"/>
        <w:rPr>
          <w:sz w:val="20"/>
        </w:rPr>
      </w:pPr>
      <w:r>
        <w:rPr>
          <w:sz w:val="20"/>
        </w:rPr>
        <w:t>Confirmar la presencia de este microorganismo como agente causal de una enfermedad de origen alimentario.</w:t>
      </w:r>
    </w:p>
    <w:p>
      <w:pPr>
        <w:spacing w:line="360" w:lineRule="auto" w:before="6"/>
        <w:ind w:left="152" w:right="155" w:firstLine="0"/>
        <w:jc w:val="both"/>
        <w:rPr>
          <w:sz w:val="20"/>
        </w:rPr>
      </w:pPr>
      <w:r>
        <w:rPr>
          <w:sz w:val="20"/>
        </w:rPr>
        <w:t>Determinar</w:t>
      </w:r>
      <w:r>
        <w:rPr>
          <w:spacing w:val="-14"/>
          <w:sz w:val="20"/>
        </w:rPr>
        <w:t> </w:t>
      </w:r>
      <w:r>
        <w:rPr>
          <w:sz w:val="20"/>
        </w:rPr>
        <w:t>si</w:t>
      </w:r>
      <w:r>
        <w:rPr>
          <w:spacing w:val="-16"/>
          <w:sz w:val="20"/>
        </w:rPr>
        <w:t> </w:t>
      </w:r>
      <w:r>
        <w:rPr>
          <w:sz w:val="20"/>
        </w:rPr>
        <w:t>un</w:t>
      </w:r>
      <w:r>
        <w:rPr>
          <w:spacing w:val="-16"/>
          <w:sz w:val="20"/>
        </w:rPr>
        <w:t> </w:t>
      </w:r>
      <w:r>
        <w:rPr>
          <w:sz w:val="20"/>
        </w:rPr>
        <w:t>alimento</w:t>
      </w:r>
      <w:r>
        <w:rPr>
          <w:spacing w:val="-15"/>
          <w:sz w:val="20"/>
        </w:rPr>
        <w:t> </w:t>
      </w:r>
      <w:r>
        <w:rPr>
          <w:sz w:val="20"/>
        </w:rPr>
        <w:t>o</w:t>
      </w:r>
      <w:r>
        <w:rPr>
          <w:spacing w:val="-15"/>
          <w:sz w:val="20"/>
        </w:rPr>
        <w:t> </w:t>
      </w:r>
      <w:r>
        <w:rPr>
          <w:sz w:val="20"/>
        </w:rPr>
        <w:t>ingrediente</w:t>
      </w:r>
      <w:r>
        <w:rPr>
          <w:spacing w:val="-15"/>
          <w:sz w:val="20"/>
        </w:rPr>
        <w:t> </w:t>
      </w:r>
      <w:r>
        <w:rPr>
          <w:sz w:val="20"/>
        </w:rPr>
        <w:t>es</w:t>
      </w:r>
      <w:r>
        <w:rPr>
          <w:spacing w:val="-14"/>
          <w:sz w:val="20"/>
        </w:rPr>
        <w:t> </w:t>
      </w:r>
      <w:r>
        <w:rPr>
          <w:sz w:val="20"/>
        </w:rPr>
        <w:t>fuente</w:t>
      </w:r>
      <w:r>
        <w:rPr>
          <w:spacing w:val="-15"/>
          <w:sz w:val="20"/>
        </w:rPr>
        <w:t> </w:t>
      </w:r>
      <w:r>
        <w:rPr>
          <w:sz w:val="20"/>
        </w:rPr>
        <w:t>potencial</w:t>
      </w:r>
      <w:r>
        <w:rPr>
          <w:spacing w:val="-16"/>
          <w:sz w:val="20"/>
        </w:rPr>
        <w:t> </w:t>
      </w:r>
      <w:r>
        <w:rPr>
          <w:sz w:val="20"/>
        </w:rPr>
        <w:t>de</w:t>
      </w:r>
      <w:r>
        <w:rPr>
          <w:spacing w:val="-13"/>
          <w:sz w:val="20"/>
        </w:rPr>
        <w:t> </w:t>
      </w:r>
      <w:r>
        <w:rPr>
          <w:sz w:val="20"/>
        </w:rPr>
        <w:t>este</w:t>
      </w:r>
      <w:r>
        <w:rPr>
          <w:spacing w:val="-15"/>
          <w:sz w:val="20"/>
        </w:rPr>
        <w:t> </w:t>
      </w:r>
      <w:r>
        <w:rPr>
          <w:sz w:val="20"/>
        </w:rPr>
        <w:t>microorganismo</w:t>
      </w:r>
      <w:r>
        <w:rPr>
          <w:spacing w:val="-18"/>
          <w:sz w:val="20"/>
        </w:rPr>
        <w:t> </w:t>
      </w:r>
      <w:r>
        <w:rPr>
          <w:sz w:val="20"/>
        </w:rPr>
        <w:t>enterotoxigénico. Demostrar la contaminación postproceso la cual es usualmente debida a contacto humano o con superficies inadecuadamente</w:t>
      </w:r>
      <w:r>
        <w:rPr>
          <w:spacing w:val="-12"/>
          <w:sz w:val="20"/>
        </w:rPr>
        <w:t> </w:t>
      </w:r>
      <w:r>
        <w:rPr>
          <w:sz w:val="20"/>
        </w:rPr>
        <w:t>sanitizadas.</w:t>
      </w:r>
    </w:p>
    <w:p>
      <w:pPr>
        <w:spacing w:line="360" w:lineRule="auto" w:before="0"/>
        <w:ind w:left="152" w:right="149" w:firstLine="0"/>
        <w:jc w:val="both"/>
        <w:rPr>
          <w:sz w:val="20"/>
        </w:rPr>
      </w:pPr>
      <w:r>
        <w:rPr>
          <w:sz w:val="20"/>
        </w:rPr>
        <w:t>Los alimentos sujetos a contaminación postproceso con tipos enterotoxigénicos de </w:t>
      </w:r>
      <w:r>
        <w:rPr>
          <w:i/>
          <w:sz w:val="20"/>
        </w:rPr>
        <w:t>Staphylococcus </w:t>
      </w:r>
      <w:r>
        <w:rPr>
          <w:i/>
          <w:sz w:val="20"/>
        </w:rPr>
        <w:t>aureus </w:t>
      </w:r>
      <w:r>
        <w:rPr>
          <w:sz w:val="20"/>
        </w:rPr>
        <w:t>representan un riesgo por la ausencia de flora competitiva que normalmente restringe el crecimiento del </w:t>
      </w:r>
      <w:r>
        <w:rPr>
          <w:i/>
          <w:sz w:val="20"/>
        </w:rPr>
        <w:t>Staphylococcus aureus </w:t>
      </w:r>
      <w:r>
        <w:rPr>
          <w:sz w:val="20"/>
        </w:rPr>
        <w:t>y la producción de enterotoxinas.</w:t>
      </w:r>
    </w:p>
    <w:p>
      <w:pPr>
        <w:spacing w:line="357" w:lineRule="auto" w:before="6"/>
        <w:ind w:left="152" w:right="85" w:firstLine="0"/>
        <w:jc w:val="left"/>
        <w:rPr>
          <w:sz w:val="20"/>
        </w:rPr>
      </w:pPr>
      <w:r>
        <w:rPr>
          <w:sz w:val="20"/>
        </w:rPr>
        <w:t>Este tipo de alimentos se vuelven más peligrosos, si además son sujetos a un inadecuado manejo o son mantenidos a temperaturas de conservación inapropiadas.</w:t>
      </w:r>
    </w:p>
    <w:p>
      <w:pPr>
        <w:spacing w:line="362" w:lineRule="auto" w:before="6"/>
        <w:ind w:left="152" w:right="52" w:firstLine="0"/>
        <w:jc w:val="left"/>
        <w:rPr>
          <w:sz w:val="20"/>
        </w:rPr>
      </w:pPr>
      <w:r>
        <w:rPr>
          <w:sz w:val="20"/>
        </w:rPr>
        <w:t>Los alimentos perecederos tales como: carnes crudas y procesadas, ensaladas, productos de pastelería y productos de leche, son los más comúnmente asociados con intoxicación estafilocócica.</w:t>
      </w:r>
    </w:p>
    <w:p>
      <w:pPr>
        <w:pStyle w:val="ListParagraph"/>
        <w:numPr>
          <w:ilvl w:val="0"/>
          <w:numId w:val="13"/>
        </w:numPr>
        <w:tabs>
          <w:tab w:pos="374" w:val="left" w:leader="none"/>
        </w:tabs>
        <w:spacing w:line="229" w:lineRule="exact" w:before="0" w:after="0"/>
        <w:ind w:left="373" w:right="0" w:hanging="221"/>
        <w:jc w:val="both"/>
        <w:rPr>
          <w:sz w:val="20"/>
        </w:rPr>
      </w:pPr>
      <w:r>
        <w:rPr>
          <w:sz w:val="20"/>
        </w:rPr>
        <w:t>Objetivo y campo de</w:t>
      </w:r>
      <w:r>
        <w:rPr>
          <w:spacing w:val="-9"/>
          <w:sz w:val="20"/>
        </w:rPr>
        <w:t> </w:t>
      </w:r>
      <w:r>
        <w:rPr>
          <w:sz w:val="20"/>
        </w:rPr>
        <w:t>aplicación</w:t>
      </w:r>
    </w:p>
    <w:p>
      <w:pPr>
        <w:pStyle w:val="ListParagraph"/>
        <w:numPr>
          <w:ilvl w:val="1"/>
          <w:numId w:val="13"/>
        </w:numPr>
        <w:tabs>
          <w:tab w:pos="496" w:val="left" w:leader="none"/>
        </w:tabs>
        <w:spacing w:line="240" w:lineRule="auto" w:before="115" w:after="0"/>
        <w:ind w:left="152" w:right="0" w:firstLine="0"/>
        <w:jc w:val="both"/>
        <w:rPr>
          <w:sz w:val="20"/>
        </w:rPr>
      </w:pPr>
      <w:r>
        <w:rPr>
          <w:sz w:val="20"/>
        </w:rPr>
        <w:t>Esta Norma Oficial Mexicana establece el método microbiológico para determinar la cuenta </w:t>
      </w:r>
      <w:r>
        <w:rPr>
          <w:spacing w:val="39"/>
          <w:sz w:val="20"/>
        </w:rPr>
        <w:t> </w:t>
      </w:r>
      <w:r>
        <w:rPr>
          <w:sz w:val="20"/>
        </w:rPr>
        <w:t>de</w:t>
      </w:r>
    </w:p>
    <w:p>
      <w:pPr>
        <w:spacing w:before="113"/>
        <w:ind w:left="152" w:right="0" w:firstLine="0"/>
        <w:jc w:val="both"/>
        <w:rPr>
          <w:sz w:val="20"/>
        </w:rPr>
      </w:pPr>
      <w:r>
        <w:rPr>
          <w:i/>
          <w:sz w:val="20"/>
        </w:rPr>
        <w:t>Staphylococcus aureus </w:t>
      </w:r>
      <w:r>
        <w:rPr>
          <w:sz w:val="20"/>
        </w:rPr>
        <w:t>presente en alimentos nacionales o de importación.</w:t>
      </w:r>
    </w:p>
    <w:p>
      <w:pPr>
        <w:pStyle w:val="ListParagraph"/>
        <w:numPr>
          <w:ilvl w:val="1"/>
          <w:numId w:val="13"/>
        </w:numPr>
        <w:tabs>
          <w:tab w:pos="515" w:val="left" w:leader="none"/>
        </w:tabs>
        <w:spacing w:line="357" w:lineRule="auto" w:before="118" w:after="0"/>
        <w:ind w:left="152" w:right="154" w:firstLine="0"/>
        <w:jc w:val="left"/>
        <w:rPr>
          <w:sz w:val="20"/>
        </w:rPr>
      </w:pPr>
      <w:r>
        <w:rPr>
          <w:sz w:val="20"/>
        </w:rPr>
        <w:t>Esta Norma Oficial Mexicana es de observancia obligatoria en el territorio nacional para las personas físicas o morales que requieran efectuar este método en alimentos, para fines</w:t>
      </w:r>
      <w:r>
        <w:rPr>
          <w:spacing w:val="-25"/>
          <w:sz w:val="20"/>
        </w:rPr>
        <w:t> </w:t>
      </w:r>
      <w:r>
        <w:rPr>
          <w:sz w:val="20"/>
        </w:rPr>
        <w:t>oficiales.</w:t>
      </w:r>
    </w:p>
    <w:p>
      <w:pPr>
        <w:pStyle w:val="ListParagraph"/>
        <w:numPr>
          <w:ilvl w:val="0"/>
          <w:numId w:val="13"/>
        </w:numPr>
        <w:tabs>
          <w:tab w:pos="374" w:val="left" w:leader="none"/>
        </w:tabs>
        <w:spacing w:line="240" w:lineRule="auto" w:before="6" w:after="0"/>
        <w:ind w:left="373" w:right="0" w:hanging="221"/>
        <w:jc w:val="both"/>
        <w:rPr>
          <w:sz w:val="20"/>
        </w:rPr>
      </w:pPr>
      <w:r>
        <w:rPr>
          <w:sz w:val="20"/>
        </w:rPr>
        <w:t>Fundamento</w:t>
      </w:r>
    </w:p>
    <w:p>
      <w:pPr>
        <w:spacing w:after="0" w:line="240" w:lineRule="auto"/>
        <w:jc w:val="both"/>
        <w:rPr>
          <w:sz w:val="20"/>
        </w:rPr>
        <w:sectPr>
          <w:footerReference w:type="default" r:id="rId115"/>
          <w:pgSz w:w="12240" w:h="15840"/>
          <w:pgMar w:footer="710" w:header="728" w:top="1200" w:bottom="900" w:left="1720" w:right="1380"/>
        </w:sectPr>
      </w:pPr>
    </w:p>
    <w:p>
      <w:pPr>
        <w:pStyle w:val="BodyText"/>
        <w:rPr>
          <w:sz w:val="20"/>
        </w:rPr>
      </w:pPr>
    </w:p>
    <w:p>
      <w:pPr>
        <w:pStyle w:val="BodyText"/>
        <w:spacing w:before="6"/>
        <w:rPr>
          <w:sz w:val="26"/>
        </w:rPr>
      </w:pPr>
    </w:p>
    <w:p>
      <w:pPr>
        <w:spacing w:line="360" w:lineRule="auto" w:before="74"/>
        <w:ind w:left="152" w:right="146" w:firstLine="0"/>
        <w:jc w:val="both"/>
        <w:rPr>
          <w:sz w:val="20"/>
        </w:rPr>
      </w:pPr>
      <w:r>
        <w:rPr>
          <w:sz w:val="20"/>
        </w:rPr>
        <w:t>Este método permite hacer una estimación del contenido de </w:t>
      </w:r>
      <w:r>
        <w:rPr>
          <w:i/>
          <w:sz w:val="20"/>
        </w:rPr>
        <w:t>Staphylococcus aureus </w:t>
      </w:r>
      <w:r>
        <w:rPr>
          <w:sz w:val="20"/>
        </w:rPr>
        <w:t>en alimentos, se efectúa directamente en placas de medio de cultivo selectivo y diferencial, con la confirmación mediante las pruebas de coagulasa y termonucleasa.</w:t>
      </w:r>
    </w:p>
    <w:p>
      <w:pPr>
        <w:spacing w:line="357" w:lineRule="auto" w:before="4"/>
        <w:ind w:left="152" w:right="154" w:firstLine="0"/>
        <w:jc w:val="left"/>
        <w:rPr>
          <w:sz w:val="20"/>
        </w:rPr>
      </w:pPr>
      <w:r>
        <w:rPr>
          <w:sz w:val="20"/>
        </w:rPr>
        <w:t>Este</w:t>
      </w:r>
      <w:r>
        <w:rPr>
          <w:spacing w:val="-11"/>
          <w:sz w:val="20"/>
        </w:rPr>
        <w:t> </w:t>
      </w:r>
      <w:r>
        <w:rPr>
          <w:sz w:val="20"/>
        </w:rPr>
        <w:t>método</w:t>
      </w:r>
      <w:r>
        <w:rPr>
          <w:spacing w:val="-9"/>
          <w:sz w:val="20"/>
        </w:rPr>
        <w:t> </w:t>
      </w:r>
      <w:r>
        <w:rPr>
          <w:sz w:val="20"/>
        </w:rPr>
        <w:t>es</w:t>
      </w:r>
      <w:r>
        <w:rPr>
          <w:spacing w:val="-9"/>
          <w:sz w:val="20"/>
        </w:rPr>
        <w:t> </w:t>
      </w:r>
      <w:r>
        <w:rPr>
          <w:sz w:val="20"/>
        </w:rPr>
        <w:t>adecuado</w:t>
      </w:r>
      <w:r>
        <w:rPr>
          <w:spacing w:val="-6"/>
          <w:sz w:val="20"/>
        </w:rPr>
        <w:t> </w:t>
      </w:r>
      <w:r>
        <w:rPr>
          <w:sz w:val="20"/>
        </w:rPr>
        <w:t>para</w:t>
      </w:r>
      <w:r>
        <w:rPr>
          <w:spacing w:val="-8"/>
          <w:sz w:val="20"/>
        </w:rPr>
        <w:t> </w:t>
      </w:r>
      <w:r>
        <w:rPr>
          <w:sz w:val="20"/>
        </w:rPr>
        <w:t>el</w:t>
      </w:r>
      <w:r>
        <w:rPr>
          <w:spacing w:val="-9"/>
          <w:sz w:val="20"/>
        </w:rPr>
        <w:t> </w:t>
      </w:r>
      <w:r>
        <w:rPr>
          <w:sz w:val="20"/>
        </w:rPr>
        <w:t>análisis</w:t>
      </w:r>
      <w:r>
        <w:rPr>
          <w:spacing w:val="-9"/>
          <w:sz w:val="20"/>
        </w:rPr>
        <w:t> </w:t>
      </w:r>
      <w:r>
        <w:rPr>
          <w:sz w:val="20"/>
        </w:rPr>
        <w:t>de</w:t>
      </w:r>
      <w:r>
        <w:rPr>
          <w:spacing w:val="-10"/>
          <w:sz w:val="20"/>
        </w:rPr>
        <w:t> </w:t>
      </w:r>
      <w:r>
        <w:rPr>
          <w:sz w:val="20"/>
        </w:rPr>
        <w:t>alimentos</w:t>
      </w:r>
      <w:r>
        <w:rPr>
          <w:spacing w:val="-9"/>
          <w:sz w:val="20"/>
        </w:rPr>
        <w:t> </w:t>
      </w:r>
      <w:r>
        <w:rPr>
          <w:sz w:val="20"/>
        </w:rPr>
        <w:t>en</w:t>
      </w:r>
      <w:r>
        <w:rPr>
          <w:spacing w:val="-8"/>
          <w:sz w:val="20"/>
        </w:rPr>
        <w:t> </w:t>
      </w:r>
      <w:r>
        <w:rPr>
          <w:sz w:val="20"/>
        </w:rPr>
        <w:t>los</w:t>
      </w:r>
      <w:r>
        <w:rPr>
          <w:spacing w:val="-9"/>
          <w:sz w:val="20"/>
        </w:rPr>
        <w:t> </w:t>
      </w:r>
      <w:r>
        <w:rPr>
          <w:sz w:val="20"/>
        </w:rPr>
        <w:t>cuales</w:t>
      </w:r>
      <w:r>
        <w:rPr>
          <w:spacing w:val="-9"/>
          <w:sz w:val="20"/>
        </w:rPr>
        <w:t> </w:t>
      </w:r>
      <w:r>
        <w:rPr>
          <w:sz w:val="20"/>
        </w:rPr>
        <w:t>se</w:t>
      </w:r>
      <w:r>
        <w:rPr>
          <w:spacing w:val="-8"/>
          <w:sz w:val="20"/>
        </w:rPr>
        <w:t> </w:t>
      </w:r>
      <w:r>
        <w:rPr>
          <w:sz w:val="20"/>
        </w:rPr>
        <w:t>esperen</w:t>
      </w:r>
      <w:r>
        <w:rPr>
          <w:spacing w:val="-8"/>
          <w:sz w:val="20"/>
        </w:rPr>
        <w:t> </w:t>
      </w:r>
      <w:r>
        <w:rPr>
          <w:sz w:val="20"/>
        </w:rPr>
        <w:t>más</w:t>
      </w:r>
      <w:r>
        <w:rPr>
          <w:spacing w:val="-9"/>
          <w:sz w:val="20"/>
        </w:rPr>
        <w:t> </w:t>
      </w:r>
      <w:r>
        <w:rPr>
          <w:sz w:val="20"/>
        </w:rPr>
        <w:t>de</w:t>
      </w:r>
      <w:r>
        <w:rPr>
          <w:spacing w:val="-11"/>
          <w:sz w:val="20"/>
        </w:rPr>
        <w:t> </w:t>
      </w:r>
      <w:r>
        <w:rPr>
          <w:sz w:val="20"/>
        </w:rPr>
        <w:t>100</w:t>
      </w:r>
      <w:r>
        <w:rPr>
          <w:spacing w:val="-11"/>
          <w:sz w:val="20"/>
        </w:rPr>
        <w:t> </w:t>
      </w:r>
      <w:r>
        <w:rPr>
          <w:sz w:val="20"/>
        </w:rPr>
        <w:t>células de </w:t>
      </w:r>
      <w:r>
        <w:rPr>
          <w:i/>
          <w:sz w:val="20"/>
        </w:rPr>
        <w:t>Staphylococcus aureus </w:t>
      </w:r>
      <w:r>
        <w:rPr>
          <w:sz w:val="20"/>
        </w:rPr>
        <w:t>por</w:t>
      </w:r>
      <w:r>
        <w:rPr>
          <w:spacing w:val="-7"/>
          <w:sz w:val="20"/>
        </w:rPr>
        <w:t> </w:t>
      </w:r>
      <w:r>
        <w:rPr>
          <w:sz w:val="20"/>
        </w:rPr>
        <w:t>g.</w:t>
      </w:r>
    </w:p>
    <w:p>
      <w:pPr>
        <w:pStyle w:val="BodyText"/>
        <w:rPr>
          <w:sz w:val="20"/>
        </w:rPr>
      </w:pPr>
    </w:p>
    <w:p>
      <w:pPr>
        <w:pStyle w:val="BodyText"/>
        <w:spacing w:before="2"/>
        <w:rPr>
          <w:sz w:val="16"/>
        </w:rPr>
      </w:pPr>
    </w:p>
    <w:p>
      <w:pPr>
        <w:pStyle w:val="ListParagraph"/>
        <w:numPr>
          <w:ilvl w:val="0"/>
          <w:numId w:val="13"/>
        </w:numPr>
        <w:tabs>
          <w:tab w:pos="374" w:val="left" w:leader="none"/>
        </w:tabs>
        <w:spacing w:line="240" w:lineRule="auto" w:before="0" w:after="0"/>
        <w:ind w:left="373" w:right="0" w:hanging="221"/>
        <w:jc w:val="both"/>
        <w:rPr>
          <w:sz w:val="20"/>
        </w:rPr>
      </w:pPr>
      <w:r>
        <w:rPr>
          <w:sz w:val="20"/>
        </w:rPr>
        <w:t>Referencias</w:t>
      </w:r>
    </w:p>
    <w:p>
      <w:pPr>
        <w:spacing w:before="113"/>
        <w:ind w:left="152" w:right="0" w:firstLine="0"/>
        <w:jc w:val="both"/>
        <w:rPr>
          <w:sz w:val="20"/>
        </w:rPr>
      </w:pPr>
      <w:r>
        <w:rPr>
          <w:sz w:val="20"/>
        </w:rPr>
        <w:t>Esta norma se complementa con lo siguiente:</w:t>
      </w:r>
    </w:p>
    <w:p>
      <w:pPr>
        <w:spacing w:line="360" w:lineRule="auto" w:before="116"/>
        <w:ind w:left="152" w:right="130" w:firstLine="0"/>
        <w:jc w:val="left"/>
        <w:rPr>
          <w:sz w:val="20"/>
        </w:rPr>
      </w:pPr>
      <w:r>
        <w:rPr>
          <w:sz w:val="20"/>
        </w:rPr>
        <w:t>NOM-109-SSA1-1994 Procedimiento para la Toma, Manejo y Transporte de Muestras de Alimentos para su Análisis Microbiológico.*</w:t>
      </w:r>
    </w:p>
    <w:p>
      <w:pPr>
        <w:spacing w:line="357" w:lineRule="auto" w:before="4"/>
        <w:ind w:left="152" w:right="926" w:firstLine="0"/>
        <w:jc w:val="left"/>
        <w:rPr>
          <w:sz w:val="20"/>
        </w:rPr>
      </w:pPr>
      <w:r>
        <w:rPr>
          <w:sz w:val="20"/>
        </w:rPr>
        <w:t>NOM-110-SSA1-1994 Preparación y Dilución de Muestras de Alimentos para su Análisis Microbiológico.*</w:t>
      </w:r>
    </w:p>
    <w:p>
      <w:pPr>
        <w:pStyle w:val="ListParagraph"/>
        <w:numPr>
          <w:ilvl w:val="0"/>
          <w:numId w:val="13"/>
        </w:numPr>
        <w:tabs>
          <w:tab w:pos="374" w:val="left" w:leader="none"/>
        </w:tabs>
        <w:spacing w:line="240" w:lineRule="auto" w:before="6" w:after="0"/>
        <w:ind w:left="373" w:right="0" w:hanging="221"/>
        <w:jc w:val="both"/>
        <w:rPr>
          <w:sz w:val="20"/>
        </w:rPr>
      </w:pPr>
      <w:r>
        <w:rPr>
          <w:sz w:val="20"/>
        </w:rPr>
        <w:t>Definiciones</w:t>
      </w:r>
    </w:p>
    <w:p>
      <w:pPr>
        <w:spacing w:before="115"/>
        <w:ind w:left="152" w:right="0" w:firstLine="0"/>
        <w:jc w:val="both"/>
        <w:rPr>
          <w:sz w:val="20"/>
        </w:rPr>
      </w:pPr>
      <w:r>
        <w:rPr>
          <w:sz w:val="20"/>
        </w:rPr>
        <w:t>Para fines de esta norma se entiende por:</w:t>
      </w:r>
    </w:p>
    <w:p>
      <w:pPr>
        <w:spacing w:line="360" w:lineRule="auto" w:before="113"/>
        <w:ind w:left="152" w:right="154" w:firstLine="0"/>
        <w:jc w:val="left"/>
        <w:rPr>
          <w:sz w:val="20"/>
        </w:rPr>
      </w:pPr>
      <w:r>
        <w:rPr>
          <w:i/>
          <w:sz w:val="20"/>
        </w:rPr>
        <w:t>Staphylococcus aureus</w:t>
      </w:r>
      <w:r>
        <w:rPr>
          <w:sz w:val="20"/>
        </w:rPr>
        <w:t>, microorganismo que se desarrolla en medios de cultivo selectivo y diferencial, que es capaz de dar positiva la prueba de coagulasa y termonucleasa.</w:t>
      </w:r>
    </w:p>
    <w:p>
      <w:pPr>
        <w:pStyle w:val="ListParagraph"/>
        <w:numPr>
          <w:ilvl w:val="0"/>
          <w:numId w:val="13"/>
        </w:numPr>
        <w:tabs>
          <w:tab w:pos="374" w:val="left" w:leader="none"/>
        </w:tabs>
        <w:spacing w:line="240" w:lineRule="auto" w:before="4" w:after="0"/>
        <w:ind w:left="373" w:right="0" w:hanging="221"/>
        <w:jc w:val="both"/>
        <w:rPr>
          <w:sz w:val="20"/>
        </w:rPr>
      </w:pPr>
      <w:r>
        <w:rPr>
          <w:sz w:val="20"/>
        </w:rPr>
        <w:t>Símbolos y</w:t>
      </w:r>
      <w:r>
        <w:rPr>
          <w:spacing w:val="-7"/>
          <w:sz w:val="20"/>
        </w:rPr>
        <w:t> </w:t>
      </w:r>
      <w:r>
        <w:rPr>
          <w:sz w:val="20"/>
        </w:rPr>
        <w:t>abreviaturas</w:t>
      </w:r>
    </w:p>
    <w:p>
      <w:pPr>
        <w:spacing w:line="357" w:lineRule="auto" w:before="115"/>
        <w:ind w:left="152" w:right="129" w:firstLine="0"/>
        <w:jc w:val="left"/>
        <w:rPr>
          <w:sz w:val="20"/>
        </w:rPr>
      </w:pPr>
      <w:r>
        <w:rPr>
          <w:sz w:val="20"/>
        </w:rPr>
        <w:t>Cuando en esta norma se haga referencia a los siguientes símbolos y abreviaturas se entiende por: kg kilogramo</w:t>
      </w:r>
    </w:p>
    <w:p>
      <w:pPr>
        <w:spacing w:line="360" w:lineRule="auto" w:before="6"/>
        <w:ind w:left="152" w:right="6700" w:firstLine="0"/>
        <w:jc w:val="left"/>
        <w:rPr>
          <w:sz w:val="20"/>
        </w:rPr>
      </w:pPr>
      <w:r>
        <w:rPr>
          <w:sz w:val="20"/>
        </w:rPr>
        <w:t>cm2 centímetro cuadrado g gramo</w:t>
      </w:r>
    </w:p>
    <w:p>
      <w:pPr>
        <w:spacing w:before="4"/>
        <w:ind w:left="152" w:right="0" w:firstLine="0"/>
        <w:jc w:val="both"/>
        <w:rPr>
          <w:sz w:val="20"/>
        </w:rPr>
      </w:pPr>
      <w:r>
        <w:rPr>
          <w:sz w:val="20"/>
        </w:rPr>
        <w:t>l litro</w:t>
      </w:r>
    </w:p>
    <w:p>
      <w:pPr>
        <w:spacing w:before="113"/>
        <w:ind w:left="152" w:right="0" w:firstLine="0"/>
        <w:jc w:val="both"/>
        <w:rPr>
          <w:sz w:val="20"/>
        </w:rPr>
      </w:pPr>
      <w:r>
        <w:rPr>
          <w:sz w:val="20"/>
        </w:rPr>
        <w:t>ml mililitro</w:t>
      </w:r>
    </w:p>
    <w:p>
      <w:pPr>
        <w:spacing w:line="360" w:lineRule="auto" w:before="115"/>
        <w:ind w:left="152" w:right="7719" w:firstLine="0"/>
        <w:jc w:val="both"/>
        <w:rPr>
          <w:sz w:val="20"/>
        </w:rPr>
      </w:pPr>
      <w:r>
        <w:rPr>
          <w:sz w:val="20"/>
        </w:rPr>
        <w:t>cm centímetro mm milímetro h hora</w:t>
      </w:r>
    </w:p>
    <w:p>
      <w:pPr>
        <w:spacing w:line="362" w:lineRule="auto" w:before="1"/>
        <w:ind w:left="152" w:right="7707" w:firstLine="0"/>
        <w:jc w:val="left"/>
        <w:rPr>
          <w:sz w:val="20"/>
        </w:rPr>
      </w:pPr>
      <w:r>
        <w:rPr>
          <w:sz w:val="20"/>
        </w:rPr>
        <w:t>min minuto seg segundo</w:t>
      </w:r>
    </w:p>
    <w:p>
      <w:pPr>
        <w:spacing w:line="360" w:lineRule="auto" w:before="1"/>
        <w:ind w:left="152" w:right="7267" w:firstLine="0"/>
        <w:jc w:val="left"/>
        <w:rPr>
          <w:sz w:val="20"/>
        </w:rPr>
      </w:pPr>
      <w:r>
        <w:rPr>
          <w:sz w:val="20"/>
        </w:rPr>
        <w:t>ºC grados Celsius N normal</w:t>
      </w:r>
    </w:p>
    <w:p>
      <w:pPr>
        <w:spacing w:before="1"/>
        <w:ind w:left="152" w:right="0" w:firstLine="0"/>
        <w:jc w:val="both"/>
        <w:rPr>
          <w:sz w:val="20"/>
        </w:rPr>
      </w:pPr>
      <w:r>
        <w:rPr>
          <w:sz w:val="20"/>
        </w:rPr>
        <w:t>M molar</w:t>
      </w:r>
    </w:p>
    <w:p>
      <w:pPr>
        <w:spacing w:before="115"/>
        <w:ind w:left="152" w:right="0" w:firstLine="0"/>
        <w:jc w:val="both"/>
        <w:rPr>
          <w:sz w:val="20"/>
        </w:rPr>
      </w:pPr>
      <w:r>
        <w:rPr>
          <w:sz w:val="20"/>
        </w:rPr>
        <w:t>PM peso molecular</w:t>
      </w:r>
    </w:p>
    <w:p>
      <w:pPr>
        <w:spacing w:before="115"/>
        <w:ind w:left="152" w:right="0" w:firstLine="0"/>
        <w:jc w:val="both"/>
        <w:rPr>
          <w:sz w:val="20"/>
        </w:rPr>
      </w:pPr>
      <w:r>
        <w:rPr>
          <w:sz w:val="20"/>
        </w:rPr>
        <w:t>pH potencial de hidrógeno</w:t>
      </w:r>
    </w:p>
    <w:p>
      <w:pPr>
        <w:spacing w:before="115"/>
        <w:ind w:left="152" w:right="0" w:firstLine="0"/>
        <w:jc w:val="both"/>
        <w:rPr>
          <w:sz w:val="20"/>
        </w:rPr>
      </w:pPr>
      <w:r>
        <w:rPr>
          <w:sz w:val="20"/>
        </w:rPr>
        <w:t>± más o menos</w:t>
      </w:r>
    </w:p>
    <w:p>
      <w:pPr>
        <w:spacing w:before="113"/>
        <w:ind w:left="152" w:right="0" w:firstLine="0"/>
        <w:jc w:val="both"/>
        <w:rPr>
          <w:sz w:val="20"/>
        </w:rPr>
      </w:pPr>
      <w:r>
        <w:rPr>
          <w:sz w:val="20"/>
        </w:rPr>
        <w:t>% por ciento</w:t>
      </w:r>
    </w:p>
    <w:p>
      <w:pPr>
        <w:spacing w:after="0"/>
        <w:jc w:val="both"/>
        <w:rPr>
          <w:sz w:val="20"/>
        </w:rPr>
        <w:sectPr>
          <w:footerReference w:type="default" r:id="rId116"/>
          <w:pgSz w:w="12240" w:h="15840"/>
          <w:pgMar w:footer="710" w:header="728" w:top="1200" w:bottom="900" w:left="1720" w:right="1380"/>
          <w:pgNumType w:start="111"/>
        </w:sectPr>
      </w:pPr>
    </w:p>
    <w:p>
      <w:pPr>
        <w:pStyle w:val="BodyText"/>
        <w:rPr>
          <w:sz w:val="20"/>
        </w:rPr>
      </w:pPr>
    </w:p>
    <w:p>
      <w:pPr>
        <w:pStyle w:val="BodyText"/>
        <w:spacing w:before="9"/>
        <w:rPr>
          <w:sz w:val="26"/>
        </w:rPr>
      </w:pPr>
    </w:p>
    <w:p>
      <w:pPr>
        <w:spacing w:before="74"/>
        <w:ind w:left="152" w:right="926" w:firstLine="0"/>
        <w:jc w:val="left"/>
        <w:rPr>
          <w:sz w:val="20"/>
        </w:rPr>
      </w:pPr>
      <w:r>
        <w:rPr>
          <w:sz w:val="20"/>
        </w:rPr>
        <w:t>/ por</w:t>
      </w:r>
    </w:p>
    <w:p>
      <w:pPr>
        <w:spacing w:before="115"/>
        <w:ind w:left="152" w:right="926" w:firstLine="0"/>
        <w:jc w:val="left"/>
        <w:rPr>
          <w:sz w:val="20"/>
        </w:rPr>
      </w:pPr>
      <w:r>
        <w:rPr>
          <w:sz w:val="20"/>
        </w:rPr>
        <w:t>µm micrómetro</w:t>
      </w:r>
    </w:p>
    <w:p>
      <w:pPr>
        <w:spacing w:before="113"/>
        <w:ind w:left="152" w:right="926" w:firstLine="0"/>
        <w:jc w:val="left"/>
        <w:rPr>
          <w:sz w:val="20"/>
        </w:rPr>
      </w:pPr>
      <w:r>
        <w:rPr>
          <w:sz w:val="20"/>
        </w:rPr>
        <w:t>UFC unidades formadoras de colonias</w:t>
      </w:r>
    </w:p>
    <w:p>
      <w:pPr>
        <w:pStyle w:val="ListParagraph"/>
        <w:numPr>
          <w:ilvl w:val="0"/>
          <w:numId w:val="13"/>
        </w:numPr>
        <w:tabs>
          <w:tab w:pos="374" w:val="left" w:leader="none"/>
        </w:tabs>
        <w:spacing w:line="240" w:lineRule="auto" w:before="115" w:after="0"/>
        <w:ind w:left="373" w:right="0" w:hanging="221"/>
        <w:jc w:val="left"/>
        <w:rPr>
          <w:sz w:val="20"/>
        </w:rPr>
      </w:pPr>
      <w:r>
        <w:rPr>
          <w:sz w:val="20"/>
        </w:rPr>
        <w:t>Reactivos y</w:t>
      </w:r>
      <w:r>
        <w:rPr>
          <w:spacing w:val="-7"/>
          <w:sz w:val="20"/>
        </w:rPr>
        <w:t> </w:t>
      </w:r>
      <w:r>
        <w:rPr>
          <w:sz w:val="20"/>
        </w:rPr>
        <w:t>materiales</w:t>
      </w:r>
    </w:p>
    <w:p>
      <w:pPr>
        <w:spacing w:line="360" w:lineRule="auto" w:before="115"/>
        <w:ind w:left="152" w:right="154" w:firstLine="0"/>
        <w:jc w:val="left"/>
        <w:rPr>
          <w:sz w:val="20"/>
        </w:rPr>
      </w:pPr>
      <w:r>
        <w:rPr>
          <w:sz w:val="20"/>
        </w:rPr>
        <w:t>En</w:t>
      </w:r>
      <w:r>
        <w:rPr>
          <w:spacing w:val="-10"/>
          <w:sz w:val="20"/>
        </w:rPr>
        <w:t> </w:t>
      </w:r>
      <w:r>
        <w:rPr>
          <w:sz w:val="20"/>
        </w:rPr>
        <w:t>caso</w:t>
      </w:r>
      <w:r>
        <w:rPr>
          <w:spacing w:val="-10"/>
          <w:sz w:val="20"/>
        </w:rPr>
        <w:t> </w:t>
      </w:r>
      <w:r>
        <w:rPr>
          <w:sz w:val="20"/>
        </w:rPr>
        <w:t>de</w:t>
      </w:r>
      <w:r>
        <w:rPr>
          <w:spacing w:val="-10"/>
          <w:sz w:val="20"/>
        </w:rPr>
        <w:t> </w:t>
      </w:r>
      <w:r>
        <w:rPr>
          <w:sz w:val="20"/>
        </w:rPr>
        <w:t>disponerse</w:t>
      </w:r>
      <w:r>
        <w:rPr>
          <w:spacing w:val="-10"/>
          <w:sz w:val="20"/>
        </w:rPr>
        <w:t> </w:t>
      </w:r>
      <w:r>
        <w:rPr>
          <w:sz w:val="20"/>
        </w:rPr>
        <w:t>de</w:t>
      </w:r>
      <w:r>
        <w:rPr>
          <w:spacing w:val="-10"/>
          <w:sz w:val="20"/>
        </w:rPr>
        <w:t> </w:t>
      </w:r>
      <w:r>
        <w:rPr>
          <w:sz w:val="20"/>
        </w:rPr>
        <w:t>fórmulas</w:t>
      </w:r>
      <w:r>
        <w:rPr>
          <w:spacing w:val="-9"/>
          <w:sz w:val="20"/>
        </w:rPr>
        <w:t> </w:t>
      </w:r>
      <w:r>
        <w:rPr>
          <w:sz w:val="20"/>
        </w:rPr>
        <w:t>comerciales</w:t>
      </w:r>
      <w:r>
        <w:rPr>
          <w:spacing w:val="-9"/>
          <w:sz w:val="20"/>
        </w:rPr>
        <w:t> </w:t>
      </w:r>
      <w:r>
        <w:rPr>
          <w:sz w:val="20"/>
        </w:rPr>
        <w:t>deshidratadas,</w:t>
      </w:r>
      <w:r>
        <w:rPr>
          <w:spacing w:val="-10"/>
          <w:sz w:val="20"/>
        </w:rPr>
        <w:t> </w:t>
      </w:r>
      <w:r>
        <w:rPr>
          <w:sz w:val="20"/>
        </w:rPr>
        <w:t>para</w:t>
      </w:r>
      <w:r>
        <w:rPr>
          <w:spacing w:val="-10"/>
          <w:sz w:val="20"/>
        </w:rPr>
        <w:t> </w:t>
      </w:r>
      <w:r>
        <w:rPr>
          <w:sz w:val="20"/>
        </w:rPr>
        <w:t>su</w:t>
      </w:r>
      <w:r>
        <w:rPr>
          <w:spacing w:val="-10"/>
          <w:sz w:val="20"/>
        </w:rPr>
        <w:t> </w:t>
      </w:r>
      <w:r>
        <w:rPr>
          <w:sz w:val="20"/>
        </w:rPr>
        <w:t>preparación</w:t>
      </w:r>
      <w:r>
        <w:rPr>
          <w:spacing w:val="-11"/>
          <w:sz w:val="20"/>
        </w:rPr>
        <w:t> </w:t>
      </w:r>
      <w:r>
        <w:rPr>
          <w:sz w:val="20"/>
        </w:rPr>
        <w:t>se</w:t>
      </w:r>
      <w:r>
        <w:rPr>
          <w:spacing w:val="-10"/>
          <w:sz w:val="20"/>
        </w:rPr>
        <w:t> </w:t>
      </w:r>
      <w:r>
        <w:rPr>
          <w:sz w:val="20"/>
        </w:rPr>
        <w:t>deben</w:t>
      </w:r>
      <w:r>
        <w:rPr>
          <w:spacing w:val="-10"/>
          <w:sz w:val="20"/>
        </w:rPr>
        <w:t> </w:t>
      </w:r>
      <w:r>
        <w:rPr>
          <w:sz w:val="20"/>
        </w:rPr>
        <w:t>seguir las instrucciones impresas en la etiqueta</w:t>
      </w:r>
      <w:r>
        <w:rPr>
          <w:spacing w:val="-16"/>
          <w:sz w:val="20"/>
        </w:rPr>
        <w:t> </w:t>
      </w:r>
      <w:r>
        <w:rPr>
          <w:sz w:val="20"/>
        </w:rPr>
        <w:t>respectiva.</w:t>
      </w:r>
    </w:p>
    <w:p>
      <w:pPr>
        <w:spacing w:before="1"/>
        <w:ind w:left="152" w:right="926" w:firstLine="0"/>
        <w:jc w:val="left"/>
        <w:rPr>
          <w:sz w:val="20"/>
        </w:rPr>
      </w:pPr>
      <w:r>
        <w:rPr>
          <w:sz w:val="20"/>
        </w:rPr>
        <w:t>Cuando se mencione agua debe entenderse que se trata de "agua destilada".</w:t>
      </w:r>
    </w:p>
    <w:p>
      <w:pPr>
        <w:spacing w:before="115"/>
        <w:ind w:left="152" w:right="926" w:firstLine="0"/>
        <w:jc w:val="left"/>
        <w:rPr>
          <w:sz w:val="20"/>
        </w:rPr>
      </w:pPr>
      <w:r>
        <w:rPr>
          <w:sz w:val="20"/>
        </w:rPr>
        <w:t>Los reactivos a emplear en el método objeto de esta norma deben ser grado analítico.</w:t>
      </w:r>
    </w:p>
    <w:p>
      <w:pPr>
        <w:pStyle w:val="BodyText"/>
        <w:rPr>
          <w:sz w:val="20"/>
        </w:rPr>
      </w:pPr>
    </w:p>
    <w:p>
      <w:pPr>
        <w:pStyle w:val="BodyText"/>
        <w:spacing w:before="10"/>
        <w:rPr>
          <w:sz w:val="19"/>
        </w:rPr>
      </w:pPr>
    </w:p>
    <w:p>
      <w:pPr>
        <w:pStyle w:val="ListParagraph"/>
        <w:numPr>
          <w:ilvl w:val="1"/>
          <w:numId w:val="13"/>
        </w:numPr>
        <w:tabs>
          <w:tab w:pos="484" w:val="left" w:leader="none"/>
        </w:tabs>
        <w:spacing w:line="240" w:lineRule="auto" w:before="1" w:after="0"/>
        <w:ind w:left="483" w:right="0" w:hanging="331"/>
        <w:jc w:val="left"/>
        <w:rPr>
          <w:sz w:val="20"/>
        </w:rPr>
      </w:pPr>
      <w:r>
        <w:rPr>
          <w:sz w:val="20"/>
        </w:rPr>
        <w:t>Reactivos</w:t>
      </w:r>
    </w:p>
    <w:p>
      <w:pPr>
        <w:pStyle w:val="ListParagraph"/>
        <w:numPr>
          <w:ilvl w:val="2"/>
          <w:numId w:val="13"/>
        </w:numPr>
        <w:tabs>
          <w:tab w:pos="652" w:val="left" w:leader="none"/>
        </w:tabs>
        <w:spacing w:line="240" w:lineRule="auto" w:before="115" w:after="0"/>
        <w:ind w:left="651" w:right="0" w:hanging="499"/>
        <w:jc w:val="left"/>
        <w:rPr>
          <w:sz w:val="20"/>
        </w:rPr>
      </w:pPr>
      <w:r>
        <w:rPr>
          <w:sz w:val="20"/>
        </w:rPr>
        <w:t>Soluciones</w:t>
      </w:r>
      <w:r>
        <w:rPr>
          <w:spacing w:val="-7"/>
          <w:sz w:val="20"/>
        </w:rPr>
        <w:t> </w:t>
      </w:r>
      <w:r>
        <w:rPr>
          <w:sz w:val="20"/>
        </w:rPr>
        <w:t>diluyentes</w:t>
      </w:r>
    </w:p>
    <w:p>
      <w:pPr>
        <w:pStyle w:val="ListParagraph"/>
        <w:numPr>
          <w:ilvl w:val="3"/>
          <w:numId w:val="13"/>
        </w:numPr>
        <w:tabs>
          <w:tab w:pos="820" w:val="left" w:leader="none"/>
        </w:tabs>
        <w:spacing w:line="360" w:lineRule="auto" w:before="115" w:after="0"/>
        <w:ind w:left="152" w:right="3398" w:firstLine="0"/>
        <w:jc w:val="left"/>
        <w:rPr>
          <w:sz w:val="20"/>
        </w:rPr>
      </w:pPr>
      <w:r>
        <w:rPr>
          <w:sz w:val="20"/>
        </w:rPr>
        <w:t>Solución reguladora de fosfatos (Solución</w:t>
      </w:r>
      <w:r>
        <w:rPr>
          <w:spacing w:val="-17"/>
          <w:sz w:val="20"/>
        </w:rPr>
        <w:t> </w:t>
      </w:r>
      <w:r>
        <w:rPr>
          <w:sz w:val="20"/>
        </w:rPr>
        <w:t>concentrada) FORMULA</w:t>
      </w:r>
    </w:p>
    <w:p>
      <w:pPr>
        <w:spacing w:line="360" w:lineRule="auto" w:before="1"/>
        <w:ind w:left="152" w:right="6388" w:firstLine="0"/>
        <w:jc w:val="left"/>
        <w:rPr>
          <w:sz w:val="20"/>
        </w:rPr>
      </w:pPr>
      <w:r>
        <w:rPr>
          <w:sz w:val="20"/>
        </w:rPr>
        <w:t>Ingredientes Cantidad Fosfato monopotásico 34,0 g Agua 1,0 l</w:t>
      </w:r>
    </w:p>
    <w:p>
      <w:pPr>
        <w:spacing w:before="4"/>
        <w:ind w:left="152" w:right="926" w:firstLine="0"/>
        <w:jc w:val="left"/>
        <w:rPr>
          <w:sz w:val="20"/>
        </w:rPr>
      </w:pPr>
      <w:r>
        <w:rPr>
          <w:sz w:val="20"/>
        </w:rPr>
        <w:t>Preparación</w:t>
      </w:r>
    </w:p>
    <w:p>
      <w:pPr>
        <w:spacing w:line="360" w:lineRule="auto" w:before="113"/>
        <w:ind w:left="152" w:right="154" w:firstLine="0"/>
        <w:jc w:val="left"/>
        <w:rPr>
          <w:sz w:val="20"/>
        </w:rPr>
      </w:pPr>
      <w:r>
        <w:rPr>
          <w:sz w:val="20"/>
        </w:rPr>
        <w:t>Disolver el fosfato en 500 ml de agua y ajustar el pH a 7,2 con solución de hidróxido de sodio 1 N, aforar con agua a 1 l.</w:t>
      </w:r>
    </w:p>
    <w:p>
      <w:pPr>
        <w:spacing w:line="360" w:lineRule="auto" w:before="4"/>
        <w:ind w:left="152" w:right="1081" w:firstLine="0"/>
        <w:jc w:val="left"/>
        <w:rPr>
          <w:sz w:val="20"/>
        </w:rPr>
      </w:pPr>
      <w:r>
        <w:rPr>
          <w:sz w:val="20"/>
        </w:rPr>
        <w:t>Esterilizar durante 15 min a 121ºC ±1, conservar en refrigeración (solución concentrada). Tomar 1,25 ml de la solución concentrada y llevar a 1 l con agua (solución de trabajo).</w:t>
      </w:r>
    </w:p>
    <w:p>
      <w:pPr>
        <w:spacing w:line="360" w:lineRule="auto" w:before="1"/>
        <w:ind w:left="152" w:right="3443" w:firstLine="0"/>
        <w:jc w:val="left"/>
        <w:rPr>
          <w:sz w:val="20"/>
        </w:rPr>
      </w:pPr>
      <w:r>
        <w:rPr>
          <w:sz w:val="20"/>
        </w:rPr>
        <w:t>Distribuir en porciones de 99, 90 y 9 ml según se requiera. Esterilizar a 121ºC ±1 durante 15 min.</w:t>
      </w:r>
    </w:p>
    <w:p>
      <w:pPr>
        <w:spacing w:line="360" w:lineRule="auto" w:before="4"/>
        <w:ind w:left="152" w:right="85" w:firstLine="0"/>
        <w:jc w:val="left"/>
        <w:rPr>
          <w:sz w:val="20"/>
        </w:rPr>
      </w:pPr>
      <w:r>
        <w:rPr>
          <w:sz w:val="20"/>
        </w:rPr>
        <w:t>Después</w:t>
      </w:r>
      <w:r>
        <w:rPr>
          <w:spacing w:val="-14"/>
          <w:sz w:val="20"/>
        </w:rPr>
        <w:t> </w:t>
      </w:r>
      <w:r>
        <w:rPr>
          <w:sz w:val="20"/>
        </w:rPr>
        <w:t>de</w:t>
      </w:r>
      <w:r>
        <w:rPr>
          <w:spacing w:val="-15"/>
          <w:sz w:val="20"/>
        </w:rPr>
        <w:t> </w:t>
      </w:r>
      <w:r>
        <w:rPr>
          <w:sz w:val="20"/>
        </w:rPr>
        <w:t>la</w:t>
      </w:r>
      <w:r>
        <w:rPr>
          <w:spacing w:val="-13"/>
          <w:sz w:val="20"/>
        </w:rPr>
        <w:t> </w:t>
      </w:r>
      <w:r>
        <w:rPr>
          <w:sz w:val="20"/>
        </w:rPr>
        <w:t>esterilización,</w:t>
      </w:r>
      <w:r>
        <w:rPr>
          <w:spacing w:val="-15"/>
          <w:sz w:val="20"/>
        </w:rPr>
        <w:t> </w:t>
      </w:r>
      <w:r>
        <w:rPr>
          <w:sz w:val="20"/>
        </w:rPr>
        <w:t>los</w:t>
      </w:r>
      <w:r>
        <w:rPr>
          <w:spacing w:val="-14"/>
          <w:sz w:val="20"/>
        </w:rPr>
        <w:t> </w:t>
      </w:r>
      <w:r>
        <w:rPr>
          <w:sz w:val="20"/>
        </w:rPr>
        <w:t>volúmenes</w:t>
      </w:r>
      <w:r>
        <w:rPr>
          <w:spacing w:val="-14"/>
          <w:sz w:val="20"/>
        </w:rPr>
        <w:t> </w:t>
      </w:r>
      <w:r>
        <w:rPr>
          <w:sz w:val="20"/>
        </w:rPr>
        <w:t>finales</w:t>
      </w:r>
      <w:r>
        <w:rPr>
          <w:spacing w:val="-12"/>
          <w:sz w:val="20"/>
        </w:rPr>
        <w:t> </w:t>
      </w:r>
      <w:r>
        <w:rPr>
          <w:sz w:val="20"/>
        </w:rPr>
        <w:t>y</w:t>
      </w:r>
      <w:r>
        <w:rPr>
          <w:spacing w:val="-18"/>
          <w:sz w:val="20"/>
        </w:rPr>
        <w:t> </w:t>
      </w:r>
      <w:r>
        <w:rPr>
          <w:sz w:val="20"/>
        </w:rPr>
        <w:t>el</w:t>
      </w:r>
      <w:r>
        <w:rPr>
          <w:spacing w:val="-13"/>
          <w:sz w:val="20"/>
        </w:rPr>
        <w:t> </w:t>
      </w:r>
      <w:r>
        <w:rPr>
          <w:sz w:val="20"/>
        </w:rPr>
        <w:t>pH</w:t>
      </w:r>
      <w:r>
        <w:rPr>
          <w:spacing w:val="-15"/>
          <w:sz w:val="20"/>
        </w:rPr>
        <w:t> </w:t>
      </w:r>
      <w:r>
        <w:rPr>
          <w:sz w:val="20"/>
        </w:rPr>
        <w:t>de</w:t>
      </w:r>
      <w:r>
        <w:rPr>
          <w:spacing w:val="-13"/>
          <w:sz w:val="20"/>
        </w:rPr>
        <w:t> </w:t>
      </w:r>
      <w:r>
        <w:rPr>
          <w:sz w:val="20"/>
        </w:rPr>
        <w:t>la</w:t>
      </w:r>
      <w:r>
        <w:rPr>
          <w:spacing w:val="-10"/>
          <w:sz w:val="20"/>
        </w:rPr>
        <w:t> </w:t>
      </w:r>
      <w:r>
        <w:rPr>
          <w:sz w:val="20"/>
        </w:rPr>
        <w:t>solución</w:t>
      </w:r>
      <w:r>
        <w:rPr>
          <w:spacing w:val="-15"/>
          <w:sz w:val="20"/>
        </w:rPr>
        <w:t> </w:t>
      </w:r>
      <w:r>
        <w:rPr>
          <w:sz w:val="20"/>
        </w:rPr>
        <w:t>de</w:t>
      </w:r>
      <w:r>
        <w:rPr>
          <w:spacing w:val="-13"/>
          <w:sz w:val="20"/>
        </w:rPr>
        <w:t> </w:t>
      </w:r>
      <w:r>
        <w:rPr>
          <w:sz w:val="20"/>
        </w:rPr>
        <w:t>trabajo</w:t>
      </w:r>
      <w:r>
        <w:rPr>
          <w:spacing w:val="-13"/>
          <w:sz w:val="20"/>
        </w:rPr>
        <w:t> </w:t>
      </w:r>
      <w:r>
        <w:rPr>
          <w:sz w:val="20"/>
        </w:rPr>
        <w:t>deben</w:t>
      </w:r>
      <w:r>
        <w:rPr>
          <w:spacing w:val="-15"/>
          <w:sz w:val="20"/>
        </w:rPr>
        <w:t> </w:t>
      </w:r>
      <w:r>
        <w:rPr>
          <w:sz w:val="20"/>
        </w:rPr>
        <w:t>ser</w:t>
      </w:r>
      <w:r>
        <w:rPr>
          <w:spacing w:val="-14"/>
          <w:sz w:val="20"/>
        </w:rPr>
        <w:t> </w:t>
      </w:r>
      <w:r>
        <w:rPr>
          <w:sz w:val="20"/>
        </w:rPr>
        <w:t>iguales a los</w:t>
      </w:r>
      <w:r>
        <w:rPr>
          <w:spacing w:val="-7"/>
          <w:sz w:val="20"/>
        </w:rPr>
        <w:t> </w:t>
      </w:r>
      <w:r>
        <w:rPr>
          <w:sz w:val="20"/>
        </w:rPr>
        <w:t>iniciales.</w:t>
      </w:r>
    </w:p>
    <w:p>
      <w:pPr>
        <w:pStyle w:val="ListParagraph"/>
        <w:numPr>
          <w:ilvl w:val="3"/>
          <w:numId w:val="13"/>
        </w:numPr>
        <w:tabs>
          <w:tab w:pos="820" w:val="left" w:leader="none"/>
        </w:tabs>
        <w:spacing w:line="360" w:lineRule="auto" w:before="1" w:after="0"/>
        <w:ind w:left="152" w:right="6853" w:firstLine="0"/>
        <w:jc w:val="left"/>
        <w:rPr>
          <w:sz w:val="20"/>
        </w:rPr>
      </w:pPr>
      <w:r>
        <w:rPr>
          <w:sz w:val="20"/>
        </w:rPr>
        <w:t>Agua</w:t>
      </w:r>
      <w:r>
        <w:rPr>
          <w:spacing w:val="-6"/>
          <w:sz w:val="20"/>
        </w:rPr>
        <w:t> </w:t>
      </w:r>
      <w:r>
        <w:rPr>
          <w:sz w:val="20"/>
        </w:rPr>
        <w:t>peptonada FORMULA</w:t>
      </w:r>
    </w:p>
    <w:p>
      <w:pPr>
        <w:spacing w:line="357" w:lineRule="auto" w:before="4"/>
        <w:ind w:left="152" w:right="6700" w:firstLine="0"/>
        <w:jc w:val="left"/>
        <w:rPr>
          <w:sz w:val="20"/>
        </w:rPr>
      </w:pPr>
      <w:r>
        <w:rPr>
          <w:sz w:val="20"/>
        </w:rPr>
        <w:t>Ingredientes Cantidad Peptona 1,0 g</w:t>
      </w:r>
    </w:p>
    <w:p>
      <w:pPr>
        <w:spacing w:line="360" w:lineRule="auto" w:before="6"/>
        <w:ind w:left="152" w:right="7008" w:firstLine="0"/>
        <w:jc w:val="left"/>
        <w:rPr>
          <w:sz w:val="20"/>
        </w:rPr>
      </w:pPr>
      <w:r>
        <w:rPr>
          <w:sz w:val="20"/>
        </w:rPr>
        <w:t>Cloruro de sodio 8,5 g Agua 1,0 l Preparación</w:t>
      </w:r>
    </w:p>
    <w:p>
      <w:pPr>
        <w:spacing w:before="1"/>
        <w:ind w:left="152" w:right="926" w:firstLine="0"/>
        <w:jc w:val="left"/>
        <w:rPr>
          <w:sz w:val="20"/>
        </w:rPr>
      </w:pPr>
      <w:r>
        <w:rPr>
          <w:sz w:val="20"/>
        </w:rPr>
        <w:t>Disolver los componentes en un litro de agua.</w:t>
      </w:r>
    </w:p>
    <w:p>
      <w:pPr>
        <w:spacing w:line="360" w:lineRule="auto" w:before="115"/>
        <w:ind w:left="152" w:right="3443" w:firstLine="0"/>
        <w:jc w:val="left"/>
        <w:rPr>
          <w:sz w:val="20"/>
        </w:rPr>
      </w:pPr>
      <w:r>
        <w:rPr>
          <w:sz w:val="20"/>
        </w:rPr>
        <w:t>Ajustar el pH a 7,0 con solución de hidróxido de sodio 1N. Distribuir en porciones de 99, 90 y 9 ml según se requiera.</w:t>
      </w:r>
    </w:p>
    <w:p>
      <w:pPr>
        <w:spacing w:after="0" w:line="360" w:lineRule="auto"/>
        <w:jc w:val="left"/>
        <w:rPr>
          <w:sz w:val="20"/>
        </w:rPr>
        <w:sectPr>
          <w:pgSz w:w="12240" w:h="15840"/>
          <w:pgMar w:header="728" w:footer="710" w:top="1200" w:bottom="900" w:left="1720" w:right="1380"/>
        </w:sectPr>
      </w:pPr>
    </w:p>
    <w:p>
      <w:pPr>
        <w:pStyle w:val="BodyText"/>
        <w:rPr>
          <w:sz w:val="20"/>
        </w:rPr>
      </w:pPr>
    </w:p>
    <w:p>
      <w:pPr>
        <w:pStyle w:val="BodyText"/>
        <w:spacing w:before="9"/>
        <w:rPr>
          <w:sz w:val="26"/>
        </w:rPr>
      </w:pPr>
    </w:p>
    <w:p>
      <w:pPr>
        <w:spacing w:before="74"/>
        <w:ind w:left="152" w:right="926" w:firstLine="0"/>
        <w:jc w:val="left"/>
        <w:rPr>
          <w:sz w:val="20"/>
        </w:rPr>
      </w:pPr>
      <w:r>
        <w:rPr>
          <w:sz w:val="20"/>
        </w:rPr>
        <w:t>Esterilizar a 121ºC ±1 durante 15 min.</w:t>
      </w:r>
    </w:p>
    <w:p>
      <w:pPr>
        <w:spacing w:line="357" w:lineRule="auto" w:before="115"/>
        <w:ind w:left="152" w:right="154" w:firstLine="0"/>
        <w:jc w:val="left"/>
        <w:rPr>
          <w:sz w:val="20"/>
        </w:rPr>
      </w:pPr>
      <w:r>
        <w:rPr>
          <w:sz w:val="20"/>
        </w:rPr>
        <w:t>Después</w:t>
      </w:r>
      <w:r>
        <w:rPr>
          <w:spacing w:val="-9"/>
          <w:sz w:val="20"/>
        </w:rPr>
        <w:t> </w:t>
      </w:r>
      <w:r>
        <w:rPr>
          <w:sz w:val="20"/>
        </w:rPr>
        <w:t>de</w:t>
      </w:r>
      <w:r>
        <w:rPr>
          <w:spacing w:val="-11"/>
          <w:sz w:val="20"/>
        </w:rPr>
        <w:t> </w:t>
      </w:r>
      <w:r>
        <w:rPr>
          <w:sz w:val="20"/>
        </w:rPr>
        <w:t>la</w:t>
      </w:r>
      <w:r>
        <w:rPr>
          <w:spacing w:val="-10"/>
          <w:sz w:val="20"/>
        </w:rPr>
        <w:t> </w:t>
      </w:r>
      <w:r>
        <w:rPr>
          <w:sz w:val="20"/>
        </w:rPr>
        <w:t>esterilización</w:t>
      </w:r>
      <w:r>
        <w:rPr>
          <w:spacing w:val="-13"/>
          <w:sz w:val="20"/>
        </w:rPr>
        <w:t> </w:t>
      </w:r>
      <w:r>
        <w:rPr>
          <w:sz w:val="20"/>
        </w:rPr>
        <w:t>los</w:t>
      </w:r>
      <w:r>
        <w:rPr>
          <w:spacing w:val="-12"/>
          <w:sz w:val="20"/>
        </w:rPr>
        <w:t> </w:t>
      </w:r>
      <w:r>
        <w:rPr>
          <w:sz w:val="20"/>
        </w:rPr>
        <w:t>volúmenes</w:t>
      </w:r>
      <w:r>
        <w:rPr>
          <w:spacing w:val="-12"/>
          <w:sz w:val="20"/>
        </w:rPr>
        <w:t> </w:t>
      </w:r>
      <w:r>
        <w:rPr>
          <w:sz w:val="20"/>
        </w:rPr>
        <w:t>finales</w:t>
      </w:r>
      <w:r>
        <w:rPr>
          <w:spacing w:val="-7"/>
          <w:sz w:val="20"/>
        </w:rPr>
        <w:t> </w:t>
      </w:r>
      <w:r>
        <w:rPr>
          <w:sz w:val="20"/>
        </w:rPr>
        <w:t>y</w:t>
      </w:r>
      <w:r>
        <w:rPr>
          <w:spacing w:val="-16"/>
          <w:sz w:val="20"/>
        </w:rPr>
        <w:t> </w:t>
      </w:r>
      <w:r>
        <w:rPr>
          <w:sz w:val="20"/>
        </w:rPr>
        <w:t>el</w:t>
      </w:r>
      <w:r>
        <w:rPr>
          <w:spacing w:val="-11"/>
          <w:sz w:val="20"/>
        </w:rPr>
        <w:t> </w:t>
      </w:r>
      <w:r>
        <w:rPr>
          <w:sz w:val="20"/>
        </w:rPr>
        <w:t>pH</w:t>
      </w:r>
      <w:r>
        <w:rPr>
          <w:spacing w:val="-13"/>
          <w:sz w:val="20"/>
        </w:rPr>
        <w:t> </w:t>
      </w:r>
      <w:r>
        <w:rPr>
          <w:sz w:val="20"/>
        </w:rPr>
        <w:t>de</w:t>
      </w:r>
      <w:r>
        <w:rPr>
          <w:spacing w:val="-13"/>
          <w:sz w:val="20"/>
        </w:rPr>
        <w:t> </w:t>
      </w:r>
      <w:r>
        <w:rPr>
          <w:sz w:val="20"/>
        </w:rPr>
        <w:t>la</w:t>
      </w:r>
      <w:r>
        <w:rPr>
          <w:spacing w:val="-13"/>
          <w:sz w:val="20"/>
        </w:rPr>
        <w:t> </w:t>
      </w:r>
      <w:r>
        <w:rPr>
          <w:sz w:val="20"/>
        </w:rPr>
        <w:t>solución</w:t>
      </w:r>
      <w:r>
        <w:rPr>
          <w:spacing w:val="-11"/>
          <w:sz w:val="20"/>
        </w:rPr>
        <w:t> </w:t>
      </w:r>
      <w:r>
        <w:rPr>
          <w:sz w:val="20"/>
        </w:rPr>
        <w:t>de</w:t>
      </w:r>
      <w:r>
        <w:rPr>
          <w:spacing w:val="-13"/>
          <w:sz w:val="20"/>
        </w:rPr>
        <w:t> </w:t>
      </w:r>
      <w:r>
        <w:rPr>
          <w:sz w:val="20"/>
        </w:rPr>
        <w:t>trabajo</w:t>
      </w:r>
      <w:r>
        <w:rPr>
          <w:spacing w:val="-11"/>
          <w:sz w:val="20"/>
        </w:rPr>
        <w:t> </w:t>
      </w:r>
      <w:r>
        <w:rPr>
          <w:sz w:val="20"/>
        </w:rPr>
        <w:t>deben</w:t>
      </w:r>
      <w:r>
        <w:rPr>
          <w:spacing w:val="-13"/>
          <w:sz w:val="20"/>
        </w:rPr>
        <w:t> </w:t>
      </w:r>
      <w:r>
        <w:rPr>
          <w:sz w:val="20"/>
        </w:rPr>
        <w:t>ser</w:t>
      </w:r>
      <w:r>
        <w:rPr>
          <w:spacing w:val="-10"/>
          <w:sz w:val="20"/>
        </w:rPr>
        <w:t> </w:t>
      </w:r>
      <w:r>
        <w:rPr>
          <w:sz w:val="20"/>
        </w:rPr>
        <w:t>iguales a los</w:t>
      </w:r>
      <w:r>
        <w:rPr>
          <w:spacing w:val="-7"/>
          <w:sz w:val="20"/>
        </w:rPr>
        <w:t> </w:t>
      </w:r>
      <w:r>
        <w:rPr>
          <w:sz w:val="20"/>
        </w:rPr>
        <w:t>iniciales.</w:t>
      </w:r>
    </w:p>
    <w:p>
      <w:pPr>
        <w:pStyle w:val="ListParagraph"/>
        <w:numPr>
          <w:ilvl w:val="2"/>
          <w:numId w:val="14"/>
        </w:numPr>
        <w:tabs>
          <w:tab w:pos="652" w:val="left" w:leader="none"/>
        </w:tabs>
        <w:spacing w:line="240" w:lineRule="auto" w:before="6" w:after="0"/>
        <w:ind w:left="651" w:right="0" w:hanging="499"/>
        <w:jc w:val="left"/>
        <w:rPr>
          <w:sz w:val="20"/>
        </w:rPr>
      </w:pPr>
      <w:r>
        <w:rPr>
          <w:sz w:val="20"/>
        </w:rPr>
        <w:t>Medios de</w:t>
      </w:r>
      <w:r>
        <w:rPr>
          <w:spacing w:val="-8"/>
          <w:sz w:val="20"/>
        </w:rPr>
        <w:t> </w:t>
      </w:r>
      <w:r>
        <w:rPr>
          <w:sz w:val="20"/>
        </w:rPr>
        <w:t>cultivo</w:t>
      </w:r>
    </w:p>
    <w:p>
      <w:pPr>
        <w:pStyle w:val="ListParagraph"/>
        <w:numPr>
          <w:ilvl w:val="3"/>
          <w:numId w:val="14"/>
        </w:numPr>
        <w:tabs>
          <w:tab w:pos="817" w:val="left" w:leader="none"/>
        </w:tabs>
        <w:spacing w:line="360" w:lineRule="auto" w:before="115" w:after="0"/>
        <w:ind w:left="152" w:right="6315" w:firstLine="0"/>
        <w:jc w:val="left"/>
        <w:rPr>
          <w:sz w:val="20"/>
        </w:rPr>
      </w:pPr>
      <w:r>
        <w:rPr>
          <w:sz w:val="20"/>
        </w:rPr>
        <w:t>Medio de Baird-Parker FORMULA</w:t>
      </w:r>
    </w:p>
    <w:p>
      <w:pPr>
        <w:spacing w:before="1"/>
        <w:ind w:left="152" w:right="926" w:firstLine="0"/>
        <w:jc w:val="left"/>
        <w:rPr>
          <w:sz w:val="20"/>
        </w:rPr>
      </w:pPr>
      <w:r>
        <w:rPr>
          <w:sz w:val="20"/>
        </w:rPr>
        <w:t>Ingredientes Cantidad</w:t>
      </w:r>
    </w:p>
    <w:p>
      <w:pPr>
        <w:spacing w:before="115"/>
        <w:ind w:left="152" w:right="926" w:firstLine="0"/>
        <w:jc w:val="left"/>
        <w:rPr>
          <w:sz w:val="20"/>
        </w:rPr>
      </w:pPr>
      <w:r>
        <w:rPr>
          <w:sz w:val="20"/>
        </w:rPr>
        <w:t>Medio base (6.1.2.1.1) 95,0 ml</w:t>
      </w:r>
    </w:p>
    <w:p>
      <w:pPr>
        <w:spacing w:line="360" w:lineRule="auto" w:before="116"/>
        <w:ind w:left="152" w:right="4721" w:firstLine="0"/>
        <w:jc w:val="left"/>
        <w:rPr>
          <w:sz w:val="20"/>
        </w:rPr>
      </w:pPr>
      <w:r>
        <w:rPr>
          <w:sz w:val="20"/>
        </w:rPr>
        <w:t>Solución de telurito de potasio (6.1.2.1.2) 1,0 ml Emulsión de yema de huevo (6.1.2.1.3) 5,0 ml Preparación</w:t>
      </w:r>
    </w:p>
    <w:p>
      <w:pPr>
        <w:spacing w:line="360" w:lineRule="auto" w:before="4"/>
        <w:ind w:left="152" w:right="1991" w:firstLine="0"/>
        <w:jc w:val="left"/>
        <w:rPr>
          <w:sz w:val="20"/>
        </w:rPr>
      </w:pPr>
      <w:r>
        <w:rPr>
          <w:sz w:val="20"/>
        </w:rPr>
        <w:t>Cuando el medio base esté a 45ºC, agregar los demás ingredientes y mezclar. Colocar de 15 a 20 ml del medio completo, enfriar y dejar solidificar.</w:t>
      </w:r>
    </w:p>
    <w:p>
      <w:pPr>
        <w:spacing w:before="1"/>
        <w:ind w:left="152" w:right="926" w:firstLine="0"/>
        <w:jc w:val="left"/>
        <w:rPr>
          <w:sz w:val="20"/>
        </w:rPr>
      </w:pPr>
      <w:r>
        <w:rPr>
          <w:sz w:val="20"/>
        </w:rPr>
        <w:t>Las placas pueden almacenarse por 48 h a temperatura de 0 a 5ºC.</w:t>
      </w:r>
    </w:p>
    <w:p>
      <w:pPr>
        <w:pStyle w:val="ListParagraph"/>
        <w:numPr>
          <w:ilvl w:val="4"/>
          <w:numId w:val="14"/>
        </w:numPr>
        <w:tabs>
          <w:tab w:pos="985" w:val="left" w:leader="none"/>
        </w:tabs>
        <w:spacing w:line="360" w:lineRule="auto" w:before="115" w:after="0"/>
        <w:ind w:left="152" w:right="5661" w:firstLine="0"/>
        <w:jc w:val="left"/>
        <w:rPr>
          <w:sz w:val="20"/>
        </w:rPr>
      </w:pPr>
      <w:r>
        <w:rPr>
          <w:sz w:val="20"/>
        </w:rPr>
        <w:t>Medio base de Baird-Parker FORMULA</w:t>
      </w:r>
    </w:p>
    <w:p>
      <w:pPr>
        <w:spacing w:line="357" w:lineRule="auto" w:before="4"/>
        <w:ind w:left="152" w:right="6700" w:firstLine="0"/>
        <w:jc w:val="left"/>
        <w:rPr>
          <w:sz w:val="20"/>
        </w:rPr>
      </w:pPr>
      <w:r>
        <w:rPr>
          <w:sz w:val="20"/>
        </w:rPr>
        <w:t>Ingredientes Cantidad Triptona 10,0 g</w:t>
      </w:r>
    </w:p>
    <w:p>
      <w:pPr>
        <w:spacing w:line="360" w:lineRule="auto" w:before="6"/>
        <w:ind w:left="152" w:right="6633" w:firstLine="0"/>
        <w:jc w:val="left"/>
        <w:rPr>
          <w:sz w:val="20"/>
        </w:rPr>
      </w:pPr>
      <w:r>
        <w:rPr>
          <w:sz w:val="20"/>
        </w:rPr>
        <w:t>Extracto de levadura 1,0 g Extracto de carne 5,0 g Glicina 12,0 g</w:t>
      </w:r>
    </w:p>
    <w:p>
      <w:pPr>
        <w:spacing w:line="360" w:lineRule="auto" w:before="1"/>
        <w:ind w:left="152" w:right="6700" w:firstLine="0"/>
        <w:jc w:val="left"/>
        <w:rPr>
          <w:sz w:val="20"/>
        </w:rPr>
      </w:pPr>
      <w:r>
        <w:rPr>
          <w:sz w:val="20"/>
        </w:rPr>
        <w:t>Cloruro de litio 5,0 g Piruvato de sodio 10,0 g Agar 20,0 g</w:t>
      </w:r>
    </w:p>
    <w:p>
      <w:pPr>
        <w:spacing w:line="357" w:lineRule="auto" w:before="4"/>
        <w:ind w:left="152" w:right="7707" w:firstLine="0"/>
        <w:jc w:val="left"/>
        <w:rPr>
          <w:sz w:val="20"/>
        </w:rPr>
      </w:pPr>
      <w:r>
        <w:rPr>
          <w:sz w:val="20"/>
        </w:rPr>
        <w:t>Agua 1,0 l </w:t>
      </w:r>
      <w:r>
        <w:rPr>
          <w:w w:val="95"/>
          <w:sz w:val="20"/>
        </w:rPr>
        <w:t>Preparación</w:t>
      </w:r>
    </w:p>
    <w:p>
      <w:pPr>
        <w:spacing w:line="362" w:lineRule="auto" w:before="6"/>
        <w:ind w:left="152" w:right="154" w:firstLine="0"/>
        <w:jc w:val="left"/>
        <w:rPr>
          <w:sz w:val="20"/>
        </w:rPr>
      </w:pPr>
      <w:r>
        <w:rPr>
          <w:sz w:val="20"/>
        </w:rPr>
        <w:t>Disolver los ingredientes o el agar base en agua y calentar con agitación constante y hervir durante 1 min. Esterilizar a 121ºC ±1 durante 15 min.</w:t>
      </w:r>
    </w:p>
    <w:p>
      <w:pPr>
        <w:spacing w:line="229" w:lineRule="exact" w:before="0"/>
        <w:ind w:left="152" w:right="926" w:firstLine="0"/>
        <w:jc w:val="left"/>
        <w:rPr>
          <w:sz w:val="20"/>
        </w:rPr>
      </w:pPr>
      <w:r>
        <w:rPr>
          <w:sz w:val="20"/>
        </w:rPr>
        <w:t>Enfriar y mantener el medio a 45ºC.</w:t>
      </w:r>
    </w:p>
    <w:p>
      <w:pPr>
        <w:pStyle w:val="ListParagraph"/>
        <w:numPr>
          <w:ilvl w:val="4"/>
          <w:numId w:val="14"/>
        </w:numPr>
        <w:tabs>
          <w:tab w:pos="985" w:val="left" w:leader="none"/>
        </w:tabs>
        <w:spacing w:line="360" w:lineRule="auto" w:before="115" w:after="0"/>
        <w:ind w:left="152" w:right="6452" w:firstLine="0"/>
        <w:jc w:val="left"/>
        <w:rPr>
          <w:sz w:val="20"/>
        </w:rPr>
      </w:pPr>
      <w:r>
        <w:rPr>
          <w:sz w:val="20"/>
        </w:rPr>
        <w:t>Solución de telurito FORMULA</w:t>
      </w:r>
    </w:p>
    <w:p>
      <w:pPr>
        <w:spacing w:line="360" w:lineRule="auto" w:before="4"/>
        <w:ind w:left="152" w:right="6822" w:firstLine="0"/>
        <w:jc w:val="left"/>
        <w:rPr>
          <w:sz w:val="20"/>
        </w:rPr>
      </w:pPr>
      <w:r>
        <w:rPr>
          <w:sz w:val="20"/>
        </w:rPr>
        <w:t>Ingredientes Cantidad Telurito de potasio 1,0 g Agua 100,0 ml Preparación</w:t>
      </w:r>
    </w:p>
    <w:p>
      <w:pPr>
        <w:spacing w:after="0" w:line="360" w:lineRule="auto"/>
        <w:jc w:val="left"/>
        <w:rPr>
          <w:sz w:val="20"/>
        </w:rPr>
        <w:sectPr>
          <w:pgSz w:w="12240" w:h="15840"/>
          <w:pgMar w:header="728" w:footer="710" w:top="1200" w:bottom="900" w:left="1720" w:right="1380"/>
        </w:sectPr>
      </w:pPr>
    </w:p>
    <w:p>
      <w:pPr>
        <w:pStyle w:val="BodyText"/>
        <w:rPr>
          <w:sz w:val="20"/>
        </w:rPr>
      </w:pPr>
    </w:p>
    <w:p>
      <w:pPr>
        <w:pStyle w:val="BodyText"/>
        <w:spacing w:before="9"/>
        <w:rPr>
          <w:sz w:val="26"/>
        </w:rPr>
      </w:pPr>
    </w:p>
    <w:p>
      <w:pPr>
        <w:spacing w:before="74"/>
        <w:ind w:left="152" w:right="926" w:firstLine="0"/>
        <w:jc w:val="left"/>
        <w:rPr>
          <w:sz w:val="20"/>
        </w:rPr>
      </w:pPr>
      <w:r>
        <w:rPr>
          <w:sz w:val="20"/>
        </w:rPr>
        <w:t>Disolver el telurito de potasio en agua y esterilizar.</w:t>
      </w:r>
    </w:p>
    <w:p>
      <w:pPr>
        <w:spacing w:before="115"/>
        <w:ind w:left="152" w:right="926" w:firstLine="0"/>
        <w:jc w:val="left"/>
        <w:rPr>
          <w:sz w:val="20"/>
        </w:rPr>
      </w:pPr>
      <w:r>
        <w:rPr>
          <w:sz w:val="20"/>
        </w:rPr>
        <w:t>La solución puede ser almacenada por varios meses a temperatura de 0 a 5ºC.</w:t>
      </w:r>
    </w:p>
    <w:p>
      <w:pPr>
        <w:pStyle w:val="ListParagraph"/>
        <w:numPr>
          <w:ilvl w:val="4"/>
          <w:numId w:val="14"/>
        </w:numPr>
        <w:tabs>
          <w:tab w:pos="985" w:val="left" w:leader="none"/>
        </w:tabs>
        <w:spacing w:line="360" w:lineRule="auto" w:before="113" w:after="0"/>
        <w:ind w:left="152" w:right="5632" w:firstLine="0"/>
        <w:jc w:val="left"/>
        <w:rPr>
          <w:sz w:val="20"/>
        </w:rPr>
      </w:pPr>
      <w:r>
        <w:rPr>
          <w:sz w:val="20"/>
        </w:rPr>
        <w:t>Emulsión de yema de</w:t>
      </w:r>
      <w:r>
        <w:rPr>
          <w:spacing w:val="-8"/>
          <w:sz w:val="20"/>
        </w:rPr>
        <w:t> </w:t>
      </w:r>
      <w:r>
        <w:rPr>
          <w:sz w:val="20"/>
        </w:rPr>
        <w:t>huevo Preparación</w:t>
      </w:r>
    </w:p>
    <w:p>
      <w:pPr>
        <w:spacing w:line="360" w:lineRule="auto" w:before="4"/>
        <w:ind w:left="152" w:right="153" w:firstLine="0"/>
        <w:jc w:val="both"/>
        <w:rPr>
          <w:sz w:val="20"/>
        </w:rPr>
      </w:pPr>
      <w:r>
        <w:rPr>
          <w:sz w:val="20"/>
        </w:rPr>
        <w:t>Lavar con agua y jabón los huevos frescos que sean necesarios y limpiarlos con una solución de tintura de yodo (solución alcohólica al 2%) o sumergirlos en solución de cloruro mercúrico (1:1000). Enjuagar con agua estéril y secar con gasa estéril.</w:t>
      </w:r>
    </w:p>
    <w:p>
      <w:pPr>
        <w:spacing w:line="360" w:lineRule="auto" w:before="4"/>
        <w:ind w:left="152" w:right="148" w:firstLine="0"/>
        <w:jc w:val="both"/>
        <w:rPr>
          <w:sz w:val="20"/>
        </w:rPr>
      </w:pPr>
      <w:r>
        <w:rPr>
          <w:sz w:val="20"/>
        </w:rPr>
        <w:t>En</w:t>
      </w:r>
      <w:r>
        <w:rPr>
          <w:spacing w:val="-15"/>
          <w:sz w:val="20"/>
        </w:rPr>
        <w:t> </w:t>
      </w:r>
      <w:r>
        <w:rPr>
          <w:sz w:val="20"/>
        </w:rPr>
        <w:t>campana</w:t>
      </w:r>
      <w:r>
        <w:rPr>
          <w:spacing w:val="-13"/>
          <w:sz w:val="20"/>
        </w:rPr>
        <w:t> </w:t>
      </w:r>
      <w:r>
        <w:rPr>
          <w:sz w:val="20"/>
        </w:rPr>
        <w:t>de</w:t>
      </w:r>
      <w:r>
        <w:rPr>
          <w:spacing w:val="-16"/>
          <w:sz w:val="20"/>
        </w:rPr>
        <w:t> </w:t>
      </w:r>
      <w:r>
        <w:rPr>
          <w:sz w:val="20"/>
        </w:rPr>
        <w:t>flujo</w:t>
      </w:r>
      <w:r>
        <w:rPr>
          <w:spacing w:val="-13"/>
          <w:sz w:val="20"/>
        </w:rPr>
        <w:t> </w:t>
      </w:r>
      <w:r>
        <w:rPr>
          <w:sz w:val="20"/>
        </w:rPr>
        <w:t>laminar</w:t>
      </w:r>
      <w:r>
        <w:rPr>
          <w:spacing w:val="-14"/>
          <w:sz w:val="20"/>
        </w:rPr>
        <w:t> </w:t>
      </w:r>
      <w:r>
        <w:rPr>
          <w:sz w:val="20"/>
        </w:rPr>
        <w:t>o</w:t>
      </w:r>
      <w:r>
        <w:rPr>
          <w:spacing w:val="-15"/>
          <w:sz w:val="20"/>
        </w:rPr>
        <w:t> </w:t>
      </w:r>
      <w:r>
        <w:rPr>
          <w:sz w:val="20"/>
        </w:rPr>
        <w:t>en</w:t>
      </w:r>
      <w:r>
        <w:rPr>
          <w:spacing w:val="-16"/>
          <w:sz w:val="20"/>
        </w:rPr>
        <w:t> </w:t>
      </w:r>
      <w:r>
        <w:rPr>
          <w:sz w:val="20"/>
        </w:rPr>
        <w:t>condiciones</w:t>
      </w:r>
      <w:r>
        <w:rPr>
          <w:spacing w:val="-14"/>
          <w:sz w:val="20"/>
        </w:rPr>
        <w:t> </w:t>
      </w:r>
      <w:r>
        <w:rPr>
          <w:sz w:val="20"/>
        </w:rPr>
        <w:t>asépticas,</w:t>
      </w:r>
      <w:r>
        <w:rPr>
          <w:spacing w:val="-15"/>
          <w:sz w:val="20"/>
        </w:rPr>
        <w:t> </w:t>
      </w:r>
      <w:r>
        <w:rPr>
          <w:sz w:val="20"/>
        </w:rPr>
        <w:t>abrir</w:t>
      </w:r>
      <w:r>
        <w:rPr>
          <w:spacing w:val="-12"/>
          <w:sz w:val="20"/>
        </w:rPr>
        <w:t> </w:t>
      </w:r>
      <w:r>
        <w:rPr>
          <w:sz w:val="20"/>
        </w:rPr>
        <w:t>los</w:t>
      </w:r>
      <w:r>
        <w:rPr>
          <w:spacing w:val="-14"/>
          <w:sz w:val="20"/>
        </w:rPr>
        <w:t> </w:t>
      </w:r>
      <w:r>
        <w:rPr>
          <w:sz w:val="20"/>
        </w:rPr>
        <w:t>huevos</w:t>
      </w:r>
      <w:r>
        <w:rPr>
          <w:spacing w:val="-12"/>
          <w:sz w:val="20"/>
        </w:rPr>
        <w:t> </w:t>
      </w:r>
      <w:r>
        <w:rPr>
          <w:sz w:val="20"/>
        </w:rPr>
        <w:t>y</w:t>
      </w:r>
      <w:r>
        <w:rPr>
          <w:spacing w:val="-16"/>
          <w:sz w:val="20"/>
        </w:rPr>
        <w:t> </w:t>
      </w:r>
      <w:r>
        <w:rPr>
          <w:sz w:val="20"/>
        </w:rPr>
        <w:t>vaciarlos</w:t>
      </w:r>
      <w:r>
        <w:rPr>
          <w:spacing w:val="-14"/>
          <w:sz w:val="20"/>
        </w:rPr>
        <w:t> </w:t>
      </w:r>
      <w:r>
        <w:rPr>
          <w:sz w:val="20"/>
        </w:rPr>
        <w:t>en</w:t>
      </w:r>
      <w:r>
        <w:rPr>
          <w:spacing w:val="-13"/>
          <w:sz w:val="20"/>
        </w:rPr>
        <w:t> </w:t>
      </w:r>
      <w:r>
        <w:rPr>
          <w:sz w:val="20"/>
        </w:rPr>
        <w:t>un</w:t>
      </w:r>
      <w:r>
        <w:rPr>
          <w:spacing w:val="-16"/>
          <w:sz w:val="20"/>
        </w:rPr>
        <w:t> </w:t>
      </w:r>
      <w:r>
        <w:rPr>
          <w:sz w:val="20"/>
        </w:rPr>
        <w:t>separador de</w:t>
      </w:r>
      <w:r>
        <w:rPr>
          <w:spacing w:val="-5"/>
          <w:sz w:val="20"/>
        </w:rPr>
        <w:t> </w:t>
      </w:r>
      <w:r>
        <w:rPr>
          <w:sz w:val="20"/>
        </w:rPr>
        <w:t>claras</w:t>
      </w:r>
      <w:r>
        <w:rPr>
          <w:spacing w:val="-3"/>
          <w:sz w:val="20"/>
        </w:rPr>
        <w:t> </w:t>
      </w:r>
      <w:r>
        <w:rPr>
          <w:sz w:val="20"/>
        </w:rPr>
        <w:t>estéril.</w:t>
      </w:r>
      <w:r>
        <w:rPr>
          <w:spacing w:val="-2"/>
          <w:sz w:val="20"/>
        </w:rPr>
        <w:t> </w:t>
      </w:r>
      <w:r>
        <w:rPr>
          <w:sz w:val="20"/>
        </w:rPr>
        <w:t>Transferir</w:t>
      </w:r>
      <w:r>
        <w:rPr>
          <w:spacing w:val="-4"/>
          <w:sz w:val="20"/>
        </w:rPr>
        <w:t> </w:t>
      </w:r>
      <w:r>
        <w:rPr>
          <w:sz w:val="20"/>
        </w:rPr>
        <w:t>las</w:t>
      </w:r>
      <w:r>
        <w:rPr>
          <w:spacing w:val="1"/>
          <w:sz w:val="20"/>
        </w:rPr>
        <w:t> </w:t>
      </w:r>
      <w:r>
        <w:rPr>
          <w:sz w:val="20"/>
        </w:rPr>
        <w:t>yemas</w:t>
      </w:r>
      <w:r>
        <w:rPr>
          <w:spacing w:val="-4"/>
          <w:sz w:val="20"/>
        </w:rPr>
        <w:t> </w:t>
      </w:r>
      <w:r>
        <w:rPr>
          <w:sz w:val="20"/>
        </w:rPr>
        <w:t>a</w:t>
      </w:r>
      <w:r>
        <w:rPr>
          <w:spacing w:val="-5"/>
          <w:sz w:val="20"/>
        </w:rPr>
        <w:t> </w:t>
      </w:r>
      <w:r>
        <w:rPr>
          <w:sz w:val="20"/>
        </w:rPr>
        <w:t>una</w:t>
      </w:r>
      <w:r>
        <w:rPr>
          <w:spacing w:val="-5"/>
          <w:sz w:val="20"/>
        </w:rPr>
        <w:t> </w:t>
      </w:r>
      <w:r>
        <w:rPr>
          <w:sz w:val="20"/>
        </w:rPr>
        <w:t>probeta</w:t>
      </w:r>
      <w:r>
        <w:rPr>
          <w:spacing w:val="-2"/>
          <w:sz w:val="20"/>
        </w:rPr>
        <w:t> </w:t>
      </w:r>
      <w:r>
        <w:rPr>
          <w:sz w:val="20"/>
        </w:rPr>
        <w:t>hasta</w:t>
      </w:r>
      <w:r>
        <w:rPr>
          <w:spacing w:val="-5"/>
          <w:sz w:val="20"/>
        </w:rPr>
        <w:t> </w:t>
      </w:r>
      <w:r>
        <w:rPr>
          <w:sz w:val="20"/>
        </w:rPr>
        <w:t>un</w:t>
      </w:r>
      <w:r>
        <w:rPr>
          <w:spacing w:val="-2"/>
          <w:sz w:val="20"/>
        </w:rPr>
        <w:t> </w:t>
      </w:r>
      <w:r>
        <w:rPr>
          <w:sz w:val="20"/>
        </w:rPr>
        <w:t>volumen</w:t>
      </w:r>
      <w:r>
        <w:rPr>
          <w:spacing w:val="-5"/>
          <w:sz w:val="20"/>
        </w:rPr>
        <w:t> </w:t>
      </w:r>
      <w:r>
        <w:rPr>
          <w:sz w:val="20"/>
        </w:rPr>
        <w:t>de</w:t>
      </w:r>
      <w:r>
        <w:rPr>
          <w:spacing w:val="-3"/>
          <w:sz w:val="20"/>
        </w:rPr>
        <w:t> </w:t>
      </w:r>
      <w:r>
        <w:rPr>
          <w:sz w:val="20"/>
        </w:rPr>
        <w:t>60</w:t>
      </w:r>
      <w:r>
        <w:rPr>
          <w:spacing w:val="-3"/>
          <w:sz w:val="20"/>
        </w:rPr>
        <w:t> </w:t>
      </w:r>
      <w:r>
        <w:rPr>
          <w:sz w:val="20"/>
        </w:rPr>
        <w:t>ml</w:t>
      </w:r>
      <w:r>
        <w:rPr>
          <w:spacing w:val="-3"/>
          <w:sz w:val="20"/>
        </w:rPr>
        <w:t> </w:t>
      </w:r>
      <w:r>
        <w:rPr>
          <w:sz w:val="20"/>
        </w:rPr>
        <w:t>y</w:t>
      </w:r>
      <w:r>
        <w:rPr>
          <w:spacing w:val="-6"/>
          <w:sz w:val="20"/>
        </w:rPr>
        <w:t> </w:t>
      </w:r>
      <w:r>
        <w:rPr>
          <w:sz w:val="20"/>
        </w:rPr>
        <w:t>completar</w:t>
      </w:r>
      <w:r>
        <w:rPr>
          <w:spacing w:val="-4"/>
          <w:sz w:val="20"/>
        </w:rPr>
        <w:t> </w:t>
      </w:r>
      <w:r>
        <w:rPr>
          <w:sz w:val="20"/>
        </w:rPr>
        <w:t>a</w:t>
      </w:r>
      <w:r>
        <w:rPr>
          <w:spacing w:val="-2"/>
          <w:sz w:val="20"/>
        </w:rPr>
        <w:t> </w:t>
      </w:r>
      <w:r>
        <w:rPr>
          <w:sz w:val="20"/>
        </w:rPr>
        <w:t>90</w:t>
      </w:r>
      <w:r>
        <w:rPr>
          <w:spacing w:val="-3"/>
          <w:sz w:val="20"/>
        </w:rPr>
        <w:t> </w:t>
      </w:r>
      <w:r>
        <w:rPr>
          <w:sz w:val="20"/>
        </w:rPr>
        <w:t>ml con solución salina</w:t>
      </w:r>
      <w:r>
        <w:rPr>
          <w:spacing w:val="-8"/>
          <w:sz w:val="20"/>
        </w:rPr>
        <w:t> </w:t>
      </w:r>
      <w:r>
        <w:rPr>
          <w:sz w:val="20"/>
        </w:rPr>
        <w:t>isotónica.</w:t>
      </w:r>
    </w:p>
    <w:p>
      <w:pPr>
        <w:spacing w:line="360" w:lineRule="auto" w:before="4"/>
        <w:ind w:left="152" w:right="154" w:firstLine="0"/>
        <w:jc w:val="left"/>
        <w:rPr>
          <w:sz w:val="20"/>
        </w:rPr>
      </w:pPr>
      <w:r>
        <w:rPr>
          <w:sz w:val="20"/>
        </w:rPr>
        <w:t>Verter la emulsión a un matraz Erlenmeyer con perlas de vidrio estéril y agitar fuertemente para formar la emulsión.</w:t>
      </w:r>
    </w:p>
    <w:p>
      <w:pPr>
        <w:spacing w:before="4"/>
        <w:ind w:left="152" w:right="926" w:firstLine="0"/>
        <w:jc w:val="left"/>
        <w:rPr>
          <w:sz w:val="20"/>
        </w:rPr>
      </w:pPr>
      <w:r>
        <w:rPr>
          <w:sz w:val="20"/>
        </w:rPr>
        <w:t>Filtrar a través de gasa.</w:t>
      </w:r>
    </w:p>
    <w:p>
      <w:pPr>
        <w:spacing w:before="113"/>
        <w:ind w:left="152" w:right="926" w:firstLine="0"/>
        <w:jc w:val="left"/>
        <w:rPr>
          <w:sz w:val="20"/>
        </w:rPr>
      </w:pPr>
      <w:r>
        <w:rPr>
          <w:sz w:val="20"/>
        </w:rPr>
        <w:t>Las placas deben utilizarse dentro de las 48 h siguientes a su preparación.</w:t>
      </w:r>
    </w:p>
    <w:p>
      <w:pPr>
        <w:pStyle w:val="BodyText"/>
        <w:rPr>
          <w:sz w:val="20"/>
        </w:rPr>
      </w:pPr>
    </w:p>
    <w:p>
      <w:pPr>
        <w:pStyle w:val="BodyText"/>
        <w:spacing w:before="1"/>
        <w:rPr>
          <w:sz w:val="20"/>
        </w:rPr>
      </w:pPr>
    </w:p>
    <w:p>
      <w:pPr>
        <w:pStyle w:val="ListParagraph"/>
        <w:numPr>
          <w:ilvl w:val="4"/>
          <w:numId w:val="14"/>
        </w:numPr>
        <w:tabs>
          <w:tab w:pos="985" w:val="left" w:leader="none"/>
        </w:tabs>
        <w:spacing w:line="360" w:lineRule="auto" w:before="0" w:after="0"/>
        <w:ind w:left="152" w:right="5966" w:firstLine="0"/>
        <w:jc w:val="left"/>
        <w:rPr>
          <w:sz w:val="20"/>
        </w:rPr>
      </w:pPr>
      <w:r>
        <w:rPr>
          <w:sz w:val="20"/>
        </w:rPr>
        <w:t>Solución salina</w:t>
      </w:r>
      <w:r>
        <w:rPr>
          <w:spacing w:val="-7"/>
          <w:sz w:val="20"/>
        </w:rPr>
        <w:t> </w:t>
      </w:r>
      <w:r>
        <w:rPr>
          <w:sz w:val="20"/>
        </w:rPr>
        <w:t>isotónica FORMULA</w:t>
      </w:r>
    </w:p>
    <w:p>
      <w:pPr>
        <w:spacing w:line="360" w:lineRule="auto" w:before="1"/>
        <w:ind w:left="152" w:right="6700" w:firstLine="0"/>
        <w:jc w:val="left"/>
        <w:rPr>
          <w:sz w:val="20"/>
        </w:rPr>
      </w:pPr>
      <w:r>
        <w:rPr>
          <w:sz w:val="20"/>
        </w:rPr>
        <w:t>Ingredientes Cantidad Cloruro de sodio 0,85 g Agua 100,0 ml Preparación</w:t>
      </w:r>
    </w:p>
    <w:p>
      <w:pPr>
        <w:spacing w:before="1"/>
        <w:ind w:left="152" w:right="926" w:firstLine="0"/>
        <w:jc w:val="left"/>
        <w:rPr>
          <w:sz w:val="20"/>
        </w:rPr>
      </w:pPr>
      <w:r>
        <w:rPr>
          <w:sz w:val="20"/>
        </w:rPr>
        <w:t>Disolver el ingrediente en agua y esterilizar a 121ºC ±1 durante 15 min.</w:t>
      </w:r>
    </w:p>
    <w:p>
      <w:pPr>
        <w:pStyle w:val="ListParagraph"/>
        <w:numPr>
          <w:ilvl w:val="3"/>
          <w:numId w:val="15"/>
        </w:numPr>
        <w:tabs>
          <w:tab w:pos="817" w:val="left" w:leader="none"/>
        </w:tabs>
        <w:spacing w:line="360" w:lineRule="auto" w:before="115" w:after="0"/>
        <w:ind w:left="152" w:right="4740" w:firstLine="0"/>
        <w:jc w:val="left"/>
        <w:rPr>
          <w:sz w:val="20"/>
        </w:rPr>
      </w:pPr>
      <w:r>
        <w:rPr>
          <w:sz w:val="20"/>
        </w:rPr>
        <w:t>Caldo de infusión cerebro-corazón (BHI) FORMULA</w:t>
      </w:r>
    </w:p>
    <w:p>
      <w:pPr>
        <w:spacing w:before="4"/>
        <w:ind w:left="152" w:right="926" w:firstLine="0"/>
        <w:jc w:val="left"/>
        <w:rPr>
          <w:sz w:val="20"/>
        </w:rPr>
      </w:pPr>
      <w:r>
        <w:rPr>
          <w:sz w:val="20"/>
        </w:rPr>
        <w:t>Ingredientes Cantidad</w:t>
      </w:r>
    </w:p>
    <w:p>
      <w:pPr>
        <w:spacing w:line="360" w:lineRule="auto" w:before="113"/>
        <w:ind w:left="152" w:right="5465" w:firstLine="0"/>
        <w:jc w:val="left"/>
        <w:rPr>
          <w:sz w:val="20"/>
        </w:rPr>
      </w:pPr>
      <w:r>
        <w:rPr>
          <w:sz w:val="20"/>
        </w:rPr>
        <w:t>Infusión de cerebro de ternera 200,0 ml Infusión de corazón de res 250,0 ml Peptona de gelatina 10,0 g</w:t>
      </w:r>
    </w:p>
    <w:p>
      <w:pPr>
        <w:spacing w:before="1"/>
        <w:ind w:left="152" w:right="926" w:firstLine="0"/>
        <w:jc w:val="left"/>
        <w:rPr>
          <w:sz w:val="20"/>
        </w:rPr>
      </w:pPr>
      <w:r>
        <w:rPr>
          <w:sz w:val="20"/>
        </w:rPr>
        <w:t>Cloruro de sodio 5,0 g</w:t>
      </w:r>
    </w:p>
    <w:p>
      <w:pPr>
        <w:spacing w:line="360" w:lineRule="auto" w:before="115"/>
        <w:ind w:left="152" w:right="5423" w:firstLine="0"/>
        <w:jc w:val="left"/>
        <w:rPr>
          <w:sz w:val="20"/>
        </w:rPr>
      </w:pPr>
      <w:r>
        <w:rPr>
          <w:sz w:val="20"/>
        </w:rPr>
        <w:t>Fosfato disódico dodecahidratado 2,5 g Glucosa 2,0 g</w:t>
      </w:r>
    </w:p>
    <w:p>
      <w:pPr>
        <w:spacing w:line="357" w:lineRule="auto" w:before="4"/>
        <w:ind w:left="152" w:right="7707" w:firstLine="0"/>
        <w:jc w:val="left"/>
        <w:rPr>
          <w:sz w:val="20"/>
        </w:rPr>
      </w:pPr>
      <w:r>
        <w:rPr>
          <w:sz w:val="20"/>
        </w:rPr>
        <w:t>Agua 1,0 l </w:t>
      </w:r>
      <w:r>
        <w:rPr>
          <w:w w:val="95"/>
          <w:sz w:val="20"/>
        </w:rPr>
        <w:t>Preparación</w:t>
      </w:r>
    </w:p>
    <w:p>
      <w:pPr>
        <w:spacing w:line="360" w:lineRule="auto" w:before="6"/>
        <w:ind w:left="152" w:right="2208" w:firstLine="0"/>
        <w:jc w:val="left"/>
        <w:rPr>
          <w:sz w:val="20"/>
        </w:rPr>
      </w:pPr>
      <w:r>
        <w:rPr>
          <w:sz w:val="20"/>
        </w:rPr>
        <w:t>Disolver los ingredientes en agua y calentar ligeramente si es necesario. Distribuir y esterilizar durante 15 min a 121ºC ±1.</w:t>
      </w:r>
    </w:p>
    <w:p>
      <w:pPr>
        <w:spacing w:after="0" w:line="360" w:lineRule="auto"/>
        <w:jc w:val="left"/>
        <w:rPr>
          <w:sz w:val="20"/>
        </w:rPr>
        <w:sectPr>
          <w:pgSz w:w="12240" w:h="15840"/>
          <w:pgMar w:header="728" w:footer="710" w:top="1200" w:bottom="900" w:left="1720" w:right="1380"/>
        </w:sectPr>
      </w:pPr>
    </w:p>
    <w:p>
      <w:pPr>
        <w:pStyle w:val="BodyText"/>
        <w:rPr>
          <w:sz w:val="20"/>
        </w:rPr>
      </w:pPr>
    </w:p>
    <w:p>
      <w:pPr>
        <w:pStyle w:val="BodyText"/>
        <w:spacing w:before="9"/>
        <w:rPr>
          <w:sz w:val="26"/>
        </w:rPr>
      </w:pPr>
    </w:p>
    <w:p>
      <w:pPr>
        <w:pStyle w:val="ListParagraph"/>
        <w:numPr>
          <w:ilvl w:val="3"/>
          <w:numId w:val="15"/>
        </w:numPr>
        <w:tabs>
          <w:tab w:pos="820" w:val="left" w:leader="none"/>
        </w:tabs>
        <w:spacing w:line="360" w:lineRule="auto" w:before="74" w:after="0"/>
        <w:ind w:left="152" w:right="3434" w:firstLine="0"/>
        <w:jc w:val="left"/>
        <w:rPr>
          <w:sz w:val="20"/>
        </w:rPr>
      </w:pPr>
      <w:r>
        <w:rPr>
          <w:sz w:val="20"/>
        </w:rPr>
        <w:t>Acido desoxirribonucleico helicoidal de timo de</w:t>
      </w:r>
      <w:r>
        <w:rPr>
          <w:spacing w:val="-16"/>
          <w:sz w:val="20"/>
        </w:rPr>
        <w:t> </w:t>
      </w:r>
      <w:r>
        <w:rPr>
          <w:sz w:val="20"/>
        </w:rPr>
        <w:t>ternera. FORMULA</w:t>
      </w:r>
    </w:p>
    <w:p>
      <w:pPr>
        <w:spacing w:before="1"/>
        <w:ind w:left="152" w:right="0" w:firstLine="0"/>
        <w:jc w:val="both"/>
        <w:rPr>
          <w:sz w:val="20"/>
        </w:rPr>
      </w:pPr>
      <w:r>
        <w:rPr>
          <w:sz w:val="20"/>
        </w:rPr>
        <w:t>Ingredientes Cantidad</w:t>
      </w:r>
    </w:p>
    <w:p>
      <w:pPr>
        <w:spacing w:line="360" w:lineRule="auto" w:before="115"/>
        <w:ind w:left="152" w:right="2208" w:firstLine="0"/>
        <w:jc w:val="left"/>
        <w:rPr>
          <w:sz w:val="20"/>
        </w:rPr>
      </w:pPr>
      <w:r>
        <w:rPr>
          <w:sz w:val="20"/>
        </w:rPr>
        <w:t>Acido desoxirribonucleico helicoi-dal de timo de ternera o equivalente 0,03 g Agar 1,00 g</w:t>
      </w:r>
    </w:p>
    <w:p>
      <w:pPr>
        <w:spacing w:line="357" w:lineRule="auto" w:before="4"/>
        <w:ind w:left="152" w:right="3443" w:firstLine="0"/>
        <w:jc w:val="left"/>
        <w:rPr>
          <w:sz w:val="20"/>
        </w:rPr>
      </w:pPr>
      <w:r>
        <w:rPr>
          <w:sz w:val="20"/>
        </w:rPr>
        <w:t>Cloruro de calcio anhidro (Solución 0,01 M) (6.1.2.3.1) 0,10 ml Cloruro de sodio 1,00 g</w:t>
      </w:r>
    </w:p>
    <w:p>
      <w:pPr>
        <w:spacing w:line="362" w:lineRule="auto" w:before="6"/>
        <w:ind w:left="152" w:right="4329" w:firstLine="0"/>
        <w:jc w:val="left"/>
        <w:rPr>
          <w:sz w:val="20"/>
        </w:rPr>
      </w:pPr>
      <w:r>
        <w:rPr>
          <w:sz w:val="20"/>
        </w:rPr>
        <w:t>Azul de toluidina (Solución 0,1 M) (6.1.2.3.2) 0,30 ml Tris-(hidroximetil-aminometano)</w:t>
      </w:r>
    </w:p>
    <w:p>
      <w:pPr>
        <w:spacing w:line="360" w:lineRule="auto" w:before="0"/>
        <w:ind w:left="152" w:right="4610" w:firstLine="0"/>
        <w:jc w:val="left"/>
        <w:rPr>
          <w:sz w:val="20"/>
        </w:rPr>
      </w:pPr>
      <w:r>
        <w:rPr>
          <w:sz w:val="20"/>
        </w:rPr>
        <w:t>(Tris solución 0,05 M, pH 9) (6.1.2.3.3) 100,00 ml Preparación</w:t>
      </w:r>
    </w:p>
    <w:p>
      <w:pPr>
        <w:spacing w:line="360" w:lineRule="auto" w:before="4"/>
        <w:ind w:left="152" w:right="154" w:firstLine="0"/>
        <w:jc w:val="left"/>
        <w:rPr>
          <w:sz w:val="20"/>
        </w:rPr>
      </w:pPr>
      <w:r>
        <w:rPr>
          <w:sz w:val="20"/>
        </w:rPr>
        <w:t>Disolver</w:t>
      </w:r>
      <w:r>
        <w:rPr>
          <w:spacing w:val="-15"/>
          <w:sz w:val="20"/>
        </w:rPr>
        <w:t> </w:t>
      </w:r>
      <w:r>
        <w:rPr>
          <w:sz w:val="20"/>
        </w:rPr>
        <w:t>los</w:t>
      </w:r>
      <w:r>
        <w:rPr>
          <w:spacing w:val="-15"/>
          <w:sz w:val="20"/>
        </w:rPr>
        <w:t> </w:t>
      </w:r>
      <w:r>
        <w:rPr>
          <w:sz w:val="20"/>
        </w:rPr>
        <w:t>ingredientes,</w:t>
      </w:r>
      <w:r>
        <w:rPr>
          <w:spacing w:val="-16"/>
          <w:sz w:val="20"/>
        </w:rPr>
        <w:t> </w:t>
      </w:r>
      <w:r>
        <w:rPr>
          <w:sz w:val="20"/>
        </w:rPr>
        <w:t>excepto</w:t>
      </w:r>
      <w:r>
        <w:rPr>
          <w:spacing w:val="-16"/>
          <w:sz w:val="20"/>
        </w:rPr>
        <w:t> </w:t>
      </w:r>
      <w:r>
        <w:rPr>
          <w:sz w:val="20"/>
        </w:rPr>
        <w:t>el</w:t>
      </w:r>
      <w:r>
        <w:rPr>
          <w:spacing w:val="-16"/>
          <w:sz w:val="20"/>
        </w:rPr>
        <w:t> </w:t>
      </w:r>
      <w:r>
        <w:rPr>
          <w:sz w:val="20"/>
        </w:rPr>
        <w:t>azul</w:t>
      </w:r>
      <w:r>
        <w:rPr>
          <w:spacing w:val="-16"/>
          <w:sz w:val="20"/>
        </w:rPr>
        <w:t> </w:t>
      </w:r>
      <w:r>
        <w:rPr>
          <w:sz w:val="20"/>
        </w:rPr>
        <w:t>de</w:t>
      </w:r>
      <w:r>
        <w:rPr>
          <w:spacing w:val="-16"/>
          <w:sz w:val="20"/>
        </w:rPr>
        <w:t> </w:t>
      </w:r>
      <w:r>
        <w:rPr>
          <w:sz w:val="20"/>
        </w:rPr>
        <w:t>toluidina</w:t>
      </w:r>
      <w:r>
        <w:rPr>
          <w:spacing w:val="-16"/>
          <w:sz w:val="20"/>
        </w:rPr>
        <w:t> </w:t>
      </w:r>
      <w:r>
        <w:rPr>
          <w:sz w:val="20"/>
        </w:rPr>
        <w:t>agitando</w:t>
      </w:r>
      <w:r>
        <w:rPr>
          <w:spacing w:val="-14"/>
          <w:sz w:val="20"/>
        </w:rPr>
        <w:t> </w:t>
      </w:r>
      <w:r>
        <w:rPr>
          <w:sz w:val="20"/>
        </w:rPr>
        <w:t>hasta</w:t>
      </w:r>
      <w:r>
        <w:rPr>
          <w:spacing w:val="-16"/>
          <w:sz w:val="20"/>
        </w:rPr>
        <w:t> </w:t>
      </w:r>
      <w:r>
        <w:rPr>
          <w:sz w:val="20"/>
        </w:rPr>
        <w:t>completar</w:t>
      </w:r>
      <w:r>
        <w:rPr>
          <w:spacing w:val="-15"/>
          <w:sz w:val="20"/>
        </w:rPr>
        <w:t> </w:t>
      </w:r>
      <w:r>
        <w:rPr>
          <w:sz w:val="20"/>
        </w:rPr>
        <w:t>la</w:t>
      </w:r>
      <w:r>
        <w:rPr>
          <w:spacing w:val="-16"/>
          <w:sz w:val="20"/>
        </w:rPr>
        <w:t> </w:t>
      </w:r>
      <w:r>
        <w:rPr>
          <w:sz w:val="20"/>
        </w:rPr>
        <w:t>disolución</w:t>
      </w:r>
      <w:r>
        <w:rPr>
          <w:spacing w:val="-16"/>
          <w:sz w:val="20"/>
        </w:rPr>
        <w:t> </w:t>
      </w:r>
      <w:r>
        <w:rPr>
          <w:sz w:val="20"/>
        </w:rPr>
        <w:t>del</w:t>
      </w:r>
      <w:r>
        <w:rPr>
          <w:spacing w:val="-16"/>
          <w:sz w:val="20"/>
        </w:rPr>
        <w:t> </w:t>
      </w:r>
      <w:r>
        <w:rPr>
          <w:sz w:val="20"/>
        </w:rPr>
        <w:t>ácido desoxirribonucleico y calentar a</w:t>
      </w:r>
      <w:r>
        <w:rPr>
          <w:spacing w:val="-15"/>
          <w:sz w:val="20"/>
        </w:rPr>
        <w:t> </w:t>
      </w:r>
      <w:r>
        <w:rPr>
          <w:sz w:val="20"/>
        </w:rPr>
        <w:t>ebullición.</w:t>
      </w:r>
    </w:p>
    <w:p>
      <w:pPr>
        <w:spacing w:line="360" w:lineRule="auto" w:before="1"/>
        <w:ind w:left="152" w:right="154" w:firstLine="0"/>
        <w:jc w:val="left"/>
        <w:rPr>
          <w:sz w:val="20"/>
        </w:rPr>
      </w:pPr>
      <w:r>
        <w:rPr>
          <w:sz w:val="20"/>
        </w:rPr>
        <w:t>Agregar el azul de toluidina. Distribuir en frascos pequeños con tapón de hule. No es necesario esterilizar.</w:t>
      </w:r>
    </w:p>
    <w:p>
      <w:pPr>
        <w:spacing w:line="360" w:lineRule="auto" w:before="4"/>
        <w:ind w:left="152" w:right="154" w:firstLine="0"/>
        <w:jc w:val="left"/>
        <w:rPr>
          <w:sz w:val="20"/>
        </w:rPr>
      </w:pPr>
      <w:r>
        <w:rPr>
          <w:sz w:val="20"/>
        </w:rPr>
        <w:t>Este</w:t>
      </w:r>
      <w:r>
        <w:rPr>
          <w:spacing w:val="-15"/>
          <w:sz w:val="20"/>
        </w:rPr>
        <w:t> </w:t>
      </w:r>
      <w:r>
        <w:rPr>
          <w:sz w:val="20"/>
        </w:rPr>
        <w:t>medio</w:t>
      </w:r>
      <w:r>
        <w:rPr>
          <w:spacing w:val="-15"/>
          <w:sz w:val="20"/>
        </w:rPr>
        <w:t> </w:t>
      </w:r>
      <w:r>
        <w:rPr>
          <w:sz w:val="20"/>
        </w:rPr>
        <w:t>es</w:t>
      </w:r>
      <w:r>
        <w:rPr>
          <w:spacing w:val="-12"/>
          <w:sz w:val="20"/>
        </w:rPr>
        <w:t> </w:t>
      </w:r>
      <w:r>
        <w:rPr>
          <w:sz w:val="20"/>
        </w:rPr>
        <w:t>estable</w:t>
      </w:r>
      <w:r>
        <w:rPr>
          <w:spacing w:val="-13"/>
          <w:sz w:val="20"/>
        </w:rPr>
        <w:t> </w:t>
      </w:r>
      <w:r>
        <w:rPr>
          <w:sz w:val="20"/>
        </w:rPr>
        <w:t>a</w:t>
      </w:r>
      <w:r>
        <w:rPr>
          <w:spacing w:val="-15"/>
          <w:sz w:val="20"/>
        </w:rPr>
        <w:t> </w:t>
      </w:r>
      <w:r>
        <w:rPr>
          <w:sz w:val="20"/>
        </w:rPr>
        <w:t>temperatura</w:t>
      </w:r>
      <w:r>
        <w:rPr>
          <w:spacing w:val="-15"/>
          <w:sz w:val="20"/>
        </w:rPr>
        <w:t> </w:t>
      </w:r>
      <w:r>
        <w:rPr>
          <w:sz w:val="20"/>
        </w:rPr>
        <w:t>ambiente</w:t>
      </w:r>
      <w:r>
        <w:rPr>
          <w:spacing w:val="-15"/>
          <w:sz w:val="20"/>
        </w:rPr>
        <w:t> </w:t>
      </w:r>
      <w:r>
        <w:rPr>
          <w:sz w:val="20"/>
        </w:rPr>
        <w:t>hasta</w:t>
      </w:r>
      <w:r>
        <w:rPr>
          <w:spacing w:val="-13"/>
          <w:sz w:val="20"/>
        </w:rPr>
        <w:t> </w:t>
      </w:r>
      <w:r>
        <w:rPr>
          <w:sz w:val="20"/>
        </w:rPr>
        <w:t>4</w:t>
      </w:r>
      <w:r>
        <w:rPr>
          <w:spacing w:val="-15"/>
          <w:sz w:val="20"/>
        </w:rPr>
        <w:t> </w:t>
      </w:r>
      <w:r>
        <w:rPr>
          <w:sz w:val="20"/>
        </w:rPr>
        <w:t>meses</w:t>
      </w:r>
      <w:r>
        <w:rPr>
          <w:spacing w:val="-12"/>
          <w:sz w:val="20"/>
        </w:rPr>
        <w:t> </w:t>
      </w:r>
      <w:r>
        <w:rPr>
          <w:sz w:val="20"/>
        </w:rPr>
        <w:t>y</w:t>
      </w:r>
      <w:r>
        <w:rPr>
          <w:spacing w:val="-21"/>
          <w:sz w:val="20"/>
        </w:rPr>
        <w:t> </w:t>
      </w:r>
      <w:r>
        <w:rPr>
          <w:sz w:val="20"/>
        </w:rPr>
        <w:t>funciona</w:t>
      </w:r>
      <w:r>
        <w:rPr>
          <w:spacing w:val="-13"/>
          <w:sz w:val="20"/>
        </w:rPr>
        <w:t> </w:t>
      </w:r>
      <w:r>
        <w:rPr>
          <w:sz w:val="20"/>
        </w:rPr>
        <w:t>perfectamente</w:t>
      </w:r>
      <w:r>
        <w:rPr>
          <w:spacing w:val="-15"/>
          <w:sz w:val="20"/>
        </w:rPr>
        <w:t> </w:t>
      </w:r>
      <w:r>
        <w:rPr>
          <w:sz w:val="20"/>
        </w:rPr>
        <w:t>aun</w:t>
      </w:r>
      <w:r>
        <w:rPr>
          <w:spacing w:val="-15"/>
          <w:sz w:val="20"/>
        </w:rPr>
        <w:t> </w:t>
      </w:r>
      <w:r>
        <w:rPr>
          <w:sz w:val="20"/>
        </w:rPr>
        <w:t>después de fundirlo varias</w:t>
      </w:r>
      <w:r>
        <w:rPr>
          <w:spacing w:val="-11"/>
          <w:sz w:val="20"/>
        </w:rPr>
        <w:t> </w:t>
      </w:r>
      <w:r>
        <w:rPr>
          <w:sz w:val="20"/>
        </w:rPr>
        <w:t>veces.</w:t>
      </w:r>
    </w:p>
    <w:p>
      <w:pPr>
        <w:spacing w:line="360" w:lineRule="auto" w:before="1"/>
        <w:ind w:left="152" w:right="585" w:firstLine="0"/>
        <w:jc w:val="left"/>
        <w:rPr>
          <w:sz w:val="20"/>
        </w:rPr>
      </w:pPr>
      <w:r>
        <w:rPr>
          <w:sz w:val="20"/>
        </w:rPr>
        <w:t>Tomar un portaobjetos limpio y agregar 3 ml del medio fundido esparciéndolo por la superficie. Cuando el agar solidifique, hacer orificios con la punta de una pipeta Pasteur.</w:t>
      </w:r>
    </w:p>
    <w:p>
      <w:pPr>
        <w:spacing w:before="4"/>
        <w:ind w:left="152" w:right="0" w:firstLine="0"/>
        <w:jc w:val="both"/>
        <w:rPr>
          <w:sz w:val="20"/>
        </w:rPr>
      </w:pPr>
      <w:r>
        <w:rPr>
          <w:sz w:val="20"/>
        </w:rPr>
        <w:t>Conservar en refrigeración para evitar la deshidratación.</w:t>
      </w:r>
    </w:p>
    <w:p>
      <w:pPr>
        <w:pStyle w:val="ListParagraph"/>
        <w:numPr>
          <w:ilvl w:val="4"/>
          <w:numId w:val="15"/>
        </w:numPr>
        <w:tabs>
          <w:tab w:pos="985" w:val="left" w:leader="none"/>
        </w:tabs>
        <w:spacing w:line="357" w:lineRule="auto" w:before="115" w:after="0"/>
        <w:ind w:left="152" w:right="4207" w:firstLine="0"/>
        <w:jc w:val="left"/>
        <w:rPr>
          <w:sz w:val="20"/>
        </w:rPr>
      </w:pPr>
      <w:r>
        <w:rPr>
          <w:sz w:val="20"/>
        </w:rPr>
        <w:t>Solución de cloruro de calcio anhidro 0,01 M Cloruro de calcio PM =</w:t>
      </w:r>
      <w:r>
        <w:rPr>
          <w:spacing w:val="-9"/>
          <w:sz w:val="20"/>
        </w:rPr>
        <w:t> </w:t>
      </w:r>
      <w:r>
        <w:rPr>
          <w:sz w:val="20"/>
        </w:rPr>
        <w:t>110,99</w:t>
      </w:r>
    </w:p>
    <w:p>
      <w:pPr>
        <w:spacing w:before="6"/>
        <w:ind w:left="152" w:right="0" w:firstLine="0"/>
        <w:jc w:val="both"/>
        <w:rPr>
          <w:sz w:val="20"/>
        </w:rPr>
      </w:pPr>
      <w:r>
        <w:rPr>
          <w:sz w:val="20"/>
        </w:rPr>
        <w:t>Disolver 0,1199 g de cloruro de calcio en 100 ml de agua.</w:t>
      </w:r>
    </w:p>
    <w:p>
      <w:pPr>
        <w:pStyle w:val="ListParagraph"/>
        <w:numPr>
          <w:ilvl w:val="4"/>
          <w:numId w:val="15"/>
        </w:numPr>
        <w:tabs>
          <w:tab w:pos="985" w:val="left" w:leader="none"/>
        </w:tabs>
        <w:spacing w:line="240" w:lineRule="auto" w:before="115" w:after="0"/>
        <w:ind w:left="984" w:right="0" w:hanging="832"/>
        <w:jc w:val="both"/>
        <w:rPr>
          <w:sz w:val="20"/>
        </w:rPr>
      </w:pPr>
      <w:r>
        <w:rPr>
          <w:sz w:val="20"/>
        </w:rPr>
        <w:t>Solución de azul de toluidina 0,1</w:t>
      </w:r>
      <w:r>
        <w:rPr>
          <w:spacing w:val="-9"/>
          <w:sz w:val="20"/>
        </w:rPr>
        <w:t> </w:t>
      </w:r>
      <w:r>
        <w:rPr>
          <w:sz w:val="20"/>
        </w:rPr>
        <w:t>M</w:t>
      </w:r>
    </w:p>
    <w:p>
      <w:pPr>
        <w:spacing w:before="115"/>
        <w:ind w:left="152" w:right="0" w:firstLine="0"/>
        <w:jc w:val="both"/>
        <w:rPr>
          <w:sz w:val="20"/>
        </w:rPr>
      </w:pPr>
      <w:r>
        <w:rPr>
          <w:sz w:val="20"/>
        </w:rPr>
        <w:t>Disolver 3,05 g de azul de toluidina en 100 ml de agua.</w:t>
      </w:r>
    </w:p>
    <w:p>
      <w:pPr>
        <w:pStyle w:val="ListParagraph"/>
        <w:numPr>
          <w:ilvl w:val="4"/>
          <w:numId w:val="15"/>
        </w:numPr>
        <w:tabs>
          <w:tab w:pos="985" w:val="left" w:leader="none"/>
        </w:tabs>
        <w:spacing w:line="360" w:lineRule="auto" w:before="113" w:after="0"/>
        <w:ind w:left="152" w:right="2562" w:firstLine="0"/>
        <w:jc w:val="left"/>
        <w:rPr>
          <w:sz w:val="20"/>
        </w:rPr>
      </w:pPr>
      <w:r>
        <w:rPr>
          <w:sz w:val="20"/>
        </w:rPr>
        <w:t>Solución amortiguadora 0,05 M Tris-(hidroximetilaminometano) (Tris pH 9) PM =</w:t>
      </w:r>
      <w:r>
        <w:rPr>
          <w:spacing w:val="-10"/>
          <w:sz w:val="20"/>
        </w:rPr>
        <w:t> </w:t>
      </w:r>
      <w:r>
        <w:rPr>
          <w:sz w:val="20"/>
        </w:rPr>
        <w:t>121,1</w:t>
      </w:r>
    </w:p>
    <w:p>
      <w:pPr>
        <w:spacing w:before="4"/>
        <w:ind w:left="152" w:right="0" w:firstLine="0"/>
        <w:jc w:val="both"/>
        <w:rPr>
          <w:sz w:val="20"/>
        </w:rPr>
      </w:pPr>
      <w:r>
        <w:rPr>
          <w:sz w:val="20"/>
        </w:rPr>
        <w:t>Disolver 6,055 g de Tris en 100 ml de agua.</w:t>
      </w:r>
    </w:p>
    <w:p>
      <w:pPr>
        <w:spacing w:line="360" w:lineRule="auto" w:before="113"/>
        <w:ind w:left="152" w:right="6700" w:firstLine="0"/>
        <w:jc w:val="left"/>
        <w:rPr>
          <w:sz w:val="20"/>
        </w:rPr>
      </w:pPr>
      <w:r>
        <w:rPr>
          <w:sz w:val="20"/>
        </w:rPr>
        <w:t>6.1.3 Reactivo biológico: Plasma de conejo</w:t>
      </w:r>
    </w:p>
    <w:p>
      <w:pPr>
        <w:spacing w:line="360" w:lineRule="auto" w:before="4"/>
        <w:ind w:left="152" w:right="155" w:firstLine="0"/>
        <w:jc w:val="both"/>
        <w:rPr>
          <w:sz w:val="20"/>
        </w:rPr>
      </w:pPr>
      <w:r>
        <w:rPr>
          <w:sz w:val="20"/>
        </w:rPr>
        <w:t>Emplear plasma de conejo deshidratado o rehidratado siguiendo las instrucciones del fabricante y agregar ácido etilendiaminotetracético (EDTA) en solución al 0,1% en plasma rehidratado. Si se utiliza plasma deshidratado diluir con agua estéril en proporción de 1:3.</w:t>
      </w:r>
    </w:p>
    <w:p>
      <w:pPr>
        <w:spacing w:line="360" w:lineRule="auto" w:before="4"/>
        <w:ind w:left="152" w:right="154" w:firstLine="0"/>
        <w:jc w:val="left"/>
        <w:rPr>
          <w:sz w:val="20"/>
        </w:rPr>
      </w:pPr>
      <w:r>
        <w:rPr>
          <w:sz w:val="20"/>
        </w:rPr>
        <w:t>Puede emplearse plasma de conejo liofilizado adicionado de EDTA. No debe emplearse sangre citratada.</w:t>
      </w:r>
    </w:p>
    <w:p>
      <w:pPr>
        <w:spacing w:after="0" w:line="360" w:lineRule="auto"/>
        <w:jc w:val="left"/>
        <w:rPr>
          <w:sz w:val="20"/>
        </w:rPr>
        <w:sectPr>
          <w:pgSz w:w="12240" w:h="15840"/>
          <w:pgMar w:header="728" w:footer="710" w:top="1200" w:bottom="900" w:left="1720" w:right="1380"/>
        </w:sectPr>
      </w:pPr>
    </w:p>
    <w:p>
      <w:pPr>
        <w:pStyle w:val="BodyText"/>
        <w:rPr>
          <w:sz w:val="20"/>
        </w:rPr>
      </w:pPr>
    </w:p>
    <w:p>
      <w:pPr>
        <w:pStyle w:val="BodyText"/>
        <w:spacing w:before="9"/>
        <w:rPr>
          <w:sz w:val="26"/>
        </w:rPr>
      </w:pPr>
    </w:p>
    <w:p>
      <w:pPr>
        <w:spacing w:before="74"/>
        <w:ind w:left="152" w:right="0" w:firstLine="0"/>
        <w:jc w:val="both"/>
        <w:rPr>
          <w:sz w:val="20"/>
        </w:rPr>
      </w:pPr>
      <w:r>
        <w:rPr>
          <w:sz w:val="20"/>
        </w:rPr>
        <w:t>6.2 Materiales</w:t>
      </w:r>
    </w:p>
    <w:p>
      <w:pPr>
        <w:spacing w:line="360" w:lineRule="auto" w:before="115"/>
        <w:ind w:left="152" w:right="149" w:firstLine="0"/>
        <w:jc w:val="both"/>
        <w:rPr>
          <w:sz w:val="20"/>
        </w:rPr>
      </w:pPr>
      <w:r>
        <w:rPr>
          <w:sz w:val="20"/>
        </w:rPr>
        <w:t>Todos los instrumentos que se utilicen para trabajar la muestra deben esterilizarse mediante horno, durante</w:t>
      </w:r>
      <w:r>
        <w:rPr>
          <w:spacing w:val="-7"/>
          <w:sz w:val="20"/>
        </w:rPr>
        <w:t> </w:t>
      </w:r>
      <w:r>
        <w:rPr>
          <w:sz w:val="20"/>
        </w:rPr>
        <w:t>2</w:t>
      </w:r>
      <w:r>
        <w:rPr>
          <w:spacing w:val="-7"/>
          <w:sz w:val="20"/>
        </w:rPr>
        <w:t> </w:t>
      </w:r>
      <w:r>
        <w:rPr>
          <w:sz w:val="20"/>
        </w:rPr>
        <w:t>h</w:t>
      </w:r>
      <w:r>
        <w:rPr>
          <w:spacing w:val="-5"/>
          <w:sz w:val="20"/>
        </w:rPr>
        <w:t> </w:t>
      </w:r>
      <w:r>
        <w:rPr>
          <w:sz w:val="20"/>
        </w:rPr>
        <w:t>de</w:t>
      </w:r>
      <w:r>
        <w:rPr>
          <w:spacing w:val="-7"/>
          <w:sz w:val="20"/>
        </w:rPr>
        <w:t> </w:t>
      </w:r>
      <w:r>
        <w:rPr>
          <w:sz w:val="20"/>
        </w:rPr>
        <w:t>170-175ºC</w:t>
      </w:r>
      <w:r>
        <w:rPr>
          <w:spacing w:val="-4"/>
          <w:sz w:val="20"/>
        </w:rPr>
        <w:t> </w:t>
      </w:r>
      <w:r>
        <w:rPr>
          <w:sz w:val="20"/>
        </w:rPr>
        <w:t>o</w:t>
      </w:r>
      <w:r>
        <w:rPr>
          <w:spacing w:val="-5"/>
          <w:sz w:val="20"/>
        </w:rPr>
        <w:t> </w:t>
      </w:r>
      <w:r>
        <w:rPr>
          <w:sz w:val="20"/>
        </w:rPr>
        <w:t>como</w:t>
      </w:r>
      <w:r>
        <w:rPr>
          <w:spacing w:val="-7"/>
          <w:sz w:val="20"/>
        </w:rPr>
        <w:t> </w:t>
      </w:r>
      <w:r>
        <w:rPr>
          <w:sz w:val="20"/>
        </w:rPr>
        <w:t>alternativa</w:t>
      </w:r>
      <w:r>
        <w:rPr>
          <w:spacing w:val="-5"/>
          <w:sz w:val="20"/>
        </w:rPr>
        <w:t> </w:t>
      </w:r>
      <w:r>
        <w:rPr>
          <w:sz w:val="20"/>
        </w:rPr>
        <w:t>en</w:t>
      </w:r>
      <w:r>
        <w:rPr>
          <w:spacing w:val="-7"/>
          <w:sz w:val="20"/>
        </w:rPr>
        <w:t> </w:t>
      </w:r>
      <w:r>
        <w:rPr>
          <w:sz w:val="20"/>
        </w:rPr>
        <w:t>autoclave</w:t>
      </w:r>
      <w:r>
        <w:rPr>
          <w:spacing w:val="-5"/>
          <w:sz w:val="20"/>
        </w:rPr>
        <w:t> </w:t>
      </w:r>
      <w:r>
        <w:rPr>
          <w:sz w:val="20"/>
        </w:rPr>
        <w:t>durante</w:t>
      </w:r>
      <w:r>
        <w:rPr>
          <w:spacing w:val="-7"/>
          <w:sz w:val="20"/>
        </w:rPr>
        <w:t> </w:t>
      </w:r>
      <w:r>
        <w:rPr>
          <w:sz w:val="20"/>
        </w:rPr>
        <w:t>15</w:t>
      </w:r>
      <w:r>
        <w:rPr>
          <w:spacing w:val="-7"/>
          <w:sz w:val="20"/>
        </w:rPr>
        <w:t> </w:t>
      </w:r>
      <w:r>
        <w:rPr>
          <w:sz w:val="20"/>
        </w:rPr>
        <w:t>min</w:t>
      </w:r>
      <w:r>
        <w:rPr>
          <w:spacing w:val="-7"/>
          <w:sz w:val="20"/>
        </w:rPr>
        <w:t> </w:t>
      </w:r>
      <w:r>
        <w:rPr>
          <w:sz w:val="20"/>
        </w:rPr>
        <w:t>como</w:t>
      </w:r>
      <w:r>
        <w:rPr>
          <w:spacing w:val="-9"/>
          <w:sz w:val="20"/>
        </w:rPr>
        <w:t> </w:t>
      </w:r>
      <w:r>
        <w:rPr>
          <w:sz w:val="20"/>
        </w:rPr>
        <w:t>mínimo</w:t>
      </w:r>
      <w:r>
        <w:rPr>
          <w:spacing w:val="-7"/>
          <w:sz w:val="20"/>
        </w:rPr>
        <w:t> </w:t>
      </w:r>
      <w:r>
        <w:rPr>
          <w:sz w:val="20"/>
        </w:rPr>
        <w:t>a</w:t>
      </w:r>
      <w:r>
        <w:rPr>
          <w:spacing w:val="-7"/>
          <w:sz w:val="20"/>
        </w:rPr>
        <w:t> </w:t>
      </w:r>
      <w:r>
        <w:rPr>
          <w:sz w:val="20"/>
        </w:rPr>
        <w:t>121ºC</w:t>
      </w:r>
      <w:r>
        <w:rPr>
          <w:spacing w:val="-6"/>
          <w:sz w:val="20"/>
        </w:rPr>
        <w:t> </w:t>
      </w:r>
      <w:r>
        <w:rPr>
          <w:spacing w:val="-3"/>
          <w:sz w:val="20"/>
        </w:rPr>
        <w:t>±1. </w:t>
      </w:r>
      <w:r>
        <w:rPr>
          <w:sz w:val="20"/>
        </w:rPr>
        <w:t>Cuchillos, pinzas, tijeras, cucharas, espátulas y separador de</w:t>
      </w:r>
      <w:r>
        <w:rPr>
          <w:spacing w:val="-25"/>
          <w:sz w:val="20"/>
        </w:rPr>
        <w:t> </w:t>
      </w:r>
      <w:r>
        <w:rPr>
          <w:sz w:val="20"/>
        </w:rPr>
        <w:t>huevo.</w:t>
      </w:r>
    </w:p>
    <w:p>
      <w:pPr>
        <w:spacing w:line="360" w:lineRule="auto" w:before="4"/>
        <w:ind w:left="152" w:right="1975" w:firstLine="0"/>
        <w:jc w:val="left"/>
        <w:rPr>
          <w:sz w:val="20"/>
        </w:rPr>
      </w:pPr>
      <w:r>
        <w:rPr>
          <w:sz w:val="20"/>
        </w:rPr>
        <w:t>Tubos de cultivo de 16 mm x 150 mm o frascos de 125 a 250 ml de capacidad. Tubos de cultivo de 10 mm x 75 mm.</w:t>
      </w:r>
    </w:p>
    <w:p>
      <w:pPr>
        <w:spacing w:before="1"/>
        <w:ind w:left="152" w:right="0" w:firstLine="0"/>
        <w:jc w:val="both"/>
        <w:rPr>
          <w:sz w:val="20"/>
        </w:rPr>
      </w:pPr>
      <w:r>
        <w:rPr>
          <w:sz w:val="20"/>
        </w:rPr>
        <w:t>Cajas Petri de 90 a 100 mm de diámetro.</w:t>
      </w:r>
    </w:p>
    <w:p>
      <w:pPr>
        <w:spacing w:line="362" w:lineRule="auto" w:before="115"/>
        <w:ind w:left="152" w:right="85" w:firstLine="0"/>
        <w:jc w:val="left"/>
        <w:rPr>
          <w:sz w:val="20"/>
        </w:rPr>
      </w:pPr>
      <w:r>
        <w:rPr>
          <w:sz w:val="20"/>
        </w:rPr>
        <w:t>Pipetas bacteriológicas de 1 ml y 10 ml de capacidad graduadas en 0,1 ml y 1 ml respectivamente y diámetro de 2 a 3 mm.</w:t>
      </w:r>
    </w:p>
    <w:p>
      <w:pPr>
        <w:spacing w:line="360" w:lineRule="auto" w:before="0"/>
        <w:ind w:left="152" w:right="7500" w:firstLine="0"/>
        <w:jc w:val="left"/>
        <w:rPr>
          <w:sz w:val="20"/>
        </w:rPr>
      </w:pPr>
      <w:r>
        <w:rPr>
          <w:sz w:val="20"/>
        </w:rPr>
        <w:t>Pipetas Pasteur. Probetas.</w:t>
      </w:r>
    </w:p>
    <w:p>
      <w:pPr>
        <w:spacing w:line="360" w:lineRule="auto" w:before="4"/>
        <w:ind w:left="152" w:right="154" w:firstLine="0"/>
        <w:jc w:val="left"/>
        <w:rPr>
          <w:sz w:val="20"/>
        </w:rPr>
      </w:pPr>
      <w:r>
        <w:rPr>
          <w:sz w:val="20"/>
        </w:rPr>
        <w:t>Varillas de vidrio de 3,5 mm de diámetro aproximadamente y 20 cm de largo dobladas en ángulo recto.</w:t>
      </w:r>
    </w:p>
    <w:p>
      <w:pPr>
        <w:spacing w:before="1"/>
        <w:ind w:left="152" w:right="0" w:firstLine="0"/>
        <w:jc w:val="both"/>
        <w:rPr>
          <w:sz w:val="20"/>
        </w:rPr>
      </w:pPr>
      <w:r>
        <w:rPr>
          <w:sz w:val="20"/>
        </w:rPr>
        <w:t>Matraz Erlenmeyer con perlas de vidrio</w:t>
      </w:r>
    </w:p>
    <w:p>
      <w:pPr>
        <w:spacing w:line="360" w:lineRule="auto" w:before="115"/>
        <w:ind w:left="152" w:right="154" w:firstLine="0"/>
        <w:jc w:val="left"/>
        <w:rPr>
          <w:sz w:val="20"/>
        </w:rPr>
      </w:pPr>
      <w:r>
        <w:rPr>
          <w:sz w:val="20"/>
        </w:rPr>
        <w:t>Cámara</w:t>
      </w:r>
      <w:r>
        <w:rPr>
          <w:spacing w:val="-6"/>
          <w:sz w:val="20"/>
        </w:rPr>
        <w:t> </w:t>
      </w:r>
      <w:r>
        <w:rPr>
          <w:sz w:val="20"/>
        </w:rPr>
        <w:t>húmeda:</w:t>
      </w:r>
      <w:r>
        <w:rPr>
          <w:spacing w:val="-7"/>
          <w:sz w:val="20"/>
        </w:rPr>
        <w:t> </w:t>
      </w:r>
      <w:r>
        <w:rPr>
          <w:sz w:val="20"/>
        </w:rPr>
        <w:t>consiste</w:t>
      </w:r>
      <w:r>
        <w:rPr>
          <w:spacing w:val="-7"/>
          <w:sz w:val="20"/>
        </w:rPr>
        <w:t> </w:t>
      </w:r>
      <w:r>
        <w:rPr>
          <w:sz w:val="20"/>
        </w:rPr>
        <w:t>en</w:t>
      </w:r>
      <w:r>
        <w:rPr>
          <w:spacing w:val="-7"/>
          <w:sz w:val="20"/>
        </w:rPr>
        <w:t> </w:t>
      </w:r>
      <w:r>
        <w:rPr>
          <w:sz w:val="20"/>
        </w:rPr>
        <w:t>una</w:t>
      </w:r>
      <w:r>
        <w:rPr>
          <w:spacing w:val="-7"/>
          <w:sz w:val="20"/>
        </w:rPr>
        <w:t> </w:t>
      </w:r>
      <w:r>
        <w:rPr>
          <w:sz w:val="20"/>
        </w:rPr>
        <w:t>caja</w:t>
      </w:r>
      <w:r>
        <w:rPr>
          <w:spacing w:val="-7"/>
          <w:sz w:val="20"/>
        </w:rPr>
        <w:t> </w:t>
      </w:r>
      <w:r>
        <w:rPr>
          <w:sz w:val="20"/>
        </w:rPr>
        <w:t>Petri</w:t>
      </w:r>
      <w:r>
        <w:rPr>
          <w:spacing w:val="-7"/>
          <w:sz w:val="20"/>
        </w:rPr>
        <w:t> </w:t>
      </w:r>
      <w:r>
        <w:rPr>
          <w:sz w:val="20"/>
        </w:rPr>
        <w:t>en</w:t>
      </w:r>
      <w:r>
        <w:rPr>
          <w:spacing w:val="-7"/>
          <w:sz w:val="20"/>
        </w:rPr>
        <w:t> </w:t>
      </w:r>
      <w:r>
        <w:rPr>
          <w:sz w:val="20"/>
        </w:rPr>
        <w:t>la</w:t>
      </w:r>
      <w:r>
        <w:rPr>
          <w:spacing w:val="-7"/>
          <w:sz w:val="20"/>
        </w:rPr>
        <w:t> </w:t>
      </w:r>
      <w:r>
        <w:rPr>
          <w:sz w:val="20"/>
        </w:rPr>
        <w:t>cual</w:t>
      </w:r>
      <w:r>
        <w:rPr>
          <w:spacing w:val="-5"/>
          <w:sz w:val="20"/>
        </w:rPr>
        <w:t> </w:t>
      </w:r>
      <w:r>
        <w:rPr>
          <w:sz w:val="20"/>
        </w:rPr>
        <w:t>se</w:t>
      </w:r>
      <w:r>
        <w:rPr>
          <w:spacing w:val="-7"/>
          <w:sz w:val="20"/>
        </w:rPr>
        <w:t> </w:t>
      </w:r>
      <w:r>
        <w:rPr>
          <w:sz w:val="20"/>
        </w:rPr>
        <w:t>coloca</w:t>
      </w:r>
      <w:r>
        <w:rPr>
          <w:spacing w:val="-7"/>
          <w:sz w:val="20"/>
        </w:rPr>
        <w:t> </w:t>
      </w:r>
      <w:r>
        <w:rPr>
          <w:sz w:val="20"/>
        </w:rPr>
        <w:t>una</w:t>
      </w:r>
      <w:r>
        <w:rPr>
          <w:spacing w:val="-5"/>
          <w:sz w:val="20"/>
        </w:rPr>
        <w:t> </w:t>
      </w:r>
      <w:r>
        <w:rPr>
          <w:sz w:val="20"/>
        </w:rPr>
        <w:t>varilla</w:t>
      </w:r>
      <w:r>
        <w:rPr>
          <w:spacing w:val="-7"/>
          <w:sz w:val="20"/>
        </w:rPr>
        <w:t> </w:t>
      </w:r>
      <w:r>
        <w:rPr>
          <w:sz w:val="20"/>
        </w:rPr>
        <w:t>de</w:t>
      </w:r>
      <w:r>
        <w:rPr>
          <w:spacing w:val="-5"/>
          <w:sz w:val="20"/>
        </w:rPr>
        <w:t> </w:t>
      </w:r>
      <w:r>
        <w:rPr>
          <w:sz w:val="20"/>
        </w:rPr>
        <w:t>vidrio</w:t>
      </w:r>
      <w:r>
        <w:rPr>
          <w:spacing w:val="-7"/>
          <w:sz w:val="20"/>
        </w:rPr>
        <w:t> </w:t>
      </w:r>
      <w:r>
        <w:rPr>
          <w:sz w:val="20"/>
        </w:rPr>
        <w:t>en</w:t>
      </w:r>
      <w:r>
        <w:rPr>
          <w:spacing w:val="-7"/>
          <w:sz w:val="20"/>
        </w:rPr>
        <w:t> </w:t>
      </w:r>
      <w:r>
        <w:rPr>
          <w:sz w:val="20"/>
        </w:rPr>
        <w:t>forma</w:t>
      </w:r>
      <w:r>
        <w:rPr>
          <w:spacing w:val="-7"/>
          <w:sz w:val="20"/>
        </w:rPr>
        <w:t> </w:t>
      </w:r>
      <w:r>
        <w:rPr>
          <w:sz w:val="20"/>
        </w:rPr>
        <w:t>de</w:t>
      </w:r>
      <w:r>
        <w:rPr>
          <w:spacing w:val="-7"/>
          <w:sz w:val="20"/>
        </w:rPr>
        <w:t> </w:t>
      </w:r>
      <w:r>
        <w:rPr>
          <w:sz w:val="20"/>
        </w:rPr>
        <w:t>"V" rodeada de algodón humedecido con</w:t>
      </w:r>
      <w:r>
        <w:rPr>
          <w:spacing w:val="-13"/>
          <w:sz w:val="20"/>
        </w:rPr>
        <w:t> </w:t>
      </w:r>
      <w:r>
        <w:rPr>
          <w:sz w:val="20"/>
        </w:rPr>
        <w:t>agua.</w:t>
      </w:r>
    </w:p>
    <w:p>
      <w:pPr>
        <w:pStyle w:val="ListParagraph"/>
        <w:numPr>
          <w:ilvl w:val="0"/>
          <w:numId w:val="13"/>
        </w:numPr>
        <w:tabs>
          <w:tab w:pos="374" w:val="left" w:leader="none"/>
        </w:tabs>
        <w:spacing w:line="240" w:lineRule="auto" w:before="4" w:after="0"/>
        <w:ind w:left="373" w:right="0" w:hanging="221"/>
        <w:jc w:val="both"/>
        <w:rPr>
          <w:sz w:val="20"/>
        </w:rPr>
      </w:pPr>
      <w:r>
        <w:rPr>
          <w:sz w:val="20"/>
        </w:rPr>
        <w:t>Aparatos</w:t>
      </w:r>
    </w:p>
    <w:p>
      <w:pPr>
        <w:spacing w:line="360" w:lineRule="auto" w:before="113"/>
        <w:ind w:left="152" w:right="4951" w:firstLine="0"/>
        <w:jc w:val="left"/>
        <w:rPr>
          <w:sz w:val="20"/>
        </w:rPr>
      </w:pPr>
      <w:r>
        <w:rPr>
          <w:sz w:val="20"/>
        </w:rPr>
        <w:t>Horno para esterilizar que alcance 180°C. Autoclave con termómetro.</w:t>
      </w:r>
    </w:p>
    <w:p>
      <w:pPr>
        <w:spacing w:line="360" w:lineRule="auto" w:before="4"/>
        <w:ind w:left="152" w:right="3443" w:firstLine="0"/>
        <w:jc w:val="left"/>
        <w:rPr>
          <w:sz w:val="20"/>
        </w:rPr>
      </w:pPr>
      <w:r>
        <w:rPr>
          <w:sz w:val="20"/>
        </w:rPr>
        <w:t>Baño de agua con regulador de temperatura de 35 ± 0,5ºC. Baño de agua con regulador de temperatura de 45 ± 0,5ºC.</w:t>
      </w:r>
    </w:p>
    <w:p>
      <w:pPr>
        <w:spacing w:line="360" w:lineRule="auto" w:before="1"/>
        <w:ind w:left="152" w:right="2919" w:firstLine="0"/>
        <w:jc w:val="left"/>
        <w:rPr>
          <w:sz w:val="20"/>
        </w:rPr>
      </w:pPr>
      <w:r>
        <w:rPr>
          <w:sz w:val="20"/>
        </w:rPr>
        <w:t>Balanza con capacidad no mayor de 2,500 g y sensibilidad de 0,1 g. Incubadora a 35 ± 1ºC.</w:t>
      </w:r>
    </w:p>
    <w:p>
      <w:pPr>
        <w:pStyle w:val="ListParagraph"/>
        <w:numPr>
          <w:ilvl w:val="0"/>
          <w:numId w:val="13"/>
        </w:numPr>
        <w:tabs>
          <w:tab w:pos="374" w:val="left" w:leader="none"/>
        </w:tabs>
        <w:spacing w:line="240" w:lineRule="auto" w:before="4" w:after="0"/>
        <w:ind w:left="373" w:right="0" w:hanging="221"/>
        <w:jc w:val="both"/>
        <w:rPr>
          <w:sz w:val="20"/>
        </w:rPr>
      </w:pPr>
      <w:r>
        <w:rPr>
          <w:sz w:val="20"/>
        </w:rPr>
        <w:t>Preparación de la</w:t>
      </w:r>
      <w:r>
        <w:rPr>
          <w:spacing w:val="-7"/>
          <w:sz w:val="20"/>
        </w:rPr>
        <w:t> </w:t>
      </w:r>
      <w:r>
        <w:rPr>
          <w:sz w:val="20"/>
        </w:rPr>
        <w:t>muestra</w:t>
      </w:r>
    </w:p>
    <w:p>
      <w:pPr>
        <w:spacing w:line="357" w:lineRule="auto" w:before="115"/>
        <w:ind w:left="152" w:right="154" w:firstLine="0"/>
        <w:jc w:val="left"/>
        <w:rPr>
          <w:sz w:val="20"/>
        </w:rPr>
      </w:pPr>
      <w:r>
        <w:rPr>
          <w:sz w:val="20"/>
        </w:rPr>
        <w:t>La preparación de la muestra se debe realizar de acuerdo a lo establecido en la NOM-110-SSA1- 1994 "Preparación y Dilución de Muestras de Alimentos para su Análisis Microbiológico".</w:t>
      </w:r>
    </w:p>
    <w:p>
      <w:pPr>
        <w:pStyle w:val="ListParagraph"/>
        <w:numPr>
          <w:ilvl w:val="0"/>
          <w:numId w:val="13"/>
        </w:numPr>
        <w:tabs>
          <w:tab w:pos="374" w:val="left" w:leader="none"/>
        </w:tabs>
        <w:spacing w:line="240" w:lineRule="auto" w:before="6" w:after="0"/>
        <w:ind w:left="373" w:right="0" w:hanging="221"/>
        <w:jc w:val="both"/>
        <w:rPr>
          <w:sz w:val="20"/>
        </w:rPr>
      </w:pPr>
      <w:r>
        <w:rPr>
          <w:sz w:val="20"/>
        </w:rPr>
        <w:t>Procedimiento</w:t>
      </w:r>
    </w:p>
    <w:p>
      <w:pPr>
        <w:pStyle w:val="ListParagraph"/>
        <w:numPr>
          <w:ilvl w:val="1"/>
          <w:numId w:val="13"/>
        </w:numPr>
        <w:tabs>
          <w:tab w:pos="491" w:val="left" w:leader="none"/>
        </w:tabs>
        <w:spacing w:line="357" w:lineRule="auto" w:before="116" w:after="0"/>
        <w:ind w:left="152" w:right="159" w:firstLine="0"/>
        <w:jc w:val="left"/>
        <w:rPr>
          <w:sz w:val="20"/>
        </w:rPr>
      </w:pPr>
      <w:r>
        <w:rPr>
          <w:sz w:val="20"/>
        </w:rPr>
        <w:t>Utilizando diferentes pipetas de 1 ml para cada dilución, depositar 0,1 ml sobre la superficie de las placas de agar</w:t>
      </w:r>
      <w:r>
        <w:rPr>
          <w:spacing w:val="-5"/>
          <w:sz w:val="20"/>
        </w:rPr>
        <w:t> </w:t>
      </w:r>
      <w:r>
        <w:rPr>
          <w:sz w:val="20"/>
        </w:rPr>
        <w:t>Baird-Parker.</w:t>
      </w:r>
    </w:p>
    <w:p>
      <w:pPr>
        <w:pStyle w:val="ListParagraph"/>
        <w:numPr>
          <w:ilvl w:val="1"/>
          <w:numId w:val="13"/>
        </w:numPr>
        <w:tabs>
          <w:tab w:pos="496" w:val="left" w:leader="none"/>
        </w:tabs>
        <w:spacing w:line="360" w:lineRule="auto" w:before="6" w:after="0"/>
        <w:ind w:left="152" w:right="161" w:firstLine="0"/>
        <w:jc w:val="left"/>
        <w:rPr>
          <w:sz w:val="20"/>
        </w:rPr>
      </w:pPr>
      <w:r>
        <w:rPr>
          <w:sz w:val="20"/>
        </w:rPr>
        <w:t>Distribuir el inóculo sobre la superficie del agar con varillas estériles de vidrio en ángulo recto, utilizando una para cada</w:t>
      </w:r>
      <w:r>
        <w:rPr>
          <w:spacing w:val="-12"/>
          <w:sz w:val="20"/>
        </w:rPr>
        <w:t> </w:t>
      </w:r>
      <w:r>
        <w:rPr>
          <w:sz w:val="20"/>
        </w:rPr>
        <w:t>dilución.</w:t>
      </w:r>
    </w:p>
    <w:p>
      <w:pPr>
        <w:pStyle w:val="ListParagraph"/>
        <w:numPr>
          <w:ilvl w:val="1"/>
          <w:numId w:val="13"/>
        </w:numPr>
        <w:tabs>
          <w:tab w:pos="484" w:val="left" w:leader="none"/>
        </w:tabs>
        <w:spacing w:line="240" w:lineRule="auto" w:before="4" w:after="0"/>
        <w:ind w:left="483" w:right="0" w:hanging="331"/>
        <w:jc w:val="both"/>
        <w:rPr>
          <w:sz w:val="20"/>
        </w:rPr>
      </w:pPr>
      <w:r>
        <w:rPr>
          <w:sz w:val="20"/>
        </w:rPr>
        <w:t>Mantener las placas en su posición hasta que el inóculo sea absorbido por el</w:t>
      </w:r>
      <w:r>
        <w:rPr>
          <w:spacing w:val="-25"/>
          <w:sz w:val="20"/>
        </w:rPr>
        <w:t> </w:t>
      </w:r>
      <w:r>
        <w:rPr>
          <w:sz w:val="20"/>
        </w:rPr>
        <w:t>agar.</w:t>
      </w:r>
    </w:p>
    <w:p>
      <w:pPr>
        <w:pStyle w:val="ListParagraph"/>
        <w:numPr>
          <w:ilvl w:val="1"/>
          <w:numId w:val="13"/>
        </w:numPr>
        <w:tabs>
          <w:tab w:pos="484" w:val="left" w:leader="none"/>
        </w:tabs>
        <w:spacing w:line="240" w:lineRule="auto" w:before="113" w:after="0"/>
        <w:ind w:left="483" w:right="0" w:hanging="331"/>
        <w:jc w:val="both"/>
        <w:rPr>
          <w:sz w:val="20"/>
        </w:rPr>
      </w:pPr>
      <w:r>
        <w:rPr>
          <w:sz w:val="20"/>
        </w:rPr>
        <w:t>Invertir las placas e incubar de 45 a 48 h a</w:t>
      </w:r>
      <w:r>
        <w:rPr>
          <w:spacing w:val="-11"/>
          <w:sz w:val="20"/>
        </w:rPr>
        <w:t> </w:t>
      </w:r>
      <w:r>
        <w:rPr>
          <w:sz w:val="20"/>
        </w:rPr>
        <w:t>35ºC.</w:t>
      </w:r>
    </w:p>
    <w:p>
      <w:pPr>
        <w:spacing w:after="0" w:line="240" w:lineRule="auto"/>
        <w:jc w:val="both"/>
        <w:rPr>
          <w:sz w:val="20"/>
        </w:rPr>
        <w:sectPr>
          <w:pgSz w:w="12240" w:h="15840"/>
          <w:pgMar w:header="728" w:footer="710" w:top="1200" w:bottom="900" w:left="1720" w:right="1380"/>
        </w:sectPr>
      </w:pPr>
    </w:p>
    <w:p>
      <w:pPr>
        <w:pStyle w:val="BodyText"/>
        <w:rPr>
          <w:sz w:val="20"/>
        </w:rPr>
      </w:pPr>
    </w:p>
    <w:p>
      <w:pPr>
        <w:pStyle w:val="BodyText"/>
        <w:spacing w:before="6"/>
        <w:rPr>
          <w:sz w:val="26"/>
        </w:rPr>
      </w:pPr>
    </w:p>
    <w:p>
      <w:pPr>
        <w:pStyle w:val="ListParagraph"/>
        <w:numPr>
          <w:ilvl w:val="1"/>
          <w:numId w:val="13"/>
        </w:numPr>
        <w:tabs>
          <w:tab w:pos="489" w:val="left" w:leader="none"/>
        </w:tabs>
        <w:spacing w:line="360" w:lineRule="auto" w:before="74" w:after="0"/>
        <w:ind w:left="152" w:right="146" w:firstLine="0"/>
        <w:jc w:val="both"/>
        <w:rPr>
          <w:sz w:val="20"/>
        </w:rPr>
      </w:pPr>
      <w:r>
        <w:rPr>
          <w:sz w:val="20"/>
        </w:rPr>
        <w:t>Seleccionar las placas que tengan entre 15 y 150 colonias típicas de </w:t>
      </w:r>
      <w:r>
        <w:rPr>
          <w:i/>
          <w:sz w:val="20"/>
        </w:rPr>
        <w:t>Staphylococcus aureus</w:t>
      </w:r>
      <w:r>
        <w:rPr>
          <w:sz w:val="20"/>
        </w:rPr>
        <w:t>; si no es posible, seleccionar las placas de las diluciones más altas no obstante tengan más de 150 colonias.</w:t>
      </w:r>
    </w:p>
    <w:p>
      <w:pPr>
        <w:pStyle w:val="ListParagraph"/>
        <w:numPr>
          <w:ilvl w:val="1"/>
          <w:numId w:val="13"/>
        </w:numPr>
        <w:tabs>
          <w:tab w:pos="515" w:val="left" w:leader="none"/>
        </w:tabs>
        <w:spacing w:line="360" w:lineRule="auto" w:before="4" w:after="0"/>
        <w:ind w:left="152" w:right="157" w:firstLine="0"/>
        <w:jc w:val="both"/>
        <w:rPr>
          <w:sz w:val="20"/>
        </w:rPr>
      </w:pPr>
      <w:r>
        <w:rPr>
          <w:sz w:val="20"/>
        </w:rPr>
        <w:t>Cuando las placas tengan menos de 15 colonias típicas también pueden ser utilizadas y al informe se debe agregar la nota de "valor</w:t>
      </w:r>
      <w:r>
        <w:rPr>
          <w:spacing w:val="-18"/>
          <w:sz w:val="20"/>
        </w:rPr>
        <w:t> </w:t>
      </w:r>
      <w:r>
        <w:rPr>
          <w:sz w:val="20"/>
        </w:rPr>
        <w:t>estimado".</w:t>
      </w:r>
    </w:p>
    <w:p>
      <w:pPr>
        <w:pStyle w:val="ListParagraph"/>
        <w:numPr>
          <w:ilvl w:val="1"/>
          <w:numId w:val="13"/>
        </w:numPr>
        <w:tabs>
          <w:tab w:pos="486" w:val="left" w:leader="none"/>
        </w:tabs>
        <w:spacing w:line="357" w:lineRule="auto" w:before="4" w:after="0"/>
        <w:ind w:left="152" w:right="161" w:firstLine="0"/>
        <w:jc w:val="both"/>
        <w:rPr>
          <w:sz w:val="20"/>
        </w:rPr>
      </w:pPr>
      <w:r>
        <w:rPr>
          <w:sz w:val="20"/>
        </w:rPr>
        <w:t>Las colonias típicas son negras, circulares, brillantes, convexas, lisas, de diámetro de 1 a 2 mm y muestran una zona opaca y un halo claro alrededor de la</w:t>
      </w:r>
      <w:r>
        <w:rPr>
          <w:spacing w:val="-22"/>
          <w:sz w:val="20"/>
        </w:rPr>
        <w:t> </w:t>
      </w:r>
      <w:r>
        <w:rPr>
          <w:sz w:val="20"/>
        </w:rPr>
        <w:t>colonia.</w:t>
      </w:r>
    </w:p>
    <w:p>
      <w:pPr>
        <w:pStyle w:val="ListParagraph"/>
        <w:numPr>
          <w:ilvl w:val="1"/>
          <w:numId w:val="13"/>
        </w:numPr>
        <w:tabs>
          <w:tab w:pos="532" w:val="left" w:leader="none"/>
        </w:tabs>
        <w:spacing w:line="362" w:lineRule="auto" w:before="6" w:after="0"/>
        <w:ind w:left="152" w:right="148" w:firstLine="0"/>
        <w:jc w:val="both"/>
        <w:rPr>
          <w:sz w:val="20"/>
        </w:rPr>
      </w:pPr>
      <w:r>
        <w:rPr>
          <w:sz w:val="20"/>
        </w:rPr>
        <w:t>Seleccionar las colonias de acuerdo con el siguiente cuadro para realizar las pruebas de coagulasa y</w:t>
      </w:r>
      <w:r>
        <w:rPr>
          <w:spacing w:val="-8"/>
          <w:sz w:val="20"/>
        </w:rPr>
        <w:t> </w:t>
      </w:r>
      <w:r>
        <w:rPr>
          <w:sz w:val="20"/>
        </w:rPr>
        <w:t>termonucleasa:</w:t>
      </w:r>
    </w:p>
    <w:p>
      <w:pPr>
        <w:spacing w:line="229" w:lineRule="exact" w:before="0"/>
        <w:ind w:left="152" w:right="0" w:firstLine="0"/>
        <w:jc w:val="both"/>
        <w:rPr>
          <w:sz w:val="20"/>
        </w:rPr>
      </w:pPr>
      <w:r>
        <w:rPr>
          <w:sz w:val="20"/>
        </w:rPr>
        <w:t>CUADRO</w:t>
      </w:r>
    </w:p>
    <w:p>
      <w:pPr>
        <w:spacing w:line="360" w:lineRule="auto" w:before="115"/>
        <w:ind w:left="152" w:right="3443" w:firstLine="0"/>
        <w:jc w:val="left"/>
        <w:rPr>
          <w:sz w:val="20"/>
        </w:rPr>
      </w:pPr>
      <w:r>
        <w:rPr>
          <w:sz w:val="20"/>
        </w:rPr>
        <w:t>NUMERO DE COLONIAS NUMERO DE COLONIAS SOSPECHOSAS EN PLACA POR PROBAR</w:t>
      </w:r>
    </w:p>
    <w:p>
      <w:pPr>
        <w:spacing w:before="4"/>
        <w:ind w:left="152" w:right="0" w:firstLine="0"/>
        <w:jc w:val="both"/>
        <w:rPr>
          <w:sz w:val="20"/>
        </w:rPr>
      </w:pPr>
      <w:r>
        <w:rPr>
          <w:sz w:val="20"/>
        </w:rPr>
        <w:t>Menos de 50 3</w:t>
      </w:r>
    </w:p>
    <w:p>
      <w:pPr>
        <w:spacing w:before="113"/>
        <w:ind w:left="152" w:right="0" w:firstLine="0"/>
        <w:jc w:val="both"/>
        <w:rPr>
          <w:sz w:val="20"/>
        </w:rPr>
      </w:pPr>
      <w:r>
        <w:rPr>
          <w:sz w:val="20"/>
        </w:rPr>
        <w:t>51 a 100 5</w:t>
      </w:r>
    </w:p>
    <w:p>
      <w:pPr>
        <w:spacing w:before="115"/>
        <w:ind w:left="152" w:right="0" w:firstLine="0"/>
        <w:jc w:val="both"/>
        <w:rPr>
          <w:sz w:val="20"/>
        </w:rPr>
      </w:pPr>
      <w:r>
        <w:rPr>
          <w:sz w:val="20"/>
        </w:rPr>
        <w:t>101 a 150 o más 7</w:t>
      </w:r>
    </w:p>
    <w:p>
      <w:pPr>
        <w:pStyle w:val="ListParagraph"/>
        <w:numPr>
          <w:ilvl w:val="1"/>
          <w:numId w:val="13"/>
        </w:numPr>
        <w:tabs>
          <w:tab w:pos="484" w:val="left" w:leader="none"/>
        </w:tabs>
        <w:spacing w:line="360" w:lineRule="auto" w:before="115" w:after="0"/>
        <w:ind w:left="152" w:right="156" w:firstLine="0"/>
        <w:jc w:val="both"/>
        <w:rPr>
          <w:sz w:val="20"/>
        </w:rPr>
      </w:pPr>
      <w:r>
        <w:rPr>
          <w:sz w:val="20"/>
        </w:rPr>
        <w:t>Seleccionar el número de colonias y</w:t>
      </w:r>
      <w:r>
        <w:rPr>
          <w:spacing w:val="-39"/>
          <w:sz w:val="20"/>
        </w:rPr>
        <w:t> </w:t>
      </w:r>
      <w:r>
        <w:rPr>
          <w:sz w:val="20"/>
        </w:rPr>
        <w:t>sembrar cada una en tubos con 0,5 ml de caldo de infusión cerebro-corazón.</w:t>
      </w:r>
    </w:p>
    <w:p>
      <w:pPr>
        <w:pStyle w:val="ListParagraph"/>
        <w:numPr>
          <w:ilvl w:val="1"/>
          <w:numId w:val="13"/>
        </w:numPr>
        <w:tabs>
          <w:tab w:pos="597" w:val="left" w:leader="none"/>
        </w:tabs>
        <w:spacing w:line="240" w:lineRule="auto" w:before="1" w:after="0"/>
        <w:ind w:left="596" w:right="0" w:hanging="444"/>
        <w:jc w:val="both"/>
        <w:rPr>
          <w:sz w:val="20"/>
        </w:rPr>
      </w:pPr>
      <w:r>
        <w:rPr>
          <w:sz w:val="20"/>
        </w:rPr>
        <w:t>Incubar a 35ºC durante 24</w:t>
      </w:r>
      <w:r>
        <w:rPr>
          <w:spacing w:val="-9"/>
          <w:sz w:val="20"/>
        </w:rPr>
        <w:t> </w:t>
      </w:r>
      <w:r>
        <w:rPr>
          <w:sz w:val="20"/>
        </w:rPr>
        <w:t>h.</w:t>
      </w:r>
    </w:p>
    <w:p>
      <w:pPr>
        <w:pStyle w:val="ListParagraph"/>
        <w:numPr>
          <w:ilvl w:val="1"/>
          <w:numId w:val="13"/>
        </w:numPr>
        <w:tabs>
          <w:tab w:pos="630" w:val="left" w:leader="none"/>
        </w:tabs>
        <w:spacing w:line="360" w:lineRule="auto" w:before="113" w:after="0"/>
        <w:ind w:left="152" w:right="150" w:firstLine="0"/>
        <w:jc w:val="both"/>
        <w:rPr>
          <w:sz w:val="20"/>
        </w:rPr>
      </w:pPr>
      <w:r>
        <w:rPr>
          <w:sz w:val="20"/>
        </w:rPr>
        <w:t>Inocular en la misma forma cepas conocidas de </w:t>
      </w:r>
      <w:r>
        <w:rPr>
          <w:i/>
          <w:sz w:val="20"/>
        </w:rPr>
        <w:t>Staphylococcus aureus </w:t>
      </w:r>
      <w:r>
        <w:rPr>
          <w:sz w:val="20"/>
        </w:rPr>
        <w:t>y </w:t>
      </w:r>
      <w:r>
        <w:rPr>
          <w:i/>
          <w:sz w:val="20"/>
        </w:rPr>
        <w:t>Staphylococcus </w:t>
      </w:r>
      <w:r>
        <w:rPr>
          <w:i/>
          <w:sz w:val="20"/>
        </w:rPr>
        <w:t>epidermidis </w:t>
      </w:r>
      <w:r>
        <w:rPr>
          <w:sz w:val="20"/>
        </w:rPr>
        <w:t>como testigos positivo y</w:t>
      </w:r>
      <w:r>
        <w:rPr>
          <w:spacing w:val="-12"/>
          <w:sz w:val="20"/>
        </w:rPr>
        <w:t> </w:t>
      </w:r>
      <w:r>
        <w:rPr>
          <w:sz w:val="20"/>
        </w:rPr>
        <w:t>negativo.</w:t>
      </w:r>
    </w:p>
    <w:p>
      <w:pPr>
        <w:pStyle w:val="ListParagraph"/>
        <w:numPr>
          <w:ilvl w:val="1"/>
          <w:numId w:val="13"/>
        </w:numPr>
        <w:tabs>
          <w:tab w:pos="597" w:val="left" w:leader="none"/>
        </w:tabs>
        <w:spacing w:line="360" w:lineRule="auto" w:before="6" w:after="0"/>
        <w:ind w:left="152" w:right="152" w:firstLine="0"/>
        <w:jc w:val="both"/>
        <w:rPr>
          <w:sz w:val="20"/>
        </w:rPr>
      </w:pPr>
      <w:r>
        <w:rPr>
          <w:sz w:val="20"/>
        </w:rPr>
        <w:t>Después del periodo de incubación pasar con una pipeta de 1 ml, 0,3 ml de cada cultivo a otro tubo de 10 mm x 75 mm y conservarlo para la prueba de termonucleasa. El resto del cultivo se usa para la prueba de</w:t>
      </w:r>
      <w:r>
        <w:rPr>
          <w:spacing w:val="-11"/>
          <w:sz w:val="20"/>
        </w:rPr>
        <w:t> </w:t>
      </w:r>
      <w:r>
        <w:rPr>
          <w:sz w:val="20"/>
        </w:rPr>
        <w:t>coagulasa.</w:t>
      </w:r>
    </w:p>
    <w:p>
      <w:pPr>
        <w:pStyle w:val="ListParagraph"/>
        <w:numPr>
          <w:ilvl w:val="1"/>
          <w:numId w:val="13"/>
        </w:numPr>
        <w:tabs>
          <w:tab w:pos="597" w:val="left" w:leader="none"/>
        </w:tabs>
        <w:spacing w:line="240" w:lineRule="auto" w:before="4" w:after="0"/>
        <w:ind w:left="596" w:right="0" w:hanging="444"/>
        <w:jc w:val="both"/>
        <w:rPr>
          <w:sz w:val="20"/>
        </w:rPr>
      </w:pPr>
      <w:r>
        <w:rPr>
          <w:sz w:val="20"/>
        </w:rPr>
        <w:t>Prueba de</w:t>
      </w:r>
      <w:r>
        <w:rPr>
          <w:spacing w:val="-7"/>
          <w:sz w:val="20"/>
        </w:rPr>
        <w:t> </w:t>
      </w:r>
      <w:r>
        <w:rPr>
          <w:sz w:val="20"/>
        </w:rPr>
        <w:t>coagulasa</w:t>
      </w:r>
    </w:p>
    <w:p>
      <w:pPr>
        <w:pStyle w:val="ListParagraph"/>
        <w:numPr>
          <w:ilvl w:val="2"/>
          <w:numId w:val="13"/>
        </w:numPr>
        <w:tabs>
          <w:tab w:pos="750" w:val="left" w:leader="none"/>
        </w:tabs>
        <w:spacing w:line="357" w:lineRule="auto" w:before="115" w:after="0"/>
        <w:ind w:left="152" w:right="148" w:firstLine="0"/>
        <w:jc w:val="both"/>
        <w:rPr>
          <w:sz w:val="20"/>
        </w:rPr>
      </w:pPr>
      <w:r>
        <w:rPr>
          <w:sz w:val="20"/>
        </w:rPr>
        <w:t>Agregar</w:t>
      </w:r>
      <w:r>
        <w:rPr>
          <w:spacing w:val="-11"/>
          <w:sz w:val="20"/>
        </w:rPr>
        <w:t> </w:t>
      </w:r>
      <w:r>
        <w:rPr>
          <w:sz w:val="20"/>
        </w:rPr>
        <w:t>a</w:t>
      </w:r>
      <w:r>
        <w:rPr>
          <w:spacing w:val="-14"/>
          <w:sz w:val="20"/>
        </w:rPr>
        <w:t> </w:t>
      </w:r>
      <w:r>
        <w:rPr>
          <w:sz w:val="20"/>
        </w:rPr>
        <w:t>los</w:t>
      </w:r>
      <w:r>
        <w:rPr>
          <w:spacing w:val="-13"/>
          <w:sz w:val="20"/>
        </w:rPr>
        <w:t> </w:t>
      </w:r>
      <w:r>
        <w:rPr>
          <w:sz w:val="20"/>
        </w:rPr>
        <w:t>0,2</w:t>
      </w:r>
      <w:r>
        <w:rPr>
          <w:spacing w:val="-14"/>
          <w:sz w:val="20"/>
        </w:rPr>
        <w:t> </w:t>
      </w:r>
      <w:r>
        <w:rPr>
          <w:sz w:val="20"/>
        </w:rPr>
        <w:t>ml</w:t>
      </w:r>
      <w:r>
        <w:rPr>
          <w:spacing w:val="-15"/>
          <w:sz w:val="20"/>
        </w:rPr>
        <w:t> </w:t>
      </w:r>
      <w:r>
        <w:rPr>
          <w:sz w:val="20"/>
        </w:rPr>
        <w:t>del</w:t>
      </w:r>
      <w:r>
        <w:rPr>
          <w:spacing w:val="-15"/>
          <w:sz w:val="20"/>
        </w:rPr>
        <w:t> </w:t>
      </w:r>
      <w:r>
        <w:rPr>
          <w:sz w:val="20"/>
        </w:rPr>
        <w:t>cultivo</w:t>
      </w:r>
      <w:r>
        <w:rPr>
          <w:spacing w:val="-12"/>
          <w:sz w:val="20"/>
        </w:rPr>
        <w:t> </w:t>
      </w:r>
      <w:r>
        <w:rPr>
          <w:sz w:val="20"/>
        </w:rPr>
        <w:t>anterior,</w:t>
      </w:r>
      <w:r>
        <w:rPr>
          <w:spacing w:val="-12"/>
          <w:sz w:val="20"/>
        </w:rPr>
        <w:t> </w:t>
      </w:r>
      <w:r>
        <w:rPr>
          <w:sz w:val="20"/>
        </w:rPr>
        <w:t>0,2</w:t>
      </w:r>
      <w:r>
        <w:rPr>
          <w:spacing w:val="-15"/>
          <w:sz w:val="20"/>
        </w:rPr>
        <w:t> </w:t>
      </w:r>
      <w:r>
        <w:rPr>
          <w:sz w:val="20"/>
        </w:rPr>
        <w:t>ml</w:t>
      </w:r>
      <w:r>
        <w:rPr>
          <w:spacing w:val="-15"/>
          <w:sz w:val="20"/>
        </w:rPr>
        <w:t> </w:t>
      </w:r>
      <w:r>
        <w:rPr>
          <w:sz w:val="20"/>
        </w:rPr>
        <w:t>de</w:t>
      </w:r>
      <w:r>
        <w:rPr>
          <w:spacing w:val="-15"/>
          <w:sz w:val="20"/>
        </w:rPr>
        <w:t> </w:t>
      </w:r>
      <w:r>
        <w:rPr>
          <w:sz w:val="20"/>
        </w:rPr>
        <w:t>plasma</w:t>
      </w:r>
      <w:r>
        <w:rPr>
          <w:spacing w:val="-14"/>
          <w:sz w:val="20"/>
        </w:rPr>
        <w:t> </w:t>
      </w:r>
      <w:r>
        <w:rPr>
          <w:sz w:val="20"/>
        </w:rPr>
        <w:t>de</w:t>
      </w:r>
      <w:r>
        <w:rPr>
          <w:spacing w:val="-15"/>
          <w:sz w:val="20"/>
        </w:rPr>
        <w:t> </w:t>
      </w:r>
      <w:r>
        <w:rPr>
          <w:sz w:val="20"/>
        </w:rPr>
        <w:t>conejo</w:t>
      </w:r>
      <w:r>
        <w:rPr>
          <w:spacing w:val="-14"/>
          <w:sz w:val="20"/>
        </w:rPr>
        <w:t> </w:t>
      </w:r>
      <w:r>
        <w:rPr>
          <w:sz w:val="20"/>
        </w:rPr>
        <w:t>diluido</w:t>
      </w:r>
      <w:r>
        <w:rPr>
          <w:spacing w:val="-12"/>
          <w:sz w:val="20"/>
        </w:rPr>
        <w:t> </w:t>
      </w:r>
      <w:r>
        <w:rPr>
          <w:sz w:val="20"/>
        </w:rPr>
        <w:t>volumen</w:t>
      </w:r>
      <w:r>
        <w:rPr>
          <w:spacing w:val="-15"/>
          <w:sz w:val="20"/>
        </w:rPr>
        <w:t> </w:t>
      </w:r>
      <w:r>
        <w:rPr>
          <w:sz w:val="20"/>
        </w:rPr>
        <w:t>a</w:t>
      </w:r>
      <w:r>
        <w:rPr>
          <w:spacing w:val="-14"/>
          <w:sz w:val="20"/>
        </w:rPr>
        <w:t> </w:t>
      </w:r>
      <w:r>
        <w:rPr>
          <w:sz w:val="20"/>
        </w:rPr>
        <w:t>volumen con solución salina</w:t>
      </w:r>
      <w:r>
        <w:rPr>
          <w:spacing w:val="-9"/>
          <w:sz w:val="20"/>
        </w:rPr>
        <w:t> </w:t>
      </w:r>
      <w:r>
        <w:rPr>
          <w:sz w:val="20"/>
        </w:rPr>
        <w:t>estéril.</w:t>
      </w:r>
    </w:p>
    <w:p>
      <w:pPr>
        <w:pStyle w:val="ListParagraph"/>
        <w:numPr>
          <w:ilvl w:val="2"/>
          <w:numId w:val="13"/>
        </w:numPr>
        <w:tabs>
          <w:tab w:pos="767" w:val="left" w:leader="none"/>
        </w:tabs>
        <w:spacing w:line="360" w:lineRule="auto" w:before="6" w:after="0"/>
        <w:ind w:left="152" w:right="156" w:firstLine="0"/>
        <w:jc w:val="both"/>
        <w:rPr>
          <w:sz w:val="20"/>
        </w:rPr>
      </w:pPr>
      <w:r>
        <w:rPr>
          <w:sz w:val="20"/>
        </w:rPr>
        <w:t>Incubar en baño de agua de 35 a 37ºC y observar durante 6 h a intervalos de 1 h; si no hay formación</w:t>
      </w:r>
      <w:r>
        <w:rPr>
          <w:spacing w:val="-16"/>
          <w:sz w:val="20"/>
        </w:rPr>
        <w:t> </w:t>
      </w:r>
      <w:r>
        <w:rPr>
          <w:sz w:val="20"/>
        </w:rPr>
        <w:t>de</w:t>
      </w:r>
      <w:r>
        <w:rPr>
          <w:spacing w:val="-16"/>
          <w:sz w:val="20"/>
        </w:rPr>
        <w:t> </w:t>
      </w:r>
      <w:r>
        <w:rPr>
          <w:sz w:val="20"/>
        </w:rPr>
        <w:t>coágulo,</w:t>
      </w:r>
      <w:r>
        <w:rPr>
          <w:spacing w:val="-15"/>
          <w:sz w:val="20"/>
        </w:rPr>
        <w:t> </w:t>
      </w:r>
      <w:r>
        <w:rPr>
          <w:sz w:val="20"/>
        </w:rPr>
        <w:t>observar</w:t>
      </w:r>
      <w:r>
        <w:rPr>
          <w:spacing w:val="-14"/>
          <w:sz w:val="20"/>
        </w:rPr>
        <w:t> </w:t>
      </w:r>
      <w:r>
        <w:rPr>
          <w:sz w:val="20"/>
        </w:rPr>
        <w:t>a</w:t>
      </w:r>
      <w:r>
        <w:rPr>
          <w:spacing w:val="-15"/>
          <w:sz w:val="20"/>
        </w:rPr>
        <w:t> </w:t>
      </w:r>
      <w:r>
        <w:rPr>
          <w:sz w:val="20"/>
        </w:rPr>
        <w:t>las</w:t>
      </w:r>
      <w:r>
        <w:rPr>
          <w:spacing w:val="-14"/>
          <w:sz w:val="20"/>
        </w:rPr>
        <w:t> </w:t>
      </w:r>
      <w:r>
        <w:rPr>
          <w:sz w:val="20"/>
        </w:rPr>
        <w:t>24</w:t>
      </w:r>
      <w:r>
        <w:rPr>
          <w:spacing w:val="-16"/>
          <w:sz w:val="20"/>
        </w:rPr>
        <w:t> </w:t>
      </w:r>
      <w:r>
        <w:rPr>
          <w:sz w:val="20"/>
        </w:rPr>
        <w:t>h.</w:t>
      </w:r>
      <w:r>
        <w:rPr>
          <w:spacing w:val="-15"/>
          <w:sz w:val="20"/>
        </w:rPr>
        <w:t> </w:t>
      </w:r>
      <w:r>
        <w:rPr>
          <w:sz w:val="20"/>
        </w:rPr>
        <w:t>Considerar</w:t>
      </w:r>
      <w:r>
        <w:rPr>
          <w:spacing w:val="-14"/>
          <w:sz w:val="20"/>
        </w:rPr>
        <w:t> </w:t>
      </w:r>
      <w:r>
        <w:rPr>
          <w:sz w:val="20"/>
        </w:rPr>
        <w:t>positiva</w:t>
      </w:r>
      <w:r>
        <w:rPr>
          <w:spacing w:val="-13"/>
          <w:sz w:val="20"/>
        </w:rPr>
        <w:t> </w:t>
      </w:r>
      <w:r>
        <w:rPr>
          <w:sz w:val="20"/>
        </w:rPr>
        <w:t>la</w:t>
      </w:r>
      <w:r>
        <w:rPr>
          <w:spacing w:val="-15"/>
          <w:sz w:val="20"/>
        </w:rPr>
        <w:t> </w:t>
      </w:r>
      <w:r>
        <w:rPr>
          <w:sz w:val="20"/>
        </w:rPr>
        <w:t>prueba</w:t>
      </w:r>
      <w:r>
        <w:rPr>
          <w:spacing w:val="-15"/>
          <w:sz w:val="20"/>
        </w:rPr>
        <w:t> </w:t>
      </w:r>
      <w:r>
        <w:rPr>
          <w:sz w:val="20"/>
        </w:rPr>
        <w:t>si</w:t>
      </w:r>
      <w:r>
        <w:rPr>
          <w:spacing w:val="-16"/>
          <w:sz w:val="20"/>
        </w:rPr>
        <w:t> </w:t>
      </w:r>
      <w:r>
        <w:rPr>
          <w:sz w:val="20"/>
        </w:rPr>
        <w:t>hay</w:t>
      </w:r>
      <w:r>
        <w:rPr>
          <w:spacing w:val="-18"/>
          <w:sz w:val="20"/>
        </w:rPr>
        <w:t> </w:t>
      </w:r>
      <w:r>
        <w:rPr>
          <w:sz w:val="20"/>
        </w:rPr>
        <w:t>formación</w:t>
      </w:r>
      <w:r>
        <w:rPr>
          <w:spacing w:val="-13"/>
          <w:sz w:val="20"/>
        </w:rPr>
        <w:t> </w:t>
      </w:r>
      <w:r>
        <w:rPr>
          <w:sz w:val="20"/>
        </w:rPr>
        <w:t>de</w:t>
      </w:r>
      <w:r>
        <w:rPr>
          <w:spacing w:val="-16"/>
          <w:sz w:val="20"/>
        </w:rPr>
        <w:t> </w:t>
      </w:r>
      <w:r>
        <w:rPr>
          <w:sz w:val="20"/>
        </w:rPr>
        <w:t>coágulo. Para comprobar la coagulabilidad del plasma de conejo se añade una gota de cloruro de calcio al 5% a 0,5 ml de plasma reconstituido empleado, formándose un coágulo en 10-15</w:t>
      </w:r>
      <w:r>
        <w:rPr>
          <w:spacing w:val="-20"/>
          <w:sz w:val="20"/>
        </w:rPr>
        <w:t> </w:t>
      </w:r>
      <w:r>
        <w:rPr>
          <w:sz w:val="20"/>
        </w:rPr>
        <w:t>seg.</w:t>
      </w:r>
    </w:p>
    <w:p>
      <w:pPr>
        <w:pStyle w:val="ListParagraph"/>
        <w:numPr>
          <w:ilvl w:val="1"/>
          <w:numId w:val="16"/>
        </w:numPr>
        <w:tabs>
          <w:tab w:pos="597" w:val="left" w:leader="none"/>
        </w:tabs>
        <w:spacing w:line="240" w:lineRule="auto" w:before="4" w:after="0"/>
        <w:ind w:left="596" w:right="0" w:hanging="444"/>
        <w:jc w:val="both"/>
        <w:rPr>
          <w:sz w:val="20"/>
        </w:rPr>
      </w:pPr>
      <w:r>
        <w:rPr>
          <w:sz w:val="20"/>
        </w:rPr>
        <w:t>Prueba de</w:t>
      </w:r>
      <w:r>
        <w:rPr>
          <w:spacing w:val="-7"/>
          <w:sz w:val="20"/>
        </w:rPr>
        <w:t> </w:t>
      </w:r>
      <w:r>
        <w:rPr>
          <w:sz w:val="20"/>
        </w:rPr>
        <w:t>termonucleasa</w:t>
      </w:r>
    </w:p>
    <w:p>
      <w:pPr>
        <w:pStyle w:val="ListParagraph"/>
        <w:numPr>
          <w:ilvl w:val="2"/>
          <w:numId w:val="16"/>
        </w:numPr>
        <w:tabs>
          <w:tab w:pos="769" w:val="left" w:leader="none"/>
        </w:tabs>
        <w:spacing w:line="357" w:lineRule="auto" w:before="115" w:after="0"/>
        <w:ind w:left="152" w:right="151" w:firstLine="0"/>
        <w:jc w:val="both"/>
        <w:rPr>
          <w:sz w:val="20"/>
        </w:rPr>
      </w:pPr>
      <w:r>
        <w:rPr>
          <w:sz w:val="20"/>
        </w:rPr>
        <w:t>Calentar durante 15 min, 0,3 ml de cultivo en caldo de infusión cerebro-corazón en baño de agua</w:t>
      </w:r>
      <w:r>
        <w:rPr>
          <w:spacing w:val="-6"/>
          <w:sz w:val="20"/>
        </w:rPr>
        <w:t> </w:t>
      </w:r>
      <w:r>
        <w:rPr>
          <w:sz w:val="20"/>
        </w:rPr>
        <w:t>hirviendo.</w:t>
      </w:r>
    </w:p>
    <w:p>
      <w:pPr>
        <w:pStyle w:val="ListParagraph"/>
        <w:numPr>
          <w:ilvl w:val="2"/>
          <w:numId w:val="16"/>
        </w:numPr>
        <w:tabs>
          <w:tab w:pos="753" w:val="left" w:leader="none"/>
        </w:tabs>
        <w:spacing w:line="360" w:lineRule="auto" w:before="6" w:after="0"/>
        <w:ind w:left="152" w:right="154" w:firstLine="0"/>
        <w:jc w:val="both"/>
        <w:rPr>
          <w:sz w:val="20"/>
        </w:rPr>
      </w:pPr>
      <w:r>
        <w:rPr>
          <w:sz w:val="20"/>
        </w:rPr>
        <w:t>Pasar</w:t>
      </w:r>
      <w:r>
        <w:rPr>
          <w:spacing w:val="-14"/>
          <w:sz w:val="20"/>
        </w:rPr>
        <w:t> </w:t>
      </w:r>
      <w:r>
        <w:rPr>
          <w:sz w:val="20"/>
        </w:rPr>
        <w:t>una</w:t>
      </w:r>
      <w:r>
        <w:rPr>
          <w:spacing w:val="-13"/>
          <w:sz w:val="20"/>
        </w:rPr>
        <w:t> </w:t>
      </w:r>
      <w:r>
        <w:rPr>
          <w:sz w:val="20"/>
        </w:rPr>
        <w:t>gota</w:t>
      </w:r>
      <w:r>
        <w:rPr>
          <w:spacing w:val="-13"/>
          <w:sz w:val="20"/>
        </w:rPr>
        <w:t> </w:t>
      </w:r>
      <w:r>
        <w:rPr>
          <w:sz w:val="20"/>
        </w:rPr>
        <w:t>de</w:t>
      </w:r>
      <w:r>
        <w:rPr>
          <w:spacing w:val="-13"/>
          <w:sz w:val="20"/>
        </w:rPr>
        <w:t> </w:t>
      </w:r>
      <w:r>
        <w:rPr>
          <w:sz w:val="20"/>
        </w:rPr>
        <w:t>cada</w:t>
      </w:r>
      <w:r>
        <w:rPr>
          <w:spacing w:val="-16"/>
          <w:sz w:val="20"/>
        </w:rPr>
        <w:t> </w:t>
      </w:r>
      <w:r>
        <w:rPr>
          <w:sz w:val="20"/>
        </w:rPr>
        <w:t>cultivo</w:t>
      </w:r>
      <w:r>
        <w:rPr>
          <w:spacing w:val="-13"/>
          <w:sz w:val="20"/>
        </w:rPr>
        <w:t> </w:t>
      </w:r>
      <w:r>
        <w:rPr>
          <w:sz w:val="20"/>
        </w:rPr>
        <w:t>por</w:t>
      </w:r>
      <w:r>
        <w:rPr>
          <w:spacing w:val="-14"/>
          <w:sz w:val="20"/>
        </w:rPr>
        <w:t> </w:t>
      </w:r>
      <w:r>
        <w:rPr>
          <w:sz w:val="20"/>
        </w:rPr>
        <w:t>medio</w:t>
      </w:r>
      <w:r>
        <w:rPr>
          <w:spacing w:val="-13"/>
          <w:sz w:val="20"/>
        </w:rPr>
        <w:t> </w:t>
      </w:r>
      <w:r>
        <w:rPr>
          <w:sz w:val="20"/>
        </w:rPr>
        <w:t>de</w:t>
      </w:r>
      <w:r>
        <w:rPr>
          <w:spacing w:val="-13"/>
          <w:sz w:val="20"/>
        </w:rPr>
        <w:t> </w:t>
      </w:r>
      <w:r>
        <w:rPr>
          <w:sz w:val="20"/>
        </w:rPr>
        <w:t>una</w:t>
      </w:r>
      <w:r>
        <w:rPr>
          <w:spacing w:val="-11"/>
          <w:sz w:val="20"/>
        </w:rPr>
        <w:t> </w:t>
      </w:r>
      <w:r>
        <w:rPr>
          <w:sz w:val="20"/>
        </w:rPr>
        <w:t>pipeta</w:t>
      </w:r>
      <w:r>
        <w:rPr>
          <w:spacing w:val="-13"/>
          <w:sz w:val="20"/>
        </w:rPr>
        <w:t> </w:t>
      </w:r>
      <w:r>
        <w:rPr>
          <w:sz w:val="20"/>
        </w:rPr>
        <w:t>Pasteur</w:t>
      </w:r>
      <w:r>
        <w:rPr>
          <w:spacing w:val="-14"/>
          <w:sz w:val="20"/>
        </w:rPr>
        <w:t> </w:t>
      </w:r>
      <w:r>
        <w:rPr>
          <w:sz w:val="20"/>
        </w:rPr>
        <w:t>a</w:t>
      </w:r>
      <w:r>
        <w:rPr>
          <w:spacing w:val="-13"/>
          <w:sz w:val="20"/>
        </w:rPr>
        <w:t> </w:t>
      </w:r>
      <w:r>
        <w:rPr>
          <w:sz w:val="20"/>
        </w:rPr>
        <w:t>un</w:t>
      </w:r>
      <w:r>
        <w:rPr>
          <w:spacing w:val="-13"/>
          <w:sz w:val="20"/>
        </w:rPr>
        <w:t> </w:t>
      </w:r>
      <w:r>
        <w:rPr>
          <w:sz w:val="20"/>
        </w:rPr>
        <w:t>orificio</w:t>
      </w:r>
      <w:r>
        <w:rPr>
          <w:spacing w:val="-13"/>
          <w:sz w:val="20"/>
        </w:rPr>
        <w:t> </w:t>
      </w:r>
      <w:r>
        <w:rPr>
          <w:sz w:val="20"/>
        </w:rPr>
        <w:t>del</w:t>
      </w:r>
      <w:r>
        <w:rPr>
          <w:spacing w:val="-16"/>
          <w:sz w:val="20"/>
        </w:rPr>
        <w:t> </w:t>
      </w:r>
      <w:r>
        <w:rPr>
          <w:sz w:val="20"/>
        </w:rPr>
        <w:t>medio,</w:t>
      </w:r>
      <w:r>
        <w:rPr>
          <w:spacing w:val="-15"/>
          <w:sz w:val="20"/>
        </w:rPr>
        <w:t> </w:t>
      </w:r>
      <w:r>
        <w:rPr>
          <w:sz w:val="20"/>
        </w:rPr>
        <w:t>incluye testigo.</w:t>
      </w:r>
    </w:p>
    <w:p>
      <w:pPr>
        <w:spacing w:after="0" w:line="360" w:lineRule="auto"/>
        <w:jc w:val="both"/>
        <w:rPr>
          <w:sz w:val="20"/>
        </w:rPr>
        <w:sectPr>
          <w:pgSz w:w="12240" w:h="15840"/>
          <w:pgMar w:header="728" w:footer="710" w:top="1200" w:bottom="900" w:left="1720" w:right="1380"/>
        </w:sectPr>
      </w:pPr>
    </w:p>
    <w:p>
      <w:pPr>
        <w:pStyle w:val="BodyText"/>
        <w:rPr>
          <w:sz w:val="20"/>
        </w:rPr>
      </w:pPr>
    </w:p>
    <w:p>
      <w:pPr>
        <w:pStyle w:val="BodyText"/>
        <w:spacing w:before="9"/>
        <w:rPr>
          <w:sz w:val="26"/>
        </w:rPr>
      </w:pPr>
    </w:p>
    <w:p>
      <w:pPr>
        <w:pStyle w:val="ListParagraph"/>
        <w:numPr>
          <w:ilvl w:val="2"/>
          <w:numId w:val="16"/>
        </w:numPr>
        <w:tabs>
          <w:tab w:pos="763" w:val="left" w:leader="none"/>
        </w:tabs>
        <w:spacing w:line="240" w:lineRule="auto" w:before="74" w:after="0"/>
        <w:ind w:left="762" w:right="0" w:hanging="610"/>
        <w:jc w:val="left"/>
        <w:rPr>
          <w:sz w:val="20"/>
        </w:rPr>
      </w:pPr>
      <w:r>
        <w:rPr>
          <w:sz w:val="20"/>
        </w:rPr>
        <w:t>Incubar a 35ºC en cámara húmeda de 4 a 24</w:t>
      </w:r>
      <w:r>
        <w:rPr>
          <w:spacing w:val="-13"/>
          <w:sz w:val="20"/>
        </w:rPr>
        <w:t> </w:t>
      </w:r>
      <w:r>
        <w:rPr>
          <w:sz w:val="20"/>
        </w:rPr>
        <w:t>h.</w:t>
      </w:r>
    </w:p>
    <w:p>
      <w:pPr>
        <w:pStyle w:val="ListParagraph"/>
        <w:numPr>
          <w:ilvl w:val="2"/>
          <w:numId w:val="16"/>
        </w:numPr>
        <w:tabs>
          <w:tab w:pos="753" w:val="left" w:leader="none"/>
        </w:tabs>
        <w:spacing w:line="357" w:lineRule="auto" w:before="115" w:after="0"/>
        <w:ind w:left="152" w:right="153" w:firstLine="0"/>
        <w:jc w:val="left"/>
        <w:rPr>
          <w:sz w:val="20"/>
        </w:rPr>
      </w:pPr>
      <w:r>
        <w:rPr>
          <w:sz w:val="20"/>
        </w:rPr>
        <w:t>La</w:t>
      </w:r>
      <w:r>
        <w:rPr>
          <w:spacing w:val="-13"/>
          <w:sz w:val="20"/>
        </w:rPr>
        <w:t> </w:t>
      </w:r>
      <w:r>
        <w:rPr>
          <w:sz w:val="20"/>
        </w:rPr>
        <w:t>aparición</w:t>
      </w:r>
      <w:r>
        <w:rPr>
          <w:spacing w:val="-15"/>
          <w:sz w:val="20"/>
        </w:rPr>
        <w:t> </w:t>
      </w:r>
      <w:r>
        <w:rPr>
          <w:sz w:val="20"/>
        </w:rPr>
        <w:t>de</w:t>
      </w:r>
      <w:r>
        <w:rPr>
          <w:spacing w:val="-13"/>
          <w:sz w:val="20"/>
        </w:rPr>
        <w:t> </w:t>
      </w:r>
      <w:r>
        <w:rPr>
          <w:sz w:val="20"/>
        </w:rPr>
        <w:t>un</w:t>
      </w:r>
      <w:r>
        <w:rPr>
          <w:spacing w:val="-13"/>
          <w:sz w:val="20"/>
        </w:rPr>
        <w:t> </w:t>
      </w:r>
      <w:r>
        <w:rPr>
          <w:sz w:val="20"/>
        </w:rPr>
        <w:t>halo</w:t>
      </w:r>
      <w:r>
        <w:rPr>
          <w:spacing w:val="-13"/>
          <w:sz w:val="20"/>
        </w:rPr>
        <w:t> </w:t>
      </w:r>
      <w:r>
        <w:rPr>
          <w:sz w:val="20"/>
        </w:rPr>
        <w:t>color</w:t>
      </w:r>
      <w:r>
        <w:rPr>
          <w:spacing w:val="-14"/>
          <w:sz w:val="20"/>
        </w:rPr>
        <w:t> </w:t>
      </w:r>
      <w:r>
        <w:rPr>
          <w:sz w:val="20"/>
        </w:rPr>
        <w:t>rosa</w:t>
      </w:r>
      <w:r>
        <w:rPr>
          <w:spacing w:val="-13"/>
          <w:sz w:val="20"/>
        </w:rPr>
        <w:t> </w:t>
      </w:r>
      <w:r>
        <w:rPr>
          <w:sz w:val="20"/>
        </w:rPr>
        <w:t>extendido</w:t>
      </w:r>
      <w:r>
        <w:rPr>
          <w:spacing w:val="-13"/>
          <w:sz w:val="20"/>
        </w:rPr>
        <w:t> </w:t>
      </w:r>
      <w:r>
        <w:rPr>
          <w:sz w:val="20"/>
        </w:rPr>
        <w:t>de</w:t>
      </w:r>
      <w:r>
        <w:rPr>
          <w:spacing w:val="-11"/>
          <w:sz w:val="20"/>
        </w:rPr>
        <w:t> </w:t>
      </w:r>
      <w:r>
        <w:rPr>
          <w:sz w:val="20"/>
        </w:rPr>
        <w:t>por</w:t>
      </w:r>
      <w:r>
        <w:rPr>
          <w:spacing w:val="-14"/>
          <w:sz w:val="20"/>
        </w:rPr>
        <w:t> </w:t>
      </w:r>
      <w:r>
        <w:rPr>
          <w:sz w:val="20"/>
        </w:rPr>
        <w:t>lo</w:t>
      </w:r>
      <w:r>
        <w:rPr>
          <w:spacing w:val="-15"/>
          <w:sz w:val="20"/>
        </w:rPr>
        <w:t> </w:t>
      </w:r>
      <w:r>
        <w:rPr>
          <w:sz w:val="20"/>
        </w:rPr>
        <w:t>menos</w:t>
      </w:r>
      <w:r>
        <w:rPr>
          <w:spacing w:val="-14"/>
          <w:sz w:val="20"/>
        </w:rPr>
        <w:t> </w:t>
      </w:r>
      <w:r>
        <w:rPr>
          <w:sz w:val="20"/>
        </w:rPr>
        <w:t>1</w:t>
      </w:r>
      <w:r>
        <w:rPr>
          <w:spacing w:val="-13"/>
          <w:sz w:val="20"/>
        </w:rPr>
        <w:t> </w:t>
      </w:r>
      <w:r>
        <w:rPr>
          <w:sz w:val="20"/>
        </w:rPr>
        <w:t>mm</w:t>
      </w:r>
      <w:r>
        <w:rPr>
          <w:spacing w:val="-11"/>
          <w:sz w:val="20"/>
        </w:rPr>
        <w:t> </w:t>
      </w:r>
      <w:r>
        <w:rPr>
          <w:sz w:val="20"/>
        </w:rPr>
        <w:t>alrededor</w:t>
      </w:r>
      <w:r>
        <w:rPr>
          <w:spacing w:val="-14"/>
          <w:sz w:val="20"/>
        </w:rPr>
        <w:t> </w:t>
      </w:r>
      <w:r>
        <w:rPr>
          <w:sz w:val="20"/>
        </w:rPr>
        <w:t>de</w:t>
      </w:r>
      <w:r>
        <w:rPr>
          <w:spacing w:val="-13"/>
          <w:sz w:val="20"/>
        </w:rPr>
        <w:t> </w:t>
      </w:r>
      <w:r>
        <w:rPr>
          <w:sz w:val="20"/>
        </w:rPr>
        <w:t>la</w:t>
      </w:r>
      <w:r>
        <w:rPr>
          <w:spacing w:val="-13"/>
          <w:sz w:val="20"/>
        </w:rPr>
        <w:t> </w:t>
      </w:r>
      <w:r>
        <w:rPr>
          <w:sz w:val="20"/>
        </w:rPr>
        <w:t>perforación se califica como</w:t>
      </w:r>
      <w:r>
        <w:rPr>
          <w:spacing w:val="-8"/>
          <w:sz w:val="20"/>
        </w:rPr>
        <w:t> </w:t>
      </w:r>
      <w:r>
        <w:rPr>
          <w:sz w:val="20"/>
        </w:rPr>
        <w:t>positiva.</w:t>
      </w:r>
    </w:p>
    <w:p>
      <w:pPr>
        <w:pStyle w:val="ListParagraph"/>
        <w:numPr>
          <w:ilvl w:val="0"/>
          <w:numId w:val="13"/>
        </w:numPr>
        <w:tabs>
          <w:tab w:pos="484" w:val="left" w:leader="none"/>
        </w:tabs>
        <w:spacing w:line="240" w:lineRule="auto" w:before="6" w:after="0"/>
        <w:ind w:left="483" w:right="0" w:hanging="331"/>
        <w:jc w:val="left"/>
        <w:rPr>
          <w:sz w:val="20"/>
        </w:rPr>
      </w:pPr>
      <w:r>
        <w:rPr>
          <w:sz w:val="20"/>
        </w:rPr>
        <w:t>Cálculo y expresión de</w:t>
      </w:r>
      <w:r>
        <w:rPr>
          <w:spacing w:val="-9"/>
          <w:sz w:val="20"/>
        </w:rPr>
        <w:t> </w:t>
      </w:r>
      <w:r>
        <w:rPr>
          <w:sz w:val="20"/>
        </w:rPr>
        <w:t>resultados</w:t>
      </w:r>
    </w:p>
    <w:p>
      <w:pPr>
        <w:pStyle w:val="ListParagraph"/>
        <w:numPr>
          <w:ilvl w:val="1"/>
          <w:numId w:val="13"/>
        </w:numPr>
        <w:tabs>
          <w:tab w:pos="597" w:val="left" w:leader="none"/>
        </w:tabs>
        <w:spacing w:line="240" w:lineRule="auto" w:before="115" w:after="0"/>
        <w:ind w:left="152" w:right="0" w:firstLine="0"/>
        <w:jc w:val="left"/>
        <w:rPr>
          <w:sz w:val="20"/>
        </w:rPr>
      </w:pPr>
      <w:r>
        <w:rPr>
          <w:sz w:val="20"/>
        </w:rPr>
        <w:t>Cálculo</w:t>
      </w:r>
    </w:p>
    <w:p>
      <w:pPr>
        <w:spacing w:line="357" w:lineRule="auto" w:before="115"/>
        <w:ind w:left="152" w:right="85" w:firstLine="0"/>
        <w:jc w:val="left"/>
        <w:rPr>
          <w:sz w:val="20"/>
        </w:rPr>
      </w:pPr>
      <w:r>
        <w:rPr>
          <w:sz w:val="20"/>
        </w:rPr>
        <w:t>Hacer el cálculo del contenido de microorganismos en el producto tomando en cuenta el número de colonias totales, el número de colonias confirmadas, la dilución y el volumen inoculado (0,1 ml).</w:t>
      </w:r>
    </w:p>
    <w:p>
      <w:pPr>
        <w:spacing w:before="6"/>
        <w:ind w:left="152" w:right="926" w:firstLine="0"/>
        <w:jc w:val="left"/>
        <w:rPr>
          <w:sz w:val="20"/>
        </w:rPr>
      </w:pPr>
      <w:r>
        <w:rPr>
          <w:sz w:val="20"/>
        </w:rPr>
        <w:t>Ejemplo 1:</w:t>
      </w:r>
    </w:p>
    <w:p>
      <w:pPr>
        <w:spacing w:before="116"/>
        <w:ind w:left="152" w:right="926" w:firstLine="0"/>
        <w:jc w:val="left"/>
        <w:rPr>
          <w:sz w:val="20"/>
        </w:rPr>
      </w:pPr>
      <w:r>
        <w:rPr>
          <w:sz w:val="20"/>
        </w:rPr>
        <w:t>Si la caja tiene 80 colonias en la dilución 1:1000</w:t>
      </w:r>
    </w:p>
    <w:p>
      <w:pPr>
        <w:spacing w:line="360" w:lineRule="auto" w:before="113"/>
        <w:ind w:left="152" w:right="2208" w:firstLine="0"/>
        <w:jc w:val="left"/>
        <w:rPr>
          <w:sz w:val="20"/>
        </w:rPr>
      </w:pPr>
      <w:r>
        <w:rPr>
          <w:sz w:val="20"/>
        </w:rPr>
        <w:t>Se toman 5 colonias para la prueba, de éstas dan 4 positivas, el cálculo es: 80 x 4 = 64 x 1000 x 10 = 640 000</w:t>
      </w:r>
    </w:p>
    <w:p>
      <w:pPr>
        <w:spacing w:before="4"/>
        <w:ind w:left="152" w:right="0" w:firstLine="0"/>
        <w:jc w:val="left"/>
        <w:rPr>
          <w:sz w:val="20"/>
        </w:rPr>
      </w:pPr>
      <w:r>
        <w:rPr>
          <w:w w:val="99"/>
          <w:sz w:val="20"/>
        </w:rPr>
        <w:t>5</w:t>
      </w:r>
    </w:p>
    <w:p>
      <w:pPr>
        <w:spacing w:before="115"/>
        <w:ind w:left="152" w:right="926" w:firstLine="0"/>
        <w:jc w:val="left"/>
        <w:rPr>
          <w:sz w:val="20"/>
        </w:rPr>
      </w:pPr>
      <w:r>
        <w:rPr>
          <w:sz w:val="20"/>
        </w:rPr>
        <w:t>Ejemplo 2:</w:t>
      </w:r>
    </w:p>
    <w:p>
      <w:pPr>
        <w:spacing w:before="113"/>
        <w:ind w:left="152" w:right="926" w:firstLine="0"/>
        <w:jc w:val="left"/>
        <w:rPr>
          <w:sz w:val="20"/>
        </w:rPr>
      </w:pPr>
      <w:r>
        <w:rPr>
          <w:sz w:val="20"/>
        </w:rPr>
        <w:t>Si la caja tiene 14 colonias en la dilución 1:10</w:t>
      </w:r>
    </w:p>
    <w:p>
      <w:pPr>
        <w:spacing w:line="360" w:lineRule="auto" w:before="115"/>
        <w:ind w:left="152" w:right="2208" w:firstLine="0"/>
        <w:jc w:val="left"/>
        <w:rPr>
          <w:sz w:val="20"/>
        </w:rPr>
      </w:pPr>
      <w:r>
        <w:rPr>
          <w:sz w:val="20"/>
        </w:rPr>
        <w:t>Se toman 3 colonias para la prueba, de éstas dan 2 positivas, el cálculo es: 14 x 2 = 9,3 x 10 x 10 = 930</w:t>
      </w:r>
    </w:p>
    <w:p>
      <w:pPr>
        <w:spacing w:before="4"/>
        <w:ind w:left="152" w:right="0" w:firstLine="0"/>
        <w:jc w:val="left"/>
        <w:rPr>
          <w:sz w:val="20"/>
        </w:rPr>
      </w:pPr>
      <w:r>
        <w:rPr>
          <w:w w:val="99"/>
          <w:sz w:val="20"/>
        </w:rPr>
        <w:t>3</w:t>
      </w:r>
    </w:p>
    <w:p>
      <w:pPr>
        <w:pStyle w:val="ListParagraph"/>
        <w:numPr>
          <w:ilvl w:val="1"/>
          <w:numId w:val="13"/>
        </w:numPr>
        <w:tabs>
          <w:tab w:pos="597" w:val="left" w:leader="none"/>
        </w:tabs>
        <w:spacing w:line="360" w:lineRule="auto" w:before="113" w:after="0"/>
        <w:ind w:left="152" w:right="6033" w:firstLine="0"/>
        <w:jc w:val="left"/>
        <w:rPr>
          <w:sz w:val="20"/>
        </w:rPr>
      </w:pPr>
      <w:r>
        <w:rPr>
          <w:sz w:val="20"/>
        </w:rPr>
        <w:t>Expresión de los</w:t>
      </w:r>
      <w:r>
        <w:rPr>
          <w:spacing w:val="-10"/>
          <w:sz w:val="20"/>
        </w:rPr>
        <w:t> </w:t>
      </w:r>
      <w:r>
        <w:rPr>
          <w:sz w:val="20"/>
        </w:rPr>
        <w:t>resultados: Según ejemplo</w:t>
      </w:r>
      <w:r>
        <w:rPr>
          <w:spacing w:val="-6"/>
          <w:sz w:val="20"/>
        </w:rPr>
        <w:t> </w:t>
      </w:r>
      <w:r>
        <w:rPr>
          <w:sz w:val="20"/>
        </w:rPr>
        <w:t>1:</w:t>
      </w:r>
    </w:p>
    <w:p>
      <w:pPr>
        <w:spacing w:line="362" w:lineRule="auto" w:before="1"/>
        <w:ind w:left="152" w:right="4143" w:firstLine="0"/>
        <w:jc w:val="left"/>
        <w:rPr>
          <w:sz w:val="20"/>
        </w:rPr>
      </w:pPr>
      <w:r>
        <w:rPr>
          <w:sz w:val="20"/>
        </w:rPr>
        <w:t>Informar como </w:t>
      </w:r>
      <w:r>
        <w:rPr>
          <w:i/>
          <w:sz w:val="20"/>
        </w:rPr>
        <w:t>Staphylococcus aureus </w:t>
      </w:r>
      <w:r>
        <w:rPr>
          <w:sz w:val="20"/>
        </w:rPr>
        <w:t>640 000 UFC/g Según ejemplo 2:</w:t>
      </w:r>
    </w:p>
    <w:p>
      <w:pPr>
        <w:spacing w:line="227" w:lineRule="exact" w:before="0"/>
        <w:ind w:left="152" w:right="926" w:firstLine="0"/>
        <w:jc w:val="left"/>
        <w:rPr>
          <w:sz w:val="20"/>
        </w:rPr>
      </w:pPr>
      <w:r>
        <w:rPr>
          <w:sz w:val="20"/>
        </w:rPr>
        <w:t>Informar como </w:t>
      </w:r>
      <w:r>
        <w:rPr>
          <w:i/>
          <w:sz w:val="20"/>
        </w:rPr>
        <w:t>Staphylococcus aureus </w:t>
      </w:r>
      <w:r>
        <w:rPr>
          <w:sz w:val="20"/>
        </w:rPr>
        <w:t>930 UFC/g valor estimado</w:t>
      </w:r>
    </w:p>
    <w:p>
      <w:pPr>
        <w:spacing w:line="360" w:lineRule="auto" w:before="118"/>
        <w:ind w:left="152" w:right="459" w:firstLine="0"/>
        <w:jc w:val="left"/>
        <w:rPr>
          <w:sz w:val="20"/>
        </w:rPr>
      </w:pPr>
      <w:r>
        <w:rPr>
          <w:sz w:val="20"/>
        </w:rPr>
        <w:t>Si las pruebas confirmativas resultan negativas en todas las colonias probadas, informar como: 0 UFC/g en muestras directas</w:t>
      </w:r>
    </w:p>
    <w:p>
      <w:pPr>
        <w:spacing w:before="4"/>
        <w:ind w:left="152" w:right="926" w:firstLine="0"/>
        <w:jc w:val="left"/>
        <w:rPr>
          <w:sz w:val="20"/>
        </w:rPr>
      </w:pPr>
      <w:r>
        <w:rPr>
          <w:sz w:val="20"/>
        </w:rPr>
        <w:t>-10 UFC/g en muestras de dilución 1:10</w:t>
      </w:r>
    </w:p>
    <w:p>
      <w:pPr>
        <w:spacing w:before="113"/>
        <w:ind w:left="152" w:right="926" w:firstLine="0"/>
        <w:jc w:val="left"/>
        <w:rPr>
          <w:sz w:val="20"/>
        </w:rPr>
      </w:pPr>
      <w:r>
        <w:rPr>
          <w:sz w:val="20"/>
        </w:rPr>
        <w:t>-100 UFC/g en muestras de dilución 1:100</w:t>
      </w:r>
    </w:p>
    <w:p>
      <w:pPr>
        <w:spacing w:line="362" w:lineRule="auto" w:before="115"/>
        <w:ind w:left="152" w:right="154" w:firstLine="0"/>
        <w:jc w:val="left"/>
        <w:rPr>
          <w:sz w:val="20"/>
        </w:rPr>
      </w:pPr>
      <w:r>
        <w:rPr>
          <w:sz w:val="20"/>
        </w:rPr>
        <w:t>En la práctica los resultados pueden variar, esto dependerá del técnico que trabaje el método y el grado de confiabilidad del mismo, que en el 95% de los casos es de ± 16% a ± 52%.</w:t>
      </w:r>
    </w:p>
    <w:p>
      <w:pPr>
        <w:pStyle w:val="ListParagraph"/>
        <w:numPr>
          <w:ilvl w:val="0"/>
          <w:numId w:val="13"/>
        </w:numPr>
        <w:tabs>
          <w:tab w:pos="484" w:val="left" w:leader="none"/>
        </w:tabs>
        <w:spacing w:line="229" w:lineRule="exact" w:before="0" w:after="0"/>
        <w:ind w:left="483" w:right="0" w:hanging="331"/>
        <w:jc w:val="left"/>
        <w:rPr>
          <w:sz w:val="20"/>
        </w:rPr>
      </w:pPr>
      <w:r>
        <w:rPr>
          <w:sz w:val="20"/>
        </w:rPr>
        <w:t>Concordancia con normas</w:t>
      </w:r>
      <w:r>
        <w:rPr>
          <w:spacing w:val="-9"/>
          <w:sz w:val="20"/>
        </w:rPr>
        <w:t> </w:t>
      </w:r>
      <w:r>
        <w:rPr>
          <w:sz w:val="20"/>
        </w:rPr>
        <w:t>internacionales</w:t>
      </w:r>
    </w:p>
    <w:p>
      <w:pPr>
        <w:spacing w:before="115"/>
        <w:ind w:left="152" w:right="926" w:firstLine="0"/>
        <w:jc w:val="left"/>
        <w:rPr>
          <w:sz w:val="20"/>
        </w:rPr>
      </w:pPr>
      <w:r>
        <w:rPr>
          <w:sz w:val="20"/>
        </w:rPr>
        <w:t>Esta norma no tiene concordancia con normas internacionales.</w:t>
      </w:r>
    </w:p>
    <w:p>
      <w:pPr>
        <w:pStyle w:val="ListParagraph"/>
        <w:numPr>
          <w:ilvl w:val="0"/>
          <w:numId w:val="13"/>
        </w:numPr>
        <w:tabs>
          <w:tab w:pos="486" w:val="left" w:leader="none"/>
        </w:tabs>
        <w:spacing w:line="240" w:lineRule="auto" w:before="115" w:after="0"/>
        <w:ind w:left="485" w:right="0" w:hanging="333"/>
        <w:jc w:val="left"/>
        <w:rPr>
          <w:sz w:val="20"/>
        </w:rPr>
      </w:pPr>
      <w:r>
        <w:rPr>
          <w:sz w:val="20"/>
        </w:rPr>
        <w:t>Bibliografía</w:t>
      </w:r>
    </w:p>
    <w:p>
      <w:pPr>
        <w:pStyle w:val="ListParagraph"/>
        <w:numPr>
          <w:ilvl w:val="1"/>
          <w:numId w:val="13"/>
        </w:numPr>
        <w:tabs>
          <w:tab w:pos="678" w:val="left" w:leader="none"/>
        </w:tabs>
        <w:spacing w:line="357" w:lineRule="auto" w:before="115" w:after="0"/>
        <w:ind w:left="152" w:right="152" w:firstLine="0"/>
        <w:jc w:val="left"/>
        <w:rPr>
          <w:sz w:val="20"/>
        </w:rPr>
      </w:pPr>
      <w:r>
        <w:rPr>
          <w:sz w:val="20"/>
        </w:rPr>
        <w:t>Secretaría de Comercio y Fomento Industrial. 1992. Ley Federal sobre Metrología y Normalización. Diario Oficial de la Federación. México,</w:t>
      </w:r>
      <w:r>
        <w:rPr>
          <w:spacing w:val="-19"/>
          <w:sz w:val="20"/>
        </w:rPr>
        <w:t> </w:t>
      </w:r>
      <w:r>
        <w:rPr>
          <w:sz w:val="20"/>
        </w:rPr>
        <w:t>D.F.</w:t>
      </w:r>
    </w:p>
    <w:p>
      <w:pPr>
        <w:spacing w:after="0" w:line="357" w:lineRule="auto"/>
        <w:jc w:val="left"/>
        <w:rPr>
          <w:sz w:val="20"/>
        </w:rPr>
        <w:sectPr>
          <w:pgSz w:w="12240" w:h="15840"/>
          <w:pgMar w:header="728" w:footer="710" w:top="1200" w:bottom="900" w:left="1720" w:right="1380"/>
        </w:sectPr>
      </w:pPr>
    </w:p>
    <w:p>
      <w:pPr>
        <w:pStyle w:val="BodyText"/>
        <w:rPr>
          <w:sz w:val="20"/>
        </w:rPr>
      </w:pPr>
    </w:p>
    <w:p>
      <w:pPr>
        <w:pStyle w:val="BodyText"/>
        <w:spacing w:before="9"/>
        <w:rPr>
          <w:sz w:val="26"/>
        </w:rPr>
      </w:pPr>
    </w:p>
    <w:p>
      <w:pPr>
        <w:pStyle w:val="ListParagraph"/>
        <w:numPr>
          <w:ilvl w:val="1"/>
          <w:numId w:val="13"/>
        </w:numPr>
        <w:tabs>
          <w:tab w:pos="625" w:val="left" w:leader="none"/>
        </w:tabs>
        <w:spacing w:line="360" w:lineRule="auto" w:before="74" w:after="0"/>
        <w:ind w:left="152" w:right="156" w:firstLine="0"/>
        <w:jc w:val="both"/>
        <w:rPr>
          <w:sz w:val="20"/>
        </w:rPr>
      </w:pPr>
      <w:r>
        <w:rPr>
          <w:sz w:val="20"/>
        </w:rPr>
        <w:t>Secretaría de Salud. 1988. Reglamento de la Ley General de Salud en Materia de Control Sanitario de Actividades, Establecimientos, Productos y Servicios. Diario Oficial de la Federación. México,</w:t>
      </w:r>
      <w:r>
        <w:rPr>
          <w:spacing w:val="-4"/>
          <w:sz w:val="20"/>
        </w:rPr>
        <w:t> </w:t>
      </w:r>
      <w:r>
        <w:rPr>
          <w:sz w:val="20"/>
        </w:rPr>
        <w:t>D.F.</w:t>
      </w:r>
    </w:p>
    <w:p>
      <w:pPr>
        <w:pStyle w:val="ListParagraph"/>
        <w:numPr>
          <w:ilvl w:val="1"/>
          <w:numId w:val="13"/>
        </w:numPr>
        <w:tabs>
          <w:tab w:pos="599" w:val="left" w:leader="none"/>
        </w:tabs>
        <w:spacing w:line="360" w:lineRule="auto" w:before="4" w:after="0"/>
        <w:ind w:left="152" w:right="149" w:firstLine="0"/>
        <w:jc w:val="left"/>
        <w:rPr>
          <w:sz w:val="20"/>
        </w:rPr>
      </w:pPr>
      <w:r>
        <w:rPr>
          <w:sz w:val="20"/>
        </w:rPr>
        <w:t>Secretaría de Comercio y Fomento Industrial. 1993. NOM-008-SCFI-1993 Sistema General de Unidades de Medida. Diario Oficial de la Federación. México,</w:t>
      </w:r>
      <w:r>
        <w:rPr>
          <w:spacing w:val="-19"/>
          <w:sz w:val="20"/>
        </w:rPr>
        <w:t> </w:t>
      </w:r>
      <w:r>
        <w:rPr>
          <w:sz w:val="20"/>
        </w:rPr>
        <w:t>D.F.</w:t>
      </w:r>
    </w:p>
    <w:p>
      <w:pPr>
        <w:pStyle w:val="ListParagraph"/>
        <w:numPr>
          <w:ilvl w:val="1"/>
          <w:numId w:val="13"/>
        </w:numPr>
        <w:tabs>
          <w:tab w:pos="592" w:val="left" w:leader="none"/>
        </w:tabs>
        <w:spacing w:line="240" w:lineRule="auto" w:before="4" w:after="0"/>
        <w:ind w:left="591" w:right="0" w:hanging="439"/>
        <w:jc w:val="both"/>
        <w:rPr>
          <w:sz w:val="20"/>
        </w:rPr>
      </w:pPr>
      <w:r>
        <w:rPr>
          <w:sz w:val="20"/>
        </w:rPr>
        <w:t>Food</w:t>
      </w:r>
      <w:r>
        <w:rPr>
          <w:spacing w:val="-3"/>
          <w:sz w:val="20"/>
        </w:rPr>
        <w:t> </w:t>
      </w:r>
      <w:r>
        <w:rPr>
          <w:sz w:val="20"/>
        </w:rPr>
        <w:t>and</w:t>
      </w:r>
      <w:r>
        <w:rPr>
          <w:spacing w:val="-6"/>
          <w:sz w:val="20"/>
        </w:rPr>
        <w:t> </w:t>
      </w:r>
      <w:r>
        <w:rPr>
          <w:sz w:val="20"/>
        </w:rPr>
        <w:t>Drug</w:t>
      </w:r>
      <w:r>
        <w:rPr>
          <w:spacing w:val="-3"/>
          <w:sz w:val="20"/>
        </w:rPr>
        <w:t> </w:t>
      </w:r>
      <w:r>
        <w:rPr>
          <w:sz w:val="20"/>
        </w:rPr>
        <w:t>Administration.</w:t>
      </w:r>
      <w:r>
        <w:rPr>
          <w:spacing w:val="-3"/>
          <w:sz w:val="20"/>
        </w:rPr>
        <w:t> </w:t>
      </w:r>
      <w:r>
        <w:rPr>
          <w:sz w:val="20"/>
        </w:rPr>
        <w:t>1978.</w:t>
      </w:r>
      <w:r>
        <w:rPr>
          <w:spacing w:val="-3"/>
          <w:sz w:val="20"/>
        </w:rPr>
        <w:t> </w:t>
      </w:r>
      <w:r>
        <w:rPr>
          <w:sz w:val="20"/>
        </w:rPr>
        <w:t>Bacteriological</w:t>
      </w:r>
      <w:r>
        <w:rPr>
          <w:spacing w:val="-7"/>
          <w:sz w:val="20"/>
        </w:rPr>
        <w:t> </w:t>
      </w:r>
      <w:r>
        <w:rPr>
          <w:sz w:val="20"/>
        </w:rPr>
        <w:t>Analytical</w:t>
      </w:r>
      <w:r>
        <w:rPr>
          <w:spacing w:val="-4"/>
          <w:sz w:val="20"/>
        </w:rPr>
        <w:t> </w:t>
      </w:r>
      <w:r>
        <w:rPr>
          <w:sz w:val="20"/>
        </w:rPr>
        <w:t>Manual.</w:t>
      </w:r>
      <w:r>
        <w:rPr>
          <w:spacing w:val="-5"/>
          <w:sz w:val="20"/>
        </w:rPr>
        <w:t> </w:t>
      </w:r>
      <w:r>
        <w:rPr>
          <w:sz w:val="20"/>
        </w:rPr>
        <w:t>6th</w:t>
      </w:r>
      <w:r>
        <w:rPr>
          <w:spacing w:val="-3"/>
          <w:sz w:val="20"/>
        </w:rPr>
        <w:t> </w:t>
      </w:r>
      <w:r>
        <w:rPr>
          <w:sz w:val="20"/>
        </w:rPr>
        <w:t>ed.</w:t>
      </w:r>
      <w:r>
        <w:rPr>
          <w:spacing w:val="-6"/>
          <w:sz w:val="20"/>
        </w:rPr>
        <w:t> </w:t>
      </w:r>
      <w:r>
        <w:rPr>
          <w:sz w:val="20"/>
        </w:rPr>
        <w:t>Cap.</w:t>
      </w:r>
      <w:r>
        <w:rPr>
          <w:spacing w:val="-6"/>
          <w:sz w:val="20"/>
        </w:rPr>
        <w:t> </w:t>
      </w:r>
      <w:r>
        <w:rPr>
          <w:sz w:val="20"/>
        </w:rPr>
        <w:t>XI</w:t>
      </w:r>
      <w:r>
        <w:rPr>
          <w:spacing w:val="-5"/>
          <w:sz w:val="20"/>
        </w:rPr>
        <w:t> </w:t>
      </w:r>
      <w:r>
        <w:rPr>
          <w:sz w:val="20"/>
        </w:rPr>
        <w:t>p.p</w:t>
      </w:r>
      <w:r>
        <w:rPr>
          <w:spacing w:val="-6"/>
          <w:sz w:val="20"/>
        </w:rPr>
        <w:t> </w:t>
      </w:r>
      <w:r>
        <w:rPr>
          <w:sz w:val="20"/>
        </w:rPr>
        <w:t>4-5.</w:t>
      </w:r>
    </w:p>
    <w:p>
      <w:pPr>
        <w:pStyle w:val="ListParagraph"/>
        <w:numPr>
          <w:ilvl w:val="1"/>
          <w:numId w:val="13"/>
        </w:numPr>
        <w:tabs>
          <w:tab w:pos="616" w:val="left" w:leader="none"/>
        </w:tabs>
        <w:spacing w:line="360" w:lineRule="auto" w:before="113" w:after="0"/>
        <w:ind w:left="152" w:right="150" w:firstLine="0"/>
        <w:jc w:val="left"/>
        <w:rPr>
          <w:sz w:val="20"/>
        </w:rPr>
      </w:pPr>
      <w:r>
        <w:rPr>
          <w:sz w:val="20"/>
        </w:rPr>
        <w:t>Koneman E./Stephen D. Diagnóstico Microbiológico. 3ra. ed. Editorial Médica Panamericana Uruguay. p.p.</w:t>
      </w:r>
      <w:r>
        <w:rPr>
          <w:spacing w:val="-6"/>
          <w:sz w:val="20"/>
        </w:rPr>
        <w:t> </w:t>
      </w:r>
      <w:r>
        <w:rPr>
          <w:sz w:val="20"/>
        </w:rPr>
        <w:t>295</w:t>
      </w:r>
    </w:p>
    <w:p>
      <w:pPr>
        <w:pStyle w:val="ListParagraph"/>
        <w:numPr>
          <w:ilvl w:val="1"/>
          <w:numId w:val="13"/>
        </w:numPr>
        <w:tabs>
          <w:tab w:pos="628" w:val="left" w:leader="none"/>
        </w:tabs>
        <w:spacing w:line="360" w:lineRule="auto" w:before="2" w:after="0"/>
        <w:ind w:left="152" w:right="150" w:firstLine="0"/>
        <w:jc w:val="left"/>
        <w:rPr>
          <w:sz w:val="20"/>
        </w:rPr>
      </w:pPr>
      <w:r>
        <w:rPr>
          <w:sz w:val="20"/>
        </w:rPr>
        <w:t>Secretaría de Salud. Manual para la determinación de </w:t>
      </w:r>
      <w:r>
        <w:rPr>
          <w:i/>
          <w:sz w:val="20"/>
        </w:rPr>
        <w:t>Staphylococcus aureus</w:t>
      </w:r>
      <w:r>
        <w:rPr>
          <w:sz w:val="20"/>
        </w:rPr>
        <w:t>. Laboratorio Nacional de Salud Pública. México, D.F. p.p. 12-14 y</w:t>
      </w:r>
      <w:r>
        <w:rPr>
          <w:spacing w:val="-16"/>
          <w:sz w:val="20"/>
        </w:rPr>
        <w:t> </w:t>
      </w:r>
      <w:r>
        <w:rPr>
          <w:sz w:val="20"/>
        </w:rPr>
        <w:t>26-28.</w:t>
      </w:r>
    </w:p>
    <w:p>
      <w:pPr>
        <w:pStyle w:val="ListParagraph"/>
        <w:numPr>
          <w:ilvl w:val="1"/>
          <w:numId w:val="13"/>
        </w:numPr>
        <w:tabs>
          <w:tab w:pos="611" w:val="left" w:leader="none"/>
        </w:tabs>
        <w:spacing w:line="362" w:lineRule="auto" w:before="1" w:after="0"/>
        <w:ind w:left="152" w:right="148" w:firstLine="0"/>
        <w:jc w:val="left"/>
        <w:rPr>
          <w:sz w:val="20"/>
        </w:rPr>
      </w:pPr>
      <w:r>
        <w:rPr>
          <w:sz w:val="20"/>
        </w:rPr>
        <w:t>NORMA ISO. 6888. 1983. General Guidance for the Enumeration of </w:t>
      </w:r>
      <w:r>
        <w:rPr>
          <w:i/>
          <w:sz w:val="20"/>
        </w:rPr>
        <w:t>Staphylococcus aureus</w:t>
      </w:r>
      <w:r>
        <w:rPr>
          <w:sz w:val="20"/>
        </w:rPr>
        <w:t>- Colony Count Technique. International Organization for</w:t>
      </w:r>
      <w:r>
        <w:rPr>
          <w:spacing w:val="-23"/>
          <w:sz w:val="20"/>
        </w:rPr>
        <w:t> </w:t>
      </w:r>
      <w:r>
        <w:rPr>
          <w:sz w:val="20"/>
        </w:rPr>
        <w:t>Standarization</w:t>
      </w:r>
    </w:p>
    <w:p>
      <w:pPr>
        <w:pStyle w:val="ListParagraph"/>
        <w:numPr>
          <w:ilvl w:val="1"/>
          <w:numId w:val="13"/>
        </w:numPr>
        <w:tabs>
          <w:tab w:pos="589" w:val="left" w:leader="none"/>
        </w:tabs>
        <w:spacing w:line="357" w:lineRule="auto" w:before="1" w:after="0"/>
        <w:ind w:left="152" w:right="150" w:firstLine="0"/>
        <w:jc w:val="left"/>
        <w:rPr>
          <w:sz w:val="20"/>
        </w:rPr>
      </w:pPr>
      <w:r>
        <w:rPr>
          <w:sz w:val="20"/>
        </w:rPr>
        <w:t>Secretaría</w:t>
      </w:r>
      <w:r>
        <w:rPr>
          <w:spacing w:val="-8"/>
          <w:sz w:val="20"/>
        </w:rPr>
        <w:t> </w:t>
      </w:r>
      <w:r>
        <w:rPr>
          <w:sz w:val="20"/>
        </w:rPr>
        <w:t>de</w:t>
      </w:r>
      <w:r>
        <w:rPr>
          <w:spacing w:val="-9"/>
          <w:sz w:val="20"/>
        </w:rPr>
        <w:t> </w:t>
      </w:r>
      <w:r>
        <w:rPr>
          <w:sz w:val="20"/>
        </w:rPr>
        <w:t>Comercio</w:t>
      </w:r>
      <w:r>
        <w:rPr>
          <w:spacing w:val="-8"/>
          <w:sz w:val="20"/>
        </w:rPr>
        <w:t> </w:t>
      </w:r>
      <w:r>
        <w:rPr>
          <w:sz w:val="20"/>
        </w:rPr>
        <w:t>y</w:t>
      </w:r>
      <w:r>
        <w:rPr>
          <w:spacing w:val="-11"/>
          <w:sz w:val="20"/>
        </w:rPr>
        <w:t> </w:t>
      </w:r>
      <w:r>
        <w:rPr>
          <w:sz w:val="20"/>
        </w:rPr>
        <w:t>Fomento</w:t>
      </w:r>
      <w:r>
        <w:rPr>
          <w:spacing w:val="-11"/>
          <w:sz w:val="20"/>
        </w:rPr>
        <w:t> </w:t>
      </w:r>
      <w:r>
        <w:rPr>
          <w:sz w:val="20"/>
        </w:rPr>
        <w:t>Industrial.</w:t>
      </w:r>
      <w:r>
        <w:rPr>
          <w:spacing w:val="-10"/>
          <w:sz w:val="20"/>
        </w:rPr>
        <w:t> </w:t>
      </w:r>
      <w:r>
        <w:rPr>
          <w:sz w:val="20"/>
        </w:rPr>
        <w:t>1981</w:t>
      </w:r>
      <w:r>
        <w:rPr>
          <w:spacing w:val="-10"/>
          <w:sz w:val="20"/>
        </w:rPr>
        <w:t> </w:t>
      </w:r>
      <w:r>
        <w:rPr>
          <w:sz w:val="20"/>
        </w:rPr>
        <w:t>NORMA-Z-013/02.</w:t>
      </w:r>
      <w:r>
        <w:rPr>
          <w:spacing w:val="-8"/>
          <w:sz w:val="20"/>
        </w:rPr>
        <w:t> </w:t>
      </w:r>
      <w:r>
        <w:rPr>
          <w:sz w:val="20"/>
        </w:rPr>
        <w:t>Guía</w:t>
      </w:r>
      <w:r>
        <w:rPr>
          <w:spacing w:val="-8"/>
          <w:sz w:val="20"/>
        </w:rPr>
        <w:t> </w:t>
      </w:r>
      <w:r>
        <w:rPr>
          <w:sz w:val="20"/>
        </w:rPr>
        <w:t>para</w:t>
      </w:r>
      <w:r>
        <w:rPr>
          <w:spacing w:val="-8"/>
          <w:sz w:val="20"/>
        </w:rPr>
        <w:t> </w:t>
      </w:r>
      <w:r>
        <w:rPr>
          <w:sz w:val="20"/>
        </w:rPr>
        <w:t>la</w:t>
      </w:r>
      <w:r>
        <w:rPr>
          <w:spacing w:val="-8"/>
          <w:sz w:val="20"/>
        </w:rPr>
        <w:t> </w:t>
      </w:r>
      <w:r>
        <w:rPr>
          <w:sz w:val="20"/>
        </w:rPr>
        <w:t>Redacción, Estructuración y Presentación de las Normas Oficiales Mexicanas. México,</w:t>
      </w:r>
      <w:r>
        <w:rPr>
          <w:spacing w:val="-19"/>
          <w:sz w:val="20"/>
        </w:rPr>
        <w:t> </w:t>
      </w:r>
      <w:r>
        <w:rPr>
          <w:sz w:val="20"/>
        </w:rPr>
        <w:t>D.F.</w:t>
      </w:r>
    </w:p>
    <w:p>
      <w:pPr>
        <w:pStyle w:val="ListParagraph"/>
        <w:numPr>
          <w:ilvl w:val="1"/>
          <w:numId w:val="13"/>
        </w:numPr>
        <w:tabs>
          <w:tab w:pos="602" w:val="left" w:leader="none"/>
        </w:tabs>
        <w:spacing w:line="357" w:lineRule="auto" w:before="6" w:after="0"/>
        <w:ind w:left="152" w:right="152" w:firstLine="0"/>
        <w:jc w:val="left"/>
        <w:rPr>
          <w:sz w:val="20"/>
        </w:rPr>
      </w:pPr>
      <w:r>
        <w:rPr>
          <w:sz w:val="20"/>
        </w:rPr>
        <w:t>Poelman L.P./Silleker H.J. 1984. Compendium of Methods for the Microbiological Examination of</w:t>
      </w:r>
      <w:r>
        <w:rPr>
          <w:spacing w:val="-13"/>
          <w:sz w:val="20"/>
        </w:rPr>
        <w:t> </w:t>
      </w:r>
      <w:r>
        <w:rPr>
          <w:sz w:val="20"/>
        </w:rPr>
        <w:t>Foods.</w:t>
      </w:r>
      <w:r>
        <w:rPr>
          <w:spacing w:val="-14"/>
          <w:sz w:val="20"/>
        </w:rPr>
        <w:t> </w:t>
      </w:r>
      <w:r>
        <w:rPr>
          <w:i/>
          <w:sz w:val="20"/>
        </w:rPr>
        <w:t>Staphylococcus</w:t>
      </w:r>
      <w:r>
        <w:rPr>
          <w:i/>
          <w:spacing w:val="-14"/>
          <w:sz w:val="20"/>
        </w:rPr>
        <w:t> </w:t>
      </w:r>
      <w:r>
        <w:rPr>
          <w:i/>
          <w:sz w:val="20"/>
        </w:rPr>
        <w:t>aureus</w:t>
      </w:r>
      <w:r>
        <w:rPr>
          <w:sz w:val="20"/>
        </w:rPr>
        <w:t>.</w:t>
      </w:r>
      <w:r>
        <w:rPr>
          <w:spacing w:val="-15"/>
          <w:sz w:val="20"/>
        </w:rPr>
        <w:t> </w:t>
      </w:r>
      <w:r>
        <w:rPr>
          <w:sz w:val="20"/>
        </w:rPr>
        <w:t>2nd</w:t>
      </w:r>
      <w:r>
        <w:rPr>
          <w:spacing w:val="-15"/>
          <w:sz w:val="20"/>
        </w:rPr>
        <w:t> </w:t>
      </w:r>
      <w:r>
        <w:rPr>
          <w:sz w:val="20"/>
        </w:rPr>
        <w:t>ed.</w:t>
      </w:r>
      <w:r>
        <w:rPr>
          <w:spacing w:val="-13"/>
          <w:sz w:val="20"/>
        </w:rPr>
        <w:t> </w:t>
      </w:r>
      <w:r>
        <w:rPr>
          <w:sz w:val="20"/>
        </w:rPr>
        <w:t>Ed.</w:t>
      </w:r>
      <w:r>
        <w:rPr>
          <w:spacing w:val="-13"/>
          <w:sz w:val="20"/>
        </w:rPr>
        <w:t> </w:t>
      </w:r>
      <w:r>
        <w:rPr>
          <w:sz w:val="20"/>
        </w:rPr>
        <w:t>American</w:t>
      </w:r>
      <w:r>
        <w:rPr>
          <w:spacing w:val="-16"/>
          <w:sz w:val="20"/>
        </w:rPr>
        <w:t> </w:t>
      </w:r>
      <w:r>
        <w:rPr>
          <w:sz w:val="20"/>
        </w:rPr>
        <w:t>Public</w:t>
      </w:r>
      <w:r>
        <w:rPr>
          <w:spacing w:val="-14"/>
          <w:sz w:val="20"/>
        </w:rPr>
        <w:t> </w:t>
      </w:r>
      <w:r>
        <w:rPr>
          <w:sz w:val="20"/>
        </w:rPr>
        <w:t>Health</w:t>
      </w:r>
      <w:r>
        <w:rPr>
          <w:spacing w:val="-15"/>
          <w:sz w:val="20"/>
        </w:rPr>
        <w:t> </w:t>
      </w:r>
      <w:r>
        <w:rPr>
          <w:sz w:val="20"/>
        </w:rPr>
        <w:t>Association.</w:t>
      </w:r>
      <w:r>
        <w:rPr>
          <w:spacing w:val="-18"/>
          <w:sz w:val="20"/>
        </w:rPr>
        <w:t> </w:t>
      </w:r>
      <w:r>
        <w:rPr>
          <w:sz w:val="20"/>
        </w:rPr>
        <w:t>Washington,</w:t>
      </w:r>
      <w:r>
        <w:rPr>
          <w:spacing w:val="-13"/>
          <w:sz w:val="20"/>
        </w:rPr>
        <w:t> </w:t>
      </w:r>
      <w:r>
        <w:rPr>
          <w:sz w:val="20"/>
        </w:rPr>
        <w:t>D.C.</w:t>
      </w:r>
    </w:p>
    <w:p>
      <w:pPr>
        <w:pStyle w:val="BodyText"/>
        <w:rPr>
          <w:sz w:val="20"/>
        </w:rPr>
      </w:pPr>
    </w:p>
    <w:p>
      <w:pPr>
        <w:pStyle w:val="ListParagraph"/>
        <w:numPr>
          <w:ilvl w:val="0"/>
          <w:numId w:val="13"/>
        </w:numPr>
        <w:tabs>
          <w:tab w:pos="484" w:val="left" w:leader="none"/>
        </w:tabs>
        <w:spacing w:line="240" w:lineRule="auto" w:before="121" w:after="0"/>
        <w:ind w:left="483" w:right="0" w:hanging="331"/>
        <w:jc w:val="both"/>
        <w:rPr>
          <w:sz w:val="20"/>
        </w:rPr>
      </w:pPr>
      <w:r>
        <w:rPr>
          <w:sz w:val="20"/>
        </w:rPr>
        <w:t>Observancia de la</w:t>
      </w:r>
      <w:r>
        <w:rPr>
          <w:spacing w:val="-4"/>
          <w:sz w:val="20"/>
        </w:rPr>
        <w:t> </w:t>
      </w:r>
      <w:r>
        <w:rPr>
          <w:sz w:val="20"/>
        </w:rPr>
        <w:t>Norma</w:t>
      </w:r>
    </w:p>
    <w:p>
      <w:pPr>
        <w:spacing w:before="116"/>
        <w:ind w:left="152" w:right="0" w:firstLine="0"/>
        <w:jc w:val="both"/>
        <w:rPr>
          <w:sz w:val="20"/>
        </w:rPr>
      </w:pPr>
      <w:r>
        <w:rPr>
          <w:sz w:val="20"/>
        </w:rPr>
        <w:t>La vigilancia del cumplimiento de la presente norma corresponde a la Secretaría de Salud.</w:t>
      </w:r>
    </w:p>
    <w:p>
      <w:pPr>
        <w:pStyle w:val="ListParagraph"/>
        <w:numPr>
          <w:ilvl w:val="0"/>
          <w:numId w:val="13"/>
        </w:numPr>
        <w:tabs>
          <w:tab w:pos="486" w:val="left" w:leader="none"/>
        </w:tabs>
        <w:spacing w:line="240" w:lineRule="auto" w:before="115" w:after="0"/>
        <w:ind w:left="485" w:right="0" w:hanging="333"/>
        <w:jc w:val="both"/>
        <w:rPr>
          <w:sz w:val="20"/>
        </w:rPr>
      </w:pPr>
      <w:r>
        <w:rPr>
          <w:sz w:val="20"/>
        </w:rPr>
        <w:t>Vigencia</w:t>
      </w:r>
    </w:p>
    <w:p>
      <w:pPr>
        <w:spacing w:line="357" w:lineRule="auto" w:before="115"/>
        <w:ind w:left="152" w:right="154" w:firstLine="0"/>
        <w:jc w:val="left"/>
        <w:rPr>
          <w:sz w:val="20"/>
        </w:rPr>
      </w:pPr>
      <w:r>
        <w:rPr>
          <w:sz w:val="20"/>
        </w:rPr>
        <w:t>La presente Norma Oficial Mexicana entrará en vigor con su carácter de obligatoria a partir de los treinta días siguientes a su publicación en el Diario Oficial de la Federación.</w:t>
      </w:r>
    </w:p>
    <w:p>
      <w:pPr>
        <w:spacing w:before="6"/>
        <w:ind w:left="152" w:right="0" w:firstLine="0"/>
        <w:jc w:val="both"/>
        <w:rPr>
          <w:sz w:val="20"/>
        </w:rPr>
      </w:pPr>
      <w:r>
        <w:rPr>
          <w:sz w:val="20"/>
        </w:rPr>
        <w:t>Sufragio Efectivo. No Reelección.</w:t>
      </w:r>
    </w:p>
    <w:p>
      <w:pPr>
        <w:spacing w:before="115"/>
        <w:ind w:left="152" w:right="0" w:firstLine="0"/>
        <w:jc w:val="both"/>
        <w:rPr>
          <w:sz w:val="20"/>
        </w:rPr>
      </w:pPr>
      <w:r>
        <w:rPr>
          <w:sz w:val="20"/>
        </w:rPr>
        <w:t>México, D.F., a 10 de mayo de 1995.- El Director General, José Meljem Moctezuma.- Rúbrica.</w:t>
      </w:r>
    </w:p>
    <w:p>
      <w:pPr>
        <w:spacing w:after="0"/>
        <w:jc w:val="both"/>
        <w:rPr>
          <w:sz w:val="20"/>
        </w:rPr>
        <w:sectPr>
          <w:pgSz w:w="12240" w:h="15840"/>
          <w:pgMar w:header="728" w:footer="710" w:top="1200" w:bottom="900" w:left="1720" w:right="1380"/>
        </w:sectPr>
      </w:pPr>
    </w:p>
    <w:p>
      <w:pPr>
        <w:pStyle w:val="BodyText"/>
        <w:rPr>
          <w:sz w:val="20"/>
        </w:rPr>
      </w:pPr>
    </w:p>
    <w:p>
      <w:pPr>
        <w:pStyle w:val="BodyText"/>
        <w:rPr>
          <w:sz w:val="20"/>
        </w:rPr>
      </w:pPr>
    </w:p>
    <w:p>
      <w:pPr>
        <w:pStyle w:val="BodyText"/>
        <w:rPr>
          <w:sz w:val="20"/>
        </w:rPr>
      </w:pPr>
    </w:p>
    <w:p>
      <w:pPr>
        <w:pStyle w:val="BodyText"/>
        <w:spacing w:before="6"/>
        <w:rPr>
          <w:sz w:val="19"/>
        </w:rPr>
      </w:pPr>
    </w:p>
    <w:p>
      <w:pPr>
        <w:pStyle w:val="Heading2"/>
        <w:spacing w:line="264" w:lineRule="auto" w:before="1"/>
        <w:ind w:left="152" w:right="154"/>
      </w:pPr>
      <w:bookmarkStart w:name="_bookmark70" w:id="88"/>
      <w:bookmarkEnd w:id="88"/>
      <w:r>
        <w:rPr>
          <w:b w:val="0"/>
        </w:rPr>
      </w:r>
      <w:r>
        <w:rPr/>
        <w:t>Anexo 9: NMX-F-083-1986. ALIMENTOS. DETERMINACIÓN DE HUMEDAD EN PRODUCTOS ALIMENTICIOS. FOODS. MOISTURE IN FOOD PRODUCTS DETERMINATION. NORMAS MEXICANAS. DIRECCIÓN GENERAL DE NORMAS.</w:t>
      </w:r>
    </w:p>
    <w:p>
      <w:pPr>
        <w:pStyle w:val="BodyText"/>
        <w:spacing w:before="10"/>
        <w:rPr>
          <w:b/>
          <w:sz w:val="29"/>
        </w:rPr>
      </w:pPr>
    </w:p>
    <w:p>
      <w:pPr>
        <w:spacing w:before="1"/>
        <w:ind w:left="152" w:right="926" w:firstLine="0"/>
        <w:jc w:val="left"/>
        <w:rPr>
          <w:sz w:val="20"/>
        </w:rPr>
      </w:pPr>
      <w:r>
        <w:rPr>
          <w:sz w:val="20"/>
        </w:rPr>
        <w:t>PREFACIO</w:t>
      </w:r>
    </w:p>
    <w:p>
      <w:pPr>
        <w:spacing w:line="357" w:lineRule="auto" w:before="115"/>
        <w:ind w:left="152" w:right="2208" w:firstLine="0"/>
        <w:jc w:val="left"/>
        <w:rPr>
          <w:sz w:val="20"/>
        </w:rPr>
      </w:pPr>
      <w:r>
        <w:rPr>
          <w:sz w:val="20"/>
        </w:rPr>
        <w:t>En la elaboración de esta Norma participaron las siguientes Organismos: Secretaría de Agricultura y Recursos Hidráulicos.</w:t>
      </w:r>
    </w:p>
    <w:p>
      <w:pPr>
        <w:spacing w:before="6"/>
        <w:ind w:left="152" w:right="926" w:firstLine="0"/>
        <w:jc w:val="left"/>
        <w:rPr>
          <w:sz w:val="20"/>
        </w:rPr>
      </w:pPr>
      <w:r>
        <w:rPr>
          <w:sz w:val="20"/>
        </w:rPr>
        <w:t>Dirección General del Fomento Ganadero.</w:t>
      </w:r>
    </w:p>
    <w:p>
      <w:pPr>
        <w:spacing w:line="360" w:lineRule="auto" w:before="115"/>
        <w:ind w:left="152" w:right="926" w:firstLine="0"/>
        <w:jc w:val="left"/>
        <w:rPr>
          <w:sz w:val="20"/>
        </w:rPr>
      </w:pPr>
      <w:r>
        <w:rPr>
          <w:sz w:val="20"/>
        </w:rPr>
        <w:t>Cámara de Productos Alimenticios Elaborados con Leche. Compañía Nestlé, S.A. de C.V. Leche Industrializada CONASUPO S.A.</w:t>
      </w:r>
    </w:p>
    <w:p>
      <w:pPr>
        <w:spacing w:line="360" w:lineRule="auto" w:before="1"/>
        <w:ind w:left="152" w:right="5833" w:firstLine="0"/>
        <w:jc w:val="both"/>
        <w:rPr>
          <w:sz w:val="20"/>
        </w:rPr>
      </w:pPr>
      <w:r>
        <w:rPr>
          <w:sz w:val="20"/>
        </w:rPr>
        <w:t>Productos de Leche del Bajío S. A. Carnation de México, S. A. de C.</w:t>
      </w:r>
      <w:r>
        <w:rPr>
          <w:spacing w:val="-10"/>
          <w:sz w:val="20"/>
        </w:rPr>
        <w:t> </w:t>
      </w:r>
      <w:r>
        <w:rPr>
          <w:sz w:val="20"/>
        </w:rPr>
        <w:t>V. Kem Fuds,</w:t>
      </w:r>
      <w:r>
        <w:rPr>
          <w:spacing w:val="-6"/>
          <w:sz w:val="20"/>
        </w:rPr>
        <w:t> </w:t>
      </w:r>
      <w:r>
        <w:rPr>
          <w:sz w:val="20"/>
        </w:rPr>
        <w:t>S.A.</w:t>
      </w:r>
    </w:p>
    <w:p>
      <w:pPr>
        <w:pStyle w:val="BodyText"/>
        <w:rPr>
          <w:sz w:val="20"/>
        </w:rPr>
      </w:pPr>
    </w:p>
    <w:p>
      <w:pPr>
        <w:pStyle w:val="ListParagraph"/>
        <w:numPr>
          <w:ilvl w:val="0"/>
          <w:numId w:val="17"/>
        </w:numPr>
        <w:tabs>
          <w:tab w:pos="374" w:val="left" w:leader="none"/>
        </w:tabs>
        <w:spacing w:line="240" w:lineRule="auto" w:before="117" w:after="0"/>
        <w:ind w:left="373" w:right="0" w:hanging="221"/>
        <w:jc w:val="left"/>
        <w:rPr>
          <w:sz w:val="20"/>
        </w:rPr>
      </w:pPr>
      <w:r>
        <w:rPr>
          <w:sz w:val="20"/>
        </w:rPr>
        <w:t>OBJETIVO Y CAMPO DE</w:t>
      </w:r>
      <w:r>
        <w:rPr>
          <w:spacing w:val="-8"/>
          <w:sz w:val="20"/>
        </w:rPr>
        <w:t> </w:t>
      </w:r>
      <w:r>
        <w:rPr>
          <w:sz w:val="20"/>
        </w:rPr>
        <w:t>APLICACIÓN</w:t>
      </w:r>
    </w:p>
    <w:p>
      <w:pPr>
        <w:spacing w:line="360" w:lineRule="auto" w:before="115"/>
        <w:ind w:left="152" w:right="154" w:firstLine="0"/>
        <w:jc w:val="left"/>
        <w:rPr>
          <w:sz w:val="20"/>
        </w:rPr>
      </w:pPr>
      <w:r>
        <w:rPr>
          <w:sz w:val="20"/>
        </w:rPr>
        <w:t>Esta Norma establece el método para determinar la humedad en productos alimenticios con rango de secado de 95° a 105°C.</w:t>
      </w:r>
    </w:p>
    <w:p>
      <w:pPr>
        <w:pStyle w:val="BodyText"/>
        <w:rPr>
          <w:sz w:val="20"/>
        </w:rPr>
      </w:pPr>
    </w:p>
    <w:p>
      <w:pPr>
        <w:pStyle w:val="ListParagraph"/>
        <w:numPr>
          <w:ilvl w:val="0"/>
          <w:numId w:val="17"/>
        </w:numPr>
        <w:tabs>
          <w:tab w:pos="374" w:val="left" w:leader="none"/>
        </w:tabs>
        <w:spacing w:line="240" w:lineRule="auto" w:before="117" w:after="0"/>
        <w:ind w:left="373" w:right="0" w:hanging="221"/>
        <w:jc w:val="left"/>
        <w:rPr>
          <w:sz w:val="20"/>
        </w:rPr>
      </w:pPr>
      <w:r>
        <w:rPr>
          <w:sz w:val="20"/>
        </w:rPr>
        <w:t>REFERENCIAS</w:t>
      </w:r>
    </w:p>
    <w:p>
      <w:pPr>
        <w:spacing w:line="360" w:lineRule="auto" w:before="115"/>
        <w:ind w:left="152" w:right="142" w:firstLine="0"/>
        <w:jc w:val="left"/>
        <w:rPr>
          <w:sz w:val="20"/>
        </w:rPr>
      </w:pPr>
      <w:r>
        <w:rPr>
          <w:sz w:val="20"/>
        </w:rPr>
        <w:t>Esta Norma se complementa con la Norma Mexicana en vigor siguiente: NMX-BB-014 Clasificación y tamaños nominales para utensilios de vidrio usados en laboratorio.</w:t>
      </w:r>
    </w:p>
    <w:p>
      <w:pPr>
        <w:pStyle w:val="BodyText"/>
        <w:rPr>
          <w:sz w:val="20"/>
        </w:rPr>
      </w:pPr>
    </w:p>
    <w:p>
      <w:pPr>
        <w:pStyle w:val="ListParagraph"/>
        <w:numPr>
          <w:ilvl w:val="0"/>
          <w:numId w:val="17"/>
        </w:numPr>
        <w:tabs>
          <w:tab w:pos="429" w:val="left" w:leader="none"/>
        </w:tabs>
        <w:spacing w:line="240" w:lineRule="auto" w:before="117" w:after="0"/>
        <w:ind w:left="428" w:right="0" w:hanging="276"/>
        <w:jc w:val="left"/>
        <w:rPr>
          <w:sz w:val="20"/>
        </w:rPr>
      </w:pPr>
      <w:r>
        <w:rPr>
          <w:sz w:val="20"/>
        </w:rPr>
        <w:t>DEFINICIÓN</w:t>
      </w:r>
    </w:p>
    <w:p>
      <w:pPr>
        <w:spacing w:line="360" w:lineRule="auto" w:before="115"/>
        <w:ind w:left="152" w:right="154" w:firstLine="0"/>
        <w:jc w:val="left"/>
        <w:rPr>
          <w:sz w:val="20"/>
        </w:rPr>
      </w:pPr>
      <w:r>
        <w:rPr>
          <w:sz w:val="20"/>
        </w:rPr>
        <w:t>Para</w:t>
      </w:r>
      <w:r>
        <w:rPr>
          <w:spacing w:val="-5"/>
          <w:sz w:val="20"/>
        </w:rPr>
        <w:t> </w:t>
      </w:r>
      <w:r>
        <w:rPr>
          <w:sz w:val="20"/>
        </w:rPr>
        <w:t>los</w:t>
      </w:r>
      <w:r>
        <w:rPr>
          <w:spacing w:val="-7"/>
          <w:sz w:val="20"/>
        </w:rPr>
        <w:t> </w:t>
      </w:r>
      <w:r>
        <w:rPr>
          <w:sz w:val="20"/>
        </w:rPr>
        <w:t>efectos</w:t>
      </w:r>
      <w:r>
        <w:rPr>
          <w:spacing w:val="-7"/>
          <w:sz w:val="20"/>
        </w:rPr>
        <w:t> </w:t>
      </w:r>
      <w:r>
        <w:rPr>
          <w:sz w:val="20"/>
        </w:rPr>
        <w:t>de</w:t>
      </w:r>
      <w:r>
        <w:rPr>
          <w:spacing w:val="-8"/>
          <w:sz w:val="20"/>
        </w:rPr>
        <w:t> </w:t>
      </w:r>
      <w:r>
        <w:rPr>
          <w:sz w:val="20"/>
        </w:rPr>
        <w:t>esta</w:t>
      </w:r>
      <w:r>
        <w:rPr>
          <w:spacing w:val="-6"/>
          <w:sz w:val="20"/>
        </w:rPr>
        <w:t> </w:t>
      </w:r>
      <w:r>
        <w:rPr>
          <w:sz w:val="20"/>
        </w:rPr>
        <w:t>Norma,</w:t>
      </w:r>
      <w:r>
        <w:rPr>
          <w:spacing w:val="-8"/>
          <w:sz w:val="20"/>
        </w:rPr>
        <w:t> </w:t>
      </w:r>
      <w:r>
        <w:rPr>
          <w:sz w:val="20"/>
        </w:rPr>
        <w:t>se</w:t>
      </w:r>
      <w:r>
        <w:rPr>
          <w:spacing w:val="-8"/>
          <w:sz w:val="20"/>
        </w:rPr>
        <w:t> </w:t>
      </w:r>
      <w:r>
        <w:rPr>
          <w:sz w:val="20"/>
        </w:rPr>
        <w:t>entiende</w:t>
      </w:r>
      <w:r>
        <w:rPr>
          <w:spacing w:val="-8"/>
          <w:sz w:val="20"/>
        </w:rPr>
        <w:t> </w:t>
      </w:r>
      <w:r>
        <w:rPr>
          <w:sz w:val="20"/>
        </w:rPr>
        <w:t>por</w:t>
      </w:r>
      <w:r>
        <w:rPr>
          <w:spacing w:val="-7"/>
          <w:sz w:val="20"/>
        </w:rPr>
        <w:t> </w:t>
      </w:r>
      <w:r>
        <w:rPr>
          <w:sz w:val="20"/>
        </w:rPr>
        <w:t>humedad,</w:t>
      </w:r>
      <w:r>
        <w:rPr>
          <w:spacing w:val="-6"/>
          <w:sz w:val="20"/>
        </w:rPr>
        <w:t> </w:t>
      </w:r>
      <w:r>
        <w:rPr>
          <w:sz w:val="20"/>
        </w:rPr>
        <w:t>la</w:t>
      </w:r>
      <w:r>
        <w:rPr>
          <w:spacing w:val="-6"/>
          <w:sz w:val="20"/>
        </w:rPr>
        <w:t> </w:t>
      </w:r>
      <w:r>
        <w:rPr>
          <w:sz w:val="20"/>
        </w:rPr>
        <w:t>pérdida</w:t>
      </w:r>
      <w:r>
        <w:rPr>
          <w:spacing w:val="-8"/>
          <w:sz w:val="20"/>
        </w:rPr>
        <w:t> </w:t>
      </w:r>
      <w:r>
        <w:rPr>
          <w:sz w:val="20"/>
        </w:rPr>
        <w:t>en</w:t>
      </w:r>
      <w:r>
        <w:rPr>
          <w:spacing w:val="-6"/>
          <w:sz w:val="20"/>
        </w:rPr>
        <w:t> </w:t>
      </w:r>
      <w:r>
        <w:rPr>
          <w:sz w:val="20"/>
        </w:rPr>
        <w:t>peso</w:t>
      </w:r>
      <w:r>
        <w:rPr>
          <w:spacing w:val="-6"/>
          <w:sz w:val="20"/>
        </w:rPr>
        <w:t> </w:t>
      </w:r>
      <w:r>
        <w:rPr>
          <w:sz w:val="20"/>
        </w:rPr>
        <w:t>que</w:t>
      </w:r>
      <w:r>
        <w:rPr>
          <w:spacing w:val="-8"/>
          <w:sz w:val="20"/>
        </w:rPr>
        <w:t> </w:t>
      </w:r>
      <w:r>
        <w:rPr>
          <w:sz w:val="20"/>
        </w:rPr>
        <w:t>sufre</w:t>
      </w:r>
      <w:r>
        <w:rPr>
          <w:spacing w:val="-8"/>
          <w:sz w:val="20"/>
        </w:rPr>
        <w:t> </w:t>
      </w:r>
      <w:r>
        <w:rPr>
          <w:sz w:val="20"/>
        </w:rPr>
        <w:t>un</w:t>
      </w:r>
      <w:r>
        <w:rPr>
          <w:spacing w:val="-8"/>
          <w:sz w:val="20"/>
        </w:rPr>
        <w:t> </w:t>
      </w:r>
      <w:r>
        <w:rPr>
          <w:sz w:val="20"/>
        </w:rPr>
        <w:t>alimento un alimento al someterlo a las condiciones de tiempo y temperatura</w:t>
      </w:r>
      <w:r>
        <w:rPr>
          <w:spacing w:val="-24"/>
          <w:sz w:val="20"/>
        </w:rPr>
        <w:t> </w:t>
      </w:r>
      <w:r>
        <w:rPr>
          <w:sz w:val="20"/>
        </w:rPr>
        <w:t>prescritos.</w:t>
      </w:r>
    </w:p>
    <w:p>
      <w:pPr>
        <w:pStyle w:val="BodyText"/>
        <w:rPr>
          <w:sz w:val="20"/>
        </w:rPr>
      </w:pPr>
    </w:p>
    <w:p>
      <w:pPr>
        <w:spacing w:before="117"/>
        <w:ind w:left="152" w:right="926" w:firstLine="0"/>
        <w:jc w:val="left"/>
        <w:rPr>
          <w:sz w:val="20"/>
        </w:rPr>
      </w:pPr>
      <w:r>
        <w:rPr>
          <w:sz w:val="20"/>
        </w:rPr>
        <w:t>4  APARATOS Y EQUIPO</w:t>
      </w:r>
    </w:p>
    <w:p>
      <w:pPr>
        <w:spacing w:before="115"/>
        <w:ind w:left="152" w:right="926" w:firstLine="0"/>
        <w:jc w:val="left"/>
        <w:rPr>
          <w:sz w:val="20"/>
        </w:rPr>
      </w:pPr>
      <w:r>
        <w:rPr>
          <w:sz w:val="20"/>
        </w:rPr>
        <w:t>Balanza con sensibilidad de 0.1 mg</w:t>
      </w:r>
    </w:p>
    <w:p>
      <w:pPr>
        <w:spacing w:line="360" w:lineRule="auto" w:before="115"/>
        <w:ind w:left="152" w:right="4329" w:firstLine="0"/>
        <w:jc w:val="left"/>
        <w:rPr>
          <w:sz w:val="20"/>
        </w:rPr>
      </w:pPr>
      <w:r>
        <w:rPr>
          <w:sz w:val="20"/>
        </w:rPr>
        <w:t>Cápsulas con tapa de 5, 8 ó 10 cm de diámetro Horno o estufa eléctrica con control de temperatura Desecador</w:t>
      </w:r>
    </w:p>
    <w:p>
      <w:pPr>
        <w:spacing w:before="4"/>
        <w:ind w:left="152" w:right="926" w:firstLine="0"/>
        <w:jc w:val="left"/>
        <w:rPr>
          <w:sz w:val="20"/>
        </w:rPr>
      </w:pPr>
      <w:r>
        <w:rPr>
          <w:sz w:val="20"/>
        </w:rPr>
        <w:t>Pinzas para crisol</w:t>
      </w:r>
    </w:p>
    <w:p>
      <w:pPr>
        <w:spacing w:before="115"/>
        <w:ind w:left="152" w:right="926" w:firstLine="0"/>
        <w:jc w:val="left"/>
        <w:rPr>
          <w:sz w:val="20"/>
        </w:rPr>
      </w:pPr>
      <w:r>
        <w:rPr>
          <w:sz w:val="20"/>
        </w:rPr>
        <w:t>Material común de laboratorio.</w:t>
      </w:r>
    </w:p>
    <w:p>
      <w:pPr>
        <w:spacing w:after="0"/>
        <w:jc w:val="left"/>
        <w:rPr>
          <w:sz w:val="20"/>
        </w:rPr>
        <w:sectPr>
          <w:footerReference w:type="default" r:id="rId117"/>
          <w:pgSz w:w="12240" w:h="15840"/>
          <w:pgMar w:footer="710" w:header="728" w:top="1200" w:bottom="900" w:left="1720" w:right="1380"/>
        </w:sectPr>
      </w:pPr>
    </w:p>
    <w:p>
      <w:pPr>
        <w:pStyle w:val="BodyText"/>
        <w:rPr>
          <w:sz w:val="20"/>
        </w:rPr>
      </w:pPr>
    </w:p>
    <w:p>
      <w:pPr>
        <w:pStyle w:val="BodyText"/>
        <w:spacing w:before="9"/>
        <w:rPr>
          <w:sz w:val="26"/>
        </w:rPr>
      </w:pPr>
    </w:p>
    <w:p>
      <w:pPr>
        <w:pStyle w:val="ListParagraph"/>
        <w:numPr>
          <w:ilvl w:val="0"/>
          <w:numId w:val="18"/>
        </w:numPr>
        <w:tabs>
          <w:tab w:pos="374" w:val="left" w:leader="none"/>
        </w:tabs>
        <w:spacing w:line="240" w:lineRule="auto" w:before="74" w:after="0"/>
        <w:ind w:left="373" w:right="0" w:hanging="221"/>
        <w:jc w:val="both"/>
        <w:rPr>
          <w:sz w:val="20"/>
        </w:rPr>
      </w:pPr>
      <w:r>
        <w:rPr>
          <w:sz w:val="20"/>
        </w:rPr>
        <w:t>PREPARACIÓN DE LA</w:t>
      </w:r>
      <w:r>
        <w:rPr>
          <w:spacing w:val="-6"/>
          <w:sz w:val="20"/>
        </w:rPr>
        <w:t> </w:t>
      </w:r>
      <w:r>
        <w:rPr>
          <w:sz w:val="20"/>
        </w:rPr>
        <w:t>MUESTRA</w:t>
      </w:r>
    </w:p>
    <w:p>
      <w:pPr>
        <w:spacing w:before="115"/>
        <w:ind w:left="152" w:right="0" w:firstLine="0"/>
        <w:jc w:val="both"/>
        <w:rPr>
          <w:sz w:val="20"/>
        </w:rPr>
      </w:pPr>
      <w:r>
        <w:rPr>
          <w:sz w:val="20"/>
        </w:rPr>
        <w:t>La preparación y conservación de las muestras se indica en la Norma correspondiente (ver 9.1).</w:t>
      </w:r>
    </w:p>
    <w:p>
      <w:pPr>
        <w:pStyle w:val="ListParagraph"/>
        <w:numPr>
          <w:ilvl w:val="0"/>
          <w:numId w:val="18"/>
        </w:numPr>
        <w:tabs>
          <w:tab w:pos="374" w:val="left" w:leader="none"/>
        </w:tabs>
        <w:spacing w:line="240" w:lineRule="auto" w:before="113" w:after="0"/>
        <w:ind w:left="373" w:right="0" w:hanging="221"/>
        <w:jc w:val="both"/>
        <w:rPr>
          <w:sz w:val="20"/>
        </w:rPr>
      </w:pPr>
      <w:r>
        <w:rPr>
          <w:sz w:val="20"/>
        </w:rPr>
        <w:t>PROCEDIMIENTO</w:t>
      </w:r>
    </w:p>
    <w:p>
      <w:pPr>
        <w:spacing w:line="360" w:lineRule="auto" w:before="115"/>
        <w:ind w:left="152" w:right="151" w:firstLine="0"/>
        <w:jc w:val="both"/>
        <w:rPr>
          <w:sz w:val="20"/>
        </w:rPr>
      </w:pPr>
      <w:r>
        <w:rPr>
          <w:sz w:val="20"/>
        </w:rPr>
        <w:t>Pesar una cantidad de muestra conveniente en la cápsula previamente tarada; colocar la cápsula y la tapa en la estufa y mantener la temperatura adecuada al producto, durante el tiempo que sea conveniente (ver 9.2).</w:t>
      </w:r>
    </w:p>
    <w:p>
      <w:pPr>
        <w:spacing w:line="360" w:lineRule="auto" w:before="1"/>
        <w:ind w:left="152" w:right="154" w:firstLine="0"/>
        <w:jc w:val="left"/>
        <w:rPr>
          <w:sz w:val="20"/>
        </w:rPr>
      </w:pPr>
      <w:r>
        <w:rPr>
          <w:sz w:val="20"/>
        </w:rPr>
        <w:t>Tapar</w:t>
      </w:r>
      <w:r>
        <w:rPr>
          <w:spacing w:val="-12"/>
          <w:sz w:val="20"/>
        </w:rPr>
        <w:t> </w:t>
      </w:r>
      <w:r>
        <w:rPr>
          <w:sz w:val="20"/>
        </w:rPr>
        <w:t>la</w:t>
      </w:r>
      <w:r>
        <w:rPr>
          <w:spacing w:val="-13"/>
          <w:sz w:val="20"/>
        </w:rPr>
        <w:t> </w:t>
      </w:r>
      <w:r>
        <w:rPr>
          <w:sz w:val="20"/>
        </w:rPr>
        <w:t>cápsula</w:t>
      </w:r>
      <w:r>
        <w:rPr>
          <w:spacing w:val="-8"/>
          <w:sz w:val="20"/>
        </w:rPr>
        <w:t> </w:t>
      </w:r>
      <w:r>
        <w:rPr>
          <w:sz w:val="20"/>
        </w:rPr>
        <w:t>y</w:t>
      </w:r>
      <w:r>
        <w:rPr>
          <w:spacing w:val="-15"/>
          <w:sz w:val="20"/>
        </w:rPr>
        <w:t> </w:t>
      </w:r>
      <w:r>
        <w:rPr>
          <w:sz w:val="20"/>
        </w:rPr>
        <w:t>transferirlas</w:t>
      </w:r>
      <w:r>
        <w:rPr>
          <w:spacing w:val="-12"/>
          <w:sz w:val="20"/>
        </w:rPr>
        <w:t> </w:t>
      </w:r>
      <w:r>
        <w:rPr>
          <w:sz w:val="20"/>
        </w:rPr>
        <w:t>al</w:t>
      </w:r>
      <w:r>
        <w:rPr>
          <w:spacing w:val="-11"/>
          <w:sz w:val="20"/>
        </w:rPr>
        <w:t> </w:t>
      </w:r>
      <w:r>
        <w:rPr>
          <w:sz w:val="20"/>
        </w:rPr>
        <w:t>desecador;</w:t>
      </w:r>
      <w:r>
        <w:rPr>
          <w:spacing w:val="-12"/>
          <w:sz w:val="20"/>
        </w:rPr>
        <w:t> </w:t>
      </w:r>
      <w:r>
        <w:rPr>
          <w:sz w:val="20"/>
        </w:rPr>
        <w:t>dejar</w:t>
      </w:r>
      <w:r>
        <w:rPr>
          <w:spacing w:val="-12"/>
          <w:sz w:val="20"/>
        </w:rPr>
        <w:t> </w:t>
      </w:r>
      <w:r>
        <w:rPr>
          <w:sz w:val="20"/>
        </w:rPr>
        <w:t>enfriar</w:t>
      </w:r>
      <w:r>
        <w:rPr>
          <w:spacing w:val="-12"/>
          <w:sz w:val="20"/>
        </w:rPr>
        <w:t> </w:t>
      </w:r>
      <w:r>
        <w:rPr>
          <w:sz w:val="20"/>
        </w:rPr>
        <w:t>a</w:t>
      </w:r>
      <w:r>
        <w:rPr>
          <w:spacing w:val="-10"/>
          <w:sz w:val="20"/>
        </w:rPr>
        <w:t> </w:t>
      </w:r>
      <w:r>
        <w:rPr>
          <w:sz w:val="20"/>
        </w:rPr>
        <w:t>la</w:t>
      </w:r>
      <w:r>
        <w:rPr>
          <w:spacing w:val="-11"/>
          <w:sz w:val="20"/>
        </w:rPr>
        <w:t> </w:t>
      </w:r>
      <w:r>
        <w:rPr>
          <w:sz w:val="20"/>
        </w:rPr>
        <w:t>temperatura</w:t>
      </w:r>
      <w:r>
        <w:rPr>
          <w:spacing w:val="-10"/>
          <w:sz w:val="20"/>
        </w:rPr>
        <w:t> </w:t>
      </w:r>
      <w:r>
        <w:rPr>
          <w:sz w:val="20"/>
        </w:rPr>
        <w:t>ambiente</w:t>
      </w:r>
      <w:r>
        <w:rPr>
          <w:spacing w:val="-10"/>
          <w:sz w:val="20"/>
        </w:rPr>
        <w:t> </w:t>
      </w:r>
      <w:r>
        <w:rPr>
          <w:sz w:val="20"/>
        </w:rPr>
        <w:t>y</w:t>
      </w:r>
      <w:r>
        <w:rPr>
          <w:spacing w:val="-14"/>
          <w:sz w:val="20"/>
        </w:rPr>
        <w:t> </w:t>
      </w:r>
      <w:r>
        <w:rPr>
          <w:sz w:val="20"/>
        </w:rPr>
        <w:t>pesar.</w:t>
      </w:r>
      <w:r>
        <w:rPr>
          <w:spacing w:val="-12"/>
          <w:sz w:val="20"/>
        </w:rPr>
        <w:t> </w:t>
      </w:r>
      <w:r>
        <w:rPr>
          <w:sz w:val="20"/>
        </w:rPr>
        <w:t>Repetir el procedimiento indicado hasta obtener peso</w:t>
      </w:r>
      <w:r>
        <w:rPr>
          <w:spacing w:val="-15"/>
          <w:sz w:val="20"/>
        </w:rPr>
        <w:t> </w:t>
      </w:r>
      <w:r>
        <w:rPr>
          <w:sz w:val="20"/>
        </w:rPr>
        <w:t>constante.</w:t>
      </w:r>
    </w:p>
    <w:p>
      <w:pPr>
        <w:pStyle w:val="BodyText"/>
        <w:spacing w:before="9"/>
        <w:rPr>
          <w:sz w:val="23"/>
        </w:rPr>
      </w:pPr>
    </w:p>
    <w:p>
      <w:pPr>
        <w:spacing w:after="0"/>
        <w:rPr>
          <w:sz w:val="23"/>
        </w:rPr>
        <w:sectPr>
          <w:footerReference w:type="default" r:id="rId118"/>
          <w:pgSz w:w="12240" w:h="15840"/>
          <w:pgMar w:footer="710" w:header="728" w:top="1200" w:bottom="900" w:left="1720" w:right="1380"/>
          <w:pgNumType w:start="121"/>
        </w:sectPr>
      </w:pPr>
    </w:p>
    <w:p>
      <w:pPr>
        <w:pStyle w:val="ListParagraph"/>
        <w:numPr>
          <w:ilvl w:val="0"/>
          <w:numId w:val="19"/>
        </w:numPr>
        <w:tabs>
          <w:tab w:pos="319" w:val="left" w:leader="none"/>
        </w:tabs>
        <w:spacing w:line="240" w:lineRule="auto" w:before="74" w:after="0"/>
        <w:ind w:left="318" w:right="0" w:hanging="166"/>
        <w:jc w:val="left"/>
        <w:rPr>
          <w:sz w:val="20"/>
        </w:rPr>
      </w:pPr>
      <w:r>
        <w:rPr>
          <w:sz w:val="20"/>
        </w:rPr>
        <w:t>CÁLCULOS</w:t>
      </w:r>
    </w:p>
    <w:p>
      <w:pPr>
        <w:pStyle w:val="BodyText"/>
        <w:rPr>
          <w:sz w:val="20"/>
        </w:rPr>
      </w:pPr>
    </w:p>
    <w:p>
      <w:pPr>
        <w:pStyle w:val="BodyText"/>
        <w:rPr>
          <w:sz w:val="20"/>
        </w:rPr>
      </w:pPr>
    </w:p>
    <w:p>
      <w:pPr>
        <w:pStyle w:val="BodyText"/>
        <w:rPr>
          <w:sz w:val="20"/>
        </w:rPr>
      </w:pPr>
    </w:p>
    <w:p>
      <w:pPr>
        <w:spacing w:before="117"/>
        <w:ind w:left="152" w:right="0" w:firstLine="0"/>
        <w:jc w:val="left"/>
        <w:rPr>
          <w:sz w:val="20"/>
        </w:rPr>
      </w:pPr>
      <w:r>
        <w:rPr>
          <w:sz w:val="20"/>
        </w:rPr>
        <w:t>En donde:</w:t>
      </w:r>
    </w:p>
    <w:p>
      <w:pPr>
        <w:pStyle w:val="BodyText"/>
        <w:rPr>
          <w:sz w:val="20"/>
        </w:rPr>
      </w:pPr>
      <w:r>
        <w:rPr/>
        <w:br w:type="column"/>
      </w:r>
      <w:r>
        <w:rPr>
          <w:sz w:val="20"/>
        </w:rPr>
      </w:r>
    </w:p>
    <w:p>
      <w:pPr>
        <w:pStyle w:val="BodyText"/>
        <w:spacing w:before="5"/>
        <w:rPr>
          <w:sz w:val="16"/>
        </w:rPr>
      </w:pPr>
    </w:p>
    <w:p>
      <w:pPr>
        <w:spacing w:before="1"/>
        <w:ind w:left="152" w:right="0" w:firstLine="0"/>
        <w:jc w:val="left"/>
        <w:rPr>
          <w:sz w:val="20"/>
        </w:rPr>
      </w:pPr>
      <w:r>
        <w:rPr>
          <w:sz w:val="20"/>
        </w:rPr>
        <w:t>% en Humedad = (P </w:t>
      </w:r>
      <w:r>
        <w:rPr>
          <w:sz w:val="20"/>
          <w:u w:val="single"/>
        </w:rPr>
        <w:t>- P1) x 100 </w:t>
      </w:r>
    </w:p>
    <w:p>
      <w:pPr>
        <w:spacing w:before="115"/>
        <w:ind w:left="2243" w:right="4165" w:firstLine="0"/>
        <w:jc w:val="center"/>
        <w:rPr>
          <w:sz w:val="20"/>
        </w:rPr>
      </w:pPr>
      <w:r>
        <w:rPr>
          <w:sz w:val="20"/>
        </w:rPr>
        <w:t>P2</w:t>
      </w:r>
    </w:p>
    <w:p>
      <w:pPr>
        <w:spacing w:after="0"/>
        <w:jc w:val="center"/>
        <w:rPr>
          <w:sz w:val="20"/>
        </w:rPr>
        <w:sectPr>
          <w:type w:val="continuous"/>
          <w:pgSz w:w="12240" w:h="15840"/>
          <w:pgMar w:top="1300" w:bottom="280" w:left="1720" w:right="1380"/>
          <w:cols w:num="2" w:equalWidth="0">
            <w:col w:w="1397" w:space="1050"/>
            <w:col w:w="6693"/>
          </w:cols>
        </w:sectPr>
      </w:pPr>
    </w:p>
    <w:p>
      <w:pPr>
        <w:spacing w:line="360" w:lineRule="auto" w:before="113"/>
        <w:ind w:left="152" w:right="154" w:firstLine="0"/>
        <w:jc w:val="left"/>
        <w:rPr>
          <w:sz w:val="20"/>
        </w:rPr>
      </w:pPr>
      <w:r>
        <w:rPr>
          <w:sz w:val="20"/>
        </w:rPr>
        <w:t>P</w:t>
      </w:r>
      <w:r>
        <w:rPr>
          <w:spacing w:val="-5"/>
          <w:sz w:val="20"/>
        </w:rPr>
        <w:t> </w:t>
      </w:r>
      <w:r>
        <w:rPr>
          <w:sz w:val="20"/>
        </w:rPr>
        <w:t>=</w:t>
      </w:r>
      <w:r>
        <w:rPr>
          <w:spacing w:val="-5"/>
          <w:sz w:val="20"/>
        </w:rPr>
        <w:t> </w:t>
      </w:r>
      <w:r>
        <w:rPr>
          <w:sz w:val="20"/>
        </w:rPr>
        <w:t>Peso</w:t>
      </w:r>
      <w:r>
        <w:rPr>
          <w:spacing w:val="-5"/>
          <w:sz w:val="20"/>
        </w:rPr>
        <w:t> </w:t>
      </w:r>
      <w:r>
        <w:rPr>
          <w:sz w:val="20"/>
        </w:rPr>
        <w:t>del</w:t>
      </w:r>
      <w:r>
        <w:rPr>
          <w:spacing w:val="-5"/>
          <w:sz w:val="20"/>
        </w:rPr>
        <w:t> </w:t>
      </w:r>
      <w:r>
        <w:rPr>
          <w:sz w:val="20"/>
        </w:rPr>
        <w:t>recipiente</w:t>
      </w:r>
      <w:r>
        <w:rPr>
          <w:spacing w:val="-5"/>
          <w:sz w:val="20"/>
        </w:rPr>
        <w:t> </w:t>
      </w:r>
      <w:r>
        <w:rPr>
          <w:sz w:val="20"/>
        </w:rPr>
        <w:t>con</w:t>
      </w:r>
      <w:r>
        <w:rPr>
          <w:spacing w:val="-5"/>
          <w:sz w:val="20"/>
        </w:rPr>
        <w:t> </w:t>
      </w:r>
      <w:r>
        <w:rPr>
          <w:sz w:val="20"/>
        </w:rPr>
        <w:t>la</w:t>
      </w:r>
      <w:r>
        <w:rPr>
          <w:spacing w:val="-5"/>
          <w:sz w:val="20"/>
        </w:rPr>
        <w:t> </w:t>
      </w:r>
      <w:r>
        <w:rPr>
          <w:sz w:val="20"/>
        </w:rPr>
        <w:t>muestra</w:t>
      </w:r>
      <w:r>
        <w:rPr>
          <w:spacing w:val="-7"/>
          <w:sz w:val="20"/>
        </w:rPr>
        <w:t> </w:t>
      </w:r>
      <w:r>
        <w:rPr>
          <w:sz w:val="20"/>
        </w:rPr>
        <w:t>húmeda,</w:t>
      </w:r>
      <w:r>
        <w:rPr>
          <w:spacing w:val="-7"/>
          <w:sz w:val="20"/>
        </w:rPr>
        <w:t> </w:t>
      </w:r>
      <w:r>
        <w:rPr>
          <w:sz w:val="20"/>
        </w:rPr>
        <w:t>en</w:t>
      </w:r>
      <w:r>
        <w:rPr>
          <w:spacing w:val="-5"/>
          <w:sz w:val="20"/>
        </w:rPr>
        <w:t> </w:t>
      </w:r>
      <w:r>
        <w:rPr>
          <w:sz w:val="20"/>
        </w:rPr>
        <w:t>gramos.</w:t>
      </w:r>
      <w:r>
        <w:rPr>
          <w:spacing w:val="-7"/>
          <w:sz w:val="20"/>
        </w:rPr>
        <w:t> </w:t>
      </w:r>
      <w:r>
        <w:rPr>
          <w:sz w:val="20"/>
        </w:rPr>
        <w:t>P1</w:t>
      </w:r>
      <w:r>
        <w:rPr>
          <w:spacing w:val="-5"/>
          <w:sz w:val="20"/>
        </w:rPr>
        <w:t> </w:t>
      </w:r>
      <w:r>
        <w:rPr>
          <w:sz w:val="20"/>
        </w:rPr>
        <w:t>=</w:t>
      </w:r>
      <w:r>
        <w:rPr>
          <w:spacing w:val="-5"/>
          <w:sz w:val="20"/>
        </w:rPr>
        <w:t> </w:t>
      </w:r>
      <w:r>
        <w:rPr>
          <w:sz w:val="20"/>
        </w:rPr>
        <w:t>Peso</w:t>
      </w:r>
      <w:r>
        <w:rPr>
          <w:spacing w:val="-5"/>
          <w:sz w:val="20"/>
        </w:rPr>
        <w:t> </w:t>
      </w:r>
      <w:r>
        <w:rPr>
          <w:sz w:val="20"/>
        </w:rPr>
        <w:t>del</w:t>
      </w:r>
      <w:r>
        <w:rPr>
          <w:spacing w:val="-8"/>
          <w:sz w:val="20"/>
        </w:rPr>
        <w:t> </w:t>
      </w:r>
      <w:r>
        <w:rPr>
          <w:sz w:val="20"/>
        </w:rPr>
        <w:t>recipiente</w:t>
      </w:r>
      <w:r>
        <w:rPr>
          <w:spacing w:val="-7"/>
          <w:sz w:val="20"/>
        </w:rPr>
        <w:t> </w:t>
      </w:r>
      <w:r>
        <w:rPr>
          <w:sz w:val="20"/>
        </w:rPr>
        <w:t>con</w:t>
      </w:r>
      <w:r>
        <w:rPr>
          <w:spacing w:val="-7"/>
          <w:sz w:val="20"/>
        </w:rPr>
        <w:t> </w:t>
      </w:r>
      <w:r>
        <w:rPr>
          <w:sz w:val="20"/>
        </w:rPr>
        <w:t>la</w:t>
      </w:r>
      <w:r>
        <w:rPr>
          <w:spacing w:val="-7"/>
          <w:sz w:val="20"/>
        </w:rPr>
        <w:t> </w:t>
      </w:r>
      <w:r>
        <w:rPr>
          <w:sz w:val="20"/>
        </w:rPr>
        <w:t>muestra seca. P2 = Peso de la muestra en</w:t>
      </w:r>
      <w:r>
        <w:rPr>
          <w:spacing w:val="-12"/>
          <w:sz w:val="20"/>
        </w:rPr>
        <w:t> </w:t>
      </w:r>
      <w:r>
        <w:rPr>
          <w:sz w:val="20"/>
        </w:rPr>
        <w:t>gramos.</w:t>
      </w:r>
    </w:p>
    <w:p>
      <w:pPr>
        <w:pStyle w:val="BodyText"/>
        <w:rPr>
          <w:sz w:val="20"/>
        </w:rPr>
      </w:pPr>
    </w:p>
    <w:p>
      <w:pPr>
        <w:spacing w:before="119"/>
        <w:ind w:left="152" w:right="0" w:firstLine="0"/>
        <w:jc w:val="both"/>
        <w:rPr>
          <w:sz w:val="20"/>
        </w:rPr>
      </w:pPr>
      <w:r>
        <w:rPr>
          <w:sz w:val="20"/>
        </w:rPr>
        <w:t>7.1 Repetibilidad</w:t>
      </w:r>
    </w:p>
    <w:p>
      <w:pPr>
        <w:spacing w:line="360" w:lineRule="auto" w:before="113"/>
        <w:ind w:left="152" w:right="144" w:firstLine="0"/>
        <w:jc w:val="both"/>
        <w:rPr>
          <w:sz w:val="20"/>
        </w:rPr>
      </w:pPr>
      <w:r>
        <w:rPr>
          <w:sz w:val="20"/>
        </w:rPr>
        <w:t>La</w:t>
      </w:r>
      <w:r>
        <w:rPr>
          <w:spacing w:val="-6"/>
          <w:sz w:val="20"/>
        </w:rPr>
        <w:t> </w:t>
      </w:r>
      <w:r>
        <w:rPr>
          <w:sz w:val="20"/>
        </w:rPr>
        <w:t>diferencia</w:t>
      </w:r>
      <w:r>
        <w:rPr>
          <w:spacing w:val="-8"/>
          <w:sz w:val="20"/>
        </w:rPr>
        <w:t> </w:t>
      </w:r>
      <w:r>
        <w:rPr>
          <w:sz w:val="20"/>
        </w:rPr>
        <w:t>máxima</w:t>
      </w:r>
      <w:r>
        <w:rPr>
          <w:spacing w:val="-8"/>
          <w:sz w:val="20"/>
        </w:rPr>
        <w:t> </w:t>
      </w:r>
      <w:r>
        <w:rPr>
          <w:sz w:val="20"/>
        </w:rPr>
        <w:t>permisible</w:t>
      </w:r>
      <w:r>
        <w:rPr>
          <w:spacing w:val="-6"/>
          <w:sz w:val="20"/>
        </w:rPr>
        <w:t> </w:t>
      </w:r>
      <w:r>
        <w:rPr>
          <w:sz w:val="20"/>
        </w:rPr>
        <w:t>entre</w:t>
      </w:r>
      <w:r>
        <w:rPr>
          <w:spacing w:val="-5"/>
          <w:sz w:val="20"/>
        </w:rPr>
        <w:t> </w:t>
      </w:r>
      <w:r>
        <w:rPr>
          <w:sz w:val="20"/>
        </w:rPr>
        <w:t>dos</w:t>
      </w:r>
      <w:r>
        <w:rPr>
          <w:spacing w:val="-4"/>
          <w:sz w:val="20"/>
        </w:rPr>
        <w:t> </w:t>
      </w:r>
      <w:r>
        <w:rPr>
          <w:sz w:val="20"/>
        </w:rPr>
        <w:t>determinaciones,</w:t>
      </w:r>
      <w:r>
        <w:rPr>
          <w:spacing w:val="-6"/>
          <w:sz w:val="20"/>
        </w:rPr>
        <w:t> </w:t>
      </w:r>
      <w:r>
        <w:rPr>
          <w:sz w:val="20"/>
        </w:rPr>
        <w:t>como</w:t>
      </w:r>
      <w:r>
        <w:rPr>
          <w:spacing w:val="-10"/>
          <w:sz w:val="20"/>
        </w:rPr>
        <w:t> </w:t>
      </w:r>
      <w:r>
        <w:rPr>
          <w:sz w:val="20"/>
        </w:rPr>
        <w:t>mínimo,</w:t>
      </w:r>
      <w:r>
        <w:rPr>
          <w:spacing w:val="-8"/>
          <w:sz w:val="20"/>
        </w:rPr>
        <w:t> </w:t>
      </w:r>
      <w:r>
        <w:rPr>
          <w:sz w:val="20"/>
        </w:rPr>
        <w:t>efectuadas</w:t>
      </w:r>
      <w:r>
        <w:rPr>
          <w:spacing w:val="-4"/>
          <w:sz w:val="20"/>
        </w:rPr>
        <w:t> </w:t>
      </w:r>
      <w:r>
        <w:rPr>
          <w:sz w:val="20"/>
        </w:rPr>
        <w:t>por</w:t>
      </w:r>
      <w:r>
        <w:rPr>
          <w:spacing w:val="-5"/>
          <w:sz w:val="20"/>
        </w:rPr>
        <w:t> </w:t>
      </w:r>
      <w:r>
        <w:rPr>
          <w:sz w:val="20"/>
        </w:rPr>
        <w:t>el</w:t>
      </w:r>
      <w:r>
        <w:rPr>
          <w:spacing w:val="-7"/>
          <w:sz w:val="20"/>
        </w:rPr>
        <w:t> </w:t>
      </w:r>
      <w:r>
        <w:rPr>
          <w:spacing w:val="2"/>
          <w:sz w:val="20"/>
        </w:rPr>
        <w:t>mismo </w:t>
      </w:r>
      <w:r>
        <w:rPr>
          <w:sz w:val="20"/>
        </w:rPr>
        <w:t>analista con el mismo equipo y la misma muestra no debe ser mayor de 0.1%, en caso contrario repetir la</w:t>
      </w:r>
      <w:r>
        <w:rPr>
          <w:spacing w:val="-8"/>
          <w:sz w:val="20"/>
        </w:rPr>
        <w:t> </w:t>
      </w:r>
      <w:r>
        <w:rPr>
          <w:sz w:val="20"/>
        </w:rPr>
        <w:t>determinación.</w:t>
      </w:r>
    </w:p>
    <w:p>
      <w:pPr>
        <w:pStyle w:val="BodyText"/>
        <w:rPr>
          <w:sz w:val="20"/>
        </w:rPr>
      </w:pPr>
    </w:p>
    <w:p>
      <w:pPr>
        <w:pStyle w:val="ListParagraph"/>
        <w:numPr>
          <w:ilvl w:val="0"/>
          <w:numId w:val="19"/>
        </w:numPr>
        <w:tabs>
          <w:tab w:pos="319" w:val="left" w:leader="none"/>
        </w:tabs>
        <w:spacing w:line="240" w:lineRule="auto" w:before="117" w:after="0"/>
        <w:ind w:left="318" w:right="0" w:hanging="166"/>
        <w:jc w:val="both"/>
        <w:rPr>
          <w:sz w:val="20"/>
        </w:rPr>
      </w:pPr>
      <w:r>
        <w:rPr>
          <w:sz w:val="20"/>
        </w:rPr>
        <w:t>BIBLIOGRAFÍA</w:t>
      </w:r>
    </w:p>
    <w:p>
      <w:pPr>
        <w:spacing w:line="360" w:lineRule="auto" w:before="115"/>
        <w:ind w:left="152" w:right="154" w:firstLine="0"/>
        <w:jc w:val="left"/>
        <w:rPr>
          <w:sz w:val="20"/>
        </w:rPr>
      </w:pPr>
      <w:r>
        <w:rPr>
          <w:sz w:val="20"/>
        </w:rPr>
        <w:t>NMX-Z-013-1977. Norma Mexicana. "Guía para la Redacción, Estructuración y Presentación de las Normas Mexicanas" Secretaría de Patrimonio y Fomento Industrial.</w:t>
      </w:r>
    </w:p>
    <w:p>
      <w:pPr>
        <w:spacing w:line="357" w:lineRule="auto" w:before="4"/>
        <w:ind w:left="152" w:right="154" w:firstLine="0"/>
        <w:jc w:val="left"/>
        <w:rPr>
          <w:sz w:val="20"/>
        </w:rPr>
      </w:pPr>
      <w:r>
        <w:rPr>
          <w:sz w:val="20"/>
        </w:rPr>
        <w:t>Secretaria de Salud – Manual de técnicas para el análisis fisicoquímico. Dirección General de Investigación en Salud Pública (1975).</w:t>
      </w:r>
    </w:p>
    <w:p>
      <w:pPr>
        <w:pStyle w:val="BodyText"/>
        <w:rPr>
          <w:sz w:val="20"/>
        </w:rPr>
      </w:pPr>
    </w:p>
    <w:p>
      <w:pPr>
        <w:pStyle w:val="ListParagraph"/>
        <w:numPr>
          <w:ilvl w:val="0"/>
          <w:numId w:val="20"/>
        </w:numPr>
        <w:tabs>
          <w:tab w:pos="374" w:val="left" w:leader="none"/>
        </w:tabs>
        <w:spacing w:line="240" w:lineRule="auto" w:before="122" w:after="0"/>
        <w:ind w:left="373" w:right="0" w:hanging="221"/>
        <w:jc w:val="both"/>
        <w:rPr>
          <w:sz w:val="20"/>
        </w:rPr>
      </w:pPr>
      <w:r>
        <w:rPr>
          <w:sz w:val="20"/>
        </w:rPr>
        <w:t>APÉNDICE</w:t>
      </w:r>
    </w:p>
    <w:p>
      <w:pPr>
        <w:pStyle w:val="ListParagraph"/>
        <w:numPr>
          <w:ilvl w:val="1"/>
          <w:numId w:val="20"/>
        </w:numPr>
        <w:tabs>
          <w:tab w:pos="498" w:val="left" w:leader="none"/>
        </w:tabs>
        <w:spacing w:line="360" w:lineRule="auto" w:before="113" w:after="0"/>
        <w:ind w:left="152" w:right="151" w:firstLine="0"/>
        <w:jc w:val="left"/>
        <w:rPr>
          <w:sz w:val="20"/>
        </w:rPr>
      </w:pPr>
      <w:r>
        <w:rPr>
          <w:sz w:val="20"/>
        </w:rPr>
        <w:t>La cantidad de muestra empleada en esta prueba, será la señalada en la Norma del producto correspondiente.</w:t>
      </w:r>
    </w:p>
    <w:p>
      <w:pPr>
        <w:pStyle w:val="ListParagraph"/>
        <w:numPr>
          <w:ilvl w:val="1"/>
          <w:numId w:val="20"/>
        </w:numPr>
        <w:tabs>
          <w:tab w:pos="486" w:val="left" w:leader="none"/>
        </w:tabs>
        <w:spacing w:line="240" w:lineRule="auto" w:before="4" w:after="0"/>
        <w:ind w:left="485" w:right="0" w:hanging="333"/>
        <w:jc w:val="both"/>
        <w:rPr>
          <w:sz w:val="20"/>
        </w:rPr>
      </w:pPr>
      <w:r>
        <w:rPr>
          <w:sz w:val="20"/>
        </w:rPr>
        <w:t>El tiempo y la temperatura se indican en la Norma del producto</w:t>
      </w:r>
      <w:r>
        <w:rPr>
          <w:spacing w:val="-25"/>
          <w:sz w:val="20"/>
        </w:rPr>
        <w:t> </w:t>
      </w:r>
      <w:r>
        <w:rPr>
          <w:sz w:val="20"/>
        </w:rPr>
        <w:t>correspondiente.</w:t>
      </w:r>
    </w:p>
    <w:p>
      <w:pPr>
        <w:pStyle w:val="ListParagraph"/>
        <w:numPr>
          <w:ilvl w:val="0"/>
          <w:numId w:val="20"/>
        </w:numPr>
        <w:tabs>
          <w:tab w:pos="484" w:val="left" w:leader="none"/>
        </w:tabs>
        <w:spacing w:line="240" w:lineRule="auto" w:before="115" w:after="0"/>
        <w:ind w:left="483" w:right="0" w:hanging="331"/>
        <w:jc w:val="both"/>
        <w:rPr>
          <w:sz w:val="20"/>
        </w:rPr>
      </w:pPr>
      <w:r>
        <w:rPr>
          <w:sz w:val="20"/>
        </w:rPr>
        <w:t>CONCORDANCIA CON NORMAS</w:t>
      </w:r>
      <w:r>
        <w:rPr>
          <w:spacing w:val="-10"/>
          <w:sz w:val="20"/>
        </w:rPr>
        <w:t> </w:t>
      </w:r>
      <w:r>
        <w:rPr>
          <w:sz w:val="20"/>
        </w:rPr>
        <w:t>INTERNACIONALES</w:t>
      </w:r>
    </w:p>
    <w:p>
      <w:pPr>
        <w:spacing w:line="360" w:lineRule="auto" w:before="113"/>
        <w:ind w:left="152" w:right="154" w:firstLine="0"/>
        <w:jc w:val="left"/>
        <w:rPr>
          <w:sz w:val="20"/>
        </w:rPr>
      </w:pPr>
      <w:r>
        <w:rPr>
          <w:sz w:val="20"/>
        </w:rPr>
        <w:t>No se puede establecer concordancia por no existir referencia al momento de la elaboración de la presente.</w:t>
      </w:r>
    </w:p>
    <w:p>
      <w:pPr>
        <w:spacing w:before="4"/>
        <w:ind w:left="152" w:right="0" w:firstLine="0"/>
        <w:jc w:val="both"/>
        <w:rPr>
          <w:sz w:val="20"/>
        </w:rPr>
      </w:pPr>
      <w:r>
        <w:rPr>
          <w:sz w:val="20"/>
        </w:rPr>
        <w:t>Esta Norma cancela a la: NMX-F-083, NMX-F-102, NMX-F-105-1970.</w:t>
      </w:r>
    </w:p>
    <w:p>
      <w:pPr>
        <w:spacing w:after="0"/>
        <w:jc w:val="both"/>
        <w:rPr>
          <w:sz w:val="20"/>
        </w:rPr>
        <w:sectPr>
          <w:type w:val="continuous"/>
          <w:pgSz w:w="12240" w:h="15840"/>
          <w:pgMar w:top="1300" w:bottom="280" w:left="1720" w:right="1380"/>
        </w:sectPr>
      </w:pPr>
    </w:p>
    <w:p>
      <w:pPr>
        <w:pStyle w:val="BodyText"/>
        <w:rPr>
          <w:sz w:val="20"/>
        </w:rPr>
      </w:pPr>
    </w:p>
    <w:p>
      <w:pPr>
        <w:pStyle w:val="BodyText"/>
        <w:spacing w:before="3"/>
        <w:rPr>
          <w:sz w:val="27"/>
        </w:rPr>
      </w:pPr>
    </w:p>
    <w:p>
      <w:pPr>
        <w:pStyle w:val="Heading2"/>
        <w:spacing w:line="276" w:lineRule="auto" w:before="69"/>
        <w:ind w:left="152" w:right="149"/>
        <w:jc w:val="both"/>
      </w:pPr>
      <w:r>
        <w:rPr/>
        <w:t>Anexo 11: NMX-F-094-1984. ALIMENTOS. LÁCTEOS. DETERMINACIÓN DE CENIZAS EN QUESOS. FOODS LACTEOUS. CHEESE ASHES DETERMINATION. NORMAS MEXICANAS. DIRECCIÓN GENERAL DE NORMAS.</w:t>
      </w:r>
    </w:p>
    <w:p>
      <w:pPr>
        <w:spacing w:line="230" w:lineRule="exact" w:before="0"/>
        <w:ind w:left="152" w:right="0" w:firstLine="0"/>
        <w:jc w:val="both"/>
        <w:rPr>
          <w:sz w:val="20"/>
        </w:rPr>
      </w:pPr>
      <w:r>
        <w:rPr>
          <w:sz w:val="20"/>
        </w:rPr>
        <w:t>PREFACIO</w:t>
      </w:r>
    </w:p>
    <w:p>
      <w:pPr>
        <w:spacing w:before="142"/>
        <w:ind w:left="152" w:right="0" w:firstLine="0"/>
        <w:jc w:val="both"/>
        <w:rPr>
          <w:sz w:val="20"/>
        </w:rPr>
      </w:pPr>
      <w:r>
        <w:rPr>
          <w:sz w:val="20"/>
        </w:rPr>
        <w:t>En la elaboración de la presente Norma, participaron los siguientes Organismos:</w:t>
      </w:r>
    </w:p>
    <w:p>
      <w:pPr>
        <w:spacing w:line="264" w:lineRule="auto" w:before="144"/>
        <w:ind w:left="152" w:right="148" w:firstLine="0"/>
        <w:jc w:val="both"/>
        <w:rPr>
          <w:sz w:val="20"/>
        </w:rPr>
      </w:pPr>
      <w:r>
        <w:rPr>
          <w:sz w:val="20"/>
        </w:rPr>
        <w:t>Cámara de Productos Alimenticios Elaborados con Leche. Industrias Alimenticias Club, S.A. Cremería</w:t>
      </w:r>
      <w:r>
        <w:rPr>
          <w:spacing w:val="-5"/>
          <w:sz w:val="20"/>
        </w:rPr>
        <w:t> </w:t>
      </w:r>
      <w:r>
        <w:rPr>
          <w:sz w:val="20"/>
        </w:rPr>
        <w:t>Chalco,</w:t>
      </w:r>
      <w:r>
        <w:rPr>
          <w:spacing w:val="-2"/>
          <w:sz w:val="20"/>
        </w:rPr>
        <w:t> </w:t>
      </w:r>
      <w:r>
        <w:rPr>
          <w:sz w:val="20"/>
        </w:rPr>
        <w:t>S.A.</w:t>
      </w:r>
      <w:r>
        <w:rPr>
          <w:spacing w:val="-2"/>
          <w:sz w:val="20"/>
        </w:rPr>
        <w:t> </w:t>
      </w:r>
      <w:r>
        <w:rPr>
          <w:sz w:val="20"/>
        </w:rPr>
        <w:t>Kraft</w:t>
      </w:r>
      <w:r>
        <w:rPr>
          <w:spacing w:val="-5"/>
          <w:sz w:val="20"/>
        </w:rPr>
        <w:t> </w:t>
      </w:r>
      <w:r>
        <w:rPr>
          <w:sz w:val="20"/>
        </w:rPr>
        <w:t>Foods</w:t>
      </w:r>
      <w:r>
        <w:rPr>
          <w:spacing w:val="-5"/>
          <w:sz w:val="20"/>
        </w:rPr>
        <w:t> </w:t>
      </w:r>
      <w:r>
        <w:rPr>
          <w:sz w:val="20"/>
        </w:rPr>
        <w:t>de</w:t>
      </w:r>
      <w:r>
        <w:rPr>
          <w:spacing w:val="-4"/>
          <w:sz w:val="20"/>
        </w:rPr>
        <w:t> </w:t>
      </w:r>
      <w:r>
        <w:rPr>
          <w:sz w:val="20"/>
        </w:rPr>
        <w:t>México,</w:t>
      </w:r>
      <w:r>
        <w:rPr>
          <w:spacing w:val="-4"/>
          <w:sz w:val="20"/>
        </w:rPr>
        <w:t> </w:t>
      </w:r>
      <w:r>
        <w:rPr>
          <w:sz w:val="20"/>
        </w:rPr>
        <w:t>S.A.</w:t>
      </w:r>
      <w:r>
        <w:rPr>
          <w:spacing w:val="-4"/>
          <w:sz w:val="20"/>
        </w:rPr>
        <w:t> </w:t>
      </w:r>
      <w:r>
        <w:rPr>
          <w:sz w:val="20"/>
        </w:rPr>
        <w:t>de</w:t>
      </w:r>
      <w:r>
        <w:rPr>
          <w:spacing w:val="-4"/>
          <w:sz w:val="20"/>
        </w:rPr>
        <w:t> </w:t>
      </w:r>
      <w:r>
        <w:rPr>
          <w:sz w:val="20"/>
        </w:rPr>
        <w:t>C.V.</w:t>
      </w:r>
      <w:r>
        <w:rPr>
          <w:spacing w:val="-4"/>
          <w:sz w:val="20"/>
        </w:rPr>
        <w:t> </w:t>
      </w:r>
      <w:r>
        <w:rPr>
          <w:sz w:val="20"/>
        </w:rPr>
        <w:t>Productos</w:t>
      </w:r>
      <w:r>
        <w:rPr>
          <w:spacing w:val="-3"/>
          <w:sz w:val="20"/>
        </w:rPr>
        <w:t> </w:t>
      </w:r>
      <w:r>
        <w:rPr>
          <w:sz w:val="20"/>
        </w:rPr>
        <w:t>de</w:t>
      </w:r>
      <w:r>
        <w:rPr>
          <w:spacing w:val="-4"/>
          <w:sz w:val="20"/>
        </w:rPr>
        <w:t> </w:t>
      </w:r>
      <w:r>
        <w:rPr>
          <w:sz w:val="20"/>
        </w:rPr>
        <w:t>Leche</w:t>
      </w:r>
      <w:r>
        <w:rPr>
          <w:spacing w:val="-6"/>
          <w:sz w:val="20"/>
        </w:rPr>
        <w:t> </w:t>
      </w:r>
      <w:r>
        <w:rPr>
          <w:sz w:val="20"/>
        </w:rPr>
        <w:t>Noche</w:t>
      </w:r>
      <w:r>
        <w:rPr>
          <w:spacing w:val="-4"/>
          <w:sz w:val="20"/>
        </w:rPr>
        <w:t> </w:t>
      </w:r>
      <w:r>
        <w:rPr>
          <w:sz w:val="20"/>
        </w:rPr>
        <w:t>Buena,</w:t>
      </w:r>
      <w:r>
        <w:rPr>
          <w:spacing w:val="-2"/>
          <w:sz w:val="20"/>
        </w:rPr>
        <w:t> </w:t>
      </w:r>
      <w:r>
        <w:rPr>
          <w:sz w:val="20"/>
        </w:rPr>
        <w:t>S.A. Productos de Leche, S.A. Quesos La Caperucita,</w:t>
      </w:r>
      <w:r>
        <w:rPr>
          <w:spacing w:val="-13"/>
          <w:sz w:val="20"/>
        </w:rPr>
        <w:t> </w:t>
      </w:r>
      <w:r>
        <w:rPr>
          <w:sz w:val="20"/>
        </w:rPr>
        <w:t>S.A.</w:t>
      </w:r>
    </w:p>
    <w:p>
      <w:pPr>
        <w:pStyle w:val="ListParagraph"/>
        <w:numPr>
          <w:ilvl w:val="0"/>
          <w:numId w:val="21"/>
        </w:numPr>
        <w:tabs>
          <w:tab w:pos="374" w:val="left" w:leader="none"/>
        </w:tabs>
        <w:spacing w:line="240" w:lineRule="auto" w:before="122" w:after="0"/>
        <w:ind w:left="152" w:right="0" w:firstLine="0"/>
        <w:jc w:val="both"/>
        <w:rPr>
          <w:sz w:val="20"/>
        </w:rPr>
      </w:pPr>
      <w:r>
        <w:rPr>
          <w:sz w:val="20"/>
        </w:rPr>
        <w:t>OBJETIVO Y CAMPO DE</w:t>
      </w:r>
      <w:r>
        <w:rPr>
          <w:spacing w:val="-8"/>
          <w:sz w:val="20"/>
        </w:rPr>
        <w:t> </w:t>
      </w:r>
      <w:r>
        <w:rPr>
          <w:sz w:val="20"/>
        </w:rPr>
        <w:t>APLICACIÓN</w:t>
      </w:r>
    </w:p>
    <w:p>
      <w:pPr>
        <w:spacing w:before="142"/>
        <w:ind w:left="152" w:right="0" w:firstLine="0"/>
        <w:jc w:val="both"/>
        <w:rPr>
          <w:sz w:val="20"/>
        </w:rPr>
      </w:pPr>
      <w:r>
        <w:rPr>
          <w:sz w:val="20"/>
        </w:rPr>
        <w:t>Esta Norma Mexicana establece el procedimiento para la determinación de cenizas en los quesos.</w:t>
      </w:r>
    </w:p>
    <w:p>
      <w:pPr>
        <w:pStyle w:val="ListParagraph"/>
        <w:numPr>
          <w:ilvl w:val="0"/>
          <w:numId w:val="21"/>
        </w:numPr>
        <w:tabs>
          <w:tab w:pos="374" w:val="left" w:leader="none"/>
        </w:tabs>
        <w:spacing w:line="388" w:lineRule="auto" w:before="144" w:after="0"/>
        <w:ind w:left="152" w:right="6098" w:firstLine="0"/>
        <w:jc w:val="left"/>
        <w:rPr>
          <w:sz w:val="20"/>
        </w:rPr>
      </w:pPr>
      <w:r>
        <w:rPr>
          <w:sz w:val="20"/>
        </w:rPr>
        <w:t>REACTIVOS Y</w:t>
      </w:r>
      <w:r>
        <w:rPr>
          <w:spacing w:val="-5"/>
          <w:sz w:val="20"/>
        </w:rPr>
        <w:t> </w:t>
      </w:r>
      <w:r>
        <w:rPr>
          <w:sz w:val="20"/>
        </w:rPr>
        <w:t>MATERIALES Material común de</w:t>
      </w:r>
      <w:r>
        <w:rPr>
          <w:spacing w:val="-7"/>
          <w:sz w:val="20"/>
        </w:rPr>
        <w:t> </w:t>
      </w:r>
      <w:r>
        <w:rPr>
          <w:sz w:val="20"/>
        </w:rPr>
        <w:t>laboratorio.</w:t>
      </w:r>
    </w:p>
    <w:p>
      <w:pPr>
        <w:pStyle w:val="ListParagraph"/>
        <w:numPr>
          <w:ilvl w:val="0"/>
          <w:numId w:val="21"/>
        </w:numPr>
        <w:tabs>
          <w:tab w:pos="374" w:val="left" w:leader="none"/>
        </w:tabs>
        <w:spacing w:line="240" w:lineRule="auto" w:before="3" w:after="0"/>
        <w:ind w:left="373" w:right="0" w:hanging="221"/>
        <w:jc w:val="both"/>
        <w:rPr>
          <w:sz w:val="20"/>
        </w:rPr>
      </w:pPr>
      <w:r>
        <w:rPr>
          <w:sz w:val="20"/>
        </w:rPr>
        <w:t>APARATOS Y</w:t>
      </w:r>
      <w:r>
        <w:rPr>
          <w:spacing w:val="-6"/>
          <w:sz w:val="20"/>
        </w:rPr>
        <w:t> </w:t>
      </w:r>
      <w:r>
        <w:rPr>
          <w:sz w:val="20"/>
        </w:rPr>
        <w:t>EQUIPO</w:t>
      </w:r>
    </w:p>
    <w:p>
      <w:pPr>
        <w:pStyle w:val="ListParagraph"/>
        <w:numPr>
          <w:ilvl w:val="0"/>
          <w:numId w:val="22"/>
        </w:numPr>
        <w:tabs>
          <w:tab w:pos="280" w:val="left" w:leader="none"/>
        </w:tabs>
        <w:spacing w:line="264" w:lineRule="auto" w:before="144" w:after="0"/>
        <w:ind w:left="152" w:right="160" w:firstLine="0"/>
        <w:jc w:val="left"/>
        <w:rPr>
          <w:sz w:val="20"/>
        </w:rPr>
      </w:pPr>
      <w:r>
        <w:rPr>
          <w:sz w:val="20"/>
        </w:rPr>
        <w:t>Balanza analítica con sensibilidad de 0.001 g. • Mufla con pirómetro y regulador de temperatura. • Desecador. • Crisol de porcelana. • Cánula o</w:t>
      </w:r>
      <w:r>
        <w:rPr>
          <w:spacing w:val="-18"/>
          <w:sz w:val="20"/>
        </w:rPr>
        <w:t> </w:t>
      </w:r>
      <w:r>
        <w:rPr>
          <w:sz w:val="20"/>
        </w:rPr>
        <w:t>cañuela.</w:t>
      </w:r>
    </w:p>
    <w:p>
      <w:pPr>
        <w:pStyle w:val="ListParagraph"/>
        <w:numPr>
          <w:ilvl w:val="0"/>
          <w:numId w:val="21"/>
        </w:numPr>
        <w:tabs>
          <w:tab w:pos="374" w:val="left" w:leader="none"/>
        </w:tabs>
        <w:spacing w:line="240" w:lineRule="auto" w:before="122" w:after="0"/>
        <w:ind w:left="373" w:right="0" w:hanging="221"/>
        <w:jc w:val="both"/>
        <w:rPr>
          <w:sz w:val="20"/>
        </w:rPr>
      </w:pPr>
      <w:r>
        <w:rPr>
          <w:sz w:val="20"/>
        </w:rPr>
        <w:t>PREPARACIÓN DE LA</w:t>
      </w:r>
      <w:r>
        <w:rPr>
          <w:spacing w:val="-6"/>
          <w:sz w:val="20"/>
        </w:rPr>
        <w:t> </w:t>
      </w:r>
      <w:r>
        <w:rPr>
          <w:sz w:val="20"/>
        </w:rPr>
        <w:t>MUESTRA</w:t>
      </w:r>
    </w:p>
    <w:p>
      <w:pPr>
        <w:spacing w:line="264" w:lineRule="auto" w:before="142"/>
        <w:ind w:left="152" w:right="154" w:firstLine="0"/>
        <w:jc w:val="left"/>
        <w:rPr>
          <w:sz w:val="20"/>
        </w:rPr>
      </w:pPr>
      <w:r>
        <w:rPr>
          <w:sz w:val="20"/>
        </w:rPr>
        <w:t>Se toma una muestra por medio de una cánula o cañuela especial, introduciéndola hasta el centro de la pieza y de esta muestra se toman las cantidades necesarias para el análisis.</w:t>
      </w:r>
    </w:p>
    <w:p>
      <w:pPr>
        <w:pStyle w:val="ListParagraph"/>
        <w:numPr>
          <w:ilvl w:val="0"/>
          <w:numId w:val="21"/>
        </w:numPr>
        <w:tabs>
          <w:tab w:pos="374" w:val="left" w:leader="none"/>
        </w:tabs>
        <w:spacing w:line="240" w:lineRule="auto" w:before="122" w:after="0"/>
        <w:ind w:left="373" w:right="0" w:hanging="221"/>
        <w:jc w:val="both"/>
        <w:rPr>
          <w:sz w:val="20"/>
        </w:rPr>
      </w:pPr>
      <w:r>
        <w:rPr>
          <w:sz w:val="20"/>
        </w:rPr>
        <w:t>PROCEDIMIENTO</w:t>
      </w:r>
    </w:p>
    <w:p>
      <w:pPr>
        <w:spacing w:line="264" w:lineRule="auto" w:before="142"/>
        <w:ind w:left="152" w:right="151" w:firstLine="0"/>
        <w:jc w:val="both"/>
        <w:rPr>
          <w:sz w:val="20"/>
        </w:rPr>
      </w:pPr>
      <w:r>
        <w:rPr>
          <w:sz w:val="20"/>
        </w:rPr>
        <w:t>En un crisol tarado, a peso constante, se colocan 3 gramos de la muestra comprimiéndolos lo máximo,</w:t>
      </w:r>
      <w:r>
        <w:rPr>
          <w:spacing w:val="-5"/>
          <w:sz w:val="20"/>
        </w:rPr>
        <w:t> </w:t>
      </w:r>
      <w:r>
        <w:rPr>
          <w:sz w:val="20"/>
        </w:rPr>
        <w:t>se</w:t>
      </w:r>
      <w:r>
        <w:rPr>
          <w:spacing w:val="-5"/>
          <w:sz w:val="20"/>
        </w:rPr>
        <w:t> </w:t>
      </w:r>
      <w:r>
        <w:rPr>
          <w:sz w:val="20"/>
        </w:rPr>
        <w:t>calienta</w:t>
      </w:r>
      <w:r>
        <w:rPr>
          <w:spacing w:val="-4"/>
          <w:sz w:val="20"/>
        </w:rPr>
        <w:t> </w:t>
      </w:r>
      <w:r>
        <w:rPr>
          <w:sz w:val="20"/>
        </w:rPr>
        <w:t>el</w:t>
      </w:r>
      <w:r>
        <w:rPr>
          <w:spacing w:val="-5"/>
          <w:sz w:val="20"/>
        </w:rPr>
        <w:t> </w:t>
      </w:r>
      <w:r>
        <w:rPr>
          <w:sz w:val="20"/>
        </w:rPr>
        <w:t>crisol</w:t>
      </w:r>
      <w:r>
        <w:rPr>
          <w:spacing w:val="-5"/>
          <w:sz w:val="20"/>
        </w:rPr>
        <w:t> </w:t>
      </w:r>
      <w:r>
        <w:rPr>
          <w:sz w:val="20"/>
        </w:rPr>
        <w:t>en</w:t>
      </w:r>
      <w:r>
        <w:rPr>
          <w:spacing w:val="-3"/>
          <w:sz w:val="20"/>
        </w:rPr>
        <w:t> </w:t>
      </w:r>
      <w:r>
        <w:rPr>
          <w:sz w:val="20"/>
        </w:rPr>
        <w:t>un</w:t>
      </w:r>
      <w:r>
        <w:rPr>
          <w:spacing w:val="-3"/>
          <w:sz w:val="20"/>
        </w:rPr>
        <w:t> </w:t>
      </w:r>
      <w:r>
        <w:rPr>
          <w:sz w:val="20"/>
        </w:rPr>
        <w:t>mechero</w:t>
      </w:r>
      <w:r>
        <w:rPr>
          <w:spacing w:val="-5"/>
          <w:sz w:val="20"/>
        </w:rPr>
        <w:t> </w:t>
      </w:r>
      <w:r>
        <w:rPr>
          <w:sz w:val="20"/>
        </w:rPr>
        <w:t>hasta</w:t>
      </w:r>
      <w:r>
        <w:rPr>
          <w:spacing w:val="-4"/>
          <w:sz w:val="20"/>
        </w:rPr>
        <w:t> </w:t>
      </w:r>
      <w:r>
        <w:rPr>
          <w:sz w:val="20"/>
        </w:rPr>
        <w:t>que</w:t>
      </w:r>
      <w:r>
        <w:rPr>
          <w:spacing w:val="-1"/>
          <w:sz w:val="20"/>
        </w:rPr>
        <w:t> </w:t>
      </w:r>
      <w:r>
        <w:rPr>
          <w:sz w:val="20"/>
        </w:rPr>
        <w:t>la</w:t>
      </w:r>
      <w:r>
        <w:rPr>
          <w:spacing w:val="-5"/>
          <w:sz w:val="20"/>
        </w:rPr>
        <w:t> </w:t>
      </w:r>
      <w:r>
        <w:rPr>
          <w:sz w:val="20"/>
        </w:rPr>
        <w:t>materia</w:t>
      </w:r>
      <w:r>
        <w:rPr>
          <w:spacing w:val="-3"/>
          <w:sz w:val="20"/>
        </w:rPr>
        <w:t> </w:t>
      </w:r>
      <w:r>
        <w:rPr>
          <w:sz w:val="20"/>
        </w:rPr>
        <w:t>se</w:t>
      </w:r>
      <w:r>
        <w:rPr>
          <w:spacing w:val="-3"/>
          <w:sz w:val="20"/>
        </w:rPr>
        <w:t> </w:t>
      </w:r>
      <w:r>
        <w:rPr>
          <w:sz w:val="20"/>
        </w:rPr>
        <w:t>calcine,</w:t>
      </w:r>
      <w:r>
        <w:rPr>
          <w:spacing w:val="-3"/>
          <w:sz w:val="20"/>
        </w:rPr>
        <w:t> </w:t>
      </w:r>
      <w:r>
        <w:rPr>
          <w:sz w:val="20"/>
        </w:rPr>
        <w:t>a</w:t>
      </w:r>
      <w:r>
        <w:rPr>
          <w:spacing w:val="-3"/>
          <w:sz w:val="20"/>
        </w:rPr>
        <w:t> </w:t>
      </w:r>
      <w:r>
        <w:rPr>
          <w:sz w:val="20"/>
        </w:rPr>
        <w:t>continuación</w:t>
      </w:r>
      <w:r>
        <w:rPr>
          <w:spacing w:val="-5"/>
          <w:sz w:val="20"/>
        </w:rPr>
        <w:t> </w:t>
      </w:r>
      <w:r>
        <w:rPr>
          <w:sz w:val="20"/>
        </w:rPr>
        <w:t>se</w:t>
      </w:r>
      <w:r>
        <w:rPr>
          <w:spacing w:val="-3"/>
          <w:sz w:val="20"/>
        </w:rPr>
        <w:t> </w:t>
      </w:r>
      <w:r>
        <w:rPr>
          <w:sz w:val="20"/>
        </w:rPr>
        <w:t>pasa a</w:t>
      </w:r>
      <w:r>
        <w:rPr>
          <w:spacing w:val="-3"/>
          <w:sz w:val="20"/>
        </w:rPr>
        <w:t> </w:t>
      </w:r>
      <w:r>
        <w:rPr>
          <w:sz w:val="20"/>
        </w:rPr>
        <w:t>la</w:t>
      </w:r>
      <w:r>
        <w:rPr>
          <w:spacing w:val="-3"/>
          <w:sz w:val="20"/>
        </w:rPr>
        <w:t> </w:t>
      </w:r>
      <w:r>
        <w:rPr>
          <w:sz w:val="20"/>
        </w:rPr>
        <w:t>mufla</w:t>
      </w:r>
      <w:r>
        <w:rPr>
          <w:spacing w:val="-3"/>
          <w:sz w:val="20"/>
        </w:rPr>
        <w:t> </w:t>
      </w:r>
      <w:r>
        <w:rPr>
          <w:sz w:val="20"/>
        </w:rPr>
        <w:t>por</w:t>
      </w:r>
      <w:r>
        <w:rPr>
          <w:spacing w:val="-3"/>
          <w:sz w:val="20"/>
        </w:rPr>
        <w:t> </w:t>
      </w:r>
      <w:r>
        <w:rPr>
          <w:sz w:val="20"/>
        </w:rPr>
        <w:t>2</w:t>
      </w:r>
      <w:r>
        <w:rPr>
          <w:spacing w:val="-3"/>
          <w:sz w:val="20"/>
        </w:rPr>
        <w:t> </w:t>
      </w:r>
      <w:r>
        <w:rPr>
          <w:sz w:val="20"/>
        </w:rPr>
        <w:t>horas</w:t>
      </w:r>
      <w:r>
        <w:rPr>
          <w:spacing w:val="-2"/>
          <w:sz w:val="20"/>
        </w:rPr>
        <w:t> </w:t>
      </w:r>
      <w:r>
        <w:rPr>
          <w:sz w:val="20"/>
        </w:rPr>
        <w:t>a</w:t>
      </w:r>
      <w:r>
        <w:rPr>
          <w:spacing w:val="-3"/>
          <w:sz w:val="20"/>
        </w:rPr>
        <w:t> </w:t>
      </w:r>
      <w:r>
        <w:rPr>
          <w:sz w:val="20"/>
        </w:rPr>
        <w:t>823</w:t>
      </w:r>
      <w:r>
        <w:rPr>
          <w:spacing w:val="-3"/>
          <w:sz w:val="20"/>
        </w:rPr>
        <w:t> </w:t>
      </w:r>
      <w:r>
        <w:rPr>
          <w:sz w:val="20"/>
        </w:rPr>
        <w:t>K</w:t>
      </w:r>
      <w:r>
        <w:rPr>
          <w:spacing w:val="-4"/>
          <w:sz w:val="20"/>
        </w:rPr>
        <w:t> </w:t>
      </w:r>
      <w:r>
        <w:rPr>
          <w:sz w:val="20"/>
        </w:rPr>
        <w:t>(550ºC),</w:t>
      </w:r>
      <w:r>
        <w:rPr>
          <w:spacing w:val="-3"/>
          <w:sz w:val="20"/>
        </w:rPr>
        <w:t> </w:t>
      </w:r>
      <w:r>
        <w:rPr>
          <w:sz w:val="20"/>
        </w:rPr>
        <w:t>una</w:t>
      </w:r>
      <w:r>
        <w:rPr>
          <w:spacing w:val="-3"/>
          <w:sz w:val="20"/>
        </w:rPr>
        <w:t> </w:t>
      </w:r>
      <w:r>
        <w:rPr>
          <w:sz w:val="20"/>
        </w:rPr>
        <w:t>vez</w:t>
      </w:r>
      <w:r>
        <w:rPr>
          <w:spacing w:val="-4"/>
          <w:sz w:val="20"/>
        </w:rPr>
        <w:t> </w:t>
      </w:r>
      <w:r>
        <w:rPr>
          <w:sz w:val="20"/>
        </w:rPr>
        <w:t>concluido</w:t>
      </w:r>
      <w:r>
        <w:rPr>
          <w:spacing w:val="-3"/>
          <w:sz w:val="20"/>
        </w:rPr>
        <w:t> </w:t>
      </w:r>
      <w:r>
        <w:rPr>
          <w:sz w:val="20"/>
        </w:rPr>
        <w:t>el</w:t>
      </w:r>
      <w:r>
        <w:rPr>
          <w:spacing w:val="1"/>
          <w:sz w:val="20"/>
        </w:rPr>
        <w:t> </w:t>
      </w:r>
      <w:r>
        <w:rPr>
          <w:sz w:val="20"/>
        </w:rPr>
        <w:t>tiempo,</w:t>
      </w:r>
      <w:r>
        <w:rPr>
          <w:spacing w:val="-3"/>
          <w:sz w:val="20"/>
        </w:rPr>
        <w:t> </w:t>
      </w:r>
      <w:r>
        <w:rPr>
          <w:sz w:val="20"/>
        </w:rPr>
        <w:t>se</w:t>
      </w:r>
      <w:r>
        <w:rPr>
          <w:spacing w:val="-3"/>
          <w:sz w:val="20"/>
        </w:rPr>
        <w:t> </w:t>
      </w:r>
      <w:r>
        <w:rPr>
          <w:sz w:val="20"/>
        </w:rPr>
        <w:t>pasa</w:t>
      </w:r>
      <w:r>
        <w:rPr>
          <w:spacing w:val="-3"/>
          <w:sz w:val="20"/>
        </w:rPr>
        <w:t> </w:t>
      </w:r>
      <w:r>
        <w:rPr>
          <w:sz w:val="20"/>
        </w:rPr>
        <w:t>al</w:t>
      </w:r>
      <w:r>
        <w:rPr>
          <w:spacing w:val="-4"/>
          <w:sz w:val="20"/>
        </w:rPr>
        <w:t> </w:t>
      </w:r>
      <w:r>
        <w:rPr>
          <w:sz w:val="20"/>
        </w:rPr>
        <w:t>desecador</w:t>
      </w:r>
      <w:r>
        <w:rPr>
          <w:spacing w:val="-3"/>
          <w:sz w:val="20"/>
        </w:rPr>
        <w:t> </w:t>
      </w:r>
      <w:r>
        <w:rPr>
          <w:sz w:val="20"/>
        </w:rPr>
        <w:t>para que enfríe y cuando está a temperatura ambiente se</w:t>
      </w:r>
      <w:r>
        <w:rPr>
          <w:spacing w:val="-18"/>
          <w:sz w:val="20"/>
        </w:rPr>
        <w:t> </w:t>
      </w:r>
      <w:r>
        <w:rPr>
          <w:sz w:val="20"/>
        </w:rPr>
        <w:t>pesa.</w:t>
      </w:r>
    </w:p>
    <w:p>
      <w:pPr>
        <w:pStyle w:val="ListParagraph"/>
        <w:numPr>
          <w:ilvl w:val="0"/>
          <w:numId w:val="21"/>
        </w:numPr>
        <w:tabs>
          <w:tab w:pos="374" w:val="left" w:leader="none"/>
        </w:tabs>
        <w:spacing w:line="240" w:lineRule="auto" w:before="119" w:after="0"/>
        <w:ind w:left="373" w:right="0" w:hanging="221"/>
        <w:jc w:val="both"/>
        <w:rPr>
          <w:sz w:val="20"/>
        </w:rPr>
      </w:pPr>
      <w:r>
        <w:rPr>
          <w:sz w:val="20"/>
        </w:rPr>
        <w:t>CÁLCULOS Y</w:t>
      </w:r>
      <w:r>
        <w:rPr>
          <w:spacing w:val="-4"/>
          <w:sz w:val="20"/>
        </w:rPr>
        <w:t> </w:t>
      </w:r>
      <w:r>
        <w:rPr>
          <w:sz w:val="20"/>
        </w:rPr>
        <w:t>RESULTADOS</w:t>
      </w:r>
    </w:p>
    <w:p>
      <w:pPr>
        <w:tabs>
          <w:tab w:pos="3035" w:val="left" w:leader="none"/>
        </w:tabs>
        <w:spacing w:line="391" w:lineRule="auto" w:before="142"/>
        <w:ind w:left="152" w:right="4031" w:firstLine="0"/>
        <w:jc w:val="left"/>
        <w:rPr>
          <w:sz w:val="20"/>
        </w:rPr>
      </w:pPr>
      <w:r>
        <w:rPr>
          <w:sz w:val="20"/>
        </w:rPr>
        <w:t>La cantidad de cenizas se calcula de la siguiente</w:t>
      </w:r>
      <w:r>
        <w:rPr>
          <w:spacing w:val="-17"/>
          <w:sz w:val="20"/>
        </w:rPr>
        <w:t> </w:t>
      </w:r>
      <w:r>
        <w:rPr>
          <w:sz w:val="20"/>
        </w:rPr>
        <w:t>forma: C =  (P1  -  P2)</w:t>
      </w:r>
      <w:r>
        <w:rPr>
          <w:spacing w:val="46"/>
          <w:sz w:val="20"/>
        </w:rPr>
        <w:t> </w:t>
      </w:r>
      <w:r>
        <w:rPr>
          <w:sz w:val="20"/>
        </w:rPr>
        <w:t>x  100</w:t>
        <w:tab/>
        <w:t>P</w:t>
      </w:r>
    </w:p>
    <w:p>
      <w:pPr>
        <w:spacing w:line="266" w:lineRule="auto" w:before="1"/>
        <w:ind w:left="152" w:right="154" w:firstLine="0"/>
        <w:jc w:val="left"/>
        <w:rPr>
          <w:sz w:val="20"/>
        </w:rPr>
      </w:pPr>
      <w:r>
        <w:rPr>
          <w:sz w:val="20"/>
        </w:rPr>
        <w:t>C = Contenido de cenizas en por ciento. P1 = Peso del crisol más muestra en gramos. P2 = Peso del crisol más cenizas en gramos. P = Peso de la muestra en gramos.</w:t>
      </w:r>
    </w:p>
    <w:p>
      <w:pPr>
        <w:pStyle w:val="ListParagraph"/>
        <w:numPr>
          <w:ilvl w:val="0"/>
          <w:numId w:val="21"/>
        </w:numPr>
        <w:tabs>
          <w:tab w:pos="374" w:val="left" w:leader="none"/>
        </w:tabs>
        <w:spacing w:line="240" w:lineRule="auto" w:before="117" w:after="0"/>
        <w:ind w:left="373" w:right="0" w:hanging="221"/>
        <w:jc w:val="both"/>
        <w:rPr>
          <w:sz w:val="20"/>
        </w:rPr>
      </w:pPr>
      <w:r>
        <w:rPr>
          <w:sz w:val="20"/>
        </w:rPr>
        <w:t>REPETIBILIDAD DEL</w:t>
      </w:r>
      <w:r>
        <w:rPr>
          <w:spacing w:val="-5"/>
          <w:sz w:val="20"/>
        </w:rPr>
        <w:t> </w:t>
      </w:r>
      <w:r>
        <w:rPr>
          <w:sz w:val="20"/>
        </w:rPr>
        <w:t>MÉTODO</w:t>
      </w:r>
    </w:p>
    <w:p>
      <w:pPr>
        <w:spacing w:line="266" w:lineRule="auto" w:before="142"/>
        <w:ind w:left="152" w:right="152" w:firstLine="0"/>
        <w:jc w:val="left"/>
        <w:rPr>
          <w:sz w:val="20"/>
        </w:rPr>
      </w:pPr>
      <w:r>
        <w:rPr>
          <w:sz w:val="20"/>
        </w:rPr>
        <w:t>La diferencia máxima permisible para la determinación efectuada por duplicado, no debe ser mayor de 0.5 % en caso contrario repetir las determinaciones.</w:t>
      </w:r>
    </w:p>
    <w:p>
      <w:pPr>
        <w:pStyle w:val="ListParagraph"/>
        <w:numPr>
          <w:ilvl w:val="0"/>
          <w:numId w:val="21"/>
        </w:numPr>
        <w:tabs>
          <w:tab w:pos="374" w:val="left" w:leader="none"/>
        </w:tabs>
        <w:spacing w:line="240" w:lineRule="auto" w:before="117" w:after="0"/>
        <w:ind w:left="373" w:right="0" w:hanging="221"/>
        <w:jc w:val="both"/>
        <w:rPr>
          <w:sz w:val="20"/>
        </w:rPr>
      </w:pPr>
      <w:r>
        <w:rPr>
          <w:sz w:val="20"/>
        </w:rPr>
        <w:t>BIBLIOGRAFÍA</w:t>
      </w:r>
    </w:p>
    <w:p>
      <w:pPr>
        <w:spacing w:line="360" w:lineRule="auto" w:before="144"/>
        <w:ind w:left="152" w:right="150" w:firstLine="0"/>
        <w:jc w:val="both"/>
        <w:rPr>
          <w:sz w:val="20"/>
        </w:rPr>
      </w:pPr>
      <w:r>
        <w:rPr>
          <w:sz w:val="20"/>
        </w:rPr>
        <w:t>Woodman. Análisis de Alimentos. 4ª Edición, 1959. IRAM 14014. Método de determinación de la humedad y residuo seco. NMX-Z-13-1977. Guía para la redacción estructuración y presentación de las Normas Mexicanas.</w:t>
      </w:r>
    </w:p>
    <w:p>
      <w:pPr>
        <w:spacing w:after="0" w:line="360" w:lineRule="auto"/>
        <w:jc w:val="both"/>
        <w:rPr>
          <w:sz w:val="20"/>
        </w:rPr>
        <w:sectPr>
          <w:pgSz w:w="12240" w:h="15840"/>
          <w:pgMar w:header="728" w:footer="710" w:top="1200" w:bottom="900" w:left="1720" w:right="1380"/>
        </w:sectPr>
      </w:pPr>
    </w:p>
    <w:p>
      <w:pPr>
        <w:pStyle w:val="BodyText"/>
        <w:rPr>
          <w:sz w:val="20"/>
        </w:rPr>
      </w:pPr>
    </w:p>
    <w:p>
      <w:pPr>
        <w:pStyle w:val="BodyText"/>
        <w:spacing w:before="3"/>
        <w:rPr>
          <w:sz w:val="27"/>
        </w:rPr>
      </w:pPr>
    </w:p>
    <w:p>
      <w:pPr>
        <w:pStyle w:val="Heading2"/>
        <w:spacing w:line="360" w:lineRule="auto" w:before="69"/>
        <w:ind w:left="152" w:right="145"/>
        <w:jc w:val="both"/>
      </w:pPr>
      <w:r>
        <w:rPr/>
        <w:t>Anexo</w:t>
      </w:r>
      <w:r>
        <w:rPr>
          <w:spacing w:val="-8"/>
        </w:rPr>
        <w:t> </w:t>
      </w:r>
      <w:r>
        <w:rPr/>
        <w:t>11:</w:t>
      </w:r>
      <w:r>
        <w:rPr>
          <w:spacing w:val="-8"/>
        </w:rPr>
        <w:t> </w:t>
      </w:r>
      <w:r>
        <w:rPr/>
        <w:t>DETERMINACIÓN</w:t>
      </w:r>
      <w:r>
        <w:rPr>
          <w:spacing w:val="-8"/>
        </w:rPr>
        <w:t> </w:t>
      </w:r>
      <w:r>
        <w:rPr/>
        <w:t>DE</w:t>
      </w:r>
      <w:r>
        <w:rPr>
          <w:spacing w:val="-8"/>
        </w:rPr>
        <w:t> </w:t>
      </w:r>
      <w:r>
        <w:rPr/>
        <w:t>NaCl</w:t>
      </w:r>
      <w:r>
        <w:rPr>
          <w:spacing w:val="-7"/>
        </w:rPr>
        <w:t> </w:t>
      </w:r>
      <w:r>
        <w:rPr/>
        <w:t>EN</w:t>
      </w:r>
      <w:r>
        <w:rPr>
          <w:spacing w:val="-8"/>
        </w:rPr>
        <w:t> </w:t>
      </w:r>
      <w:r>
        <w:rPr/>
        <w:t>QUESO</w:t>
      </w:r>
      <w:r>
        <w:rPr>
          <w:spacing w:val="-7"/>
        </w:rPr>
        <w:t> </w:t>
      </w:r>
      <w:r>
        <w:rPr/>
        <w:t>FRESCO</w:t>
      </w:r>
      <w:r>
        <w:rPr>
          <w:spacing w:val="-10"/>
        </w:rPr>
        <w:t> </w:t>
      </w:r>
      <w:r>
        <w:rPr/>
        <w:t>NMX-F-360-S-1981. ALIMENTOS PARA HUMANOS. DETERMINACIÓN DE CLORUROS COMO CLORURO DE SODIO (MÉTODO DE VOLHARD). FOODS FOR HUMANS. DETERMINATION OF CHLORIDES </w:t>
      </w:r>
      <w:r>
        <w:rPr>
          <w:spacing w:val="-3"/>
        </w:rPr>
        <w:t>AS </w:t>
      </w:r>
      <w:r>
        <w:rPr/>
        <w:t>SODIUM CHLORIDE (VOLHARD METHOD). NORMAS MEXICANAS. DIRECCIÓN GENERAL DE</w:t>
      </w:r>
      <w:r>
        <w:rPr>
          <w:spacing w:val="-21"/>
        </w:rPr>
        <w:t> </w:t>
      </w:r>
      <w:r>
        <w:rPr/>
        <w:t>NORMAS.</w:t>
      </w:r>
    </w:p>
    <w:p>
      <w:pPr>
        <w:pStyle w:val="BodyText"/>
        <w:spacing w:before="2"/>
        <w:rPr>
          <w:b/>
          <w:sz w:val="30"/>
        </w:rPr>
      </w:pPr>
    </w:p>
    <w:p>
      <w:pPr>
        <w:spacing w:before="0"/>
        <w:ind w:left="152" w:right="0" w:firstLine="0"/>
        <w:jc w:val="both"/>
        <w:rPr>
          <w:sz w:val="20"/>
        </w:rPr>
      </w:pPr>
      <w:r>
        <w:rPr>
          <w:sz w:val="20"/>
        </w:rPr>
        <w:t>PREFACIO</w:t>
      </w:r>
    </w:p>
    <w:p>
      <w:pPr>
        <w:spacing w:line="357" w:lineRule="auto" w:before="116"/>
        <w:ind w:left="152" w:right="2208" w:firstLine="0"/>
        <w:jc w:val="left"/>
        <w:rPr>
          <w:sz w:val="20"/>
        </w:rPr>
      </w:pPr>
      <w:r>
        <w:rPr>
          <w:sz w:val="20"/>
        </w:rPr>
        <w:t>En la elaboración de esta Norma participaron los siguientes Organismos: Subsecretaria de Salubridad.</w:t>
      </w:r>
    </w:p>
    <w:p>
      <w:pPr>
        <w:spacing w:line="360" w:lineRule="auto" w:before="6"/>
        <w:ind w:left="152" w:right="4143" w:firstLine="0"/>
        <w:jc w:val="left"/>
        <w:rPr>
          <w:sz w:val="20"/>
        </w:rPr>
      </w:pPr>
      <w:r>
        <w:rPr>
          <w:sz w:val="20"/>
        </w:rPr>
        <w:t>Dirección General de Laboratorios de Salud Pública. Ernesto Ibarra y Cía., S.A.</w:t>
      </w:r>
    </w:p>
    <w:p>
      <w:pPr>
        <w:pStyle w:val="BodyText"/>
        <w:rPr>
          <w:sz w:val="20"/>
        </w:rPr>
      </w:pPr>
    </w:p>
    <w:p>
      <w:pPr>
        <w:pStyle w:val="ListParagraph"/>
        <w:numPr>
          <w:ilvl w:val="0"/>
          <w:numId w:val="23"/>
        </w:numPr>
        <w:tabs>
          <w:tab w:pos="374" w:val="left" w:leader="none"/>
        </w:tabs>
        <w:spacing w:line="240" w:lineRule="auto" w:before="117" w:after="0"/>
        <w:ind w:left="373" w:right="0" w:hanging="221"/>
        <w:jc w:val="both"/>
        <w:rPr>
          <w:sz w:val="20"/>
        </w:rPr>
      </w:pPr>
      <w:r>
        <w:rPr>
          <w:sz w:val="20"/>
        </w:rPr>
        <w:t>OBJETIVO Y CAMPO DE</w:t>
      </w:r>
      <w:r>
        <w:rPr>
          <w:spacing w:val="-8"/>
          <w:sz w:val="20"/>
        </w:rPr>
        <w:t> </w:t>
      </w:r>
      <w:r>
        <w:rPr>
          <w:sz w:val="20"/>
        </w:rPr>
        <w:t>APLICACIÓN</w:t>
      </w:r>
    </w:p>
    <w:p>
      <w:pPr>
        <w:spacing w:line="360" w:lineRule="auto" w:before="115"/>
        <w:ind w:left="152" w:right="154" w:firstLine="0"/>
        <w:jc w:val="left"/>
        <w:rPr>
          <w:sz w:val="20"/>
        </w:rPr>
      </w:pPr>
      <w:r>
        <w:rPr>
          <w:sz w:val="20"/>
        </w:rPr>
        <w:t>La presente Norma Mexicana establece el procedimiento para la determinación de cloruros, expresados como cloruro de sodio, por el método de Volhard.</w:t>
      </w:r>
    </w:p>
    <w:p>
      <w:pPr>
        <w:pStyle w:val="ListParagraph"/>
        <w:numPr>
          <w:ilvl w:val="0"/>
          <w:numId w:val="23"/>
        </w:numPr>
        <w:tabs>
          <w:tab w:pos="429" w:val="left" w:leader="none"/>
        </w:tabs>
        <w:spacing w:line="240" w:lineRule="auto" w:before="4" w:after="0"/>
        <w:ind w:left="428" w:right="0" w:hanging="276"/>
        <w:jc w:val="both"/>
        <w:rPr>
          <w:sz w:val="20"/>
        </w:rPr>
      </w:pPr>
      <w:r>
        <w:rPr>
          <w:sz w:val="20"/>
        </w:rPr>
        <w:t>REFERENCIAS</w:t>
      </w:r>
    </w:p>
    <w:p>
      <w:pPr>
        <w:spacing w:line="360" w:lineRule="auto" w:before="113"/>
        <w:ind w:left="152" w:right="154" w:firstLine="0"/>
        <w:jc w:val="left"/>
        <w:rPr>
          <w:sz w:val="20"/>
        </w:rPr>
      </w:pPr>
      <w:r>
        <w:rPr>
          <w:sz w:val="20"/>
        </w:rPr>
        <w:t>Esta Norma se complementa con la siguiente Norma Mexicana vigente: NMX-F-066-S Alimentos para humanos - Determinación de cenizas. (Determinación de cenizas en alimentos).</w:t>
      </w:r>
    </w:p>
    <w:p>
      <w:pPr>
        <w:pStyle w:val="ListParagraph"/>
        <w:numPr>
          <w:ilvl w:val="0"/>
          <w:numId w:val="23"/>
        </w:numPr>
        <w:tabs>
          <w:tab w:pos="374" w:val="left" w:leader="none"/>
        </w:tabs>
        <w:spacing w:line="240" w:lineRule="auto" w:before="4" w:after="0"/>
        <w:ind w:left="373" w:right="0" w:hanging="221"/>
        <w:jc w:val="both"/>
        <w:rPr>
          <w:sz w:val="20"/>
        </w:rPr>
      </w:pPr>
      <w:r>
        <w:rPr>
          <w:sz w:val="20"/>
        </w:rPr>
        <w:t>FUNDAMENTO</w:t>
      </w:r>
    </w:p>
    <w:p>
      <w:pPr>
        <w:spacing w:line="360" w:lineRule="auto" w:before="115"/>
        <w:ind w:left="152" w:right="152" w:firstLine="0"/>
        <w:jc w:val="both"/>
        <w:rPr>
          <w:sz w:val="20"/>
        </w:rPr>
      </w:pPr>
      <w:r>
        <w:rPr>
          <w:sz w:val="20"/>
        </w:rPr>
        <w:t>Se basa en la determinación indirecta para cloruros, en que se añade un exceso de nitrato de plata con respecto a la cantidad de cloruros presente. El exceso de ion plata se valora por retroceso con solución de tiocianato de potasio o amonio y sulfato férrico como indicador según el método de Volhard.</w:t>
      </w:r>
    </w:p>
    <w:p>
      <w:pPr>
        <w:pStyle w:val="ListParagraph"/>
        <w:numPr>
          <w:ilvl w:val="0"/>
          <w:numId w:val="23"/>
        </w:numPr>
        <w:tabs>
          <w:tab w:pos="429" w:val="left" w:leader="none"/>
        </w:tabs>
        <w:spacing w:line="240" w:lineRule="auto" w:before="4" w:after="0"/>
        <w:ind w:left="428" w:right="0" w:hanging="276"/>
        <w:jc w:val="both"/>
        <w:rPr>
          <w:sz w:val="20"/>
        </w:rPr>
      </w:pPr>
      <w:r>
        <w:rPr>
          <w:sz w:val="20"/>
        </w:rPr>
        <w:t>REACTIVOS Y</w:t>
      </w:r>
      <w:r>
        <w:rPr>
          <w:spacing w:val="-6"/>
          <w:sz w:val="20"/>
        </w:rPr>
        <w:t> </w:t>
      </w:r>
      <w:r>
        <w:rPr>
          <w:sz w:val="20"/>
        </w:rPr>
        <w:t>MATERIALES</w:t>
      </w:r>
    </w:p>
    <w:p>
      <w:pPr>
        <w:pStyle w:val="ListParagraph"/>
        <w:numPr>
          <w:ilvl w:val="1"/>
          <w:numId w:val="23"/>
        </w:numPr>
        <w:tabs>
          <w:tab w:pos="484" w:val="left" w:leader="none"/>
        </w:tabs>
        <w:spacing w:line="240" w:lineRule="auto" w:before="113" w:after="0"/>
        <w:ind w:left="483" w:right="0" w:hanging="331"/>
        <w:jc w:val="both"/>
        <w:rPr>
          <w:sz w:val="20"/>
        </w:rPr>
      </w:pPr>
      <w:r>
        <w:rPr>
          <w:sz w:val="20"/>
        </w:rPr>
        <w:t>Reactivos</w:t>
      </w:r>
    </w:p>
    <w:p>
      <w:pPr>
        <w:spacing w:line="362" w:lineRule="auto" w:before="115"/>
        <w:ind w:left="152" w:right="154" w:firstLine="0"/>
        <w:jc w:val="left"/>
        <w:rPr>
          <w:sz w:val="20"/>
        </w:rPr>
      </w:pPr>
      <w:r>
        <w:rPr>
          <w:sz w:val="20"/>
        </w:rPr>
        <w:t>Los reactivos que a continuación se indican deben ser grado analítico; cuando se mencione agua debe entenderse agua destilada.</w:t>
      </w:r>
    </w:p>
    <w:p>
      <w:pPr>
        <w:pStyle w:val="ListParagraph"/>
        <w:numPr>
          <w:ilvl w:val="2"/>
          <w:numId w:val="23"/>
        </w:numPr>
        <w:tabs>
          <w:tab w:pos="652" w:val="left" w:leader="none"/>
        </w:tabs>
        <w:spacing w:line="229" w:lineRule="exact" w:before="0" w:after="0"/>
        <w:ind w:left="651" w:right="0" w:hanging="499"/>
        <w:jc w:val="both"/>
        <w:rPr>
          <w:sz w:val="20"/>
        </w:rPr>
      </w:pPr>
      <w:r>
        <w:rPr>
          <w:position w:val="1"/>
          <w:sz w:val="20"/>
        </w:rPr>
        <w:t>Solución de nitrato de plata (AgNO</w:t>
      </w:r>
      <w:r>
        <w:rPr>
          <w:sz w:val="13"/>
        </w:rPr>
        <w:t>3</w:t>
      </w:r>
      <w:r>
        <w:rPr>
          <w:position w:val="1"/>
          <w:sz w:val="20"/>
        </w:rPr>
        <w:t>), 0.1</w:t>
      </w:r>
      <w:r>
        <w:rPr>
          <w:spacing w:val="-12"/>
          <w:position w:val="1"/>
          <w:sz w:val="20"/>
        </w:rPr>
        <w:t> </w:t>
      </w:r>
      <w:r>
        <w:rPr>
          <w:position w:val="1"/>
          <w:sz w:val="20"/>
        </w:rPr>
        <w:t>N.</w:t>
      </w:r>
    </w:p>
    <w:p>
      <w:pPr>
        <w:pStyle w:val="ListParagraph"/>
        <w:numPr>
          <w:ilvl w:val="2"/>
          <w:numId w:val="23"/>
        </w:numPr>
        <w:tabs>
          <w:tab w:pos="652" w:val="left" w:leader="none"/>
        </w:tabs>
        <w:spacing w:line="240" w:lineRule="auto" w:before="115" w:after="0"/>
        <w:ind w:left="651" w:right="0" w:hanging="499"/>
        <w:jc w:val="both"/>
        <w:rPr>
          <w:sz w:val="20"/>
        </w:rPr>
      </w:pPr>
      <w:r>
        <w:rPr>
          <w:position w:val="1"/>
          <w:sz w:val="20"/>
        </w:rPr>
        <w:t>Solución de tiocianato de potasio o de amonio (KCNS o NH</w:t>
      </w:r>
      <w:r>
        <w:rPr>
          <w:sz w:val="13"/>
        </w:rPr>
        <w:t>4</w:t>
      </w:r>
      <w:r>
        <w:rPr>
          <w:position w:val="1"/>
          <w:sz w:val="20"/>
        </w:rPr>
        <w:t>CNS),</w:t>
      </w:r>
      <w:r>
        <w:rPr>
          <w:spacing w:val="-16"/>
          <w:position w:val="1"/>
          <w:sz w:val="20"/>
        </w:rPr>
        <w:t> </w:t>
      </w:r>
      <w:r>
        <w:rPr>
          <w:position w:val="1"/>
          <w:sz w:val="20"/>
        </w:rPr>
        <w:t>0.1N.</w:t>
      </w:r>
    </w:p>
    <w:p>
      <w:pPr>
        <w:pStyle w:val="ListParagraph"/>
        <w:numPr>
          <w:ilvl w:val="2"/>
          <w:numId w:val="23"/>
        </w:numPr>
        <w:tabs>
          <w:tab w:pos="652" w:val="left" w:leader="none"/>
        </w:tabs>
        <w:spacing w:line="240" w:lineRule="auto" w:before="115" w:after="0"/>
        <w:ind w:left="651" w:right="0" w:hanging="499"/>
        <w:jc w:val="both"/>
        <w:rPr>
          <w:sz w:val="20"/>
        </w:rPr>
      </w:pPr>
      <w:r>
        <w:rPr>
          <w:position w:val="1"/>
          <w:sz w:val="20"/>
        </w:rPr>
        <w:t>Solución indicadora-sulfato férrico amónico FeNH 4 (SO</w:t>
      </w:r>
      <w:r>
        <w:rPr>
          <w:sz w:val="13"/>
        </w:rPr>
        <w:t>4</w:t>
      </w:r>
      <w:r>
        <w:rPr>
          <w:position w:val="1"/>
          <w:sz w:val="20"/>
        </w:rPr>
        <w:t>)</w:t>
      </w:r>
      <w:r>
        <w:rPr>
          <w:sz w:val="13"/>
        </w:rPr>
        <w:t>2</w:t>
      </w:r>
      <w:r>
        <w:rPr>
          <w:spacing w:val="1"/>
          <w:sz w:val="13"/>
        </w:rPr>
        <w:t> </w:t>
      </w:r>
      <w:r>
        <w:rPr>
          <w:position w:val="1"/>
          <w:sz w:val="20"/>
        </w:rPr>
        <w:t>.12H</w:t>
      </w:r>
      <w:r>
        <w:rPr>
          <w:sz w:val="13"/>
        </w:rPr>
        <w:t>2</w:t>
      </w:r>
      <w:r>
        <w:rPr>
          <w:position w:val="1"/>
          <w:sz w:val="20"/>
        </w:rPr>
        <w:t>O.</w:t>
      </w:r>
    </w:p>
    <w:p>
      <w:pPr>
        <w:pStyle w:val="ListParagraph"/>
        <w:numPr>
          <w:ilvl w:val="2"/>
          <w:numId w:val="23"/>
        </w:numPr>
        <w:tabs>
          <w:tab w:pos="652" w:val="left" w:leader="none"/>
        </w:tabs>
        <w:spacing w:line="240" w:lineRule="auto" w:before="116" w:after="0"/>
        <w:ind w:left="651" w:right="0" w:hanging="499"/>
        <w:jc w:val="both"/>
        <w:rPr>
          <w:sz w:val="20"/>
        </w:rPr>
      </w:pPr>
      <w:r>
        <w:rPr>
          <w:sz w:val="20"/>
        </w:rPr>
        <w:t>Acido nítrico</w:t>
      </w:r>
      <w:r>
        <w:rPr>
          <w:spacing w:val="-4"/>
          <w:sz w:val="20"/>
        </w:rPr>
        <w:t> </w:t>
      </w:r>
      <w:r>
        <w:rPr>
          <w:sz w:val="20"/>
        </w:rPr>
        <w:t>6N.</w:t>
      </w:r>
    </w:p>
    <w:p>
      <w:pPr>
        <w:pStyle w:val="ListParagraph"/>
        <w:numPr>
          <w:ilvl w:val="1"/>
          <w:numId w:val="23"/>
        </w:numPr>
        <w:tabs>
          <w:tab w:pos="484" w:val="left" w:leader="none"/>
        </w:tabs>
        <w:spacing w:line="240" w:lineRule="auto" w:before="113" w:after="0"/>
        <w:ind w:left="483" w:right="0" w:hanging="331"/>
        <w:jc w:val="both"/>
        <w:rPr>
          <w:sz w:val="20"/>
        </w:rPr>
      </w:pPr>
      <w:r>
        <w:rPr>
          <w:sz w:val="20"/>
        </w:rPr>
        <w:t>Materiales</w:t>
      </w:r>
    </w:p>
    <w:p>
      <w:pPr>
        <w:pStyle w:val="ListParagraph"/>
        <w:numPr>
          <w:ilvl w:val="2"/>
          <w:numId w:val="23"/>
        </w:numPr>
        <w:tabs>
          <w:tab w:pos="652" w:val="left" w:leader="none"/>
        </w:tabs>
        <w:spacing w:line="240" w:lineRule="auto" w:before="115" w:after="0"/>
        <w:ind w:left="651" w:right="0" w:hanging="499"/>
        <w:jc w:val="both"/>
        <w:rPr>
          <w:sz w:val="20"/>
        </w:rPr>
      </w:pPr>
      <w:r>
        <w:rPr>
          <w:sz w:val="20"/>
        </w:rPr>
        <w:t>Pipetas volumétricas de 5</w:t>
      </w:r>
      <w:r>
        <w:rPr>
          <w:spacing w:val="-6"/>
          <w:sz w:val="20"/>
        </w:rPr>
        <w:t> </w:t>
      </w:r>
      <w:r>
        <w:rPr>
          <w:sz w:val="20"/>
        </w:rPr>
        <w:t>cm</w:t>
      </w:r>
    </w:p>
    <w:p>
      <w:pPr>
        <w:pStyle w:val="ListParagraph"/>
        <w:numPr>
          <w:ilvl w:val="2"/>
          <w:numId w:val="23"/>
        </w:numPr>
        <w:tabs>
          <w:tab w:pos="652" w:val="left" w:leader="none"/>
        </w:tabs>
        <w:spacing w:line="240" w:lineRule="auto" w:before="115" w:after="0"/>
        <w:ind w:left="651" w:right="0" w:hanging="499"/>
        <w:jc w:val="both"/>
        <w:rPr>
          <w:sz w:val="20"/>
        </w:rPr>
      </w:pPr>
      <w:r>
        <w:rPr>
          <w:sz w:val="20"/>
        </w:rPr>
        <w:t>Buretas de 50</w:t>
      </w:r>
      <w:r>
        <w:rPr>
          <w:spacing w:val="-6"/>
          <w:sz w:val="20"/>
        </w:rPr>
        <w:t> </w:t>
      </w:r>
      <w:r>
        <w:rPr>
          <w:sz w:val="20"/>
        </w:rPr>
        <w:t>cm</w:t>
      </w:r>
    </w:p>
    <w:p>
      <w:pPr>
        <w:spacing w:after="0" w:line="240" w:lineRule="auto"/>
        <w:jc w:val="both"/>
        <w:rPr>
          <w:sz w:val="20"/>
        </w:rPr>
        <w:sectPr>
          <w:pgSz w:w="12240" w:h="15840"/>
          <w:pgMar w:header="728" w:footer="710" w:top="1200" w:bottom="900" w:left="1720" w:right="1380"/>
        </w:sectPr>
      </w:pPr>
    </w:p>
    <w:p>
      <w:pPr>
        <w:pStyle w:val="BodyText"/>
        <w:rPr>
          <w:sz w:val="20"/>
        </w:rPr>
      </w:pPr>
    </w:p>
    <w:p>
      <w:pPr>
        <w:pStyle w:val="BodyText"/>
        <w:spacing w:before="9"/>
        <w:rPr>
          <w:sz w:val="26"/>
        </w:rPr>
      </w:pPr>
    </w:p>
    <w:p>
      <w:pPr>
        <w:pStyle w:val="ListParagraph"/>
        <w:numPr>
          <w:ilvl w:val="2"/>
          <w:numId w:val="23"/>
        </w:numPr>
        <w:tabs>
          <w:tab w:pos="597" w:val="left" w:leader="none"/>
        </w:tabs>
        <w:spacing w:line="240" w:lineRule="auto" w:before="74" w:after="0"/>
        <w:ind w:left="596" w:right="0" w:hanging="444"/>
        <w:jc w:val="left"/>
        <w:rPr>
          <w:sz w:val="20"/>
        </w:rPr>
      </w:pPr>
      <w:r>
        <w:rPr>
          <w:sz w:val="20"/>
        </w:rPr>
        <w:t>Matraces Erlenmeyer de 250</w:t>
      </w:r>
      <w:r>
        <w:rPr>
          <w:spacing w:val="-13"/>
          <w:sz w:val="20"/>
        </w:rPr>
        <w:t> </w:t>
      </w:r>
      <w:r>
        <w:rPr>
          <w:sz w:val="20"/>
        </w:rPr>
        <w:t>cm</w:t>
      </w:r>
    </w:p>
    <w:p>
      <w:pPr>
        <w:pStyle w:val="ListParagraph"/>
        <w:numPr>
          <w:ilvl w:val="2"/>
          <w:numId w:val="23"/>
        </w:numPr>
        <w:tabs>
          <w:tab w:pos="652" w:val="left" w:leader="none"/>
        </w:tabs>
        <w:spacing w:line="240" w:lineRule="auto" w:before="115" w:after="0"/>
        <w:ind w:left="651" w:right="0" w:hanging="499"/>
        <w:jc w:val="left"/>
        <w:rPr>
          <w:sz w:val="20"/>
        </w:rPr>
      </w:pPr>
      <w:r>
        <w:rPr>
          <w:sz w:val="20"/>
        </w:rPr>
        <w:t>Material común de</w:t>
      </w:r>
      <w:r>
        <w:rPr>
          <w:spacing w:val="-5"/>
          <w:sz w:val="20"/>
        </w:rPr>
        <w:t> </w:t>
      </w:r>
      <w:r>
        <w:rPr>
          <w:sz w:val="20"/>
        </w:rPr>
        <w:t>laboratorio.</w:t>
      </w:r>
    </w:p>
    <w:p>
      <w:pPr>
        <w:pStyle w:val="BodyText"/>
        <w:rPr>
          <w:sz w:val="20"/>
        </w:rPr>
      </w:pPr>
    </w:p>
    <w:p>
      <w:pPr>
        <w:pStyle w:val="BodyText"/>
        <w:rPr>
          <w:sz w:val="20"/>
        </w:rPr>
      </w:pPr>
    </w:p>
    <w:p>
      <w:pPr>
        <w:pStyle w:val="BodyText"/>
        <w:spacing w:before="11"/>
        <w:rPr>
          <w:sz w:val="29"/>
        </w:rPr>
      </w:pPr>
    </w:p>
    <w:p>
      <w:pPr>
        <w:pStyle w:val="ListParagraph"/>
        <w:numPr>
          <w:ilvl w:val="0"/>
          <w:numId w:val="23"/>
        </w:numPr>
        <w:tabs>
          <w:tab w:pos="374" w:val="left" w:leader="none"/>
        </w:tabs>
        <w:spacing w:line="240" w:lineRule="auto" w:before="0" w:after="0"/>
        <w:ind w:left="373" w:right="0" w:hanging="221"/>
        <w:jc w:val="left"/>
        <w:rPr>
          <w:sz w:val="20"/>
        </w:rPr>
      </w:pPr>
      <w:r>
        <w:rPr>
          <w:sz w:val="20"/>
        </w:rPr>
        <w:t>APARATOS</w:t>
      </w:r>
    </w:p>
    <w:p>
      <w:pPr>
        <w:pStyle w:val="ListParagraph"/>
        <w:numPr>
          <w:ilvl w:val="1"/>
          <w:numId w:val="23"/>
        </w:numPr>
        <w:tabs>
          <w:tab w:pos="486" w:val="left" w:leader="none"/>
        </w:tabs>
        <w:spacing w:line="240" w:lineRule="auto" w:before="115" w:after="0"/>
        <w:ind w:left="485" w:right="0" w:hanging="333"/>
        <w:jc w:val="left"/>
        <w:rPr>
          <w:sz w:val="20"/>
        </w:rPr>
      </w:pPr>
      <w:r>
        <w:rPr>
          <w:sz w:val="20"/>
        </w:rPr>
        <w:t>Balanza analítica con ± 0.1 mg de</w:t>
      </w:r>
      <w:r>
        <w:rPr>
          <w:spacing w:val="-17"/>
          <w:sz w:val="20"/>
        </w:rPr>
        <w:t> </w:t>
      </w:r>
      <w:r>
        <w:rPr>
          <w:sz w:val="20"/>
        </w:rPr>
        <w:t>sensibilidad.</w:t>
      </w:r>
    </w:p>
    <w:p>
      <w:pPr>
        <w:pStyle w:val="ListParagraph"/>
        <w:numPr>
          <w:ilvl w:val="1"/>
          <w:numId w:val="23"/>
        </w:numPr>
        <w:tabs>
          <w:tab w:pos="486" w:val="left" w:leader="none"/>
        </w:tabs>
        <w:spacing w:line="240" w:lineRule="auto" w:before="113" w:after="0"/>
        <w:ind w:left="485" w:right="0" w:hanging="333"/>
        <w:jc w:val="left"/>
        <w:rPr>
          <w:sz w:val="20"/>
        </w:rPr>
      </w:pPr>
      <w:r>
        <w:rPr>
          <w:sz w:val="20"/>
        </w:rPr>
        <w:t>Placa caliente o baño de</w:t>
      </w:r>
      <w:r>
        <w:rPr>
          <w:spacing w:val="-12"/>
          <w:sz w:val="20"/>
        </w:rPr>
        <w:t> </w:t>
      </w:r>
      <w:r>
        <w:rPr>
          <w:sz w:val="20"/>
        </w:rPr>
        <w:t>arena.</w:t>
      </w:r>
    </w:p>
    <w:p>
      <w:pPr>
        <w:pStyle w:val="ListParagraph"/>
        <w:numPr>
          <w:ilvl w:val="0"/>
          <w:numId w:val="23"/>
        </w:numPr>
        <w:tabs>
          <w:tab w:pos="374" w:val="left" w:leader="none"/>
        </w:tabs>
        <w:spacing w:line="240" w:lineRule="auto" w:before="115" w:after="0"/>
        <w:ind w:left="373" w:right="0" w:hanging="221"/>
        <w:jc w:val="left"/>
        <w:rPr>
          <w:sz w:val="20"/>
        </w:rPr>
      </w:pPr>
      <w:r>
        <w:rPr>
          <w:sz w:val="20"/>
        </w:rPr>
        <w:t>MUESTRAS</w:t>
      </w:r>
    </w:p>
    <w:p>
      <w:pPr>
        <w:pStyle w:val="ListParagraph"/>
        <w:numPr>
          <w:ilvl w:val="1"/>
          <w:numId w:val="23"/>
        </w:numPr>
        <w:tabs>
          <w:tab w:pos="486" w:val="left" w:leader="none"/>
        </w:tabs>
        <w:spacing w:line="357" w:lineRule="auto" w:before="116" w:after="0"/>
        <w:ind w:left="152" w:right="1780" w:firstLine="0"/>
        <w:jc w:val="left"/>
        <w:rPr>
          <w:sz w:val="20"/>
        </w:rPr>
      </w:pPr>
      <w:r>
        <w:rPr>
          <w:sz w:val="20"/>
        </w:rPr>
        <w:t>A una muestra seca de 5 g determinarle cenizas totales, aplicando la NMX-F- 066-S (véase</w:t>
      </w:r>
      <w:r>
        <w:rPr>
          <w:spacing w:val="-11"/>
          <w:sz w:val="20"/>
        </w:rPr>
        <w:t> </w:t>
      </w:r>
      <w:r>
        <w:rPr>
          <w:sz w:val="20"/>
        </w:rPr>
        <w:t>2).</w:t>
      </w:r>
    </w:p>
    <w:p>
      <w:pPr>
        <w:pStyle w:val="ListParagraph"/>
        <w:numPr>
          <w:ilvl w:val="1"/>
          <w:numId w:val="23"/>
        </w:numPr>
        <w:tabs>
          <w:tab w:pos="496" w:val="left" w:leader="none"/>
        </w:tabs>
        <w:spacing w:line="360" w:lineRule="auto" w:before="6" w:after="0"/>
        <w:ind w:left="152" w:right="162" w:firstLine="0"/>
        <w:jc w:val="left"/>
        <w:rPr>
          <w:sz w:val="20"/>
        </w:rPr>
      </w:pPr>
      <w:r>
        <w:rPr>
          <w:sz w:val="20"/>
        </w:rPr>
        <w:t>Disolver las cenizas en ácido nítrico, filtrar, lavar y recibir en un matraz Erlenmeyer de 250 cm con</w:t>
      </w:r>
      <w:r>
        <w:rPr>
          <w:spacing w:val="-4"/>
          <w:sz w:val="20"/>
        </w:rPr>
        <w:t> </w:t>
      </w:r>
      <w:r>
        <w:rPr>
          <w:sz w:val="20"/>
        </w:rPr>
        <w:t>agua.</w:t>
      </w:r>
    </w:p>
    <w:p>
      <w:pPr>
        <w:spacing w:line="357" w:lineRule="auto" w:before="4"/>
        <w:ind w:left="152" w:right="154" w:firstLine="0"/>
        <w:jc w:val="left"/>
        <w:rPr>
          <w:sz w:val="20"/>
        </w:rPr>
      </w:pPr>
      <w:r>
        <w:rPr>
          <w:sz w:val="20"/>
        </w:rPr>
        <w:t>NOTA: En algunos productos puede no ser necesario partir de las cenizas, sino que podrán usarse directamente.</w:t>
      </w:r>
    </w:p>
    <w:p>
      <w:pPr>
        <w:pStyle w:val="ListParagraph"/>
        <w:numPr>
          <w:ilvl w:val="0"/>
          <w:numId w:val="23"/>
        </w:numPr>
        <w:tabs>
          <w:tab w:pos="374" w:val="left" w:leader="none"/>
        </w:tabs>
        <w:spacing w:line="240" w:lineRule="auto" w:before="6" w:after="0"/>
        <w:ind w:left="373" w:right="0" w:hanging="221"/>
        <w:jc w:val="left"/>
        <w:rPr>
          <w:sz w:val="20"/>
        </w:rPr>
      </w:pPr>
      <w:r>
        <w:rPr>
          <w:sz w:val="20"/>
        </w:rPr>
        <w:t>PROCEDIMIENTO</w:t>
      </w:r>
    </w:p>
    <w:p>
      <w:pPr>
        <w:pStyle w:val="ListParagraph"/>
        <w:numPr>
          <w:ilvl w:val="1"/>
          <w:numId w:val="23"/>
        </w:numPr>
        <w:tabs>
          <w:tab w:pos="520" w:val="left" w:leader="none"/>
        </w:tabs>
        <w:spacing w:line="360" w:lineRule="auto" w:before="115" w:after="0"/>
        <w:ind w:left="152" w:right="154" w:firstLine="0"/>
        <w:jc w:val="left"/>
        <w:rPr>
          <w:sz w:val="20"/>
        </w:rPr>
      </w:pPr>
      <w:r>
        <w:rPr>
          <w:sz w:val="20"/>
        </w:rPr>
        <w:t>A la muestra preparada en 6.2 agregarle solución de nitrato de plata con un ligero exceso conocido.</w:t>
      </w:r>
    </w:p>
    <w:p>
      <w:pPr>
        <w:pStyle w:val="ListParagraph"/>
        <w:numPr>
          <w:ilvl w:val="1"/>
          <w:numId w:val="23"/>
        </w:numPr>
        <w:tabs>
          <w:tab w:pos="484" w:val="left" w:leader="none"/>
        </w:tabs>
        <w:spacing w:line="360" w:lineRule="auto" w:before="1" w:after="0"/>
        <w:ind w:left="152" w:right="152" w:firstLine="0"/>
        <w:jc w:val="left"/>
        <w:rPr>
          <w:sz w:val="20"/>
        </w:rPr>
      </w:pPr>
      <w:r>
        <w:rPr>
          <w:sz w:val="20"/>
        </w:rPr>
        <w:t>A</w:t>
      </w:r>
      <w:r>
        <w:rPr>
          <w:spacing w:val="-4"/>
          <w:sz w:val="20"/>
        </w:rPr>
        <w:t> </w:t>
      </w:r>
      <w:r>
        <w:rPr>
          <w:sz w:val="20"/>
        </w:rPr>
        <w:t>la</w:t>
      </w:r>
      <w:r>
        <w:rPr>
          <w:spacing w:val="-6"/>
          <w:sz w:val="20"/>
        </w:rPr>
        <w:t> </w:t>
      </w:r>
      <w:r>
        <w:rPr>
          <w:sz w:val="20"/>
        </w:rPr>
        <w:t>combinación</w:t>
      </w:r>
      <w:r>
        <w:rPr>
          <w:spacing w:val="-4"/>
          <w:sz w:val="20"/>
        </w:rPr>
        <w:t> </w:t>
      </w:r>
      <w:r>
        <w:rPr>
          <w:sz w:val="20"/>
        </w:rPr>
        <w:t>de</w:t>
      </w:r>
      <w:r>
        <w:rPr>
          <w:spacing w:val="-4"/>
          <w:sz w:val="20"/>
        </w:rPr>
        <w:t> </w:t>
      </w:r>
      <w:r>
        <w:rPr>
          <w:sz w:val="20"/>
        </w:rPr>
        <w:t>los</w:t>
      </w:r>
      <w:r>
        <w:rPr>
          <w:spacing w:val="-2"/>
          <w:sz w:val="20"/>
        </w:rPr>
        <w:t> </w:t>
      </w:r>
      <w:r>
        <w:rPr>
          <w:sz w:val="20"/>
        </w:rPr>
        <w:t>filtrados y</w:t>
      </w:r>
      <w:r>
        <w:rPr>
          <w:spacing w:val="-6"/>
          <w:sz w:val="20"/>
        </w:rPr>
        <w:t> </w:t>
      </w:r>
      <w:r>
        <w:rPr>
          <w:sz w:val="20"/>
        </w:rPr>
        <w:t>lavados</w:t>
      </w:r>
      <w:r>
        <w:rPr>
          <w:spacing w:val="-4"/>
          <w:sz w:val="20"/>
        </w:rPr>
        <w:t> </w:t>
      </w:r>
      <w:r>
        <w:rPr>
          <w:sz w:val="20"/>
        </w:rPr>
        <w:t>adicionar</w:t>
      </w:r>
      <w:r>
        <w:rPr>
          <w:spacing w:val="-5"/>
          <w:sz w:val="20"/>
        </w:rPr>
        <w:t> </w:t>
      </w:r>
      <w:r>
        <w:rPr>
          <w:sz w:val="20"/>
        </w:rPr>
        <w:t>5</w:t>
      </w:r>
      <w:r>
        <w:rPr>
          <w:spacing w:val="-6"/>
          <w:sz w:val="20"/>
        </w:rPr>
        <w:t> </w:t>
      </w:r>
      <w:r>
        <w:rPr>
          <w:sz w:val="20"/>
        </w:rPr>
        <w:t>cm</w:t>
      </w:r>
      <w:r>
        <w:rPr>
          <w:spacing w:val="-1"/>
          <w:sz w:val="20"/>
        </w:rPr>
        <w:t> </w:t>
      </w:r>
      <w:r>
        <w:rPr>
          <w:sz w:val="20"/>
        </w:rPr>
        <w:t>del</w:t>
      </w:r>
      <w:r>
        <w:rPr>
          <w:spacing w:val="-6"/>
          <w:sz w:val="20"/>
        </w:rPr>
        <w:t> </w:t>
      </w:r>
      <w:r>
        <w:rPr>
          <w:sz w:val="20"/>
        </w:rPr>
        <w:t>indicador</w:t>
      </w:r>
      <w:r>
        <w:rPr>
          <w:spacing w:val="-5"/>
          <w:sz w:val="20"/>
        </w:rPr>
        <w:t> </w:t>
      </w:r>
      <w:r>
        <w:rPr>
          <w:sz w:val="20"/>
        </w:rPr>
        <w:t>sulfato</w:t>
      </w:r>
      <w:r>
        <w:rPr>
          <w:spacing w:val="-3"/>
          <w:sz w:val="20"/>
        </w:rPr>
        <w:t> </w:t>
      </w:r>
      <w:r>
        <w:rPr>
          <w:sz w:val="20"/>
        </w:rPr>
        <w:t>férrico</w:t>
      </w:r>
      <w:r>
        <w:rPr>
          <w:spacing w:val="-6"/>
          <w:sz w:val="20"/>
        </w:rPr>
        <w:t> </w:t>
      </w:r>
      <w:r>
        <w:rPr>
          <w:sz w:val="20"/>
        </w:rPr>
        <w:t>amónico</w:t>
      </w:r>
      <w:r>
        <w:rPr>
          <w:spacing w:val="-3"/>
          <w:sz w:val="20"/>
        </w:rPr>
        <w:t> </w:t>
      </w:r>
      <w:r>
        <w:rPr>
          <w:sz w:val="20"/>
        </w:rPr>
        <w:t>y pocos cm de ácido</w:t>
      </w:r>
      <w:r>
        <w:rPr>
          <w:spacing w:val="-7"/>
          <w:sz w:val="20"/>
        </w:rPr>
        <w:t> </w:t>
      </w:r>
      <w:r>
        <w:rPr>
          <w:sz w:val="20"/>
        </w:rPr>
        <w:t>nítrico.</w:t>
      </w:r>
    </w:p>
    <w:p>
      <w:pPr>
        <w:pStyle w:val="ListParagraph"/>
        <w:numPr>
          <w:ilvl w:val="1"/>
          <w:numId w:val="23"/>
        </w:numPr>
        <w:tabs>
          <w:tab w:pos="508" w:val="left" w:leader="none"/>
        </w:tabs>
        <w:spacing w:line="360" w:lineRule="auto" w:before="4" w:after="0"/>
        <w:ind w:left="152" w:right="155" w:firstLine="0"/>
        <w:jc w:val="left"/>
        <w:rPr>
          <w:sz w:val="20"/>
        </w:rPr>
      </w:pPr>
      <w:r>
        <w:rPr>
          <w:sz w:val="20"/>
        </w:rPr>
        <w:t>Titular el exceso de plata con solución de tiocianato de potasio o de amonio 0.1 N, hasta la aparición de un color café claro que sea permanente y</w:t>
      </w:r>
      <w:r>
        <w:rPr>
          <w:spacing w:val="-19"/>
          <w:sz w:val="20"/>
        </w:rPr>
        <w:t> </w:t>
      </w:r>
      <w:r>
        <w:rPr>
          <w:sz w:val="20"/>
        </w:rPr>
        <w:t>detectable.</w:t>
      </w:r>
    </w:p>
    <w:p>
      <w:pPr>
        <w:pStyle w:val="ListParagraph"/>
        <w:numPr>
          <w:ilvl w:val="1"/>
          <w:numId w:val="23"/>
        </w:numPr>
        <w:tabs>
          <w:tab w:pos="484" w:val="left" w:leader="none"/>
        </w:tabs>
        <w:spacing w:line="360" w:lineRule="auto" w:before="1" w:after="0"/>
        <w:ind w:left="152" w:right="156" w:firstLine="0"/>
        <w:jc w:val="left"/>
        <w:rPr>
          <w:sz w:val="20"/>
        </w:rPr>
      </w:pPr>
      <w:r>
        <w:rPr>
          <w:sz w:val="20"/>
        </w:rPr>
        <w:t>Hacer un ensayo en blanco, siguiendo el procedimiento descrito en 7.1, 7.2 y 7.3, excluyendo</w:t>
      </w:r>
      <w:r>
        <w:rPr>
          <w:spacing w:val="-26"/>
          <w:sz w:val="20"/>
        </w:rPr>
        <w:t> </w:t>
      </w:r>
      <w:r>
        <w:rPr>
          <w:sz w:val="20"/>
        </w:rPr>
        <w:t>la muestra.</w:t>
      </w:r>
    </w:p>
    <w:p>
      <w:pPr>
        <w:pStyle w:val="BodyText"/>
        <w:rPr>
          <w:sz w:val="20"/>
        </w:rPr>
      </w:pPr>
    </w:p>
    <w:p>
      <w:pPr>
        <w:pStyle w:val="ListParagraph"/>
        <w:numPr>
          <w:ilvl w:val="0"/>
          <w:numId w:val="23"/>
        </w:numPr>
        <w:tabs>
          <w:tab w:pos="374" w:val="left" w:leader="none"/>
        </w:tabs>
        <w:spacing w:line="240" w:lineRule="auto" w:before="119" w:after="0"/>
        <w:ind w:left="373" w:right="0" w:hanging="221"/>
        <w:jc w:val="left"/>
        <w:rPr>
          <w:sz w:val="20"/>
        </w:rPr>
      </w:pPr>
      <w:r>
        <w:rPr>
          <w:sz w:val="20"/>
        </w:rPr>
        <w:t>EXPRESIÓN DE</w:t>
      </w:r>
      <w:r>
        <w:rPr>
          <w:spacing w:val="-3"/>
          <w:sz w:val="20"/>
        </w:rPr>
        <w:t> </w:t>
      </w:r>
      <w:r>
        <w:rPr>
          <w:sz w:val="20"/>
        </w:rPr>
        <w:t>RESULTADOS</w:t>
      </w:r>
    </w:p>
    <w:p>
      <w:pPr>
        <w:spacing w:before="113"/>
        <w:ind w:left="152" w:right="154" w:firstLine="0"/>
        <w:jc w:val="left"/>
        <w:rPr>
          <w:sz w:val="20"/>
        </w:rPr>
      </w:pPr>
      <w:r>
        <w:rPr>
          <w:sz w:val="20"/>
        </w:rPr>
        <w:t>Se calcula el por ciento de cloruros como cloruro de sodio, mediante la siguiente expresión:</w:t>
      </w:r>
    </w:p>
    <w:p>
      <w:pPr>
        <w:pStyle w:val="BodyText"/>
        <w:rPr>
          <w:sz w:val="20"/>
        </w:rPr>
      </w:pPr>
    </w:p>
    <w:p>
      <w:pPr>
        <w:pStyle w:val="BodyText"/>
        <w:spacing w:before="1"/>
        <w:rPr>
          <w:sz w:val="20"/>
        </w:rPr>
      </w:pPr>
    </w:p>
    <w:p>
      <w:pPr>
        <w:spacing w:before="1"/>
        <w:ind w:left="1242" w:right="6257" w:firstLine="0"/>
        <w:jc w:val="center"/>
        <w:rPr>
          <w:sz w:val="20"/>
        </w:rPr>
      </w:pPr>
      <w:r>
        <w:rPr>
          <w:sz w:val="20"/>
        </w:rPr>
        <w:t>(A - B) N x 0.0585</w:t>
      </w:r>
    </w:p>
    <w:p>
      <w:pPr>
        <w:spacing w:before="113"/>
        <w:ind w:left="152" w:right="926" w:firstLine="0"/>
        <w:jc w:val="left"/>
        <w:rPr>
          <w:sz w:val="20"/>
        </w:rPr>
      </w:pPr>
      <w:r>
        <w:rPr>
          <w:sz w:val="20"/>
        </w:rPr>
        <w:t>%  NaCl = -------------------------------- x 100</w:t>
      </w:r>
    </w:p>
    <w:p>
      <w:pPr>
        <w:spacing w:before="115"/>
        <w:ind w:left="2151" w:right="0" w:firstLine="0"/>
        <w:jc w:val="left"/>
        <w:rPr>
          <w:sz w:val="20"/>
        </w:rPr>
      </w:pPr>
      <w:r>
        <w:rPr>
          <w:w w:val="99"/>
          <w:sz w:val="20"/>
        </w:rPr>
        <w:t>M</w:t>
      </w:r>
    </w:p>
    <w:p>
      <w:pPr>
        <w:spacing w:before="115"/>
        <w:ind w:left="152" w:right="926" w:firstLine="0"/>
        <w:jc w:val="left"/>
        <w:rPr>
          <w:sz w:val="20"/>
        </w:rPr>
      </w:pPr>
      <w:r>
        <w:rPr>
          <w:sz w:val="20"/>
        </w:rPr>
        <w:t>Donde:</w:t>
      </w:r>
    </w:p>
    <w:p>
      <w:pPr>
        <w:spacing w:before="115"/>
        <w:ind w:left="152" w:right="926" w:firstLine="0"/>
        <w:jc w:val="left"/>
        <w:rPr>
          <w:sz w:val="20"/>
        </w:rPr>
      </w:pPr>
      <w:r>
        <w:rPr>
          <w:sz w:val="20"/>
        </w:rPr>
        <w:t>A = cm de solución de nitrato de plata 0.1 N agregada en exceso.</w:t>
      </w:r>
    </w:p>
    <w:p>
      <w:pPr>
        <w:spacing w:line="360" w:lineRule="auto" w:before="113"/>
        <w:ind w:left="152" w:right="154" w:firstLine="0"/>
        <w:jc w:val="left"/>
        <w:rPr>
          <w:sz w:val="20"/>
        </w:rPr>
      </w:pPr>
      <w:r>
        <w:rPr>
          <w:sz w:val="20"/>
        </w:rPr>
        <w:t>B = cm de solución de tiocianato de potasio o de amonio 0.1N, empleados en titular el exceso de nitrato de plata.</w:t>
      </w:r>
    </w:p>
    <w:p>
      <w:pPr>
        <w:spacing w:before="4"/>
        <w:ind w:left="152" w:right="926" w:firstLine="0"/>
        <w:jc w:val="left"/>
        <w:rPr>
          <w:sz w:val="20"/>
        </w:rPr>
      </w:pPr>
      <w:r>
        <w:rPr>
          <w:sz w:val="20"/>
        </w:rPr>
        <w:t>N = Normalidad del tiocianato de potasio o de amonio.</w:t>
      </w:r>
    </w:p>
    <w:p>
      <w:pPr>
        <w:spacing w:after="0"/>
        <w:jc w:val="left"/>
        <w:rPr>
          <w:sz w:val="20"/>
        </w:rPr>
        <w:sectPr>
          <w:pgSz w:w="12240" w:h="15840"/>
          <w:pgMar w:header="728" w:footer="710" w:top="1200" w:bottom="900" w:left="1720" w:right="1380"/>
        </w:sectPr>
      </w:pPr>
    </w:p>
    <w:p>
      <w:pPr>
        <w:pStyle w:val="BodyText"/>
        <w:rPr>
          <w:sz w:val="20"/>
        </w:rPr>
      </w:pPr>
    </w:p>
    <w:p>
      <w:pPr>
        <w:pStyle w:val="BodyText"/>
        <w:spacing w:before="9"/>
        <w:rPr>
          <w:sz w:val="26"/>
        </w:rPr>
      </w:pPr>
    </w:p>
    <w:p>
      <w:pPr>
        <w:spacing w:before="74"/>
        <w:ind w:left="152" w:right="926" w:firstLine="0"/>
        <w:jc w:val="left"/>
        <w:rPr>
          <w:sz w:val="20"/>
        </w:rPr>
      </w:pPr>
      <w:bookmarkStart w:name="_bookmark71" w:id="89"/>
      <w:bookmarkEnd w:id="89"/>
      <w:r>
        <w:rPr/>
      </w:r>
      <w:r>
        <w:rPr>
          <w:sz w:val="20"/>
        </w:rPr>
        <w:t>M = Peso de la muestra en gramos.</w:t>
      </w:r>
    </w:p>
    <w:p>
      <w:pPr>
        <w:spacing w:before="115"/>
        <w:ind w:left="152" w:right="926" w:firstLine="0"/>
        <w:jc w:val="left"/>
        <w:rPr>
          <w:sz w:val="20"/>
        </w:rPr>
      </w:pPr>
      <w:r>
        <w:rPr>
          <w:sz w:val="20"/>
        </w:rPr>
        <w:t>0.0585 = Miliequivalente del cloruro de sodio.</w:t>
      </w:r>
    </w:p>
    <w:p>
      <w:pPr>
        <w:pStyle w:val="BodyText"/>
        <w:rPr>
          <w:sz w:val="20"/>
        </w:rPr>
      </w:pPr>
    </w:p>
    <w:p>
      <w:pPr>
        <w:pStyle w:val="BodyText"/>
        <w:spacing w:before="10"/>
        <w:rPr>
          <w:sz w:val="19"/>
        </w:rPr>
      </w:pPr>
    </w:p>
    <w:p>
      <w:pPr>
        <w:pStyle w:val="ListParagraph"/>
        <w:numPr>
          <w:ilvl w:val="0"/>
          <w:numId w:val="23"/>
        </w:numPr>
        <w:tabs>
          <w:tab w:pos="374" w:val="left" w:leader="none"/>
        </w:tabs>
        <w:spacing w:line="240" w:lineRule="auto" w:before="0" w:after="0"/>
        <w:ind w:left="373" w:right="0" w:hanging="221"/>
        <w:jc w:val="left"/>
        <w:rPr>
          <w:sz w:val="20"/>
        </w:rPr>
      </w:pPr>
      <w:r>
        <w:rPr>
          <w:sz w:val="20"/>
        </w:rPr>
        <w:t>BIBLIOGRAFÍA.</w:t>
      </w:r>
    </w:p>
    <w:p>
      <w:pPr>
        <w:spacing w:line="360" w:lineRule="auto" w:before="115"/>
        <w:ind w:left="152" w:right="1508" w:firstLine="0"/>
        <w:jc w:val="left"/>
        <w:rPr>
          <w:sz w:val="20"/>
        </w:rPr>
      </w:pPr>
      <w:r>
        <w:rPr>
          <w:sz w:val="20"/>
        </w:rPr>
        <w:t>Official Methods of Analysis of the Association of Official  Analytical  Chemists William Horwitz, Editor. Twelfth Edition, 1975 Chapter 3 Parts. 3.067, 3.068 Y 3.070.</w:t>
      </w:r>
    </w:p>
    <w:p>
      <w:pPr>
        <w:spacing w:after="0" w:line="360" w:lineRule="auto"/>
        <w:jc w:val="left"/>
        <w:rPr>
          <w:sz w:val="20"/>
        </w:rPr>
        <w:sectPr>
          <w:pgSz w:w="12240" w:h="15840"/>
          <w:pgMar w:header="728" w:footer="710" w:top="1200" w:bottom="900" w:left="1720" w:right="1380"/>
        </w:sectPr>
      </w:pPr>
    </w:p>
    <w:p>
      <w:pPr>
        <w:pStyle w:val="BodyText"/>
        <w:rPr>
          <w:sz w:val="20"/>
        </w:rPr>
      </w:pPr>
    </w:p>
    <w:p>
      <w:pPr>
        <w:pStyle w:val="BodyText"/>
        <w:spacing w:before="3"/>
        <w:rPr>
          <w:sz w:val="27"/>
        </w:rPr>
      </w:pPr>
    </w:p>
    <w:p>
      <w:pPr>
        <w:pStyle w:val="Heading2"/>
        <w:spacing w:before="69"/>
        <w:ind w:left="152"/>
        <w:jc w:val="both"/>
      </w:pPr>
      <w:r>
        <w:rPr/>
        <w:t>Anexo 12: DETERMINACIÓN DE NITRÓGENO TOTAL</w:t>
      </w:r>
    </w:p>
    <w:p>
      <w:pPr>
        <w:pStyle w:val="BodyText"/>
        <w:spacing w:before="3"/>
        <w:rPr>
          <w:b/>
          <w:sz w:val="32"/>
        </w:rPr>
      </w:pPr>
    </w:p>
    <w:p>
      <w:pPr>
        <w:spacing w:before="0"/>
        <w:ind w:left="152" w:right="0" w:firstLine="0"/>
        <w:jc w:val="both"/>
        <w:rPr>
          <w:sz w:val="20"/>
        </w:rPr>
      </w:pPr>
      <w:r>
        <w:rPr>
          <w:sz w:val="20"/>
        </w:rPr>
        <w:t>INTRODUCCIÓN</w:t>
      </w:r>
    </w:p>
    <w:p>
      <w:pPr>
        <w:spacing w:line="360" w:lineRule="auto" w:before="115"/>
        <w:ind w:left="152" w:right="148" w:firstLine="0"/>
        <w:jc w:val="both"/>
        <w:rPr>
          <w:sz w:val="20"/>
        </w:rPr>
      </w:pPr>
      <w:r>
        <w:rPr>
          <w:sz w:val="20"/>
        </w:rPr>
        <w:t>El nitrógeno combinado u orgánico actúa como fuente de reserva y formas solubles. La determinación de este nitrógeno incluye la descomposición total de los compuestos orgánicos </w:t>
      </w:r>
      <w:r>
        <w:rPr>
          <w:position w:val="1"/>
          <w:sz w:val="20"/>
        </w:rPr>
        <w:t>mediante una digestión con ácido sulfúrico (H</w:t>
      </w:r>
      <w:r>
        <w:rPr>
          <w:sz w:val="13"/>
        </w:rPr>
        <w:t>2</w:t>
      </w:r>
      <w:r>
        <w:rPr>
          <w:position w:val="1"/>
          <w:sz w:val="20"/>
        </w:rPr>
        <w:t>SO</w:t>
      </w:r>
      <w:r>
        <w:rPr>
          <w:sz w:val="13"/>
        </w:rPr>
        <w:t>4</w:t>
      </w:r>
      <w:r>
        <w:rPr>
          <w:position w:val="1"/>
          <w:sz w:val="20"/>
        </w:rPr>
        <w:t>) concentrado y catalizadores para formar sulfato de</w:t>
      </w:r>
      <w:r>
        <w:rPr>
          <w:spacing w:val="-16"/>
          <w:position w:val="1"/>
          <w:sz w:val="20"/>
        </w:rPr>
        <w:t> </w:t>
      </w:r>
      <w:r>
        <w:rPr>
          <w:position w:val="1"/>
          <w:sz w:val="20"/>
        </w:rPr>
        <w:t>amonio</w:t>
      </w:r>
      <w:r>
        <w:rPr>
          <w:spacing w:val="-15"/>
          <w:position w:val="1"/>
          <w:sz w:val="20"/>
        </w:rPr>
        <w:t> </w:t>
      </w:r>
      <w:r>
        <w:rPr>
          <w:position w:val="1"/>
          <w:sz w:val="20"/>
        </w:rPr>
        <w:t>(NH</w:t>
      </w:r>
      <w:r>
        <w:rPr>
          <w:sz w:val="13"/>
        </w:rPr>
        <w:t>4</w:t>
      </w:r>
      <w:r>
        <w:rPr>
          <w:position w:val="1"/>
          <w:sz w:val="20"/>
        </w:rPr>
        <w:t>SO</w:t>
      </w:r>
      <w:r>
        <w:rPr>
          <w:sz w:val="13"/>
        </w:rPr>
        <w:t>4</w:t>
      </w:r>
      <w:r>
        <w:rPr>
          <w:position w:val="1"/>
          <w:sz w:val="20"/>
        </w:rPr>
        <w:t>)</w:t>
      </w:r>
      <w:r>
        <w:rPr>
          <w:spacing w:val="-14"/>
          <w:position w:val="1"/>
          <w:sz w:val="20"/>
        </w:rPr>
        <w:t> </w:t>
      </w:r>
      <w:r>
        <w:rPr>
          <w:position w:val="1"/>
          <w:sz w:val="20"/>
        </w:rPr>
        <w:t>el</w:t>
      </w:r>
      <w:r>
        <w:rPr>
          <w:spacing w:val="-16"/>
          <w:position w:val="1"/>
          <w:sz w:val="20"/>
        </w:rPr>
        <w:t> </w:t>
      </w:r>
      <w:r>
        <w:rPr>
          <w:position w:val="1"/>
          <w:sz w:val="20"/>
        </w:rPr>
        <w:t>cual</w:t>
      </w:r>
      <w:r>
        <w:rPr>
          <w:spacing w:val="-14"/>
          <w:position w:val="1"/>
          <w:sz w:val="20"/>
        </w:rPr>
        <w:t> </w:t>
      </w:r>
      <w:r>
        <w:rPr>
          <w:position w:val="1"/>
          <w:sz w:val="20"/>
        </w:rPr>
        <w:t>posteriormente</w:t>
      </w:r>
      <w:r>
        <w:rPr>
          <w:spacing w:val="-15"/>
          <w:position w:val="1"/>
          <w:sz w:val="20"/>
        </w:rPr>
        <w:t> </w:t>
      </w:r>
      <w:r>
        <w:rPr>
          <w:position w:val="1"/>
          <w:sz w:val="20"/>
        </w:rPr>
        <w:t>desprende</w:t>
      </w:r>
      <w:r>
        <w:rPr>
          <w:spacing w:val="-13"/>
          <w:position w:val="1"/>
          <w:sz w:val="20"/>
        </w:rPr>
        <w:t> </w:t>
      </w:r>
      <w:r>
        <w:rPr>
          <w:position w:val="1"/>
          <w:sz w:val="20"/>
        </w:rPr>
        <w:t>el</w:t>
      </w:r>
      <w:r>
        <w:rPr>
          <w:spacing w:val="-16"/>
          <w:position w:val="1"/>
          <w:sz w:val="20"/>
        </w:rPr>
        <w:t> </w:t>
      </w:r>
      <w:r>
        <w:rPr>
          <w:position w:val="1"/>
          <w:sz w:val="20"/>
        </w:rPr>
        <w:t>amoniaco</w:t>
      </w:r>
      <w:r>
        <w:rPr>
          <w:spacing w:val="-15"/>
          <w:position w:val="1"/>
          <w:sz w:val="20"/>
        </w:rPr>
        <w:t> </w:t>
      </w:r>
      <w:r>
        <w:rPr>
          <w:position w:val="1"/>
          <w:sz w:val="20"/>
        </w:rPr>
        <w:t>(NH</w:t>
      </w:r>
      <w:r>
        <w:rPr>
          <w:sz w:val="13"/>
        </w:rPr>
        <w:t>4</w:t>
      </w:r>
      <w:r>
        <w:rPr>
          <w:position w:val="1"/>
          <w:sz w:val="20"/>
        </w:rPr>
        <w:t>)</w:t>
      </w:r>
      <w:r>
        <w:rPr>
          <w:spacing w:val="-14"/>
          <w:position w:val="1"/>
          <w:sz w:val="20"/>
        </w:rPr>
        <w:t> </w:t>
      </w:r>
      <w:r>
        <w:rPr>
          <w:position w:val="1"/>
          <w:sz w:val="20"/>
        </w:rPr>
        <w:t>con</w:t>
      </w:r>
      <w:r>
        <w:rPr>
          <w:spacing w:val="-16"/>
          <w:position w:val="1"/>
          <w:sz w:val="20"/>
        </w:rPr>
        <w:t> </w:t>
      </w:r>
      <w:r>
        <w:rPr>
          <w:position w:val="1"/>
          <w:sz w:val="20"/>
        </w:rPr>
        <w:t>la</w:t>
      </w:r>
      <w:r>
        <w:rPr>
          <w:spacing w:val="-15"/>
          <w:position w:val="1"/>
          <w:sz w:val="20"/>
        </w:rPr>
        <w:t> </w:t>
      </w:r>
      <w:r>
        <w:rPr>
          <w:position w:val="1"/>
          <w:sz w:val="20"/>
        </w:rPr>
        <w:t>adición</w:t>
      </w:r>
      <w:r>
        <w:rPr>
          <w:spacing w:val="-16"/>
          <w:position w:val="1"/>
          <w:sz w:val="20"/>
        </w:rPr>
        <w:t> </w:t>
      </w:r>
      <w:r>
        <w:rPr>
          <w:position w:val="1"/>
          <w:sz w:val="20"/>
        </w:rPr>
        <w:t>del</w:t>
      </w:r>
      <w:r>
        <w:rPr>
          <w:spacing w:val="-16"/>
          <w:position w:val="1"/>
          <w:sz w:val="20"/>
        </w:rPr>
        <w:t> </w:t>
      </w:r>
      <w:r>
        <w:rPr>
          <w:position w:val="1"/>
          <w:sz w:val="20"/>
        </w:rPr>
        <w:t>hidróxido de sodio (NaOH); el amoniaco (NH</w:t>
      </w:r>
      <w:r>
        <w:rPr>
          <w:sz w:val="13"/>
        </w:rPr>
        <w:t>4</w:t>
      </w:r>
      <w:r>
        <w:rPr>
          <w:position w:val="1"/>
          <w:sz w:val="20"/>
        </w:rPr>
        <w:t>) se recibe con ácido bórico (H</w:t>
      </w:r>
      <w:r>
        <w:rPr>
          <w:sz w:val="13"/>
        </w:rPr>
        <w:t>3</w:t>
      </w:r>
      <w:r>
        <w:rPr>
          <w:position w:val="1"/>
          <w:sz w:val="20"/>
        </w:rPr>
        <w:t>BO</w:t>
      </w:r>
      <w:r>
        <w:rPr>
          <w:sz w:val="13"/>
        </w:rPr>
        <w:t>3</w:t>
      </w:r>
      <w:r>
        <w:rPr>
          <w:position w:val="1"/>
          <w:sz w:val="20"/>
        </w:rPr>
        <w:t>) y se titula con ácido </w:t>
      </w:r>
      <w:r>
        <w:rPr>
          <w:sz w:val="20"/>
        </w:rPr>
        <w:t>clorhídrico valorado (HCl 0.1</w:t>
      </w:r>
      <w:r>
        <w:rPr>
          <w:spacing w:val="-9"/>
          <w:sz w:val="20"/>
        </w:rPr>
        <w:t> </w:t>
      </w:r>
      <w:r>
        <w:rPr>
          <w:sz w:val="20"/>
        </w:rPr>
        <w:t>N).</w:t>
      </w:r>
    </w:p>
    <w:p>
      <w:pPr>
        <w:pStyle w:val="BodyText"/>
        <w:rPr>
          <w:sz w:val="20"/>
        </w:rPr>
      </w:pPr>
    </w:p>
    <w:p>
      <w:pPr>
        <w:spacing w:before="120"/>
        <w:ind w:left="152" w:right="0" w:firstLine="0"/>
        <w:jc w:val="both"/>
        <w:rPr>
          <w:sz w:val="20"/>
        </w:rPr>
      </w:pPr>
      <w:r>
        <w:rPr>
          <w:sz w:val="20"/>
        </w:rPr>
        <w:t>OBJETIVOS</w:t>
      </w:r>
    </w:p>
    <w:p>
      <w:pPr>
        <w:spacing w:before="115"/>
        <w:ind w:left="152" w:right="0" w:firstLine="0"/>
        <w:jc w:val="both"/>
        <w:rPr>
          <w:sz w:val="20"/>
        </w:rPr>
      </w:pPr>
      <w:r>
        <w:rPr>
          <w:sz w:val="20"/>
        </w:rPr>
        <w:t>Determinar el nitrógeno total de las muestras a analizar.</w:t>
      </w:r>
    </w:p>
    <w:p>
      <w:pPr>
        <w:pStyle w:val="BodyText"/>
        <w:rPr>
          <w:sz w:val="20"/>
        </w:rPr>
      </w:pPr>
    </w:p>
    <w:p>
      <w:pPr>
        <w:pStyle w:val="BodyText"/>
        <w:spacing w:before="10"/>
        <w:rPr>
          <w:sz w:val="19"/>
        </w:rPr>
      </w:pPr>
    </w:p>
    <w:p>
      <w:pPr>
        <w:spacing w:before="0"/>
        <w:ind w:left="152" w:right="0" w:firstLine="0"/>
        <w:jc w:val="both"/>
        <w:rPr>
          <w:sz w:val="20"/>
        </w:rPr>
      </w:pPr>
      <w:r>
        <w:rPr>
          <w:sz w:val="20"/>
        </w:rPr>
        <w:t>SIMBOLOS Y ABREVIATURAS</w:t>
      </w:r>
    </w:p>
    <w:p>
      <w:pPr>
        <w:spacing w:line="445" w:lineRule="exact" w:before="96"/>
        <w:ind w:left="185" w:right="0" w:firstLine="0"/>
        <w:jc w:val="both"/>
        <w:rPr>
          <w:rFonts w:ascii="Times New Roman" w:hAnsi="Times New Roman"/>
          <w:sz w:val="27"/>
        </w:rPr>
      </w:pPr>
      <w:r>
        <w:rPr/>
        <w:pict>
          <v:line style="position:absolute;mso-position-horizontal-relative:page;mso-position-vertical-relative:paragraph;z-index:-214696" from="127.491631pt,23.323433pt" to="270.851606pt,23.323455pt" stroked="true" strokeweight=".53682pt" strokecolor="#000000">
            <w10:wrap type="none"/>
          </v:line>
        </w:pict>
      </w:r>
      <w:r>
        <w:rPr>
          <w:rFonts w:ascii="Times New Roman" w:hAnsi="Times New Roman"/>
          <w:w w:val="95"/>
          <w:position w:val="-16"/>
          <w:sz w:val="27"/>
        </w:rPr>
        <w:t>%</w:t>
      </w:r>
      <w:r>
        <w:rPr>
          <w:rFonts w:ascii="Times New Roman" w:hAnsi="Times New Roman"/>
          <w:i/>
          <w:w w:val="95"/>
          <w:position w:val="-16"/>
          <w:sz w:val="27"/>
        </w:rPr>
        <w:t>N </w:t>
      </w:r>
      <w:r>
        <w:rPr>
          <w:rFonts w:ascii="Symbol" w:hAnsi="Symbol"/>
          <w:w w:val="95"/>
          <w:position w:val="-16"/>
          <w:sz w:val="27"/>
        </w:rPr>
        <w:t></w:t>
      </w:r>
      <w:r>
        <w:rPr>
          <w:rFonts w:ascii="Times New Roman" w:hAnsi="Times New Roman"/>
          <w:w w:val="95"/>
          <w:position w:val="-16"/>
          <w:sz w:val="27"/>
        </w:rPr>
        <w:t> </w:t>
      </w:r>
      <w:r>
        <w:rPr>
          <w:rFonts w:ascii="Times New Roman" w:hAnsi="Times New Roman"/>
          <w:w w:val="95"/>
          <w:sz w:val="27"/>
        </w:rPr>
        <w:t>(14.01)(ml s </w:t>
      </w:r>
      <w:r>
        <w:rPr>
          <w:rFonts w:ascii="Symbol" w:hAnsi="Symbol"/>
          <w:w w:val="95"/>
          <w:sz w:val="27"/>
        </w:rPr>
        <w:t></w:t>
      </w:r>
      <w:r>
        <w:rPr>
          <w:rFonts w:ascii="Times New Roman" w:hAnsi="Times New Roman"/>
          <w:w w:val="95"/>
          <w:sz w:val="27"/>
        </w:rPr>
        <w:t> ml bco)(N HCl)</w:t>
      </w:r>
    </w:p>
    <w:p>
      <w:pPr>
        <w:spacing w:line="255" w:lineRule="exact" w:before="0"/>
        <w:ind w:left="1824" w:right="926" w:firstLine="0"/>
        <w:jc w:val="left"/>
        <w:rPr>
          <w:rFonts w:ascii="Times New Roman"/>
          <w:sz w:val="27"/>
        </w:rPr>
      </w:pPr>
      <w:r>
        <w:rPr>
          <w:rFonts w:ascii="Times New Roman"/>
          <w:sz w:val="27"/>
        </w:rPr>
        <w:t>(</w:t>
      </w:r>
      <w:r>
        <w:rPr>
          <w:rFonts w:ascii="Times New Roman"/>
          <w:i/>
          <w:sz w:val="27"/>
        </w:rPr>
        <w:t>wm</w:t>
      </w:r>
      <w:r>
        <w:rPr>
          <w:rFonts w:ascii="Times New Roman"/>
          <w:sz w:val="27"/>
        </w:rPr>
        <w:t>)(10)</w:t>
      </w:r>
    </w:p>
    <w:p>
      <w:pPr>
        <w:spacing w:before="161"/>
        <w:ind w:left="152" w:right="926" w:firstLine="0"/>
        <w:jc w:val="left"/>
        <w:rPr>
          <w:sz w:val="20"/>
        </w:rPr>
      </w:pPr>
      <w:r>
        <w:rPr>
          <w:sz w:val="20"/>
        </w:rPr>
        <w:t>En donde:</w:t>
      </w:r>
    </w:p>
    <w:p>
      <w:pPr>
        <w:spacing w:before="95"/>
        <w:ind w:left="161" w:right="926" w:firstLine="0"/>
        <w:jc w:val="left"/>
        <w:rPr>
          <w:rFonts w:ascii="Times New Roman" w:hAnsi="Times New Roman"/>
          <w:sz w:val="20"/>
        </w:rPr>
      </w:pPr>
      <w:r>
        <w:rPr>
          <w:rFonts w:ascii="Times New Roman" w:hAnsi="Times New Roman"/>
          <w:sz w:val="20"/>
        </w:rPr>
        <w:t>14.01   </w:t>
      </w:r>
      <w:r>
        <w:rPr>
          <w:rFonts w:ascii="Symbol" w:hAnsi="Symbol"/>
          <w:sz w:val="20"/>
        </w:rPr>
        <w:t></w:t>
      </w:r>
      <w:r>
        <w:rPr>
          <w:rFonts w:ascii="Times New Roman" w:hAnsi="Times New Roman"/>
          <w:sz w:val="20"/>
        </w:rPr>
        <w:t> miliequiva  lente.</w:t>
      </w:r>
    </w:p>
    <w:p>
      <w:pPr>
        <w:spacing w:after="0"/>
        <w:jc w:val="left"/>
        <w:rPr>
          <w:rFonts w:ascii="Times New Roman" w:hAnsi="Times New Roman"/>
          <w:sz w:val="20"/>
        </w:rPr>
        <w:sectPr>
          <w:pgSz w:w="12240" w:h="15840"/>
          <w:pgMar w:header="728" w:footer="710" w:top="1200" w:bottom="900" w:left="1720" w:right="1380"/>
        </w:sectPr>
      </w:pPr>
    </w:p>
    <w:p>
      <w:pPr>
        <w:spacing w:before="64"/>
        <w:ind w:left="182" w:right="-12" w:firstLine="0"/>
        <w:jc w:val="left"/>
        <w:rPr>
          <w:rFonts w:ascii="Times New Roman"/>
          <w:sz w:val="20"/>
        </w:rPr>
      </w:pPr>
      <w:r>
        <w:rPr>
          <w:rFonts w:ascii="Times New Roman"/>
          <w:spacing w:val="-11"/>
          <w:sz w:val="20"/>
        </w:rPr>
        <w:t>ml </w:t>
      </w:r>
      <w:r>
        <w:rPr>
          <w:rFonts w:ascii="Times New Roman"/>
          <w:sz w:val="20"/>
        </w:rPr>
        <w:t>s</w:t>
      </w:r>
    </w:p>
    <w:p>
      <w:pPr>
        <w:spacing w:before="49"/>
        <w:ind w:left="182" w:right="-2" w:firstLine="0"/>
        <w:jc w:val="left"/>
        <w:rPr>
          <w:rFonts w:ascii="Times New Roman" w:hAnsi="Times New Roman"/>
          <w:sz w:val="20"/>
        </w:rPr>
      </w:pPr>
      <w:r>
        <w:rPr/>
        <w:br w:type="column"/>
      </w:r>
      <w:r>
        <w:rPr>
          <w:rFonts w:ascii="Symbol" w:hAnsi="Symbol"/>
          <w:sz w:val="20"/>
        </w:rPr>
        <w:t></w:t>
      </w:r>
      <w:r>
        <w:rPr>
          <w:rFonts w:ascii="Times New Roman" w:hAnsi="Times New Roman"/>
          <w:sz w:val="20"/>
        </w:rPr>
        <w:t> </w:t>
      </w:r>
      <w:r>
        <w:rPr>
          <w:rFonts w:ascii="Times New Roman" w:hAnsi="Times New Roman"/>
          <w:spacing w:val="-13"/>
          <w:sz w:val="20"/>
        </w:rPr>
        <w:t>mililitros</w:t>
      </w:r>
    </w:p>
    <w:p>
      <w:pPr>
        <w:spacing w:before="64"/>
        <w:ind w:left="89" w:right="0" w:firstLine="0"/>
        <w:jc w:val="left"/>
        <w:rPr>
          <w:rFonts w:ascii="Times New Roman" w:hAnsi="Times New Roman"/>
          <w:sz w:val="20"/>
        </w:rPr>
      </w:pPr>
      <w:r>
        <w:rPr/>
        <w:br w:type="column"/>
      </w:r>
      <w:r>
        <w:rPr>
          <w:rFonts w:ascii="Times New Roman" w:hAnsi="Times New Roman"/>
          <w:sz w:val="20"/>
        </w:rPr>
        <w:t>gastados en la  titulació n de la muestra.</w:t>
      </w:r>
    </w:p>
    <w:p>
      <w:pPr>
        <w:spacing w:after="0"/>
        <w:jc w:val="left"/>
        <w:rPr>
          <w:rFonts w:ascii="Times New Roman" w:hAnsi="Times New Roman"/>
          <w:sz w:val="20"/>
        </w:rPr>
        <w:sectPr>
          <w:type w:val="continuous"/>
          <w:pgSz w:w="12240" w:h="15840"/>
          <w:pgMar w:top="1300" w:bottom="280" w:left="1720" w:right="1380"/>
          <w:cols w:num="3" w:equalWidth="0">
            <w:col w:w="496" w:space="49"/>
            <w:col w:w="964" w:space="40"/>
            <w:col w:w="7591"/>
          </w:cols>
        </w:sectPr>
      </w:pPr>
    </w:p>
    <w:p>
      <w:pPr>
        <w:spacing w:before="49"/>
        <w:ind w:left="182" w:right="926" w:firstLine="0"/>
        <w:jc w:val="left"/>
        <w:rPr>
          <w:rFonts w:ascii="Times New Roman" w:hAnsi="Times New Roman"/>
          <w:sz w:val="20"/>
        </w:rPr>
      </w:pPr>
      <w:r>
        <w:rPr>
          <w:rFonts w:ascii="Times New Roman" w:hAnsi="Times New Roman"/>
          <w:sz w:val="20"/>
        </w:rPr>
        <w:t>ml bco </w:t>
      </w:r>
      <w:r>
        <w:rPr>
          <w:rFonts w:ascii="Symbol" w:hAnsi="Symbol"/>
          <w:sz w:val="20"/>
        </w:rPr>
        <w:t></w:t>
      </w:r>
      <w:r>
        <w:rPr>
          <w:rFonts w:ascii="Times New Roman" w:hAnsi="Times New Roman"/>
          <w:sz w:val="20"/>
        </w:rPr>
        <w:t> mililitros    gastados en la titulació n del blanco.</w:t>
      </w:r>
    </w:p>
    <w:p>
      <w:pPr>
        <w:spacing w:before="50"/>
        <w:ind w:left="188" w:right="926" w:firstLine="0"/>
        <w:jc w:val="left"/>
        <w:rPr>
          <w:rFonts w:ascii="Times New Roman" w:hAnsi="Times New Roman"/>
          <w:sz w:val="20"/>
        </w:rPr>
      </w:pPr>
      <w:r>
        <w:rPr>
          <w:rFonts w:ascii="Times New Roman" w:hAnsi="Times New Roman"/>
          <w:sz w:val="20"/>
        </w:rPr>
        <w:t>N HCl  </w:t>
      </w:r>
      <w:r>
        <w:rPr>
          <w:rFonts w:ascii="Symbol" w:hAnsi="Symbol"/>
          <w:sz w:val="20"/>
        </w:rPr>
        <w:t></w:t>
      </w:r>
      <w:r>
        <w:rPr>
          <w:rFonts w:ascii="Times New Roman" w:hAnsi="Times New Roman"/>
          <w:sz w:val="20"/>
        </w:rPr>
        <w:t> normalidad  exacta del ácido clorhídric o.</w:t>
      </w:r>
    </w:p>
    <w:p>
      <w:pPr>
        <w:tabs>
          <w:tab w:pos="712" w:val="left" w:leader="none"/>
        </w:tabs>
        <w:spacing w:before="49"/>
        <w:ind w:left="185" w:right="926" w:firstLine="0"/>
        <w:jc w:val="left"/>
        <w:rPr>
          <w:rFonts w:ascii="Times New Roman" w:hAnsi="Times New Roman"/>
          <w:sz w:val="20"/>
        </w:rPr>
      </w:pPr>
      <w:r>
        <w:rPr>
          <w:rFonts w:ascii="Times New Roman" w:hAnsi="Times New Roman"/>
          <w:spacing w:val="-5"/>
          <w:sz w:val="20"/>
        </w:rPr>
        <w:t>wm</w:t>
        <w:tab/>
      </w:r>
      <w:r>
        <w:rPr>
          <w:rFonts w:ascii="Symbol" w:hAnsi="Symbol"/>
          <w:sz w:val="20"/>
        </w:rPr>
        <w:t></w:t>
      </w:r>
      <w:r>
        <w:rPr>
          <w:rFonts w:ascii="Times New Roman" w:hAnsi="Times New Roman"/>
          <w:sz w:val="20"/>
        </w:rPr>
        <w:t> </w:t>
      </w:r>
      <w:r>
        <w:rPr>
          <w:rFonts w:ascii="Times New Roman" w:hAnsi="Times New Roman"/>
          <w:spacing w:val="-3"/>
          <w:sz w:val="20"/>
        </w:rPr>
        <w:t>peso </w:t>
      </w:r>
      <w:r>
        <w:rPr>
          <w:rFonts w:ascii="Times New Roman" w:hAnsi="Times New Roman"/>
          <w:sz w:val="20"/>
        </w:rPr>
        <w:t>de </w:t>
      </w:r>
      <w:r>
        <w:rPr>
          <w:rFonts w:ascii="Times New Roman" w:hAnsi="Times New Roman"/>
          <w:spacing w:val="-10"/>
          <w:sz w:val="20"/>
        </w:rPr>
        <w:t>la </w:t>
      </w:r>
      <w:r>
        <w:rPr>
          <w:rFonts w:ascii="Times New Roman" w:hAnsi="Times New Roman"/>
          <w:spacing w:val="-8"/>
          <w:sz w:val="20"/>
        </w:rPr>
        <w:t>muestra  </w:t>
      </w:r>
      <w:r>
        <w:rPr>
          <w:rFonts w:ascii="Times New Roman" w:hAnsi="Times New Roman"/>
          <w:sz w:val="20"/>
        </w:rPr>
        <w:t>en</w:t>
      </w:r>
      <w:r>
        <w:rPr>
          <w:rFonts w:ascii="Times New Roman" w:hAnsi="Times New Roman"/>
          <w:spacing w:val="-21"/>
          <w:sz w:val="20"/>
        </w:rPr>
        <w:t> </w:t>
      </w:r>
      <w:r>
        <w:rPr>
          <w:rFonts w:ascii="Times New Roman" w:hAnsi="Times New Roman"/>
          <w:spacing w:val="-7"/>
          <w:sz w:val="20"/>
        </w:rPr>
        <w:t>gramos.</w:t>
      </w:r>
    </w:p>
    <w:p>
      <w:pPr>
        <w:pStyle w:val="BodyText"/>
        <w:rPr>
          <w:rFonts w:ascii="Times New Roman"/>
          <w:sz w:val="20"/>
        </w:rPr>
      </w:pPr>
    </w:p>
    <w:p>
      <w:pPr>
        <w:pStyle w:val="BodyText"/>
        <w:spacing w:before="6"/>
        <w:rPr>
          <w:rFonts w:ascii="Times New Roman"/>
          <w:sz w:val="16"/>
        </w:rPr>
      </w:pPr>
    </w:p>
    <w:p>
      <w:pPr>
        <w:spacing w:before="74"/>
        <w:ind w:left="152" w:right="926" w:firstLine="0"/>
        <w:jc w:val="left"/>
        <w:rPr>
          <w:sz w:val="20"/>
        </w:rPr>
      </w:pPr>
      <w:r>
        <w:rPr>
          <w:sz w:val="20"/>
        </w:rPr>
        <w:t>MATERIALES</w:t>
      </w:r>
    </w:p>
    <w:p>
      <w:pPr>
        <w:spacing w:line="360" w:lineRule="auto" w:before="115"/>
        <w:ind w:left="152" w:right="6388" w:firstLine="0"/>
        <w:jc w:val="left"/>
        <w:rPr>
          <w:sz w:val="20"/>
        </w:rPr>
      </w:pPr>
      <w:r>
        <w:rPr>
          <w:sz w:val="20"/>
        </w:rPr>
        <w:t>Ácido sulfúrico concentrado Pastillas catalizadoras</w:t>
      </w:r>
    </w:p>
    <w:p>
      <w:pPr>
        <w:spacing w:line="362" w:lineRule="auto" w:before="1"/>
        <w:ind w:left="152" w:right="4721" w:firstLine="0"/>
        <w:jc w:val="left"/>
        <w:rPr>
          <w:sz w:val="20"/>
        </w:rPr>
      </w:pPr>
      <w:r>
        <w:rPr>
          <w:sz w:val="20"/>
        </w:rPr>
        <w:t>Hidróxido de sodio al 40% (Tecator) 32% Buchi Ácido bórico al 4%</w:t>
      </w:r>
    </w:p>
    <w:p>
      <w:pPr>
        <w:spacing w:before="1"/>
        <w:ind w:left="152" w:right="926" w:firstLine="0"/>
        <w:jc w:val="left"/>
        <w:rPr>
          <w:sz w:val="20"/>
        </w:rPr>
      </w:pPr>
      <w:r>
        <w:rPr>
          <w:sz w:val="20"/>
        </w:rPr>
        <w:t>Ácido clorhídrico 0.5 N. 0.1N.</w:t>
      </w:r>
    </w:p>
    <w:p>
      <w:pPr>
        <w:spacing w:line="357" w:lineRule="auto" w:before="115"/>
        <w:ind w:left="152" w:right="4777" w:firstLine="0"/>
        <w:jc w:val="left"/>
        <w:rPr>
          <w:sz w:val="20"/>
        </w:rPr>
      </w:pPr>
      <w:r>
        <w:rPr>
          <w:sz w:val="20"/>
        </w:rPr>
        <w:t>Indicador verde de bromocresol - rojo de metilo Matraz erlenmeyer</w:t>
      </w:r>
    </w:p>
    <w:p>
      <w:pPr>
        <w:spacing w:after="0" w:line="357" w:lineRule="auto"/>
        <w:jc w:val="left"/>
        <w:rPr>
          <w:sz w:val="20"/>
        </w:rPr>
        <w:sectPr>
          <w:type w:val="continuous"/>
          <w:pgSz w:w="12240" w:h="15840"/>
          <w:pgMar w:top="1300" w:bottom="280" w:left="1720" w:right="1380"/>
        </w:sectPr>
      </w:pPr>
    </w:p>
    <w:p>
      <w:pPr>
        <w:pStyle w:val="BodyText"/>
        <w:rPr>
          <w:sz w:val="20"/>
        </w:rPr>
      </w:pPr>
    </w:p>
    <w:p>
      <w:pPr>
        <w:pStyle w:val="BodyText"/>
        <w:spacing w:before="9"/>
        <w:rPr>
          <w:sz w:val="26"/>
        </w:rPr>
      </w:pPr>
    </w:p>
    <w:p>
      <w:pPr>
        <w:spacing w:before="74"/>
        <w:ind w:left="152" w:right="926" w:firstLine="0"/>
        <w:jc w:val="left"/>
        <w:rPr>
          <w:sz w:val="20"/>
        </w:rPr>
      </w:pPr>
      <w:r>
        <w:rPr>
          <w:sz w:val="20"/>
        </w:rPr>
        <w:t>PREPARACIÓN DE SOLUCIONES:</w:t>
      </w:r>
    </w:p>
    <w:p>
      <w:pPr>
        <w:pStyle w:val="ListParagraph"/>
        <w:numPr>
          <w:ilvl w:val="0"/>
          <w:numId w:val="24"/>
        </w:numPr>
        <w:tabs>
          <w:tab w:pos="513" w:val="left" w:leader="none"/>
        </w:tabs>
        <w:spacing w:line="360" w:lineRule="auto" w:before="115" w:after="0"/>
        <w:ind w:left="512" w:right="155" w:hanging="360"/>
        <w:jc w:val="both"/>
        <w:rPr>
          <w:sz w:val="20"/>
        </w:rPr>
      </w:pPr>
      <w:r>
        <w:rPr>
          <w:sz w:val="20"/>
        </w:rPr>
        <w:t>Hidróxido de sodio al 40%: con mucho cuidado pesar 2.0 Kg. de hidróxido de sodio y pasarlo a un recipiente de aproximadamente 6 Lts., disolver el hidróxido de sodio con 3.0 Lts. de agua desionizada; tener cuidado al agregar el agua porque se produce una reacción</w:t>
      </w:r>
      <w:r>
        <w:rPr>
          <w:spacing w:val="-21"/>
          <w:sz w:val="20"/>
        </w:rPr>
        <w:t> </w:t>
      </w:r>
      <w:r>
        <w:rPr>
          <w:sz w:val="20"/>
        </w:rPr>
        <w:t>exotérmica.</w:t>
      </w:r>
    </w:p>
    <w:p>
      <w:pPr>
        <w:pStyle w:val="ListParagraph"/>
        <w:numPr>
          <w:ilvl w:val="0"/>
          <w:numId w:val="24"/>
        </w:numPr>
        <w:tabs>
          <w:tab w:pos="513" w:val="left" w:leader="none"/>
        </w:tabs>
        <w:spacing w:line="240" w:lineRule="auto" w:before="4" w:after="0"/>
        <w:ind w:left="512" w:right="0" w:hanging="360"/>
        <w:jc w:val="left"/>
        <w:rPr>
          <w:sz w:val="20"/>
        </w:rPr>
      </w:pPr>
      <w:r>
        <w:rPr>
          <w:sz w:val="20"/>
        </w:rPr>
        <w:t>Ácido Bórico al 4%: pesar 40 g de ácido bórico y disolver con 960 ml de agua</w:t>
      </w:r>
      <w:r>
        <w:rPr>
          <w:spacing w:val="-26"/>
          <w:sz w:val="20"/>
        </w:rPr>
        <w:t> </w:t>
      </w:r>
      <w:r>
        <w:rPr>
          <w:sz w:val="20"/>
        </w:rPr>
        <w:t>desionizada.</w:t>
      </w:r>
    </w:p>
    <w:p>
      <w:pPr>
        <w:pStyle w:val="ListParagraph"/>
        <w:numPr>
          <w:ilvl w:val="0"/>
          <w:numId w:val="24"/>
        </w:numPr>
        <w:tabs>
          <w:tab w:pos="513" w:val="left" w:leader="none"/>
        </w:tabs>
        <w:spacing w:line="357" w:lineRule="auto" w:before="115" w:after="0"/>
        <w:ind w:left="512" w:right="152" w:hanging="360"/>
        <w:jc w:val="left"/>
        <w:rPr>
          <w:sz w:val="20"/>
        </w:rPr>
      </w:pPr>
      <w:r>
        <w:rPr>
          <w:sz w:val="20"/>
        </w:rPr>
        <w:t>Indicador verde de bromocresol – rojo de metilo: disolver 0.1 g de rojo de metilo en 100 ml de metanol, a parte disolver 0.07 g de rojo de metilo en 70 ml de</w:t>
      </w:r>
      <w:r>
        <w:rPr>
          <w:spacing w:val="-15"/>
          <w:sz w:val="20"/>
        </w:rPr>
        <w:t> </w:t>
      </w:r>
      <w:r>
        <w:rPr>
          <w:sz w:val="20"/>
        </w:rPr>
        <w:t>metanol.</w:t>
      </w:r>
    </w:p>
    <w:p>
      <w:pPr>
        <w:pStyle w:val="ListParagraph"/>
        <w:numPr>
          <w:ilvl w:val="0"/>
          <w:numId w:val="24"/>
        </w:numPr>
        <w:tabs>
          <w:tab w:pos="513" w:val="left" w:leader="none"/>
        </w:tabs>
        <w:spacing w:line="240" w:lineRule="auto" w:before="6" w:after="0"/>
        <w:ind w:left="512" w:right="0" w:hanging="360"/>
        <w:jc w:val="left"/>
        <w:rPr>
          <w:sz w:val="20"/>
        </w:rPr>
      </w:pPr>
      <w:r>
        <w:rPr>
          <w:sz w:val="20"/>
        </w:rPr>
        <w:t>Mezclar las dos</w:t>
      </w:r>
      <w:r>
        <w:rPr>
          <w:spacing w:val="-12"/>
          <w:sz w:val="20"/>
        </w:rPr>
        <w:t> </w:t>
      </w:r>
      <w:r>
        <w:rPr>
          <w:sz w:val="20"/>
        </w:rPr>
        <w:t>soluciones</w:t>
      </w:r>
    </w:p>
    <w:p>
      <w:pPr>
        <w:pStyle w:val="BodyText"/>
        <w:rPr>
          <w:sz w:val="20"/>
        </w:rPr>
      </w:pPr>
    </w:p>
    <w:p>
      <w:pPr>
        <w:pStyle w:val="BodyText"/>
        <w:spacing w:before="10"/>
        <w:rPr>
          <w:sz w:val="19"/>
        </w:rPr>
      </w:pPr>
    </w:p>
    <w:p>
      <w:pPr>
        <w:spacing w:before="1"/>
        <w:ind w:left="152" w:right="926" w:firstLine="0"/>
        <w:jc w:val="left"/>
        <w:rPr>
          <w:sz w:val="20"/>
        </w:rPr>
      </w:pPr>
      <w:r>
        <w:rPr>
          <w:sz w:val="20"/>
        </w:rPr>
        <w:t>APARATOS E INSTRUMENTOS</w:t>
      </w:r>
    </w:p>
    <w:p>
      <w:pPr>
        <w:spacing w:line="360" w:lineRule="auto" w:before="115"/>
        <w:ind w:left="152" w:right="7144" w:firstLine="0"/>
        <w:jc w:val="left"/>
        <w:rPr>
          <w:sz w:val="20"/>
        </w:rPr>
      </w:pPr>
      <w:r>
        <w:rPr>
          <w:sz w:val="20"/>
        </w:rPr>
        <w:t>Balanza analítica Tubo para digestión.</w:t>
      </w:r>
    </w:p>
    <w:p>
      <w:pPr>
        <w:pStyle w:val="BodyText"/>
        <w:rPr>
          <w:sz w:val="20"/>
        </w:rPr>
      </w:pPr>
    </w:p>
    <w:p>
      <w:pPr>
        <w:spacing w:before="117"/>
        <w:ind w:left="152" w:right="926" w:firstLine="0"/>
        <w:jc w:val="left"/>
        <w:rPr>
          <w:sz w:val="20"/>
        </w:rPr>
      </w:pPr>
      <w:r>
        <w:rPr>
          <w:sz w:val="20"/>
        </w:rPr>
        <w:t>PROCEDIMIENTO</w:t>
      </w:r>
    </w:p>
    <w:p>
      <w:pPr>
        <w:pStyle w:val="ListParagraph"/>
        <w:numPr>
          <w:ilvl w:val="0"/>
          <w:numId w:val="25"/>
        </w:numPr>
        <w:tabs>
          <w:tab w:pos="513" w:val="left" w:leader="none"/>
        </w:tabs>
        <w:spacing w:line="360" w:lineRule="auto" w:before="115" w:after="0"/>
        <w:ind w:left="512" w:right="158" w:hanging="360"/>
        <w:jc w:val="left"/>
        <w:rPr>
          <w:sz w:val="20"/>
        </w:rPr>
      </w:pPr>
      <w:r>
        <w:rPr>
          <w:sz w:val="20"/>
        </w:rPr>
        <w:t>Pesar en balanza analítica 0.25 g de muestras previamente molida (pesarla en papel copia), anotar el peso</w:t>
      </w:r>
      <w:r>
        <w:rPr>
          <w:spacing w:val="-8"/>
          <w:sz w:val="20"/>
        </w:rPr>
        <w:t> </w:t>
      </w:r>
      <w:r>
        <w:rPr>
          <w:sz w:val="20"/>
        </w:rPr>
        <w:t>exacto.</w:t>
      </w:r>
    </w:p>
    <w:p>
      <w:pPr>
        <w:pStyle w:val="ListParagraph"/>
        <w:numPr>
          <w:ilvl w:val="0"/>
          <w:numId w:val="25"/>
        </w:numPr>
        <w:tabs>
          <w:tab w:pos="513" w:val="left" w:leader="none"/>
        </w:tabs>
        <w:spacing w:line="357" w:lineRule="auto" w:before="4" w:after="0"/>
        <w:ind w:left="512" w:right="158" w:hanging="360"/>
        <w:jc w:val="left"/>
        <w:rPr>
          <w:sz w:val="20"/>
        </w:rPr>
      </w:pPr>
      <w:r>
        <w:rPr>
          <w:sz w:val="20"/>
        </w:rPr>
        <w:t>Envolver la muestra en el papel para evitar la pérdida de muestra y colocarlo en un tubo para digestión.</w:t>
      </w:r>
    </w:p>
    <w:p>
      <w:pPr>
        <w:pStyle w:val="ListParagraph"/>
        <w:numPr>
          <w:ilvl w:val="0"/>
          <w:numId w:val="25"/>
        </w:numPr>
        <w:tabs>
          <w:tab w:pos="513" w:val="left" w:leader="none"/>
        </w:tabs>
        <w:spacing w:line="360" w:lineRule="auto" w:before="6" w:after="0"/>
        <w:ind w:left="512" w:right="156" w:hanging="360"/>
        <w:jc w:val="left"/>
        <w:rPr>
          <w:sz w:val="20"/>
        </w:rPr>
      </w:pPr>
      <w:r>
        <w:rPr>
          <w:sz w:val="20"/>
        </w:rPr>
        <w:t>Agregar al tubo 1 pastilla catalizadoras y 12 ml de ácido sulfúrico concentrado; colocar el tubo digestor previamente calentado (a 420ºC), durante 30</w:t>
      </w:r>
      <w:r>
        <w:rPr>
          <w:spacing w:val="-16"/>
          <w:sz w:val="20"/>
        </w:rPr>
        <w:t> </w:t>
      </w:r>
      <w:r>
        <w:rPr>
          <w:sz w:val="20"/>
        </w:rPr>
        <w:t>minutos.</w:t>
      </w:r>
    </w:p>
    <w:p>
      <w:pPr>
        <w:pStyle w:val="ListParagraph"/>
        <w:numPr>
          <w:ilvl w:val="0"/>
          <w:numId w:val="25"/>
        </w:numPr>
        <w:tabs>
          <w:tab w:pos="513" w:val="left" w:leader="none"/>
        </w:tabs>
        <w:spacing w:line="240" w:lineRule="auto" w:before="4" w:after="0"/>
        <w:ind w:left="512" w:right="0" w:hanging="360"/>
        <w:jc w:val="left"/>
        <w:rPr>
          <w:sz w:val="20"/>
        </w:rPr>
      </w:pPr>
      <w:r>
        <w:rPr>
          <w:sz w:val="20"/>
        </w:rPr>
        <w:t>Sacar el tubo del digestor y dejarlo enfriar de 20 a 30</w:t>
      </w:r>
      <w:r>
        <w:rPr>
          <w:spacing w:val="-15"/>
          <w:sz w:val="20"/>
        </w:rPr>
        <w:t> </w:t>
      </w:r>
      <w:r>
        <w:rPr>
          <w:sz w:val="20"/>
        </w:rPr>
        <w:t>minutos.</w:t>
      </w:r>
    </w:p>
    <w:p>
      <w:pPr>
        <w:pStyle w:val="ListParagraph"/>
        <w:numPr>
          <w:ilvl w:val="0"/>
          <w:numId w:val="25"/>
        </w:numPr>
        <w:tabs>
          <w:tab w:pos="513" w:val="left" w:leader="none"/>
        </w:tabs>
        <w:spacing w:line="240" w:lineRule="auto" w:before="113" w:after="0"/>
        <w:ind w:left="512" w:right="0" w:hanging="360"/>
        <w:jc w:val="left"/>
        <w:rPr>
          <w:sz w:val="20"/>
        </w:rPr>
      </w:pPr>
      <w:r>
        <w:rPr>
          <w:sz w:val="20"/>
        </w:rPr>
        <w:t>Adicionar 75 ml de agua y 70 ml de hidróxido de sodio al 40% y colocarlo en el</w:t>
      </w:r>
      <w:r>
        <w:rPr>
          <w:spacing w:val="-26"/>
          <w:sz w:val="20"/>
        </w:rPr>
        <w:t> </w:t>
      </w:r>
      <w:r>
        <w:rPr>
          <w:sz w:val="20"/>
        </w:rPr>
        <w:t>destilador.</w:t>
      </w:r>
    </w:p>
    <w:p>
      <w:pPr>
        <w:pStyle w:val="ListParagraph"/>
        <w:numPr>
          <w:ilvl w:val="0"/>
          <w:numId w:val="25"/>
        </w:numPr>
        <w:tabs>
          <w:tab w:pos="513" w:val="left" w:leader="none"/>
        </w:tabs>
        <w:spacing w:line="360" w:lineRule="auto" w:before="115" w:after="0"/>
        <w:ind w:left="512" w:right="159" w:hanging="360"/>
        <w:jc w:val="left"/>
        <w:rPr>
          <w:sz w:val="20"/>
        </w:rPr>
      </w:pPr>
      <w:r>
        <w:rPr>
          <w:sz w:val="20"/>
        </w:rPr>
        <w:t>En un matraz Erlenmeyer agregar 30 ml de ácido bórico al 4% y 5 gotas de indicador verde de bromocresol – rojo de metilo; ahí recibiremos el destilado durante 5</w:t>
      </w:r>
      <w:r>
        <w:rPr>
          <w:spacing w:val="-22"/>
          <w:sz w:val="20"/>
        </w:rPr>
        <w:t> </w:t>
      </w:r>
      <w:r>
        <w:rPr>
          <w:sz w:val="20"/>
        </w:rPr>
        <w:t>minutos.</w:t>
      </w:r>
    </w:p>
    <w:p>
      <w:pPr>
        <w:pStyle w:val="ListParagraph"/>
        <w:numPr>
          <w:ilvl w:val="0"/>
          <w:numId w:val="25"/>
        </w:numPr>
        <w:tabs>
          <w:tab w:pos="513" w:val="left" w:leader="none"/>
        </w:tabs>
        <w:spacing w:line="240" w:lineRule="auto" w:before="4" w:after="0"/>
        <w:ind w:left="512" w:right="0" w:hanging="360"/>
        <w:jc w:val="left"/>
        <w:rPr>
          <w:sz w:val="20"/>
        </w:rPr>
      </w:pPr>
      <w:r>
        <w:rPr>
          <w:sz w:val="20"/>
        </w:rPr>
        <w:t>Sacar el matraz titular con ácido clorhídrico 0.1 N (verde a rosa</w:t>
      </w:r>
      <w:r>
        <w:rPr>
          <w:spacing w:val="-23"/>
          <w:sz w:val="20"/>
        </w:rPr>
        <w:t> </w:t>
      </w:r>
      <w:r>
        <w:rPr>
          <w:sz w:val="20"/>
        </w:rPr>
        <w:t>claro).</w:t>
      </w:r>
    </w:p>
    <w:p>
      <w:pPr>
        <w:pStyle w:val="ListParagraph"/>
        <w:numPr>
          <w:ilvl w:val="0"/>
          <w:numId w:val="25"/>
        </w:numPr>
        <w:tabs>
          <w:tab w:pos="513" w:val="left" w:leader="none"/>
        </w:tabs>
        <w:spacing w:line="360" w:lineRule="auto" w:before="113" w:after="0"/>
        <w:ind w:left="152" w:right="2972" w:firstLine="0"/>
        <w:jc w:val="left"/>
        <w:rPr>
          <w:sz w:val="20"/>
        </w:rPr>
      </w:pPr>
      <w:r>
        <w:rPr>
          <w:sz w:val="20"/>
        </w:rPr>
        <w:t>Tratar una muestra en blanco para las correcciones</w:t>
      </w:r>
      <w:r>
        <w:rPr>
          <w:spacing w:val="-17"/>
          <w:sz w:val="20"/>
        </w:rPr>
        <w:t> </w:t>
      </w:r>
      <w:r>
        <w:rPr>
          <w:sz w:val="20"/>
        </w:rPr>
        <w:t>necesarias. REFERENCIAS</w:t>
      </w:r>
    </w:p>
    <w:p>
      <w:pPr>
        <w:spacing w:before="4"/>
        <w:ind w:left="152" w:right="926" w:firstLine="0"/>
        <w:jc w:val="left"/>
        <w:rPr>
          <w:sz w:val="20"/>
        </w:rPr>
      </w:pPr>
      <w:r>
        <w:rPr>
          <w:sz w:val="20"/>
        </w:rPr>
        <w:t>Van Soest and Wine (1967).</w:t>
      </w:r>
    </w:p>
    <w:p>
      <w:pPr>
        <w:spacing w:after="0"/>
        <w:jc w:val="left"/>
        <w:rPr>
          <w:sz w:val="20"/>
        </w:rPr>
        <w:sectPr>
          <w:pgSz w:w="12240" w:h="15840"/>
          <w:pgMar w:header="728" w:footer="710" w:top="1200" w:bottom="900" w:left="1720" w:right="1380"/>
        </w:sectPr>
      </w:pPr>
    </w:p>
    <w:p>
      <w:pPr>
        <w:pStyle w:val="BodyText"/>
        <w:rPr>
          <w:sz w:val="20"/>
        </w:rPr>
      </w:pPr>
    </w:p>
    <w:p>
      <w:pPr>
        <w:pStyle w:val="BodyText"/>
        <w:spacing w:before="3"/>
        <w:rPr>
          <w:sz w:val="27"/>
        </w:rPr>
      </w:pPr>
    </w:p>
    <w:p>
      <w:pPr>
        <w:pStyle w:val="Heading2"/>
        <w:spacing w:line="264" w:lineRule="auto" w:before="69"/>
        <w:ind w:left="152" w:right="154"/>
      </w:pPr>
      <w:bookmarkStart w:name="_bookmark72" w:id="90"/>
      <w:bookmarkEnd w:id="90"/>
      <w:r>
        <w:rPr>
          <w:b w:val="0"/>
        </w:rPr>
      </w:r>
      <w:r>
        <w:rPr/>
        <w:t>Anexo 13: NMX-F-100-1984. ALIMENTOS. LÁCTEOS. DETERMINACIÓN DE GRASA BUTÍRICA EN QUESOS. FOODS. LACTEOUS. CHEESE BUTTER FAT DETERMINATION. NORMAS MEXICANAS. DIRECCIÓN GENERAL DE NORMAS.</w:t>
      </w:r>
    </w:p>
    <w:p>
      <w:pPr>
        <w:pStyle w:val="BodyText"/>
        <w:spacing w:before="1"/>
        <w:rPr>
          <w:b/>
          <w:sz w:val="30"/>
        </w:rPr>
      </w:pPr>
    </w:p>
    <w:p>
      <w:pPr>
        <w:spacing w:before="0"/>
        <w:ind w:left="152" w:right="926" w:firstLine="0"/>
        <w:jc w:val="left"/>
        <w:rPr>
          <w:sz w:val="20"/>
        </w:rPr>
      </w:pPr>
      <w:r>
        <w:rPr>
          <w:sz w:val="20"/>
        </w:rPr>
        <w:t>PREFACIO</w:t>
      </w:r>
    </w:p>
    <w:p>
      <w:pPr>
        <w:spacing w:line="360" w:lineRule="auto" w:before="113"/>
        <w:ind w:left="152" w:right="1830" w:firstLine="0"/>
        <w:jc w:val="left"/>
        <w:rPr>
          <w:sz w:val="20"/>
        </w:rPr>
      </w:pPr>
      <w:r>
        <w:rPr>
          <w:sz w:val="20"/>
        </w:rPr>
        <w:t>En la elaboración de la presente Norma, participaron los siguientes Organismos: Cámara de Productos Alimenticios Elaborados con Leche.</w:t>
      </w:r>
    </w:p>
    <w:p>
      <w:pPr>
        <w:spacing w:line="357" w:lineRule="auto" w:before="4"/>
        <w:ind w:left="152" w:right="5423" w:firstLine="0"/>
        <w:jc w:val="left"/>
        <w:rPr>
          <w:sz w:val="20"/>
        </w:rPr>
      </w:pPr>
      <w:r>
        <w:rPr>
          <w:sz w:val="20"/>
        </w:rPr>
        <w:t>Industrias Alimenticias Club, S.A. Cremería Chalco, S.A.</w:t>
      </w:r>
    </w:p>
    <w:p>
      <w:pPr>
        <w:spacing w:line="360" w:lineRule="auto" w:before="6"/>
        <w:ind w:left="152" w:right="4951" w:firstLine="0"/>
        <w:jc w:val="left"/>
        <w:rPr>
          <w:sz w:val="20"/>
        </w:rPr>
      </w:pPr>
      <w:r>
        <w:rPr>
          <w:sz w:val="20"/>
        </w:rPr>
        <w:t>Kraft Foods de México, S.A. de C.V. Productos de Leche Noche Buena, S.A. Productos de Leche, S.A.</w:t>
      </w:r>
    </w:p>
    <w:p>
      <w:pPr>
        <w:spacing w:before="1"/>
        <w:ind w:left="152" w:right="926" w:firstLine="0"/>
        <w:jc w:val="left"/>
        <w:rPr>
          <w:sz w:val="20"/>
        </w:rPr>
      </w:pPr>
      <w:r>
        <w:rPr>
          <w:sz w:val="20"/>
        </w:rPr>
        <w:t>Quesos Caperucita, S.A.</w:t>
      </w:r>
    </w:p>
    <w:p>
      <w:pPr>
        <w:pStyle w:val="BodyText"/>
        <w:rPr>
          <w:sz w:val="20"/>
        </w:rPr>
      </w:pPr>
    </w:p>
    <w:p>
      <w:pPr>
        <w:pStyle w:val="BodyText"/>
        <w:spacing w:before="1"/>
        <w:rPr>
          <w:sz w:val="20"/>
        </w:rPr>
      </w:pPr>
    </w:p>
    <w:p>
      <w:pPr>
        <w:pStyle w:val="ListParagraph"/>
        <w:numPr>
          <w:ilvl w:val="0"/>
          <w:numId w:val="26"/>
        </w:numPr>
        <w:tabs>
          <w:tab w:pos="374" w:val="left" w:leader="none"/>
        </w:tabs>
        <w:spacing w:line="240" w:lineRule="auto" w:before="0" w:after="0"/>
        <w:ind w:left="152" w:right="0" w:firstLine="0"/>
        <w:jc w:val="left"/>
        <w:rPr>
          <w:sz w:val="20"/>
        </w:rPr>
      </w:pPr>
      <w:r>
        <w:rPr>
          <w:sz w:val="20"/>
        </w:rPr>
        <w:t>OBJETIVO Y CAMPO DE</w:t>
      </w:r>
      <w:r>
        <w:rPr>
          <w:spacing w:val="-8"/>
          <w:sz w:val="20"/>
        </w:rPr>
        <w:t> </w:t>
      </w:r>
      <w:r>
        <w:rPr>
          <w:sz w:val="20"/>
        </w:rPr>
        <w:t>APLICACIÓN</w:t>
      </w:r>
    </w:p>
    <w:p>
      <w:pPr>
        <w:spacing w:line="357" w:lineRule="auto" w:before="115"/>
        <w:ind w:left="152" w:right="161" w:firstLine="0"/>
        <w:jc w:val="left"/>
        <w:rPr>
          <w:sz w:val="20"/>
        </w:rPr>
      </w:pPr>
      <w:r>
        <w:rPr>
          <w:sz w:val="20"/>
        </w:rPr>
        <w:t>Esta Norma Mexicana establece el procedimiento para determinar la grasa butírica en quesos por el método de Gerber-Van</w:t>
      </w:r>
      <w:r>
        <w:rPr>
          <w:spacing w:val="-7"/>
          <w:sz w:val="20"/>
        </w:rPr>
        <w:t> </w:t>
      </w:r>
      <w:r>
        <w:rPr>
          <w:sz w:val="20"/>
        </w:rPr>
        <w:t>Gulik.</w:t>
      </w:r>
    </w:p>
    <w:p>
      <w:pPr>
        <w:pStyle w:val="BodyText"/>
        <w:rPr>
          <w:sz w:val="20"/>
        </w:rPr>
      </w:pPr>
    </w:p>
    <w:p>
      <w:pPr>
        <w:pStyle w:val="BodyText"/>
        <w:rPr>
          <w:sz w:val="20"/>
        </w:rPr>
      </w:pPr>
    </w:p>
    <w:p>
      <w:pPr>
        <w:pStyle w:val="BodyText"/>
        <w:spacing w:before="7"/>
        <w:rPr>
          <w:sz w:val="20"/>
        </w:rPr>
      </w:pPr>
    </w:p>
    <w:p>
      <w:pPr>
        <w:pStyle w:val="ListParagraph"/>
        <w:numPr>
          <w:ilvl w:val="0"/>
          <w:numId w:val="26"/>
        </w:numPr>
        <w:tabs>
          <w:tab w:pos="374" w:val="left" w:leader="none"/>
        </w:tabs>
        <w:spacing w:line="240" w:lineRule="auto" w:before="0" w:after="0"/>
        <w:ind w:left="373" w:right="0" w:hanging="221"/>
        <w:jc w:val="left"/>
        <w:rPr>
          <w:sz w:val="20"/>
        </w:rPr>
      </w:pPr>
      <w:r>
        <w:rPr>
          <w:sz w:val="20"/>
        </w:rPr>
        <w:t>FUNDAMENTO</w:t>
      </w:r>
    </w:p>
    <w:p>
      <w:pPr>
        <w:spacing w:line="360" w:lineRule="auto" w:before="113"/>
        <w:ind w:left="152" w:right="149" w:firstLine="0"/>
        <w:jc w:val="both"/>
        <w:rPr>
          <w:sz w:val="20"/>
        </w:rPr>
      </w:pPr>
      <w:r>
        <w:rPr>
          <w:sz w:val="20"/>
        </w:rPr>
        <w:t>Este método se basa en la digestión parcial de los componentes del queso, excepto la grasa, en ácido sulfúrico. Emplea alcohol isoamílico para ayudar a disminuir la tensión en la interfase entre la grasa y la mezcla en reacción (ácido sulfúrico-leche), lo que facilita el ascenso de los glóbulos pequeños de grasa por centrifugación. El alcohol isoamílico reacciona con el ácido sulfúrico formando un éster que es completamente soluble en dicho ácido.</w:t>
      </w:r>
    </w:p>
    <w:p>
      <w:pPr>
        <w:pStyle w:val="BodyText"/>
        <w:rPr>
          <w:sz w:val="20"/>
        </w:rPr>
      </w:pPr>
    </w:p>
    <w:p>
      <w:pPr>
        <w:pStyle w:val="ListParagraph"/>
        <w:numPr>
          <w:ilvl w:val="0"/>
          <w:numId w:val="26"/>
        </w:numPr>
        <w:tabs>
          <w:tab w:pos="374" w:val="left" w:leader="none"/>
        </w:tabs>
        <w:spacing w:line="240" w:lineRule="auto" w:before="119" w:after="0"/>
        <w:ind w:left="373" w:right="0" w:hanging="221"/>
        <w:jc w:val="left"/>
        <w:rPr>
          <w:sz w:val="20"/>
        </w:rPr>
      </w:pPr>
      <w:r>
        <w:rPr>
          <w:sz w:val="20"/>
        </w:rPr>
        <w:t>REACTIVOS Y</w:t>
      </w:r>
      <w:r>
        <w:rPr>
          <w:spacing w:val="-6"/>
          <w:sz w:val="20"/>
        </w:rPr>
        <w:t> </w:t>
      </w:r>
      <w:r>
        <w:rPr>
          <w:sz w:val="20"/>
        </w:rPr>
        <w:t>MATERIALES</w:t>
      </w:r>
    </w:p>
    <w:p>
      <w:pPr>
        <w:pStyle w:val="ListParagraph"/>
        <w:numPr>
          <w:ilvl w:val="1"/>
          <w:numId w:val="26"/>
        </w:numPr>
        <w:tabs>
          <w:tab w:pos="484" w:val="left" w:leader="none"/>
        </w:tabs>
        <w:spacing w:line="240" w:lineRule="auto" w:before="114" w:after="0"/>
        <w:ind w:left="483" w:right="0" w:hanging="331"/>
        <w:jc w:val="left"/>
        <w:rPr>
          <w:sz w:val="20"/>
        </w:rPr>
      </w:pPr>
      <w:r>
        <w:rPr>
          <w:sz w:val="20"/>
        </w:rPr>
        <w:t>Reactivos</w:t>
      </w:r>
    </w:p>
    <w:p>
      <w:pPr>
        <w:spacing w:line="360" w:lineRule="auto" w:before="115"/>
        <w:ind w:left="152" w:right="154" w:firstLine="0"/>
        <w:jc w:val="left"/>
        <w:rPr>
          <w:sz w:val="20"/>
        </w:rPr>
      </w:pPr>
      <w:r>
        <w:rPr>
          <w:sz w:val="20"/>
        </w:rPr>
        <w:t>3.1.1 Los reactivos que a continuación se mencionan deben ser grado analítico, cuando se indique agua, debe entenderse agua destilada.</w:t>
      </w:r>
    </w:p>
    <w:p>
      <w:pPr>
        <w:spacing w:before="4"/>
        <w:ind w:left="152" w:right="926" w:firstLine="0"/>
        <w:jc w:val="left"/>
        <w:rPr>
          <w:sz w:val="20"/>
        </w:rPr>
      </w:pPr>
      <w:r>
        <w:rPr>
          <w:sz w:val="20"/>
        </w:rPr>
        <w:t>Ácido sulfúrico concentrado de densidad 1.530 a 288 K (15ºC).</w:t>
      </w:r>
    </w:p>
    <w:p>
      <w:pPr>
        <w:spacing w:before="113"/>
        <w:ind w:left="152" w:right="926" w:firstLine="0"/>
        <w:jc w:val="left"/>
        <w:rPr>
          <w:sz w:val="20"/>
        </w:rPr>
      </w:pPr>
      <w:r>
        <w:rPr>
          <w:sz w:val="20"/>
        </w:rPr>
        <w:t>Alcohol isoamílico o amílico libre de grasa y de densidad 0.88 a 288 K (15ºC).</w:t>
      </w:r>
    </w:p>
    <w:p>
      <w:pPr>
        <w:spacing w:line="360" w:lineRule="auto" w:before="115"/>
        <w:ind w:left="152" w:right="154" w:firstLine="0"/>
        <w:jc w:val="left"/>
        <w:rPr>
          <w:sz w:val="20"/>
        </w:rPr>
      </w:pPr>
      <w:r>
        <w:rPr>
          <w:sz w:val="20"/>
        </w:rPr>
        <w:t>Nota: Tanto el ácido sulfúrico como el alcohol isoamílico deben someterse a una prueba en blanco antes de usarse.</w:t>
      </w:r>
    </w:p>
    <w:p>
      <w:pPr>
        <w:spacing w:after="0" w:line="360" w:lineRule="auto"/>
        <w:jc w:val="left"/>
        <w:rPr>
          <w:sz w:val="20"/>
        </w:rPr>
        <w:sectPr>
          <w:pgSz w:w="12240" w:h="15840"/>
          <w:pgMar w:header="728" w:footer="710" w:top="1200" w:bottom="900" w:left="1720" w:right="1380"/>
        </w:sectPr>
      </w:pPr>
    </w:p>
    <w:p>
      <w:pPr>
        <w:pStyle w:val="BodyText"/>
        <w:rPr>
          <w:sz w:val="20"/>
        </w:rPr>
      </w:pPr>
    </w:p>
    <w:p>
      <w:pPr>
        <w:pStyle w:val="BodyText"/>
        <w:spacing w:before="9"/>
        <w:rPr>
          <w:sz w:val="26"/>
        </w:rPr>
      </w:pPr>
    </w:p>
    <w:p>
      <w:pPr>
        <w:pStyle w:val="ListParagraph"/>
        <w:numPr>
          <w:ilvl w:val="1"/>
          <w:numId w:val="26"/>
        </w:numPr>
        <w:tabs>
          <w:tab w:pos="484" w:val="left" w:leader="none"/>
        </w:tabs>
        <w:spacing w:line="240" w:lineRule="auto" w:before="74" w:after="0"/>
        <w:ind w:left="483" w:right="0" w:hanging="331"/>
        <w:jc w:val="left"/>
        <w:rPr>
          <w:sz w:val="20"/>
        </w:rPr>
      </w:pPr>
      <w:r>
        <w:rPr>
          <w:sz w:val="20"/>
        </w:rPr>
        <w:t>Materiales</w:t>
      </w:r>
    </w:p>
    <w:p>
      <w:pPr>
        <w:spacing w:line="360" w:lineRule="auto" w:before="115"/>
        <w:ind w:left="152" w:right="4721" w:firstLine="0"/>
        <w:jc w:val="left"/>
        <w:rPr>
          <w:sz w:val="20"/>
        </w:rPr>
      </w:pPr>
      <w:r>
        <w:rPr>
          <w:sz w:val="20"/>
        </w:rPr>
        <w:t>Embudo con llave de paso para liberar 1.0 cm Embudo con llave de paso para liberar 10.0 cm Butirómetro de Gerber-Van Gulik para quesos Tapones para butirómetro</w:t>
      </w:r>
    </w:p>
    <w:p>
      <w:pPr>
        <w:spacing w:line="357" w:lineRule="auto" w:before="4"/>
        <w:ind w:left="152" w:right="6322" w:firstLine="0"/>
        <w:jc w:val="left"/>
        <w:rPr>
          <w:sz w:val="20"/>
        </w:rPr>
      </w:pPr>
      <w:r>
        <w:rPr>
          <w:sz w:val="20"/>
        </w:rPr>
        <w:t>Tapa perforada para queso Material común de laboratorio</w:t>
      </w:r>
    </w:p>
    <w:p>
      <w:pPr>
        <w:pStyle w:val="BodyText"/>
        <w:rPr>
          <w:sz w:val="20"/>
        </w:rPr>
      </w:pPr>
    </w:p>
    <w:p>
      <w:pPr>
        <w:pStyle w:val="ListParagraph"/>
        <w:numPr>
          <w:ilvl w:val="0"/>
          <w:numId w:val="26"/>
        </w:numPr>
        <w:tabs>
          <w:tab w:pos="374" w:val="left" w:leader="none"/>
        </w:tabs>
        <w:spacing w:line="357" w:lineRule="auto" w:before="122" w:after="0"/>
        <w:ind w:left="152" w:right="5856" w:firstLine="0"/>
        <w:jc w:val="left"/>
        <w:rPr>
          <w:sz w:val="20"/>
        </w:rPr>
      </w:pPr>
      <w:r>
        <w:rPr>
          <w:sz w:val="20"/>
        </w:rPr>
        <w:t>APARATOS Y EQUIPO Centrífuga para butirómetro</w:t>
      </w:r>
      <w:r>
        <w:rPr>
          <w:spacing w:val="-13"/>
          <w:sz w:val="20"/>
        </w:rPr>
        <w:t> </w:t>
      </w:r>
      <w:r>
        <w:rPr>
          <w:sz w:val="20"/>
        </w:rPr>
        <w:t>Gerber</w:t>
      </w:r>
    </w:p>
    <w:p>
      <w:pPr>
        <w:spacing w:before="6"/>
        <w:ind w:left="152" w:right="926" w:firstLine="0"/>
        <w:jc w:val="left"/>
        <w:rPr>
          <w:sz w:val="20"/>
        </w:rPr>
      </w:pPr>
      <w:r>
        <w:rPr>
          <w:sz w:val="20"/>
        </w:rPr>
        <w:t>Baño de agua que pueda mantener la temperatura regulable de 338 K ±1 K (65ºC ± 1ºC).</w:t>
      </w:r>
    </w:p>
    <w:p>
      <w:pPr>
        <w:pStyle w:val="BodyText"/>
        <w:rPr>
          <w:sz w:val="20"/>
        </w:rPr>
      </w:pPr>
    </w:p>
    <w:p>
      <w:pPr>
        <w:pStyle w:val="BodyText"/>
        <w:spacing w:before="1"/>
        <w:rPr>
          <w:sz w:val="20"/>
        </w:rPr>
      </w:pPr>
    </w:p>
    <w:p>
      <w:pPr>
        <w:pStyle w:val="ListParagraph"/>
        <w:numPr>
          <w:ilvl w:val="0"/>
          <w:numId w:val="26"/>
        </w:numPr>
        <w:tabs>
          <w:tab w:pos="429" w:val="left" w:leader="none"/>
        </w:tabs>
        <w:spacing w:line="240" w:lineRule="auto" w:before="0" w:after="0"/>
        <w:ind w:left="428" w:right="0" w:hanging="276"/>
        <w:jc w:val="left"/>
        <w:rPr>
          <w:sz w:val="20"/>
        </w:rPr>
      </w:pPr>
      <w:r>
        <w:rPr>
          <w:sz w:val="20"/>
        </w:rPr>
        <w:t>PROCEDIMIENTO</w:t>
      </w:r>
    </w:p>
    <w:p>
      <w:pPr>
        <w:pStyle w:val="ListParagraph"/>
        <w:numPr>
          <w:ilvl w:val="1"/>
          <w:numId w:val="26"/>
        </w:numPr>
        <w:tabs>
          <w:tab w:pos="486" w:val="left" w:leader="none"/>
        </w:tabs>
        <w:spacing w:line="240" w:lineRule="auto" w:before="113" w:after="0"/>
        <w:ind w:left="152" w:right="0" w:firstLine="0"/>
        <w:jc w:val="left"/>
        <w:rPr>
          <w:sz w:val="20"/>
        </w:rPr>
      </w:pPr>
      <w:r>
        <w:rPr>
          <w:sz w:val="20"/>
        </w:rPr>
        <w:t>Pesar directamente en la copa fijada en el tapón del butirómetro 3 g ± 0.001 g de</w:t>
      </w:r>
      <w:r>
        <w:rPr>
          <w:spacing w:val="-25"/>
          <w:sz w:val="20"/>
        </w:rPr>
        <w:t> </w:t>
      </w:r>
      <w:r>
        <w:rPr>
          <w:sz w:val="20"/>
        </w:rPr>
        <w:t>queso.</w:t>
      </w:r>
    </w:p>
    <w:p>
      <w:pPr>
        <w:pStyle w:val="ListParagraph"/>
        <w:numPr>
          <w:ilvl w:val="1"/>
          <w:numId w:val="26"/>
        </w:numPr>
        <w:tabs>
          <w:tab w:pos="484" w:val="left" w:leader="none"/>
        </w:tabs>
        <w:spacing w:line="240" w:lineRule="auto" w:before="115" w:after="0"/>
        <w:ind w:left="483" w:right="0" w:hanging="331"/>
        <w:jc w:val="left"/>
        <w:rPr>
          <w:sz w:val="20"/>
        </w:rPr>
      </w:pPr>
      <w:r>
        <w:rPr>
          <w:sz w:val="20"/>
        </w:rPr>
        <w:t>Meter la copa con la muestra de queso dentro del</w:t>
      </w:r>
      <w:r>
        <w:rPr>
          <w:spacing w:val="-18"/>
          <w:sz w:val="20"/>
        </w:rPr>
        <w:t> </w:t>
      </w:r>
      <w:r>
        <w:rPr>
          <w:sz w:val="20"/>
        </w:rPr>
        <w:t>butirómetro.</w:t>
      </w:r>
    </w:p>
    <w:p>
      <w:pPr>
        <w:pStyle w:val="ListParagraph"/>
        <w:numPr>
          <w:ilvl w:val="1"/>
          <w:numId w:val="26"/>
        </w:numPr>
        <w:tabs>
          <w:tab w:pos="513" w:val="left" w:leader="none"/>
        </w:tabs>
        <w:spacing w:line="360" w:lineRule="auto" w:before="115" w:after="0"/>
        <w:ind w:left="152" w:right="153" w:firstLine="0"/>
        <w:jc w:val="left"/>
        <w:rPr>
          <w:sz w:val="20"/>
        </w:rPr>
      </w:pPr>
      <w:r>
        <w:rPr>
          <w:sz w:val="20"/>
        </w:rPr>
        <w:t>Por la abertura superior, agregar el butirómetro 10 cm de ácido sulfúrico de tal manera que recubra todo el</w:t>
      </w:r>
      <w:r>
        <w:rPr>
          <w:spacing w:val="-11"/>
          <w:sz w:val="20"/>
        </w:rPr>
        <w:t> </w:t>
      </w:r>
      <w:r>
        <w:rPr>
          <w:sz w:val="20"/>
        </w:rPr>
        <w:t>queso.</w:t>
      </w:r>
    </w:p>
    <w:p>
      <w:pPr>
        <w:pStyle w:val="ListParagraph"/>
        <w:numPr>
          <w:ilvl w:val="1"/>
          <w:numId w:val="26"/>
        </w:numPr>
        <w:tabs>
          <w:tab w:pos="544" w:val="left" w:leader="none"/>
        </w:tabs>
        <w:spacing w:line="360" w:lineRule="auto" w:before="1" w:after="0"/>
        <w:ind w:left="152" w:right="158" w:firstLine="0"/>
        <w:jc w:val="left"/>
        <w:rPr>
          <w:sz w:val="20"/>
        </w:rPr>
      </w:pPr>
      <w:r>
        <w:rPr>
          <w:sz w:val="20"/>
        </w:rPr>
        <w:t>Tapar la abertura y colocarlo en baño de agua a 338 K (65ºC) por 30 minutos, agitar cuidadosamente 2 o 3 veces durante ese lapso, para disolver todas las partículas de</w:t>
      </w:r>
      <w:r>
        <w:rPr>
          <w:spacing w:val="-23"/>
          <w:sz w:val="20"/>
        </w:rPr>
        <w:t> </w:t>
      </w:r>
      <w:r>
        <w:rPr>
          <w:sz w:val="20"/>
        </w:rPr>
        <w:t>queso.</w:t>
      </w:r>
    </w:p>
    <w:p>
      <w:pPr>
        <w:pStyle w:val="ListParagraph"/>
        <w:numPr>
          <w:ilvl w:val="1"/>
          <w:numId w:val="26"/>
        </w:numPr>
        <w:tabs>
          <w:tab w:pos="486" w:val="left" w:leader="none"/>
        </w:tabs>
        <w:spacing w:line="240" w:lineRule="auto" w:before="4" w:after="0"/>
        <w:ind w:left="485" w:right="0" w:hanging="333"/>
        <w:jc w:val="left"/>
        <w:rPr>
          <w:sz w:val="20"/>
        </w:rPr>
      </w:pPr>
      <w:r>
        <w:rPr>
          <w:sz w:val="20"/>
        </w:rPr>
        <w:t>Agregar 1 cm de alcohol isoamílico o amílico y</w:t>
      </w:r>
      <w:r>
        <w:rPr>
          <w:spacing w:val="-15"/>
          <w:sz w:val="20"/>
        </w:rPr>
        <w:t> </w:t>
      </w:r>
      <w:r>
        <w:rPr>
          <w:sz w:val="20"/>
        </w:rPr>
        <w:t>agitar.</w:t>
      </w:r>
    </w:p>
    <w:p>
      <w:pPr>
        <w:pStyle w:val="ListParagraph"/>
        <w:numPr>
          <w:ilvl w:val="1"/>
          <w:numId w:val="26"/>
        </w:numPr>
        <w:tabs>
          <w:tab w:pos="582" w:val="left" w:leader="none"/>
        </w:tabs>
        <w:spacing w:line="357" w:lineRule="auto" w:before="115" w:after="0"/>
        <w:ind w:left="152" w:right="158" w:firstLine="0"/>
        <w:jc w:val="left"/>
        <w:rPr>
          <w:sz w:val="20"/>
        </w:rPr>
      </w:pPr>
      <w:r>
        <w:rPr>
          <w:sz w:val="20"/>
        </w:rPr>
        <w:t>Terminar de llenar el butirómetro con ácido sulfúrico, hasta que el volumen llegue aproximadamente tres cuartas partes de la columna</w:t>
      </w:r>
      <w:r>
        <w:rPr>
          <w:spacing w:val="-20"/>
          <w:sz w:val="20"/>
        </w:rPr>
        <w:t> </w:t>
      </w:r>
      <w:r>
        <w:rPr>
          <w:sz w:val="20"/>
        </w:rPr>
        <w:t>graduada.</w:t>
      </w:r>
    </w:p>
    <w:p>
      <w:pPr>
        <w:pStyle w:val="ListParagraph"/>
        <w:numPr>
          <w:ilvl w:val="1"/>
          <w:numId w:val="26"/>
        </w:numPr>
        <w:tabs>
          <w:tab w:pos="484" w:val="left" w:leader="none"/>
        </w:tabs>
        <w:spacing w:line="240" w:lineRule="auto" w:before="6" w:after="0"/>
        <w:ind w:left="483" w:right="0" w:hanging="331"/>
        <w:jc w:val="left"/>
        <w:rPr>
          <w:sz w:val="20"/>
        </w:rPr>
      </w:pPr>
      <w:r>
        <w:rPr>
          <w:sz w:val="20"/>
        </w:rPr>
        <w:t>Tapar la abertura superior y volver a meterlo al baño de agua por 5</w:t>
      </w:r>
      <w:r>
        <w:rPr>
          <w:spacing w:val="-21"/>
          <w:sz w:val="20"/>
        </w:rPr>
        <w:t> </w:t>
      </w:r>
      <w:r>
        <w:rPr>
          <w:sz w:val="20"/>
        </w:rPr>
        <w:t>minutos.</w:t>
      </w:r>
    </w:p>
    <w:p>
      <w:pPr>
        <w:pStyle w:val="ListParagraph"/>
        <w:numPr>
          <w:ilvl w:val="1"/>
          <w:numId w:val="26"/>
        </w:numPr>
        <w:tabs>
          <w:tab w:pos="484" w:val="left" w:leader="none"/>
        </w:tabs>
        <w:spacing w:line="240" w:lineRule="auto" w:before="115" w:after="0"/>
        <w:ind w:left="483" w:right="0" w:hanging="331"/>
        <w:jc w:val="left"/>
        <w:rPr>
          <w:sz w:val="20"/>
        </w:rPr>
      </w:pPr>
      <w:r>
        <w:rPr>
          <w:sz w:val="20"/>
        </w:rPr>
        <w:t>Mezclarlo antes de centrifugar a 1,200 r.p.m., durante 5</w:t>
      </w:r>
      <w:r>
        <w:rPr>
          <w:spacing w:val="-16"/>
          <w:sz w:val="20"/>
        </w:rPr>
        <w:t> </w:t>
      </w:r>
      <w:r>
        <w:rPr>
          <w:sz w:val="20"/>
        </w:rPr>
        <w:t>minutos.</w:t>
      </w:r>
    </w:p>
    <w:p>
      <w:pPr>
        <w:pStyle w:val="ListParagraph"/>
        <w:numPr>
          <w:ilvl w:val="1"/>
          <w:numId w:val="26"/>
        </w:numPr>
        <w:tabs>
          <w:tab w:pos="486" w:val="left" w:leader="none"/>
        </w:tabs>
        <w:spacing w:line="240" w:lineRule="auto" w:before="115" w:after="0"/>
        <w:ind w:left="485" w:right="0" w:hanging="333"/>
        <w:jc w:val="left"/>
        <w:rPr>
          <w:sz w:val="20"/>
        </w:rPr>
      </w:pPr>
      <w:r>
        <w:rPr>
          <w:sz w:val="20"/>
        </w:rPr>
        <w:t>Volver a meter el butirómetro al baño de agua y dejarlo ahí 10</w:t>
      </w:r>
      <w:r>
        <w:rPr>
          <w:spacing w:val="-18"/>
          <w:sz w:val="20"/>
        </w:rPr>
        <w:t> </w:t>
      </w:r>
      <w:r>
        <w:rPr>
          <w:sz w:val="20"/>
        </w:rPr>
        <w:t>minutos.</w:t>
      </w:r>
    </w:p>
    <w:p>
      <w:pPr>
        <w:pStyle w:val="ListParagraph"/>
        <w:numPr>
          <w:ilvl w:val="1"/>
          <w:numId w:val="26"/>
        </w:numPr>
        <w:tabs>
          <w:tab w:pos="609" w:val="left" w:leader="none"/>
        </w:tabs>
        <w:spacing w:line="360" w:lineRule="auto" w:before="113" w:after="0"/>
        <w:ind w:left="152" w:right="160" w:firstLine="0"/>
        <w:jc w:val="left"/>
        <w:rPr>
          <w:sz w:val="20"/>
        </w:rPr>
      </w:pPr>
      <w:r>
        <w:rPr>
          <w:sz w:val="20"/>
        </w:rPr>
        <w:t>Hacer la lectura llevando la base de la columna de grasa exactamente al cero, por medio de presión en el tapón del</w:t>
      </w:r>
      <w:r>
        <w:rPr>
          <w:spacing w:val="-4"/>
          <w:sz w:val="20"/>
        </w:rPr>
        <w:t> </w:t>
      </w:r>
      <w:r>
        <w:rPr>
          <w:sz w:val="20"/>
        </w:rPr>
        <w:t>butirómetro.</w:t>
      </w:r>
    </w:p>
    <w:p>
      <w:pPr>
        <w:pStyle w:val="BodyText"/>
        <w:rPr>
          <w:sz w:val="20"/>
        </w:rPr>
      </w:pPr>
    </w:p>
    <w:p>
      <w:pPr>
        <w:pStyle w:val="ListParagraph"/>
        <w:numPr>
          <w:ilvl w:val="0"/>
          <w:numId w:val="26"/>
        </w:numPr>
        <w:tabs>
          <w:tab w:pos="374" w:val="left" w:leader="none"/>
        </w:tabs>
        <w:spacing w:line="240" w:lineRule="auto" w:before="117" w:after="0"/>
        <w:ind w:left="373" w:right="0" w:hanging="221"/>
        <w:jc w:val="left"/>
        <w:rPr>
          <w:sz w:val="20"/>
        </w:rPr>
      </w:pPr>
      <w:r>
        <w:rPr>
          <w:sz w:val="20"/>
        </w:rPr>
        <w:t>EXPRESIÓN DE</w:t>
      </w:r>
      <w:r>
        <w:rPr>
          <w:spacing w:val="-4"/>
          <w:sz w:val="20"/>
        </w:rPr>
        <w:t> </w:t>
      </w:r>
      <w:r>
        <w:rPr>
          <w:sz w:val="20"/>
        </w:rPr>
        <w:t>RESULTADOS</w:t>
      </w:r>
    </w:p>
    <w:p>
      <w:pPr>
        <w:spacing w:line="360" w:lineRule="auto" w:before="115"/>
        <w:ind w:left="152" w:right="85" w:firstLine="0"/>
        <w:jc w:val="left"/>
        <w:rPr>
          <w:sz w:val="20"/>
        </w:rPr>
      </w:pPr>
      <w:r>
        <w:rPr>
          <w:sz w:val="20"/>
        </w:rPr>
        <w:t>La</w:t>
      </w:r>
      <w:r>
        <w:rPr>
          <w:spacing w:val="-8"/>
          <w:sz w:val="20"/>
        </w:rPr>
        <w:t> </w:t>
      </w:r>
      <w:r>
        <w:rPr>
          <w:sz w:val="20"/>
        </w:rPr>
        <w:t>lectura</w:t>
      </w:r>
      <w:r>
        <w:rPr>
          <w:spacing w:val="-8"/>
          <w:sz w:val="20"/>
        </w:rPr>
        <w:t> </w:t>
      </w:r>
      <w:r>
        <w:rPr>
          <w:sz w:val="20"/>
        </w:rPr>
        <w:t>observada</w:t>
      </w:r>
      <w:r>
        <w:rPr>
          <w:spacing w:val="-8"/>
          <w:sz w:val="20"/>
        </w:rPr>
        <w:t> </w:t>
      </w:r>
      <w:r>
        <w:rPr>
          <w:sz w:val="20"/>
        </w:rPr>
        <w:t>en</w:t>
      </w:r>
      <w:r>
        <w:rPr>
          <w:spacing w:val="-8"/>
          <w:sz w:val="20"/>
        </w:rPr>
        <w:t> </w:t>
      </w:r>
      <w:r>
        <w:rPr>
          <w:sz w:val="20"/>
        </w:rPr>
        <w:t>la</w:t>
      </w:r>
      <w:r>
        <w:rPr>
          <w:spacing w:val="-6"/>
          <w:sz w:val="20"/>
        </w:rPr>
        <w:t> </w:t>
      </w:r>
      <w:r>
        <w:rPr>
          <w:sz w:val="20"/>
        </w:rPr>
        <w:t>escala</w:t>
      </w:r>
      <w:r>
        <w:rPr>
          <w:spacing w:val="-8"/>
          <w:sz w:val="20"/>
        </w:rPr>
        <w:t> </w:t>
      </w:r>
      <w:r>
        <w:rPr>
          <w:sz w:val="20"/>
        </w:rPr>
        <w:t>indica</w:t>
      </w:r>
      <w:r>
        <w:rPr>
          <w:spacing w:val="-8"/>
          <w:sz w:val="20"/>
        </w:rPr>
        <w:t> </w:t>
      </w:r>
      <w:r>
        <w:rPr>
          <w:sz w:val="20"/>
        </w:rPr>
        <w:t>directamente</w:t>
      </w:r>
      <w:r>
        <w:rPr>
          <w:spacing w:val="-8"/>
          <w:sz w:val="20"/>
        </w:rPr>
        <w:t> </w:t>
      </w:r>
      <w:r>
        <w:rPr>
          <w:sz w:val="20"/>
        </w:rPr>
        <w:t>la</w:t>
      </w:r>
      <w:r>
        <w:rPr>
          <w:spacing w:val="-9"/>
          <w:sz w:val="20"/>
        </w:rPr>
        <w:t> </w:t>
      </w:r>
      <w:r>
        <w:rPr>
          <w:sz w:val="20"/>
        </w:rPr>
        <w:t>cantidad</w:t>
      </w:r>
      <w:r>
        <w:rPr>
          <w:spacing w:val="-9"/>
          <w:sz w:val="20"/>
        </w:rPr>
        <w:t> </w:t>
      </w:r>
      <w:r>
        <w:rPr>
          <w:sz w:val="20"/>
        </w:rPr>
        <w:t>en</w:t>
      </w:r>
      <w:r>
        <w:rPr>
          <w:spacing w:val="-9"/>
          <w:sz w:val="20"/>
        </w:rPr>
        <w:t> </w:t>
      </w:r>
      <w:r>
        <w:rPr>
          <w:sz w:val="20"/>
        </w:rPr>
        <w:t>porciento</w:t>
      </w:r>
      <w:r>
        <w:rPr>
          <w:spacing w:val="-8"/>
          <w:sz w:val="20"/>
        </w:rPr>
        <w:t> </w:t>
      </w:r>
      <w:r>
        <w:rPr>
          <w:sz w:val="20"/>
        </w:rPr>
        <w:t>de</w:t>
      </w:r>
      <w:r>
        <w:rPr>
          <w:spacing w:val="-9"/>
          <w:sz w:val="20"/>
        </w:rPr>
        <w:t> </w:t>
      </w:r>
      <w:r>
        <w:rPr>
          <w:sz w:val="20"/>
        </w:rPr>
        <w:t>la</w:t>
      </w:r>
      <w:r>
        <w:rPr>
          <w:spacing w:val="-9"/>
          <w:sz w:val="20"/>
        </w:rPr>
        <w:t> </w:t>
      </w:r>
      <w:r>
        <w:rPr>
          <w:sz w:val="20"/>
        </w:rPr>
        <w:t>grasa</w:t>
      </w:r>
      <w:r>
        <w:rPr>
          <w:spacing w:val="-8"/>
          <w:sz w:val="20"/>
        </w:rPr>
        <w:t> </w:t>
      </w:r>
      <w:r>
        <w:rPr>
          <w:sz w:val="20"/>
        </w:rPr>
        <w:t>contenida en el</w:t>
      </w:r>
      <w:r>
        <w:rPr>
          <w:spacing w:val="-6"/>
          <w:sz w:val="20"/>
        </w:rPr>
        <w:t> </w:t>
      </w:r>
      <w:r>
        <w:rPr>
          <w:sz w:val="20"/>
        </w:rPr>
        <w:t>queso.</w:t>
      </w:r>
    </w:p>
    <w:p>
      <w:pPr>
        <w:pStyle w:val="BodyText"/>
        <w:rPr>
          <w:sz w:val="20"/>
        </w:rPr>
      </w:pPr>
    </w:p>
    <w:p>
      <w:pPr>
        <w:pStyle w:val="ListParagraph"/>
        <w:numPr>
          <w:ilvl w:val="0"/>
          <w:numId w:val="26"/>
        </w:numPr>
        <w:tabs>
          <w:tab w:pos="374" w:val="left" w:leader="none"/>
        </w:tabs>
        <w:spacing w:line="240" w:lineRule="auto" w:before="117" w:after="0"/>
        <w:ind w:left="373" w:right="0" w:hanging="221"/>
        <w:jc w:val="left"/>
        <w:rPr>
          <w:sz w:val="20"/>
        </w:rPr>
      </w:pPr>
      <w:r>
        <w:rPr>
          <w:sz w:val="20"/>
        </w:rPr>
        <w:t>BIBLIOGRAFÍA</w:t>
      </w:r>
    </w:p>
    <w:p>
      <w:pPr>
        <w:spacing w:before="115"/>
        <w:ind w:left="152" w:right="154" w:firstLine="0"/>
        <w:jc w:val="left"/>
        <w:rPr>
          <w:sz w:val="20"/>
        </w:rPr>
      </w:pPr>
      <w:r>
        <w:rPr>
          <w:sz w:val="20"/>
        </w:rPr>
        <w:t>Ramos, Córdova M. Manual de métodos de análisis de leche y lacticinios. México, D.F. 1976.</w:t>
      </w:r>
    </w:p>
    <w:p>
      <w:pPr>
        <w:spacing w:after="0"/>
        <w:jc w:val="left"/>
        <w:rPr>
          <w:sz w:val="20"/>
        </w:rPr>
        <w:sectPr>
          <w:pgSz w:w="12240" w:h="15840"/>
          <w:pgMar w:header="728" w:footer="710" w:top="1200" w:bottom="900" w:left="1720" w:right="1380"/>
        </w:sectPr>
      </w:pPr>
    </w:p>
    <w:p>
      <w:pPr>
        <w:pStyle w:val="BodyText"/>
        <w:rPr>
          <w:sz w:val="20"/>
        </w:rPr>
      </w:pPr>
    </w:p>
    <w:p>
      <w:pPr>
        <w:pStyle w:val="BodyText"/>
        <w:spacing w:before="9"/>
        <w:rPr>
          <w:sz w:val="26"/>
        </w:rPr>
      </w:pPr>
    </w:p>
    <w:p>
      <w:pPr>
        <w:spacing w:line="360" w:lineRule="auto" w:before="74"/>
        <w:ind w:left="152" w:right="154" w:firstLine="0"/>
        <w:jc w:val="left"/>
        <w:rPr>
          <w:sz w:val="20"/>
        </w:rPr>
      </w:pPr>
      <w:bookmarkStart w:name="_bookmark73" w:id="91"/>
      <w:bookmarkEnd w:id="91"/>
      <w:r>
        <w:rPr/>
      </w:r>
      <w:r>
        <w:rPr>
          <w:sz w:val="20"/>
        </w:rPr>
        <w:t>Rosell, J. Ma. Manual de análisis lactológicos y fabricación de quesos y mantecas. Ed. Trofos, España, 1960.</w:t>
      </w:r>
    </w:p>
    <w:p>
      <w:pPr>
        <w:spacing w:line="360" w:lineRule="auto" w:before="1"/>
        <w:ind w:left="152" w:right="154" w:firstLine="0"/>
        <w:jc w:val="left"/>
        <w:rPr>
          <w:sz w:val="20"/>
        </w:rPr>
      </w:pPr>
      <w:r>
        <w:rPr>
          <w:sz w:val="20"/>
        </w:rPr>
        <w:t>Gerber N., Schneider K. Tratado práctico de los análisis de la leche y del control de los productos lácteos. Ed. Dossat, S.A. Madrid, 1960.</w:t>
      </w:r>
    </w:p>
    <w:p>
      <w:pPr>
        <w:spacing w:before="4"/>
        <w:ind w:left="152" w:right="85" w:firstLine="0"/>
        <w:jc w:val="left"/>
        <w:rPr>
          <w:sz w:val="20"/>
        </w:rPr>
      </w:pPr>
      <w:r>
        <w:rPr>
          <w:sz w:val="20"/>
        </w:rPr>
        <w:t>NMX-Z-013-1977. Guía para la redacción, estructuración y presentación de las Normas Mexicanas.</w:t>
      </w:r>
    </w:p>
    <w:p>
      <w:pPr>
        <w:spacing w:after="0"/>
        <w:jc w:val="left"/>
        <w:rPr>
          <w:sz w:val="20"/>
        </w:rPr>
        <w:sectPr>
          <w:footerReference w:type="default" r:id="rId119"/>
          <w:pgSz w:w="12240" w:h="15840"/>
          <w:pgMar w:footer="710" w:header="728" w:top="1200" w:bottom="900" w:left="1720" w:right="1380"/>
        </w:sectPr>
      </w:pPr>
    </w:p>
    <w:p>
      <w:pPr>
        <w:pStyle w:val="BodyText"/>
        <w:rPr>
          <w:sz w:val="20"/>
        </w:rPr>
      </w:pPr>
    </w:p>
    <w:p>
      <w:pPr>
        <w:pStyle w:val="BodyText"/>
        <w:spacing w:before="3"/>
        <w:rPr>
          <w:sz w:val="27"/>
        </w:rPr>
      </w:pPr>
    </w:p>
    <w:p>
      <w:pPr>
        <w:pStyle w:val="Heading2"/>
        <w:spacing w:before="69"/>
        <w:ind w:left="152" w:right="926"/>
      </w:pPr>
      <w:r>
        <w:rPr/>
        <w:t>ANEXO 14: PROCEDIMIENTO PARA EXTRACCIÓN DE ADN</w:t>
      </w:r>
    </w:p>
    <w:p>
      <w:pPr>
        <w:pStyle w:val="BodyText"/>
        <w:rPr>
          <w:b/>
        </w:rPr>
      </w:pPr>
    </w:p>
    <w:p>
      <w:pPr>
        <w:spacing w:before="138"/>
        <w:ind w:left="152" w:right="926" w:firstLine="0"/>
        <w:jc w:val="left"/>
        <w:rPr>
          <w:sz w:val="20"/>
        </w:rPr>
      </w:pPr>
      <w:r>
        <w:rPr>
          <w:sz w:val="20"/>
        </w:rPr>
        <w:t>Thermo Scientific Genejet Genomic DNA Purification Kit</w:t>
      </w:r>
    </w:p>
    <w:p>
      <w:pPr>
        <w:pStyle w:val="ListParagraph"/>
        <w:numPr>
          <w:ilvl w:val="0"/>
          <w:numId w:val="27"/>
        </w:numPr>
        <w:tabs>
          <w:tab w:pos="872" w:val="left" w:leader="none"/>
          <w:tab w:pos="873" w:val="left" w:leader="none"/>
        </w:tabs>
        <w:spacing w:line="396" w:lineRule="auto" w:before="152" w:after="0"/>
        <w:ind w:left="152" w:right="6788" w:firstLine="360"/>
        <w:jc w:val="left"/>
        <w:rPr>
          <w:sz w:val="20"/>
        </w:rPr>
      </w:pPr>
      <w:r>
        <w:rPr>
          <w:sz w:val="20"/>
        </w:rPr>
        <w:t>Buffer de lisis: 200mM Tris-HCl (ph</w:t>
      </w:r>
      <w:r>
        <w:rPr>
          <w:spacing w:val="-8"/>
          <w:sz w:val="20"/>
        </w:rPr>
        <w:t> </w:t>
      </w:r>
      <w:r>
        <w:rPr>
          <w:sz w:val="20"/>
        </w:rPr>
        <w:t>8.0) 2mM EDTA</w:t>
      </w:r>
    </w:p>
    <w:p>
      <w:pPr>
        <w:pStyle w:val="ListParagraph"/>
        <w:numPr>
          <w:ilvl w:val="1"/>
          <w:numId w:val="28"/>
        </w:numPr>
        <w:tabs>
          <w:tab w:pos="431" w:val="left" w:leader="none"/>
        </w:tabs>
        <w:spacing w:line="240" w:lineRule="auto" w:before="8" w:after="0"/>
        <w:ind w:left="430" w:right="0" w:hanging="278"/>
        <w:jc w:val="left"/>
        <w:rPr>
          <w:sz w:val="20"/>
        </w:rPr>
      </w:pPr>
      <w:r>
        <w:rPr>
          <w:sz w:val="20"/>
        </w:rPr>
        <w:t>% Triton</w:t>
      </w:r>
      <w:r>
        <w:rPr>
          <w:spacing w:val="-4"/>
          <w:sz w:val="20"/>
        </w:rPr>
        <w:t> </w:t>
      </w:r>
      <w:r>
        <w:rPr>
          <w:sz w:val="20"/>
        </w:rPr>
        <w:t>X-100</w:t>
      </w:r>
    </w:p>
    <w:p>
      <w:pPr>
        <w:spacing w:before="154"/>
        <w:ind w:left="152" w:right="926" w:firstLine="0"/>
        <w:jc w:val="left"/>
        <w:rPr>
          <w:sz w:val="20"/>
        </w:rPr>
      </w:pPr>
      <w:r>
        <w:rPr>
          <w:sz w:val="20"/>
        </w:rPr>
        <w:t>Lisozima 20 mg/mL agregar inmediatamente antes de usarse.</w:t>
      </w:r>
    </w:p>
    <w:p>
      <w:pPr>
        <w:pStyle w:val="ListParagraph"/>
        <w:numPr>
          <w:ilvl w:val="2"/>
          <w:numId w:val="28"/>
        </w:numPr>
        <w:tabs>
          <w:tab w:pos="873" w:val="left" w:leader="none"/>
        </w:tabs>
        <w:spacing w:line="240" w:lineRule="auto" w:before="154" w:after="0"/>
        <w:ind w:left="872" w:right="0" w:hanging="360"/>
        <w:jc w:val="left"/>
        <w:rPr>
          <w:sz w:val="20"/>
        </w:rPr>
      </w:pPr>
      <w:r>
        <w:rPr>
          <w:sz w:val="20"/>
        </w:rPr>
        <w:t>Colocar 2x109 de células bacterianas en un tubo de 2 mL y centrifugar por 10 min a  5000x</w:t>
      </w:r>
    </w:p>
    <w:p>
      <w:pPr>
        <w:spacing w:before="36"/>
        <w:ind w:left="872" w:right="926" w:firstLine="0"/>
        <w:jc w:val="left"/>
        <w:rPr>
          <w:sz w:val="20"/>
        </w:rPr>
      </w:pPr>
      <w:r>
        <w:rPr>
          <w:sz w:val="20"/>
        </w:rPr>
        <w:t>g. Desechar el sobrenadante.</w:t>
      </w:r>
    </w:p>
    <w:p>
      <w:pPr>
        <w:pStyle w:val="ListParagraph"/>
        <w:numPr>
          <w:ilvl w:val="2"/>
          <w:numId w:val="28"/>
        </w:numPr>
        <w:tabs>
          <w:tab w:pos="873" w:val="left" w:leader="none"/>
        </w:tabs>
        <w:spacing w:line="240" w:lineRule="auto" w:before="34" w:after="0"/>
        <w:ind w:left="872" w:right="0" w:hanging="360"/>
        <w:jc w:val="left"/>
        <w:rPr>
          <w:sz w:val="20"/>
        </w:rPr>
      </w:pPr>
      <w:r>
        <w:rPr>
          <w:sz w:val="20"/>
        </w:rPr>
        <w:t>Resuspender el pellet en 180 µL del buffer de lisis e incubarlo por 30 min a</w:t>
      </w:r>
      <w:r>
        <w:rPr>
          <w:spacing w:val="-28"/>
          <w:sz w:val="20"/>
        </w:rPr>
        <w:t> </w:t>
      </w:r>
      <w:r>
        <w:rPr>
          <w:sz w:val="20"/>
        </w:rPr>
        <w:t>37°C.</w:t>
      </w:r>
    </w:p>
    <w:p>
      <w:pPr>
        <w:pStyle w:val="ListParagraph"/>
        <w:numPr>
          <w:ilvl w:val="2"/>
          <w:numId w:val="28"/>
        </w:numPr>
        <w:tabs>
          <w:tab w:pos="873" w:val="left" w:leader="none"/>
        </w:tabs>
        <w:spacing w:line="276" w:lineRule="auto" w:before="34" w:after="0"/>
        <w:ind w:left="872" w:right="157" w:hanging="360"/>
        <w:jc w:val="left"/>
        <w:rPr>
          <w:sz w:val="20"/>
        </w:rPr>
      </w:pPr>
      <w:r>
        <w:rPr>
          <w:sz w:val="20"/>
        </w:rPr>
        <w:t>Agragar</w:t>
      </w:r>
      <w:r>
        <w:rPr>
          <w:spacing w:val="-17"/>
          <w:sz w:val="20"/>
        </w:rPr>
        <w:t> </w:t>
      </w:r>
      <w:r>
        <w:rPr>
          <w:sz w:val="20"/>
        </w:rPr>
        <w:t>200</w:t>
      </w:r>
      <w:r>
        <w:rPr>
          <w:spacing w:val="-16"/>
          <w:sz w:val="20"/>
        </w:rPr>
        <w:t> </w:t>
      </w:r>
      <w:r>
        <w:rPr>
          <w:sz w:val="20"/>
        </w:rPr>
        <w:t>µL</w:t>
      </w:r>
      <w:r>
        <w:rPr>
          <w:spacing w:val="-15"/>
          <w:sz w:val="20"/>
        </w:rPr>
        <w:t> </w:t>
      </w:r>
      <w:r>
        <w:rPr>
          <w:sz w:val="20"/>
        </w:rPr>
        <w:t>de</w:t>
      </w:r>
      <w:r>
        <w:rPr>
          <w:spacing w:val="-16"/>
          <w:sz w:val="20"/>
        </w:rPr>
        <w:t> </w:t>
      </w:r>
      <w:r>
        <w:rPr>
          <w:sz w:val="20"/>
        </w:rPr>
        <w:t>la</w:t>
      </w:r>
      <w:r>
        <w:rPr>
          <w:spacing w:val="-18"/>
          <w:sz w:val="20"/>
        </w:rPr>
        <w:t> </w:t>
      </w:r>
      <w:r>
        <w:rPr>
          <w:sz w:val="20"/>
        </w:rPr>
        <w:t>solución</w:t>
      </w:r>
      <w:r>
        <w:rPr>
          <w:spacing w:val="-16"/>
          <w:sz w:val="20"/>
        </w:rPr>
        <w:t> </w:t>
      </w:r>
      <w:r>
        <w:rPr>
          <w:sz w:val="20"/>
        </w:rPr>
        <w:t>de</w:t>
      </w:r>
      <w:r>
        <w:rPr>
          <w:spacing w:val="-16"/>
          <w:sz w:val="20"/>
        </w:rPr>
        <w:t> </w:t>
      </w:r>
      <w:r>
        <w:rPr>
          <w:sz w:val="20"/>
        </w:rPr>
        <w:t>lisis</w:t>
      </w:r>
      <w:r>
        <w:rPr>
          <w:spacing w:val="-11"/>
          <w:sz w:val="20"/>
        </w:rPr>
        <w:t> </w:t>
      </w:r>
      <w:r>
        <w:rPr>
          <w:sz w:val="20"/>
        </w:rPr>
        <w:t>y</w:t>
      </w:r>
      <w:r>
        <w:rPr>
          <w:spacing w:val="-18"/>
          <w:sz w:val="20"/>
        </w:rPr>
        <w:t> </w:t>
      </w:r>
      <w:r>
        <w:rPr>
          <w:sz w:val="20"/>
        </w:rPr>
        <w:t>20</w:t>
      </w:r>
      <w:r>
        <w:rPr>
          <w:spacing w:val="-18"/>
          <w:sz w:val="20"/>
        </w:rPr>
        <w:t> </w:t>
      </w:r>
      <w:r>
        <w:rPr>
          <w:spacing w:val="3"/>
          <w:sz w:val="20"/>
        </w:rPr>
        <w:t>µL</w:t>
      </w:r>
      <w:r>
        <w:rPr>
          <w:spacing w:val="-15"/>
          <w:sz w:val="20"/>
        </w:rPr>
        <w:t> </w:t>
      </w:r>
      <w:r>
        <w:rPr>
          <w:sz w:val="20"/>
        </w:rPr>
        <w:t>de</w:t>
      </w:r>
      <w:r>
        <w:rPr>
          <w:spacing w:val="-16"/>
          <w:sz w:val="20"/>
        </w:rPr>
        <w:t> </w:t>
      </w:r>
      <w:r>
        <w:rPr>
          <w:sz w:val="20"/>
        </w:rPr>
        <w:t>proteínasa</w:t>
      </w:r>
      <w:r>
        <w:rPr>
          <w:spacing w:val="-15"/>
          <w:sz w:val="20"/>
        </w:rPr>
        <w:t> </w:t>
      </w:r>
      <w:r>
        <w:rPr>
          <w:sz w:val="20"/>
        </w:rPr>
        <w:t>K,</w:t>
      </w:r>
      <w:r>
        <w:rPr>
          <w:spacing w:val="-15"/>
          <w:sz w:val="20"/>
        </w:rPr>
        <w:t> </w:t>
      </w:r>
      <w:r>
        <w:rPr>
          <w:sz w:val="20"/>
        </w:rPr>
        <w:t>mezclar</w:t>
      </w:r>
      <w:r>
        <w:rPr>
          <w:spacing w:val="-17"/>
          <w:sz w:val="20"/>
        </w:rPr>
        <w:t> </w:t>
      </w:r>
      <w:r>
        <w:rPr>
          <w:sz w:val="20"/>
        </w:rPr>
        <w:t>con</w:t>
      </w:r>
      <w:r>
        <w:rPr>
          <w:spacing w:val="-16"/>
          <w:sz w:val="20"/>
        </w:rPr>
        <w:t> </w:t>
      </w:r>
      <w:r>
        <w:rPr>
          <w:sz w:val="20"/>
        </w:rPr>
        <w:t>vortex</w:t>
      </w:r>
      <w:r>
        <w:rPr>
          <w:spacing w:val="-14"/>
          <w:sz w:val="20"/>
        </w:rPr>
        <w:t> </w:t>
      </w:r>
      <w:r>
        <w:rPr>
          <w:sz w:val="20"/>
        </w:rPr>
        <w:t>obteniendo una suspensión</w:t>
      </w:r>
      <w:r>
        <w:rPr>
          <w:spacing w:val="-5"/>
          <w:sz w:val="20"/>
        </w:rPr>
        <w:t> </w:t>
      </w:r>
      <w:r>
        <w:rPr>
          <w:sz w:val="20"/>
        </w:rPr>
        <w:t>uniforme.</w:t>
      </w:r>
    </w:p>
    <w:p>
      <w:pPr>
        <w:pStyle w:val="ListParagraph"/>
        <w:numPr>
          <w:ilvl w:val="2"/>
          <w:numId w:val="28"/>
        </w:numPr>
        <w:tabs>
          <w:tab w:pos="873" w:val="left" w:leader="none"/>
        </w:tabs>
        <w:spacing w:line="278" w:lineRule="auto" w:before="0" w:after="0"/>
        <w:ind w:left="872" w:right="156" w:hanging="360"/>
        <w:jc w:val="left"/>
        <w:rPr>
          <w:sz w:val="20"/>
        </w:rPr>
      </w:pPr>
      <w:r>
        <w:rPr>
          <w:sz w:val="20"/>
        </w:rPr>
        <w:t>Incubar la muestra a 56 °C, vortex ocasionalmente hasta que las células sean completamente lisadas (-30</w:t>
      </w:r>
      <w:r>
        <w:rPr>
          <w:spacing w:val="-4"/>
          <w:sz w:val="20"/>
        </w:rPr>
        <w:t> </w:t>
      </w:r>
      <w:r>
        <w:rPr>
          <w:sz w:val="20"/>
        </w:rPr>
        <w:t>min).</w:t>
      </w:r>
    </w:p>
    <w:p>
      <w:pPr>
        <w:pStyle w:val="ListParagraph"/>
        <w:numPr>
          <w:ilvl w:val="2"/>
          <w:numId w:val="28"/>
        </w:numPr>
        <w:tabs>
          <w:tab w:pos="873" w:val="left" w:leader="none"/>
        </w:tabs>
        <w:spacing w:line="276" w:lineRule="auto" w:before="0" w:after="0"/>
        <w:ind w:left="872" w:right="153" w:hanging="360"/>
        <w:jc w:val="left"/>
        <w:rPr>
          <w:sz w:val="20"/>
        </w:rPr>
      </w:pPr>
      <w:r>
        <w:rPr>
          <w:sz w:val="20"/>
        </w:rPr>
        <w:t>Agregar 20 µL de RNase A, mezclar con vortex e incubar a temperatura ambiente por 10 min.</w:t>
      </w:r>
    </w:p>
    <w:p>
      <w:pPr>
        <w:pStyle w:val="ListParagraph"/>
        <w:numPr>
          <w:ilvl w:val="2"/>
          <w:numId w:val="28"/>
        </w:numPr>
        <w:tabs>
          <w:tab w:pos="873" w:val="left" w:leader="none"/>
        </w:tabs>
        <w:spacing w:line="240" w:lineRule="auto" w:before="0" w:after="0"/>
        <w:ind w:left="872" w:right="0" w:hanging="360"/>
        <w:jc w:val="left"/>
        <w:rPr>
          <w:sz w:val="20"/>
        </w:rPr>
      </w:pPr>
      <w:r>
        <w:rPr>
          <w:sz w:val="20"/>
        </w:rPr>
        <w:t>Agregar 400 µL de etanol 50% y</w:t>
      </w:r>
      <w:r>
        <w:rPr>
          <w:spacing w:val="-12"/>
          <w:sz w:val="20"/>
        </w:rPr>
        <w:t> </w:t>
      </w:r>
      <w:r>
        <w:rPr>
          <w:sz w:val="20"/>
        </w:rPr>
        <w:t>mezclar.</w:t>
      </w:r>
    </w:p>
    <w:p>
      <w:pPr>
        <w:pStyle w:val="ListParagraph"/>
        <w:numPr>
          <w:ilvl w:val="2"/>
          <w:numId w:val="28"/>
        </w:numPr>
        <w:tabs>
          <w:tab w:pos="873" w:val="left" w:leader="none"/>
        </w:tabs>
        <w:spacing w:line="240" w:lineRule="auto" w:before="34" w:after="0"/>
        <w:ind w:left="872" w:right="0" w:hanging="360"/>
        <w:jc w:val="left"/>
        <w:rPr>
          <w:sz w:val="20"/>
        </w:rPr>
      </w:pPr>
      <w:r>
        <w:rPr>
          <w:sz w:val="20"/>
        </w:rPr>
        <w:t>Transferir el lisado al tubo en columna del kit. Centrifugar por 1 min a 6000 x</w:t>
      </w:r>
      <w:r>
        <w:rPr>
          <w:spacing w:val="-21"/>
          <w:sz w:val="20"/>
        </w:rPr>
        <w:t> </w:t>
      </w:r>
      <w:r>
        <w:rPr>
          <w:sz w:val="20"/>
        </w:rPr>
        <w:t>g.</w:t>
      </w:r>
    </w:p>
    <w:p>
      <w:pPr>
        <w:spacing w:line="400" w:lineRule="auto" w:before="157"/>
        <w:ind w:left="872" w:right="154" w:firstLine="0"/>
        <w:jc w:val="left"/>
        <w:rPr>
          <w:sz w:val="20"/>
        </w:rPr>
      </w:pPr>
      <w:r>
        <w:rPr>
          <w:sz w:val="20"/>
        </w:rPr>
        <w:t>Descartar el tubo de colección conteniendo el líquido y pasar la columna dentro de un tubo nuevo.</w:t>
      </w:r>
    </w:p>
    <w:p>
      <w:pPr>
        <w:pStyle w:val="ListParagraph"/>
        <w:numPr>
          <w:ilvl w:val="2"/>
          <w:numId w:val="28"/>
        </w:numPr>
        <w:tabs>
          <w:tab w:pos="873" w:val="left" w:leader="none"/>
        </w:tabs>
        <w:spacing w:line="276" w:lineRule="auto" w:before="4" w:after="0"/>
        <w:ind w:left="872" w:right="151" w:hanging="360"/>
        <w:jc w:val="left"/>
        <w:rPr>
          <w:sz w:val="20"/>
        </w:rPr>
      </w:pPr>
      <w:r>
        <w:rPr>
          <w:sz w:val="20"/>
        </w:rPr>
        <w:t>Agregar 500 µL de buffer lavado I (con el etanol agregado). Centrifugar por 1 min a 8000 x g.</w:t>
      </w:r>
    </w:p>
    <w:p>
      <w:pPr>
        <w:pStyle w:val="ListParagraph"/>
        <w:numPr>
          <w:ilvl w:val="2"/>
          <w:numId w:val="28"/>
        </w:numPr>
        <w:tabs>
          <w:tab w:pos="873" w:val="left" w:leader="none"/>
        </w:tabs>
        <w:spacing w:line="278" w:lineRule="auto" w:before="0" w:after="0"/>
        <w:ind w:left="872" w:right="157" w:hanging="360"/>
        <w:jc w:val="left"/>
        <w:rPr>
          <w:sz w:val="20"/>
        </w:rPr>
      </w:pPr>
      <w:r>
        <w:rPr>
          <w:sz w:val="20"/>
        </w:rPr>
        <w:t>Agregar 200 µL de buffer de elución en el centro de la membrana. Incubar por 2 min a temperatura ambiente y centrifugar por 1min a 8000 x</w:t>
      </w:r>
      <w:r>
        <w:rPr>
          <w:spacing w:val="-16"/>
          <w:sz w:val="20"/>
        </w:rPr>
        <w:t> </w:t>
      </w:r>
      <w:r>
        <w:rPr>
          <w:sz w:val="20"/>
        </w:rPr>
        <w:t>g.</w:t>
      </w:r>
    </w:p>
    <w:sectPr>
      <w:footerReference w:type="default" r:id="rId120"/>
      <w:pgSz w:w="12240" w:h="15840"/>
      <w:pgMar w:footer="710" w:header="728" w:top="1200" w:bottom="900" w:left="1720" w:right="13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alibri Light">
    <w:altName w:val="Calibri Light"/>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6376" from="91.103996pt,728.52002pt" to="513.573996pt,728.52002pt" stroked="true" strokeweight=".47998pt" strokecolor="#000000">
          <w10:wrap type="none"/>
        </v:line>
      </w:pict>
    </w:r>
    <w:r>
      <w:rPr/>
      <w:pict>
        <v:shape style="position:absolute;margin-left:356.190002pt;margin-top:724.25pt;width:172.85pt;height:17.55pt;mso-position-horizontal-relative:page;mso-position-vertical-relative:page;z-index:-216352" type="#_x0000_t202" filled="false" stroked="false">
          <v:textbox inset="0,0,0,0">
            <w:txbxContent>
              <w:p>
                <w:pPr>
                  <w:spacing w:line="335" w:lineRule="exact" w:before="0"/>
                  <w:ind w:left="20" w:right="0" w:firstLine="0"/>
                  <w:jc w:val="left"/>
                  <w:rPr>
                    <w:rFonts w:ascii="Calibri" w:hAnsi="Calibri"/>
                    <w:sz w:val="20"/>
                  </w:rPr>
                </w:pPr>
                <w:r>
                  <w:rPr>
                    <w:rFonts w:ascii="Times New Roman" w:hAnsi="Times New Roman"/>
                    <w:i/>
                    <w:sz w:val="20"/>
                  </w:rPr>
                  <w:t>L. en G. Edaena Pamela Díaz Galindo </w:t>
                </w:r>
                <w:r>
                  <w:rPr/>
                  <w:fldChar w:fldCharType="begin"/>
                </w:r>
                <w:r>
                  <w:rPr>
                    <w:rFonts w:ascii="Calibri" w:hAnsi="Calibri"/>
                    <w:position w:val="12"/>
                    <w:sz w:val="20"/>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5608" from="91.103996pt,749.76001pt" to="507.813996pt,749.76001pt" stroked="true" strokeweight=".47998pt" strokecolor="#000000">
          <w10:wrap type="none"/>
        </v:line>
      </w:pict>
    </w:r>
    <w:r>
      <w:rPr/>
      <w:pict>
        <v:shape style="position:absolute;margin-left:514.940002pt;margin-top:745.48999pt;width:14.1pt;height:12pt;mso-position-horizontal-relative:page;mso-position-vertical-relative:page;z-index:-215584"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31</w:t>
                </w:r>
                <w:r>
                  <w:rPr/>
                  <w:fldChar w:fldCharType="end"/>
                </w:r>
              </w:p>
            </w:txbxContent>
          </v:textbox>
          <w10:wrap type="none"/>
        </v:shape>
      </w:pict>
    </w:r>
    <w:r>
      <w:rPr/>
      <w:pict>
        <v:shape style="position:absolute;margin-left:350.429993pt;margin-top:751.06543pt;width:156.85pt;height:12pt;mso-position-horizontal-relative:page;mso-position-vertical-relative:page;z-index:-215560"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5536" from="91.103996pt,749.76001pt" to="507.813996pt,749.76001pt" stroked="true" strokeweight=".47998pt" strokecolor="#000000">
          <w10:wrap type="none"/>
        </v:line>
      </w:pict>
    </w:r>
    <w:r>
      <w:rPr/>
      <w:pict>
        <v:shape style="position:absolute;margin-left:515.940002pt;margin-top:745.48999pt;width:12.1pt;height:12pt;mso-position-horizontal-relative:page;mso-position-vertical-relative:page;z-index:-215512" type="#_x0000_t202" filled="false" stroked="false">
          <v:textbox inset="0,0,0,0">
            <w:txbxContent>
              <w:p>
                <w:pPr>
                  <w:spacing w:line="223" w:lineRule="exact" w:before="0"/>
                  <w:ind w:left="20" w:right="-1" w:firstLine="0"/>
                  <w:jc w:val="left"/>
                  <w:rPr>
                    <w:rFonts w:ascii="Calibri"/>
                    <w:sz w:val="20"/>
                  </w:rPr>
                </w:pPr>
                <w:r>
                  <w:rPr>
                    <w:rFonts w:ascii="Calibri"/>
                    <w:sz w:val="20"/>
                  </w:rPr>
                  <w:t>40</w:t>
                </w:r>
              </w:p>
            </w:txbxContent>
          </v:textbox>
          <w10:wrap type="none"/>
        </v:shape>
      </w:pict>
    </w:r>
    <w:r>
      <w:rPr/>
      <w:pict>
        <v:shape style="position:absolute;margin-left:350.429993pt;margin-top:751.06543pt;width:156.85pt;height:12pt;mso-position-horizontal-relative:page;mso-position-vertical-relative:page;z-index:-215488"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5464" from="91.103996pt,749.76001pt" to="507.813996pt,749.76001pt" stroked="true" strokeweight=".47998pt" strokecolor="#000000">
          <w10:wrap type="none"/>
        </v:line>
      </w:pict>
    </w:r>
    <w:r>
      <w:rPr/>
      <w:pict>
        <v:shape style="position:absolute;margin-left:514.940002pt;margin-top:745.48999pt;width:14.1pt;height:12pt;mso-position-horizontal-relative:page;mso-position-vertical-relative:page;z-index:-215440"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41</w:t>
                </w:r>
                <w:r>
                  <w:rPr/>
                  <w:fldChar w:fldCharType="end"/>
                </w:r>
              </w:p>
            </w:txbxContent>
          </v:textbox>
          <w10:wrap type="none"/>
        </v:shape>
      </w:pict>
    </w:r>
    <w:r>
      <w:rPr/>
      <w:pict>
        <v:shape style="position:absolute;margin-left:350.429993pt;margin-top:751.06543pt;width:156.85pt;height:12pt;mso-position-horizontal-relative:page;mso-position-vertical-relative:page;z-index:-215416"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5392" from="91.103996pt,749.76001pt" to="507.813996pt,749.76001pt" stroked="true" strokeweight=".47998pt" strokecolor="#000000">
          <w10:wrap type="none"/>
        </v:line>
      </w:pict>
    </w:r>
    <w:r>
      <w:rPr/>
      <w:pict>
        <v:shape style="position:absolute;margin-left:515.940002pt;margin-top:745.48999pt;width:12.1pt;height:12pt;mso-position-horizontal-relative:page;mso-position-vertical-relative:page;z-index:-215368" type="#_x0000_t202" filled="false" stroked="false">
          <v:textbox inset="0,0,0,0">
            <w:txbxContent>
              <w:p>
                <w:pPr>
                  <w:spacing w:line="223" w:lineRule="exact" w:before="0"/>
                  <w:ind w:left="20" w:right="-1" w:firstLine="0"/>
                  <w:jc w:val="left"/>
                  <w:rPr>
                    <w:rFonts w:ascii="Calibri"/>
                    <w:sz w:val="20"/>
                  </w:rPr>
                </w:pPr>
                <w:r>
                  <w:rPr>
                    <w:rFonts w:ascii="Calibri"/>
                    <w:sz w:val="20"/>
                  </w:rPr>
                  <w:t>50</w:t>
                </w:r>
              </w:p>
            </w:txbxContent>
          </v:textbox>
          <w10:wrap type="none"/>
        </v:shape>
      </w:pict>
    </w:r>
    <w:r>
      <w:rPr/>
      <w:pict>
        <v:shape style="position:absolute;margin-left:350.429993pt;margin-top:751.06543pt;width:156.85pt;height:12pt;mso-position-horizontal-relative:page;mso-position-vertical-relative:page;z-index:-215344"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5320" from="91.103996pt,749.76001pt" to="507.813996pt,749.76001pt" stroked="true" strokeweight=".47998pt" strokecolor="#000000">
          <w10:wrap type="none"/>
        </v:line>
      </w:pict>
    </w:r>
    <w:r>
      <w:rPr/>
      <w:pict>
        <v:shape style="position:absolute;margin-left:514.940002pt;margin-top:745.48999pt;width:14.1pt;height:12pt;mso-position-horizontal-relative:page;mso-position-vertical-relative:page;z-index:-215296"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51</w:t>
                </w:r>
                <w:r>
                  <w:rPr/>
                  <w:fldChar w:fldCharType="end"/>
                </w:r>
              </w:p>
            </w:txbxContent>
          </v:textbox>
          <w10:wrap type="none"/>
        </v:shape>
      </w:pict>
    </w:r>
    <w:r>
      <w:rPr/>
      <w:pict>
        <v:shape style="position:absolute;margin-left:350.429993pt;margin-top:751.06543pt;width:156.85pt;height:12pt;mso-position-horizontal-relative:page;mso-position-vertical-relative:page;z-index:-215272"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5248" from="91.103996pt,749.76001pt" to="507.813996pt,749.76001pt" stroked="true" strokeweight=".47998pt" strokecolor="#000000">
          <w10:wrap type="none"/>
        </v:line>
      </w:pict>
    </w:r>
    <w:r>
      <w:rPr/>
      <w:pict>
        <v:shape style="position:absolute;margin-left:515.940002pt;margin-top:745.48999pt;width:12.1pt;height:12pt;mso-position-horizontal-relative:page;mso-position-vertical-relative:page;z-index:-215224" type="#_x0000_t202" filled="false" stroked="false">
          <v:textbox inset="0,0,0,0">
            <w:txbxContent>
              <w:p>
                <w:pPr>
                  <w:spacing w:line="223" w:lineRule="exact" w:before="0"/>
                  <w:ind w:left="20" w:right="-1" w:firstLine="0"/>
                  <w:jc w:val="left"/>
                  <w:rPr>
                    <w:rFonts w:ascii="Calibri"/>
                    <w:sz w:val="20"/>
                  </w:rPr>
                </w:pPr>
                <w:r>
                  <w:rPr>
                    <w:rFonts w:ascii="Calibri"/>
                    <w:sz w:val="20"/>
                  </w:rPr>
                  <w:t>60</w:t>
                </w:r>
              </w:p>
            </w:txbxContent>
          </v:textbox>
          <w10:wrap type="none"/>
        </v:shape>
      </w:pict>
    </w:r>
    <w:r>
      <w:rPr/>
      <w:pict>
        <v:shape style="position:absolute;margin-left:350.429993pt;margin-top:751.06543pt;width:156.85pt;height:12pt;mso-position-horizontal-relative:page;mso-position-vertical-relative:page;z-index:-215200"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5176" from="91.103996pt,749.76001pt" to="507.813996pt,749.76001pt" stroked="true" strokeweight=".47998pt" strokecolor="#000000">
          <w10:wrap type="none"/>
        </v:line>
      </w:pict>
    </w:r>
    <w:r>
      <w:rPr/>
      <w:pict>
        <v:shape style="position:absolute;margin-left:514.940002pt;margin-top:745.48999pt;width:14.1pt;height:12pt;mso-position-horizontal-relative:page;mso-position-vertical-relative:page;z-index:-215152"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61</w:t>
                </w:r>
                <w:r>
                  <w:rPr/>
                  <w:fldChar w:fldCharType="end"/>
                </w:r>
              </w:p>
            </w:txbxContent>
          </v:textbox>
          <w10:wrap type="none"/>
        </v:shape>
      </w:pict>
    </w:r>
    <w:r>
      <w:rPr/>
      <w:pict>
        <v:shape style="position:absolute;margin-left:350.429993pt;margin-top:751.06543pt;width:156.85pt;height:12pt;mso-position-horizontal-relative:page;mso-position-vertical-relative:page;z-index:-215128"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5104" from="91.103996pt,749.76001pt" to="507.813996pt,749.76001pt" stroked="true" strokeweight=".47998pt" strokecolor="#000000">
          <w10:wrap type="none"/>
        </v:line>
      </w:pict>
    </w:r>
    <w:r>
      <w:rPr/>
      <w:pict>
        <v:shape style="position:absolute;margin-left:515.940002pt;margin-top:745.48999pt;width:12.1pt;height:12pt;mso-position-horizontal-relative:page;mso-position-vertical-relative:page;z-index:-215080" type="#_x0000_t202" filled="false" stroked="false">
          <v:textbox inset="0,0,0,0">
            <w:txbxContent>
              <w:p>
                <w:pPr>
                  <w:spacing w:line="223" w:lineRule="exact" w:before="0"/>
                  <w:ind w:left="20" w:right="-1" w:firstLine="0"/>
                  <w:jc w:val="left"/>
                  <w:rPr>
                    <w:rFonts w:ascii="Calibri"/>
                    <w:sz w:val="20"/>
                  </w:rPr>
                </w:pPr>
                <w:r>
                  <w:rPr>
                    <w:rFonts w:ascii="Calibri"/>
                    <w:sz w:val="20"/>
                  </w:rPr>
                  <w:t>70</w:t>
                </w:r>
              </w:p>
            </w:txbxContent>
          </v:textbox>
          <w10:wrap type="none"/>
        </v:shape>
      </w:pict>
    </w:r>
    <w:r>
      <w:rPr/>
      <w:pict>
        <v:shape style="position:absolute;margin-left:350.429993pt;margin-top:751.06543pt;width:156.85pt;height:12pt;mso-position-horizontal-relative:page;mso-position-vertical-relative:page;z-index:-215056"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5032" from="91.103996pt,749.76001pt" to="507.813996pt,749.76001pt" stroked="true" strokeweight=".47998pt" strokecolor="#000000">
          <w10:wrap type="none"/>
        </v:line>
      </w:pict>
    </w:r>
    <w:r>
      <w:rPr/>
      <w:pict>
        <v:shape style="position:absolute;margin-left:514.940002pt;margin-top:745.48999pt;width:14.1pt;height:12pt;mso-position-horizontal-relative:page;mso-position-vertical-relative:page;z-index:-215008"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71</w:t>
                </w:r>
                <w:r>
                  <w:rPr/>
                  <w:fldChar w:fldCharType="end"/>
                </w:r>
              </w:p>
            </w:txbxContent>
          </v:textbox>
          <w10:wrap type="none"/>
        </v:shape>
      </w:pict>
    </w:r>
    <w:r>
      <w:rPr/>
      <w:pict>
        <v:shape style="position:absolute;margin-left:350.429993pt;margin-top:751.06543pt;width:156.85pt;height:12pt;mso-position-horizontal-relative:page;mso-position-vertical-relative:page;z-index:-214984"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960" from="91.103996pt,749.76001pt" to="507.813996pt,749.76001pt" stroked="true" strokeweight=".47998pt" strokecolor="#000000">
          <w10:wrap type="none"/>
        </v:line>
      </w:pict>
    </w:r>
    <w:r>
      <w:rPr/>
      <w:pict>
        <v:shape style="position:absolute;margin-left:515.940002pt;margin-top:745.48999pt;width:12.1pt;height:12pt;mso-position-horizontal-relative:page;mso-position-vertical-relative:page;z-index:-214936" type="#_x0000_t202" filled="false" stroked="false">
          <v:textbox inset="0,0,0,0">
            <w:txbxContent>
              <w:p>
                <w:pPr>
                  <w:spacing w:line="223" w:lineRule="exact" w:before="0"/>
                  <w:ind w:left="20" w:right="-1" w:firstLine="0"/>
                  <w:jc w:val="left"/>
                  <w:rPr>
                    <w:rFonts w:ascii="Calibri"/>
                    <w:sz w:val="20"/>
                  </w:rPr>
                </w:pPr>
                <w:r>
                  <w:rPr>
                    <w:rFonts w:ascii="Calibri"/>
                    <w:sz w:val="20"/>
                  </w:rPr>
                  <w:t>80</w:t>
                </w:r>
              </w:p>
            </w:txbxContent>
          </v:textbox>
          <w10:wrap type="none"/>
        </v:shape>
      </w:pict>
    </w:r>
    <w:r>
      <w:rPr/>
      <w:pict>
        <v:shape style="position:absolute;margin-left:350.429993pt;margin-top:751.06543pt;width:156.85pt;height:12pt;mso-position-horizontal-relative:page;mso-position-vertical-relative:page;z-index:-214912"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6328" from="91.103996pt,728.52002pt" to="513.573996pt,728.52002pt" stroked="true" strokeweight=".47998pt" strokecolor="#000000">
          <w10:wrap type="none"/>
        </v:line>
      </w:pict>
    </w:r>
    <w:r>
      <w:rPr/>
      <w:pict>
        <v:shape style="position:absolute;margin-left:356.190002pt;margin-top:724.25pt;width:172.85pt;height:17.55pt;mso-position-horizontal-relative:page;mso-position-vertical-relative:page;z-index:-216304" type="#_x0000_t202" filled="false" stroked="false">
          <v:textbox inset="0,0,0,0">
            <w:txbxContent>
              <w:p>
                <w:pPr>
                  <w:spacing w:line="335" w:lineRule="exact" w:before="0"/>
                  <w:ind w:left="20" w:right="0" w:firstLine="0"/>
                  <w:jc w:val="left"/>
                  <w:rPr>
                    <w:rFonts w:ascii="Calibri" w:hAnsi="Calibri"/>
                    <w:sz w:val="20"/>
                  </w:rPr>
                </w:pPr>
                <w:r>
                  <w:rPr>
                    <w:rFonts w:ascii="Times New Roman" w:hAnsi="Times New Roman"/>
                    <w:i/>
                    <w:sz w:val="20"/>
                  </w:rPr>
                  <w:t>L. en G. Edaena Pamela Díaz Galindo </w:t>
                </w:r>
                <w:r>
                  <w:rPr/>
                  <w:fldChar w:fldCharType="begin"/>
                </w:r>
                <w:r>
                  <w:rPr>
                    <w:rFonts w:ascii="Calibri" w:hAnsi="Calibri"/>
                    <w:position w:val="12"/>
                    <w:sz w:val="20"/>
                  </w:rPr>
                  <w:instrText> PAGE  \* roman </w:instrText>
                </w:r>
                <w:r>
                  <w:rPr/>
                  <w:fldChar w:fldCharType="separate"/>
                </w:r>
                <w:r>
                  <w:rPr/>
                  <w:t>xiii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888" from="91.103996pt,749.76001pt" to="507.813996pt,749.76001pt" stroked="true" strokeweight=".47998pt" strokecolor="#000000">
          <w10:wrap type="none"/>
        </v:line>
      </w:pict>
    </w:r>
    <w:r>
      <w:rPr/>
      <w:pict>
        <v:shape style="position:absolute;margin-left:514.940002pt;margin-top:745.48999pt;width:14.1pt;height:12pt;mso-position-horizontal-relative:page;mso-position-vertical-relative:page;z-index:-214864"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81</w:t>
                </w:r>
                <w:r>
                  <w:rPr/>
                  <w:fldChar w:fldCharType="end"/>
                </w:r>
              </w:p>
            </w:txbxContent>
          </v:textbox>
          <w10:wrap type="none"/>
        </v:shape>
      </w:pict>
    </w:r>
    <w:r>
      <w:rPr/>
      <w:pict>
        <v:shape style="position:absolute;margin-left:350.429993pt;margin-top:751.06543pt;width:156.85pt;height:12pt;mso-position-horizontal-relative:page;mso-position-vertical-relative:page;z-index:-214840"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816" from="91.103996pt,749.76001pt" to="507.813996pt,749.76001pt" stroked="true" strokeweight=".47998pt" strokecolor="#000000">
          <w10:wrap type="none"/>
        </v:line>
      </w:pict>
    </w:r>
    <w:r>
      <w:rPr/>
      <w:pict>
        <v:shape style="position:absolute;margin-left:515.940002pt;margin-top:745.48999pt;width:12.1pt;height:12pt;mso-position-horizontal-relative:page;mso-position-vertical-relative:page;z-index:-214792" type="#_x0000_t202" filled="false" stroked="false">
          <v:textbox inset="0,0,0,0">
            <w:txbxContent>
              <w:p>
                <w:pPr>
                  <w:spacing w:line="223" w:lineRule="exact" w:before="0"/>
                  <w:ind w:left="20" w:right="-1" w:firstLine="0"/>
                  <w:jc w:val="left"/>
                  <w:rPr>
                    <w:rFonts w:ascii="Calibri"/>
                    <w:sz w:val="20"/>
                  </w:rPr>
                </w:pPr>
                <w:r>
                  <w:rPr>
                    <w:rFonts w:ascii="Calibri"/>
                    <w:sz w:val="20"/>
                  </w:rPr>
                  <w:t>90</w:t>
                </w:r>
              </w:p>
            </w:txbxContent>
          </v:textbox>
          <w10:wrap type="none"/>
        </v:shape>
      </w:pict>
    </w:r>
    <w:r>
      <w:rPr/>
      <w:pict>
        <v:shape style="position:absolute;margin-left:350.429993pt;margin-top:751.06543pt;width:156.85pt;height:12pt;mso-position-horizontal-relative:page;mso-position-vertical-relative:page;z-index:-214768"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744" from="91.103996pt,749.76001pt" to="507.813996pt,749.76001pt" stroked="true" strokeweight=".47998pt" strokecolor="#000000">
          <w10:wrap type="none"/>
        </v:line>
      </w:pict>
    </w:r>
    <w:r>
      <w:rPr/>
      <w:pict>
        <v:shape style="position:absolute;margin-left:514.940002pt;margin-top:745.48999pt;width:14.1pt;height:12pt;mso-position-horizontal-relative:page;mso-position-vertical-relative:page;z-index:-214720"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91</w:t>
                </w:r>
                <w:r>
                  <w:rPr/>
                  <w:fldChar w:fldCharType="end"/>
                </w:r>
              </w:p>
            </w:txbxContent>
          </v:textbox>
          <w10:wrap type="none"/>
        </v:shape>
      </w:pict>
    </w:r>
    <w:r>
      <w:rPr/>
      <w:pict>
        <v:shape style="position:absolute;margin-left:350.429993pt;margin-top:751.06543pt;width:156.85pt;height:12pt;mso-position-horizontal-relative:page;mso-position-vertical-relative:page;z-index:-214696"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672" from="91.103996pt,749.76001pt" to="507.813996pt,749.76001pt" stroked="true" strokeweight=".47998pt" strokecolor="#000000">
          <w10:wrap type="none"/>
        </v:line>
      </w:pict>
    </w:r>
    <w:r>
      <w:rPr/>
      <w:pict>
        <v:shape style="position:absolute;margin-left:510.779999pt;margin-top:745.48999pt;width:17.150pt;height:12pt;mso-position-horizontal-relative:page;mso-position-vertical-relative:page;z-index:-214648" type="#_x0000_t202" filled="false" stroked="false">
          <v:textbox inset="0,0,0,0">
            <w:txbxContent>
              <w:p>
                <w:pPr>
                  <w:spacing w:line="223" w:lineRule="exact" w:before="0"/>
                  <w:ind w:left="20" w:right="-2" w:firstLine="0"/>
                  <w:jc w:val="left"/>
                  <w:rPr>
                    <w:rFonts w:ascii="Calibri"/>
                    <w:sz w:val="20"/>
                  </w:rPr>
                </w:pPr>
                <w:r>
                  <w:rPr>
                    <w:rFonts w:ascii="Calibri"/>
                    <w:sz w:val="20"/>
                  </w:rPr>
                  <w:t>100</w:t>
                </w:r>
              </w:p>
            </w:txbxContent>
          </v:textbox>
          <w10:wrap type="none"/>
        </v:shape>
      </w:pict>
    </w:r>
    <w:r>
      <w:rPr/>
      <w:pict>
        <v:shape style="position:absolute;margin-left:350.429993pt;margin-top:751.06543pt;width:156.85pt;height:12pt;mso-position-horizontal-relative:page;mso-position-vertical-relative:page;z-index:-214624"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600" from="91.103996pt,749.76001pt" to="507.813996pt,749.76001pt" stroked="true" strokeweight=".47998pt" strokecolor="#000000">
          <w10:wrap type="none"/>
        </v:line>
      </w:pict>
    </w:r>
    <w:r>
      <w:rPr/>
      <w:pict>
        <v:shape style="position:absolute;margin-left:509.779999pt;margin-top:745.48999pt;width:19.150pt;height:12pt;mso-position-horizontal-relative:page;mso-position-vertical-relative:page;z-index:-214576"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101</w:t>
                </w:r>
                <w:r>
                  <w:rPr/>
                  <w:fldChar w:fldCharType="end"/>
                </w:r>
              </w:p>
            </w:txbxContent>
          </v:textbox>
          <w10:wrap type="none"/>
        </v:shape>
      </w:pict>
    </w:r>
    <w:r>
      <w:rPr/>
      <w:pict>
        <v:shape style="position:absolute;margin-left:350.429993pt;margin-top:751.06543pt;width:156.85pt;height:12pt;mso-position-horizontal-relative:page;mso-position-vertical-relative:page;z-index:-214552"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480" from="76.944pt,569.856018pt" to="695.254pt,569.856018pt" stroked="true" strokeweight=".47998pt" strokecolor="#000000">
          <w10:wrap type="none"/>
        </v:line>
      </w:pict>
    </w:r>
    <w:r>
      <w:rPr/>
      <w:pict>
        <v:shape style="position:absolute;margin-left:703.940002pt;margin-top:565.466003pt;width:19.150pt;height:12pt;mso-position-horizontal-relative:page;mso-position-vertical-relative:page;z-index:-214456"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106</w:t>
                </w:r>
                <w:r>
                  <w:rPr/>
                  <w:fldChar w:fldCharType="end"/>
                </w:r>
              </w:p>
            </w:txbxContent>
          </v:textbox>
          <w10:wrap type="none"/>
        </v:shape>
      </w:pict>
    </w:r>
    <w:r>
      <w:rPr/>
      <w:pict>
        <v:shape style="position:absolute;margin-left:537.869995pt;margin-top:571.161438pt;width:156.9pt;height:12pt;mso-position-horizontal-relative:page;mso-position-vertical-relative:page;z-index:-214432" type="#_x0000_t202" filled="false" stroked="false">
          <v:textbox inset="0,0,0,0">
            <w:txbxContent>
              <w:p>
                <w:pPr>
                  <w:spacing w:line="224" w:lineRule="exact" w:before="0"/>
                  <w:ind w:left="20" w:right="-2"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360" from="99.624001pt,749.880005pt" to="512.854001pt,749.880005pt" stroked="true" strokeweight=".47998pt" strokecolor="#000000">
          <w10:wrap type="none"/>
        </v:line>
      </w:pict>
    </w:r>
    <w:r>
      <w:rPr/>
      <w:pict>
        <v:shape style="position:absolute;margin-left:518.299988pt;margin-top:745.48999pt;width:19.150pt;height:12pt;mso-position-horizontal-relative:page;mso-position-vertical-relative:page;z-index:-214336"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108</w:t>
                </w:r>
                <w:r>
                  <w:rPr/>
                  <w:fldChar w:fldCharType="end"/>
                </w:r>
              </w:p>
            </w:txbxContent>
          </v:textbox>
          <w10:wrap type="none"/>
        </v:shape>
      </w:pict>
    </w:r>
    <w:r>
      <w:rPr/>
      <w:pict>
        <v:shape style="position:absolute;margin-left:355.470001pt;margin-top:751.185425pt;width:156.85pt;height:12pt;mso-position-horizontal-relative:page;mso-position-vertical-relative:page;z-index:-214312"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288" from="99.624001pt,749.880005pt" to="512.854001pt,749.880005pt" stroked="true" strokeweight=".47998pt" strokecolor="#000000">
          <w10:wrap type="none"/>
        </v:line>
      </w:pict>
    </w:r>
    <w:r>
      <w:rPr/>
      <w:pict>
        <v:shape style="position:absolute;margin-left:519.299988pt;margin-top:745.48999pt;width:17.150pt;height:12pt;mso-position-horizontal-relative:page;mso-position-vertical-relative:page;z-index:-214264" type="#_x0000_t202" filled="false" stroked="false">
          <v:textbox inset="0,0,0,0">
            <w:txbxContent>
              <w:p>
                <w:pPr>
                  <w:spacing w:line="223" w:lineRule="exact" w:before="0"/>
                  <w:ind w:left="20" w:right="-2" w:firstLine="0"/>
                  <w:jc w:val="left"/>
                  <w:rPr>
                    <w:rFonts w:ascii="Calibri"/>
                    <w:sz w:val="20"/>
                  </w:rPr>
                </w:pPr>
                <w:r>
                  <w:rPr>
                    <w:rFonts w:ascii="Calibri"/>
                    <w:sz w:val="20"/>
                  </w:rPr>
                  <w:t>110</w:t>
                </w:r>
              </w:p>
            </w:txbxContent>
          </v:textbox>
          <w10:wrap type="none"/>
        </v:shape>
      </w:pict>
    </w:r>
    <w:r>
      <w:rPr/>
      <w:pict>
        <v:shape style="position:absolute;margin-left:355.470001pt;margin-top:751.185425pt;width:156.85pt;height:12pt;mso-position-horizontal-relative:page;mso-position-vertical-relative:page;z-index:-214240"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216" from="99.624001pt,749.880005pt" to="512.854001pt,749.880005pt" stroked="true" strokeweight=".47998pt" strokecolor="#000000">
          <w10:wrap type="none"/>
        </v:line>
      </w:pict>
    </w:r>
    <w:r>
      <w:rPr/>
      <w:pict>
        <v:shape style="position:absolute;margin-left:518.299988pt;margin-top:745.48999pt;width:19.150pt;height:12pt;mso-position-horizontal-relative:page;mso-position-vertical-relative:page;z-index:-214192"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111</w:t>
                </w:r>
                <w:r>
                  <w:rPr/>
                  <w:fldChar w:fldCharType="end"/>
                </w:r>
              </w:p>
            </w:txbxContent>
          </v:textbox>
          <w10:wrap type="none"/>
        </v:shape>
      </w:pict>
    </w:r>
    <w:r>
      <w:rPr/>
      <w:pict>
        <v:shape style="position:absolute;margin-left:355.470001pt;margin-top:751.185425pt;width:156.85pt;height:12pt;mso-position-horizontal-relative:page;mso-position-vertical-relative:page;z-index:-214168"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144" from="99.624001pt,749.880005pt" to="512.854001pt,749.880005pt" stroked="true" strokeweight=".47998pt" strokecolor="#000000">
          <w10:wrap type="none"/>
        </v:line>
      </w:pict>
    </w:r>
    <w:r>
      <w:rPr/>
      <w:pict>
        <v:shape style="position:absolute;margin-left:519.299988pt;margin-top:745.48999pt;width:17.150pt;height:12pt;mso-position-horizontal-relative:page;mso-position-vertical-relative:page;z-index:-214120" type="#_x0000_t202" filled="false" stroked="false">
          <v:textbox inset="0,0,0,0">
            <w:txbxContent>
              <w:p>
                <w:pPr>
                  <w:spacing w:line="223" w:lineRule="exact" w:before="0"/>
                  <w:ind w:left="20" w:right="-2" w:firstLine="0"/>
                  <w:jc w:val="left"/>
                  <w:rPr>
                    <w:rFonts w:ascii="Calibri"/>
                    <w:sz w:val="20"/>
                  </w:rPr>
                </w:pPr>
                <w:r>
                  <w:rPr>
                    <w:rFonts w:ascii="Calibri"/>
                    <w:sz w:val="20"/>
                  </w:rPr>
                  <w:t>120</w:t>
                </w:r>
              </w:p>
            </w:txbxContent>
          </v:textbox>
          <w10:wrap type="none"/>
        </v:shape>
      </w:pict>
    </w:r>
    <w:r>
      <w:rPr/>
      <w:pict>
        <v:shape style="position:absolute;margin-left:355.470001pt;margin-top:751.185425pt;width:156.85pt;height:12pt;mso-position-horizontal-relative:page;mso-position-vertical-relative:page;z-index:-214096"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6208" from="91.103996pt,728.52002pt" to="513.573996pt,728.52002pt" stroked="true" strokeweight=".47998pt" strokecolor="#000000">
          <w10:wrap type="none"/>
        </v:line>
      </w:pict>
    </w:r>
    <w:r>
      <w:rPr/>
      <w:pict>
        <v:shape style="position:absolute;margin-left:519.979980pt;margin-top:724.25pt;width:9.050pt;height:12pt;mso-position-horizontal-relative:page;mso-position-vertical-relative:page;z-index:-216184"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w w:val="99"/>
                    <w:sz w:val="20"/>
                  </w:rPr>
                  <w:instrText> PAGE </w:instrText>
                </w:r>
                <w:r>
                  <w:rPr/>
                  <w:fldChar w:fldCharType="separate"/>
                </w:r>
                <w:r>
                  <w:rPr/>
                  <w:t>1</w:t>
                </w:r>
                <w:r>
                  <w:rPr/>
                  <w:fldChar w:fldCharType="end"/>
                </w:r>
              </w:p>
            </w:txbxContent>
          </v:textbox>
          <w10:wrap type="none"/>
        </v:shape>
      </w:pict>
    </w:r>
    <w:r>
      <w:rPr/>
      <w:pict>
        <v:shape style="position:absolute;margin-left:356.190002pt;margin-top:729.825439pt;width:156.85pt;height:12pt;mso-position-horizontal-relative:page;mso-position-vertical-relative:page;z-index:-216160"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072" from="99.624001pt,749.880005pt" to="512.854001pt,749.880005pt" stroked="true" strokeweight=".47998pt" strokecolor="#000000">
          <w10:wrap type="none"/>
        </v:line>
      </w:pict>
    </w:r>
    <w:r>
      <w:rPr/>
      <w:pict>
        <v:shape style="position:absolute;margin-left:518.299988pt;margin-top:745.48999pt;width:19.150pt;height:12pt;mso-position-horizontal-relative:page;mso-position-vertical-relative:page;z-index:-214048"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121</w:t>
                </w:r>
                <w:r>
                  <w:rPr/>
                  <w:fldChar w:fldCharType="end"/>
                </w:r>
              </w:p>
            </w:txbxContent>
          </v:textbox>
          <w10:wrap type="none"/>
        </v:shape>
      </w:pict>
    </w:r>
    <w:r>
      <w:rPr/>
      <w:pict>
        <v:shape style="position:absolute;margin-left:355.470001pt;margin-top:751.185425pt;width:156.85pt;height:12pt;mso-position-horizontal-relative:page;mso-position-vertical-relative:page;z-index:-214024"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000" from="99.624001pt,749.880005pt" to="512.854001pt,749.880005pt" stroked="true" strokeweight=".47998pt" strokecolor="#000000">
          <w10:wrap type="none"/>
        </v:line>
      </w:pict>
    </w:r>
    <w:r>
      <w:rPr/>
      <w:pict>
        <v:shape style="position:absolute;margin-left:519.299988pt;margin-top:745.48999pt;width:17.150pt;height:12pt;mso-position-horizontal-relative:page;mso-position-vertical-relative:page;z-index:-213976" type="#_x0000_t202" filled="false" stroked="false">
          <v:textbox inset="0,0,0,0">
            <w:txbxContent>
              <w:p>
                <w:pPr>
                  <w:spacing w:line="223" w:lineRule="exact" w:before="0"/>
                  <w:ind w:left="20" w:right="-2" w:firstLine="0"/>
                  <w:jc w:val="left"/>
                  <w:rPr>
                    <w:rFonts w:ascii="Calibri"/>
                    <w:sz w:val="20"/>
                  </w:rPr>
                </w:pPr>
                <w:r>
                  <w:rPr>
                    <w:rFonts w:ascii="Calibri"/>
                    <w:sz w:val="20"/>
                  </w:rPr>
                  <w:t>130</w:t>
                </w:r>
              </w:p>
            </w:txbxContent>
          </v:textbox>
          <w10:wrap type="none"/>
        </v:shape>
      </w:pict>
    </w:r>
    <w:r>
      <w:rPr/>
      <w:pict>
        <v:shape style="position:absolute;margin-left:355.470001pt;margin-top:751.185425pt;width:156.85pt;height:12pt;mso-position-horizontal-relative:page;mso-position-vertical-relative:page;z-index:-213952"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3928" from="99.624001pt,749.880005pt" to="512.854001pt,749.880005pt" stroked="true" strokeweight=".47998pt" strokecolor="#000000">
          <w10:wrap type="none"/>
        </v:line>
      </w:pict>
    </w:r>
    <w:r>
      <w:rPr/>
      <w:pict>
        <v:shape style="position:absolute;margin-left:519.299988pt;margin-top:745.48999pt;width:17.150pt;height:12pt;mso-position-horizontal-relative:page;mso-position-vertical-relative:page;z-index:-213904" type="#_x0000_t202" filled="false" stroked="false">
          <v:textbox inset="0,0,0,0">
            <w:txbxContent>
              <w:p>
                <w:pPr>
                  <w:spacing w:line="223" w:lineRule="exact" w:before="0"/>
                  <w:ind w:left="20" w:right="-2" w:firstLine="0"/>
                  <w:jc w:val="left"/>
                  <w:rPr>
                    <w:rFonts w:ascii="Calibri"/>
                    <w:sz w:val="20"/>
                  </w:rPr>
                </w:pPr>
                <w:r>
                  <w:rPr>
                    <w:rFonts w:ascii="Calibri"/>
                    <w:sz w:val="20"/>
                  </w:rPr>
                  <w:t>131</w:t>
                </w:r>
              </w:p>
            </w:txbxContent>
          </v:textbox>
          <w10:wrap type="none"/>
        </v:shape>
      </w:pict>
    </w:r>
    <w:r>
      <w:rPr/>
      <w:pict>
        <v:shape style="position:absolute;margin-left:355.470001pt;margin-top:751.185425pt;width:156.85pt;height:12pt;mso-position-horizontal-relative:page;mso-position-vertical-relative:page;z-index:-213880"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6136" from="91.103996pt,728.52002pt" to="513.573996pt,728.52002pt" stroked="true" strokeweight=".47998pt" strokecolor="#000000">
          <w10:wrap type="none"/>
        </v:line>
      </w:pict>
    </w:r>
    <w:r>
      <w:rPr/>
      <w:pict>
        <v:shape style="position:absolute;margin-left:515.940002pt;margin-top:724.25pt;width:12.1pt;height:12pt;mso-position-horizontal-relative:page;mso-position-vertical-relative:page;z-index:-216112" type="#_x0000_t202" filled="false" stroked="false">
          <v:textbox inset="0,0,0,0">
            <w:txbxContent>
              <w:p>
                <w:pPr>
                  <w:spacing w:line="223" w:lineRule="exact" w:before="0"/>
                  <w:ind w:left="20" w:right="-1" w:firstLine="0"/>
                  <w:jc w:val="left"/>
                  <w:rPr>
                    <w:rFonts w:ascii="Calibri"/>
                    <w:sz w:val="20"/>
                  </w:rPr>
                </w:pPr>
                <w:r>
                  <w:rPr>
                    <w:rFonts w:ascii="Calibri"/>
                    <w:sz w:val="20"/>
                  </w:rPr>
                  <w:t>10</w:t>
                </w:r>
              </w:p>
            </w:txbxContent>
          </v:textbox>
          <w10:wrap type="none"/>
        </v:shape>
      </w:pict>
    </w:r>
    <w:r>
      <w:rPr/>
      <w:pict>
        <v:shape style="position:absolute;margin-left:356.190002pt;margin-top:729.825439pt;width:156.85pt;height:12pt;mso-position-horizontal-relative:page;mso-position-vertical-relative:page;z-index:-216088"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6064" from="91.103996pt,728.52002pt" to="513.573996pt,728.52002pt" stroked="true" strokeweight=".47998pt" strokecolor="#000000">
          <w10:wrap type="none"/>
        </v:line>
      </w:pict>
    </w:r>
    <w:r>
      <w:rPr/>
      <w:pict>
        <v:shape style="position:absolute;margin-left:514.940002pt;margin-top:724.25pt;width:14.1pt;height:12pt;mso-position-horizontal-relative:page;mso-position-vertical-relative:page;z-index:-216040"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11</w:t>
                </w:r>
                <w:r>
                  <w:rPr/>
                  <w:fldChar w:fldCharType="end"/>
                </w:r>
              </w:p>
            </w:txbxContent>
          </v:textbox>
          <w10:wrap type="none"/>
        </v:shape>
      </w:pict>
    </w:r>
    <w:r>
      <w:rPr/>
      <w:pict>
        <v:shape style="position:absolute;margin-left:356.190002pt;margin-top:729.825439pt;width:156.85pt;height:12pt;mso-position-horizontal-relative:page;mso-position-vertical-relative:page;z-index:-216016"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5944" from="76.944pt,569.736023pt" to="692.854pt,569.736023pt" stroked="true" strokeweight=".47998pt" strokecolor="#000000">
          <w10:wrap type="none"/>
        </v:line>
      </w:pict>
    </w:r>
    <w:r>
      <w:rPr/>
      <w:pict>
        <v:shape style="position:absolute;margin-left:709.099976pt;margin-top:565.466003pt;width:13.1pt;height:12pt;mso-position-horizontal-relative:page;mso-position-vertical-relative:page;z-index:-215920" type="#_x0000_t202" filled="false" stroked="false">
          <v:textbox inset="0,0,0,0">
            <w:txbxContent>
              <w:p>
                <w:pPr>
                  <w:spacing w:line="223" w:lineRule="exact" w:before="0"/>
                  <w:ind w:left="40" w:right="-1" w:firstLine="0"/>
                  <w:jc w:val="left"/>
                  <w:rPr>
                    <w:rFonts w:ascii="Calibri"/>
                    <w:sz w:val="20"/>
                  </w:rPr>
                </w:pPr>
                <w:r>
                  <w:rPr/>
                  <w:fldChar w:fldCharType="begin"/>
                </w:r>
                <w:r>
                  <w:rPr>
                    <w:rFonts w:ascii="Calibri"/>
                    <w:sz w:val="20"/>
                  </w:rPr>
                  <w:instrText> PAGE </w:instrText>
                </w:r>
                <w:r>
                  <w:rPr/>
                  <w:fldChar w:fldCharType="separate"/>
                </w:r>
                <w:r>
                  <w:rPr/>
                  <w:t>1</w:t>
                </w:r>
                <w:r>
                  <w:rPr/>
                  <w:fldChar w:fldCharType="end"/>
                </w:r>
                <w:r>
                  <w:rPr>
                    <w:rFonts w:ascii="Calibri"/>
                    <w:sz w:val="20"/>
                  </w:rPr>
                  <w:t>9</w:t>
                </w:r>
              </w:p>
            </w:txbxContent>
          </v:textbox>
          <w10:wrap type="none"/>
        </v:shape>
      </w:pict>
    </w:r>
    <w:r>
      <w:rPr/>
      <w:pict>
        <v:shape style="position:absolute;margin-left:535.469971pt;margin-top:571.041443pt;width:156.9pt;height:12pt;mso-position-horizontal-relative:page;mso-position-vertical-relative:page;z-index:-215896" type="#_x0000_t202" filled="false" stroked="false">
          <v:textbox inset="0,0,0,0">
            <w:txbxContent>
              <w:p>
                <w:pPr>
                  <w:spacing w:line="224" w:lineRule="exact" w:before="0"/>
                  <w:ind w:left="20" w:right="-2"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5872" from="76.944pt,569.736023pt" to="692.854pt,569.736023pt" stroked="true" strokeweight=".47998pt" strokecolor="#000000">
          <w10:wrap type="none"/>
        </v:line>
      </w:pict>
    </w:r>
    <w:r>
      <w:rPr/>
      <w:pict>
        <v:shape style="position:absolute;margin-left:710.099976pt;margin-top:565.466003pt;width:12.1pt;height:12pt;mso-position-horizontal-relative:page;mso-position-vertical-relative:page;z-index:-215848" type="#_x0000_t202" filled="false" stroked="false">
          <v:textbox inset="0,0,0,0">
            <w:txbxContent>
              <w:p>
                <w:pPr>
                  <w:spacing w:line="223" w:lineRule="exact" w:before="0"/>
                  <w:ind w:left="20" w:right="-1" w:firstLine="0"/>
                  <w:jc w:val="left"/>
                  <w:rPr>
                    <w:rFonts w:ascii="Calibri"/>
                    <w:sz w:val="20"/>
                  </w:rPr>
                </w:pPr>
                <w:r>
                  <w:rPr>
                    <w:rFonts w:ascii="Calibri"/>
                    <w:sz w:val="20"/>
                  </w:rPr>
                  <w:t>21</w:t>
                </w:r>
              </w:p>
            </w:txbxContent>
          </v:textbox>
          <w10:wrap type="none"/>
        </v:shape>
      </w:pict>
    </w:r>
    <w:r>
      <w:rPr/>
      <w:pict>
        <v:shape style="position:absolute;margin-left:535.469971pt;margin-top:571.041443pt;width:156.9pt;height:12pt;mso-position-horizontal-relative:page;mso-position-vertical-relative:page;z-index:-215824" type="#_x0000_t202" filled="false" stroked="false">
          <v:textbox inset="0,0,0,0">
            <w:txbxContent>
              <w:p>
                <w:pPr>
                  <w:spacing w:line="224" w:lineRule="exact" w:before="0"/>
                  <w:ind w:left="20" w:right="-2"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5752" from="91.103996pt,749.76001pt" to="507.813996pt,749.76001pt" stroked="true" strokeweight=".47998pt" strokecolor="#000000">
          <w10:wrap type="none"/>
        </v:line>
      </w:pict>
    </w:r>
    <w:r>
      <w:rPr/>
      <w:pict>
        <v:shape style="position:absolute;margin-left:514.940002pt;margin-top:745.48999pt;width:14.1pt;height:12pt;mso-position-horizontal-relative:page;mso-position-vertical-relative:page;z-index:-215728"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22</w:t>
                </w:r>
                <w:r>
                  <w:rPr/>
                  <w:fldChar w:fldCharType="end"/>
                </w:r>
              </w:p>
            </w:txbxContent>
          </v:textbox>
          <w10:wrap type="none"/>
        </v:shape>
      </w:pict>
    </w:r>
    <w:r>
      <w:rPr/>
      <w:pict>
        <v:shape style="position:absolute;margin-left:350.429993pt;margin-top:751.06543pt;width:156.85pt;height:12pt;mso-position-horizontal-relative:page;mso-position-vertical-relative:page;z-index:-215704"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5680" from="91.103996pt,749.76001pt" to="507.813996pt,749.76001pt" stroked="true" strokeweight=".47998pt" strokecolor="#000000">
          <w10:wrap type="none"/>
        </v:line>
      </w:pict>
    </w:r>
    <w:r>
      <w:rPr/>
      <w:pict>
        <v:shape style="position:absolute;margin-left:515.940002pt;margin-top:745.48999pt;width:12.1pt;height:12pt;mso-position-horizontal-relative:page;mso-position-vertical-relative:page;z-index:-215656" type="#_x0000_t202" filled="false" stroked="false">
          <v:textbox inset="0,0,0,0">
            <w:txbxContent>
              <w:p>
                <w:pPr>
                  <w:spacing w:line="223" w:lineRule="exact" w:before="0"/>
                  <w:ind w:left="20" w:right="-1" w:firstLine="0"/>
                  <w:jc w:val="left"/>
                  <w:rPr>
                    <w:rFonts w:ascii="Calibri"/>
                    <w:sz w:val="20"/>
                  </w:rPr>
                </w:pPr>
                <w:r>
                  <w:rPr>
                    <w:rFonts w:ascii="Calibri"/>
                    <w:sz w:val="20"/>
                  </w:rPr>
                  <w:t>30</w:t>
                </w:r>
              </w:p>
            </w:txbxContent>
          </v:textbox>
          <w10:wrap type="none"/>
        </v:shape>
      </w:pict>
    </w:r>
    <w:r>
      <w:rPr/>
      <w:pict>
        <v:shape style="position:absolute;margin-left:350.429993pt;margin-top:751.06543pt;width:156.85pt;height:12pt;mso-position-horizontal-relative:page;mso-position-vertical-relative:page;z-index:-215632" type="#_x0000_t202" filled="false" stroked="false">
          <v:textbox inset="0,0,0,0">
            <w:txbxContent>
              <w:p>
                <w:pPr>
                  <w:spacing w:line="224" w:lineRule="exact" w:before="0"/>
                  <w:ind w:left="20" w:right="-3" w:firstLine="0"/>
                  <w:jc w:val="left"/>
                  <w:rPr>
                    <w:rFonts w:ascii="Times New Roman" w:hAnsi="Times New Roman"/>
                    <w:i/>
                    <w:sz w:val="20"/>
                  </w:rPr>
                </w:pPr>
                <w:r>
                  <w:rPr>
                    <w:rFonts w:ascii="Times New Roman" w:hAnsi="Times New Roman"/>
                    <w:i/>
                    <w:sz w:val="20"/>
                  </w:rPr>
                  <w:t>L. en G. Edaena Pamela Díaz Galindo</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6424" from="83.664001pt,59.759998pt" to="528.454001pt,59.759998pt" stroked="true" strokeweight=".48pt" strokecolor="#000000">
          <w10:wrap type="none"/>
        </v:line>
      </w:pict>
    </w:r>
    <w:r>
      <w:rPr/>
      <w:pict>
        <v:shapetype id="_x0000_t202" o:spt="202" coordsize="21600,21600" path="m,l,21600r21600,l21600,xe">
          <v:stroke joinstyle="miter"/>
          <v:path gradientshapeok="t" o:connecttype="rect"/>
        </v:shapetype>
        <v:shape style="position:absolute;margin-left:84.823997pt;margin-top:35.385448pt;width:443.05pt;height:23.6pt;mso-position-horizontal-relative:page;mso-position-vertical-relative:page;z-index:-216400" type="#_x0000_t202" filled="false" stroked="false">
          <v:textbox inset="0,0,0,0">
            <w:txbxContent>
              <w:p>
                <w:pPr>
                  <w:spacing w:line="224" w:lineRule="exact" w:before="0"/>
                  <w:ind w:left="0" w:right="18" w:firstLine="0"/>
                  <w:jc w:val="right"/>
                  <w:rPr>
                    <w:rFonts w:ascii="Times New Roman" w:hAnsi="Times New Roman"/>
                    <w:sz w:val="20"/>
                  </w:rPr>
                </w:pPr>
                <w:r>
                  <w:rPr>
                    <w:rFonts w:ascii="Times New Roman" w:hAnsi="Times New Roman"/>
                    <w:sz w:val="20"/>
                  </w:rPr>
                  <w:t>Detección de </w:t>
                </w:r>
                <w:r>
                  <w:rPr>
                    <w:rFonts w:ascii="Times New Roman" w:hAnsi="Times New Roman"/>
                    <w:i/>
                    <w:sz w:val="20"/>
                  </w:rPr>
                  <w:t>Staphylococcus aureus ORSA/MRSA </w:t>
                </w:r>
                <w:r>
                  <w:rPr>
                    <w:rFonts w:ascii="Times New Roman" w:hAnsi="Times New Roman"/>
                    <w:sz w:val="20"/>
                  </w:rPr>
                  <w:t>en quesos frescos artesanales comercializados en mercados</w:t>
                </w:r>
              </w:p>
              <w:p>
                <w:pPr>
                  <w:spacing w:before="3"/>
                  <w:ind w:left="0" w:right="18" w:firstLine="0"/>
                  <w:jc w:val="right"/>
                  <w:rPr>
                    <w:rFonts w:ascii="Times New Roman"/>
                    <w:sz w:val="20"/>
                  </w:rPr>
                </w:pPr>
                <w:r>
                  <w:rPr>
                    <w:rFonts w:ascii="Times New Roman"/>
                    <w:sz w:val="20"/>
                  </w:rPr>
                  <w:t>populares en el Valle de Toluca</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823997pt;margin-top:35.385448pt;width:443.05pt;height:23.6pt;mso-position-horizontal-relative:page;mso-position-vertical-relative:page;z-index:-216280" type="#_x0000_t202" filled="false" stroked="false">
          <v:textbox inset="0,0,0,0">
            <w:txbxContent>
              <w:p>
                <w:pPr>
                  <w:spacing w:line="224" w:lineRule="exact" w:before="0"/>
                  <w:ind w:left="0" w:right="18" w:firstLine="0"/>
                  <w:jc w:val="right"/>
                  <w:rPr>
                    <w:rFonts w:ascii="Times New Roman" w:hAnsi="Times New Roman"/>
                    <w:sz w:val="20"/>
                  </w:rPr>
                </w:pPr>
                <w:r>
                  <w:rPr>
                    <w:rFonts w:ascii="Times New Roman" w:hAnsi="Times New Roman"/>
                    <w:sz w:val="20"/>
                  </w:rPr>
                  <w:t>Detección de </w:t>
                </w:r>
                <w:r>
                  <w:rPr>
                    <w:rFonts w:ascii="Times New Roman" w:hAnsi="Times New Roman"/>
                    <w:i/>
                    <w:sz w:val="20"/>
                  </w:rPr>
                  <w:t>Staphylococcus aureus ORSA/MRSA </w:t>
                </w:r>
                <w:r>
                  <w:rPr>
                    <w:rFonts w:ascii="Times New Roman" w:hAnsi="Times New Roman"/>
                    <w:sz w:val="20"/>
                  </w:rPr>
                  <w:t>en quesos frescos artesanales comercializados en mercados</w:t>
                </w:r>
              </w:p>
              <w:p>
                <w:pPr>
                  <w:spacing w:before="3"/>
                  <w:ind w:left="0" w:right="18" w:firstLine="0"/>
                  <w:jc w:val="right"/>
                  <w:rPr>
                    <w:rFonts w:ascii="Times New Roman"/>
                    <w:sz w:val="20"/>
                  </w:rPr>
                </w:pPr>
                <w:r>
                  <w:rPr>
                    <w:rFonts w:ascii="Times New Roman"/>
                    <w:sz w:val="20"/>
                  </w:rPr>
                  <w:t>populares en el Valle de Toluca</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6256" from="83.664001pt,59.759998pt" to="528.454001pt,59.759998pt" stroked="true" strokeweight=".48pt" strokecolor="#000000">
          <w10:wrap type="none"/>
        </v:line>
      </w:pict>
    </w:r>
    <w:r>
      <w:rPr/>
      <w:pict>
        <v:shape style="position:absolute;margin-left:84.823997pt;margin-top:35.385448pt;width:443.05pt;height:23.6pt;mso-position-horizontal-relative:page;mso-position-vertical-relative:page;z-index:-216232" type="#_x0000_t202" filled="false" stroked="false">
          <v:textbox inset="0,0,0,0">
            <w:txbxContent>
              <w:p>
                <w:pPr>
                  <w:spacing w:line="224" w:lineRule="exact" w:before="0"/>
                  <w:ind w:left="0" w:right="18" w:firstLine="0"/>
                  <w:jc w:val="right"/>
                  <w:rPr>
                    <w:rFonts w:ascii="Times New Roman" w:hAnsi="Times New Roman"/>
                    <w:sz w:val="20"/>
                  </w:rPr>
                </w:pPr>
                <w:r>
                  <w:rPr>
                    <w:rFonts w:ascii="Times New Roman" w:hAnsi="Times New Roman"/>
                    <w:sz w:val="20"/>
                  </w:rPr>
                  <w:t>Detección de </w:t>
                </w:r>
                <w:r>
                  <w:rPr>
                    <w:rFonts w:ascii="Times New Roman" w:hAnsi="Times New Roman"/>
                    <w:i/>
                    <w:sz w:val="20"/>
                  </w:rPr>
                  <w:t>Staphylococcus aureus ORSA/MRSA </w:t>
                </w:r>
                <w:r>
                  <w:rPr>
                    <w:rFonts w:ascii="Times New Roman" w:hAnsi="Times New Roman"/>
                    <w:sz w:val="20"/>
                  </w:rPr>
                  <w:t>en quesos frescos artesanales comercializados en mercados</w:t>
                </w:r>
              </w:p>
              <w:p>
                <w:pPr>
                  <w:spacing w:before="3"/>
                  <w:ind w:left="0" w:right="18" w:firstLine="0"/>
                  <w:jc w:val="right"/>
                  <w:rPr>
                    <w:rFonts w:ascii="Times New Roman"/>
                    <w:sz w:val="20"/>
                  </w:rPr>
                </w:pPr>
                <w:r>
                  <w:rPr>
                    <w:rFonts w:ascii="Times New Roman"/>
                    <w:sz w:val="20"/>
                  </w:rPr>
                  <w:t>populares en el Valle de Toluca</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5992" from="69.480003pt,48.240002pt" to="722.640003pt,48.240002pt" stroked="true" strokeweight=".48pt" strokecolor="#000000">
          <w10:wrap type="none"/>
        </v:line>
      </w:pict>
    </w:r>
    <w:r>
      <w:rPr/>
      <w:pict>
        <v:shape style="position:absolute;margin-left:149.5pt;margin-top:35.505451pt;width:572.4pt;height:12pt;mso-position-horizontal-relative:page;mso-position-vertical-relative:page;z-index:-215968" type="#_x0000_t202" filled="false" stroked="false">
          <v:textbox inset="0,0,0,0">
            <w:txbxContent>
              <w:p>
                <w:pPr>
                  <w:spacing w:line="224" w:lineRule="exact" w:before="0"/>
                  <w:ind w:left="20" w:right="-5" w:firstLine="0"/>
                  <w:jc w:val="left"/>
                  <w:rPr>
                    <w:rFonts w:ascii="Times New Roman" w:hAnsi="Times New Roman"/>
                    <w:sz w:val="20"/>
                  </w:rPr>
                </w:pPr>
                <w:r>
                  <w:rPr>
                    <w:rFonts w:ascii="Times New Roman" w:hAnsi="Times New Roman"/>
                    <w:sz w:val="20"/>
                  </w:rPr>
                  <w:t>Detección de </w:t>
                </w:r>
                <w:r>
                  <w:rPr>
                    <w:rFonts w:ascii="Times New Roman" w:hAnsi="Times New Roman"/>
                    <w:i/>
                    <w:sz w:val="20"/>
                  </w:rPr>
                  <w:t>Staphylococcus aureus ORSA/MRSA </w:t>
                </w:r>
                <w:r>
                  <w:rPr>
                    <w:rFonts w:ascii="Times New Roman" w:hAnsi="Times New Roman"/>
                    <w:sz w:val="20"/>
                  </w:rPr>
                  <w:t>en quesos frescos artesanales comercializados en mercados populares en el Valle de Toluca</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5800" from="83.664001pt,59.759998pt" to="528.454001pt,59.759998pt" stroked="true" strokeweight=".48pt" strokecolor="#000000">
          <w10:wrap type="none"/>
        </v:line>
      </w:pict>
    </w:r>
    <w:r>
      <w:rPr/>
      <w:pict>
        <v:shape style="position:absolute;margin-left:84.823997pt;margin-top:35.385448pt;width:443.05pt;height:23.6pt;mso-position-horizontal-relative:page;mso-position-vertical-relative:page;z-index:-215776" type="#_x0000_t202" filled="false" stroked="false">
          <v:textbox inset="0,0,0,0">
            <w:txbxContent>
              <w:p>
                <w:pPr>
                  <w:spacing w:line="224" w:lineRule="exact" w:before="0"/>
                  <w:ind w:left="0" w:right="18" w:firstLine="0"/>
                  <w:jc w:val="right"/>
                  <w:rPr>
                    <w:rFonts w:ascii="Times New Roman" w:hAnsi="Times New Roman"/>
                    <w:sz w:val="20"/>
                  </w:rPr>
                </w:pPr>
                <w:r>
                  <w:rPr>
                    <w:rFonts w:ascii="Times New Roman" w:hAnsi="Times New Roman"/>
                    <w:sz w:val="20"/>
                  </w:rPr>
                  <w:t>Detección de </w:t>
                </w:r>
                <w:r>
                  <w:rPr>
                    <w:rFonts w:ascii="Times New Roman" w:hAnsi="Times New Roman"/>
                    <w:i/>
                    <w:sz w:val="20"/>
                  </w:rPr>
                  <w:t>Staphylococcus aureus ORSA/MRSA </w:t>
                </w:r>
                <w:r>
                  <w:rPr>
                    <w:rFonts w:ascii="Times New Roman" w:hAnsi="Times New Roman"/>
                    <w:sz w:val="20"/>
                  </w:rPr>
                  <w:t>en quesos frescos artesanales comercializados en mercados</w:t>
                </w:r>
              </w:p>
              <w:p>
                <w:pPr>
                  <w:spacing w:before="3"/>
                  <w:ind w:left="0" w:right="18" w:firstLine="0"/>
                  <w:jc w:val="right"/>
                  <w:rPr>
                    <w:rFonts w:ascii="Times New Roman"/>
                    <w:sz w:val="20"/>
                  </w:rPr>
                </w:pPr>
                <w:r>
                  <w:rPr>
                    <w:rFonts w:ascii="Times New Roman"/>
                    <w:sz w:val="20"/>
                  </w:rPr>
                  <w:t>populares en el Valle de Toluca</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528" from="69.480003pt,48.240002pt" to="722.640003pt,48.240002pt" stroked="true" strokeweight=".48pt" strokecolor="#000000">
          <w10:wrap type="none"/>
        </v:line>
      </w:pict>
    </w:r>
    <w:r>
      <w:rPr/>
      <w:pict>
        <v:shape style="position:absolute;margin-left:149.5pt;margin-top:35.505451pt;width:572.4pt;height:12pt;mso-position-horizontal-relative:page;mso-position-vertical-relative:page;z-index:-214504" type="#_x0000_t202" filled="false" stroked="false">
          <v:textbox inset="0,0,0,0">
            <w:txbxContent>
              <w:p>
                <w:pPr>
                  <w:spacing w:line="224" w:lineRule="exact" w:before="0"/>
                  <w:ind w:left="20" w:right="-5" w:firstLine="0"/>
                  <w:jc w:val="left"/>
                  <w:rPr>
                    <w:rFonts w:ascii="Times New Roman" w:hAnsi="Times New Roman"/>
                    <w:sz w:val="20"/>
                  </w:rPr>
                </w:pPr>
                <w:r>
                  <w:rPr>
                    <w:rFonts w:ascii="Times New Roman" w:hAnsi="Times New Roman"/>
                    <w:sz w:val="20"/>
                  </w:rPr>
                  <w:t>Detección de </w:t>
                </w:r>
                <w:r>
                  <w:rPr>
                    <w:rFonts w:ascii="Times New Roman" w:hAnsi="Times New Roman"/>
                    <w:i/>
                    <w:sz w:val="20"/>
                  </w:rPr>
                  <w:t>Staphylococcus aureus ORSA/MRSA </w:t>
                </w:r>
                <w:r>
                  <w:rPr>
                    <w:rFonts w:ascii="Times New Roman" w:hAnsi="Times New Roman"/>
                    <w:sz w:val="20"/>
                  </w:rPr>
                  <w:t>en quesos frescos artesanales comercializados en mercados populares en el Valle de Toluca</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408" from="92.183998pt,59.759998pt" to="536.973998pt,59.759998pt" stroked="true" strokeweight=".48pt" strokecolor="#000000">
          <w10:wrap type="none"/>
        </v:line>
      </w:pict>
    </w:r>
    <w:r>
      <w:rPr/>
      <w:pict>
        <v:shape style="position:absolute;margin-left:93.344002pt;margin-top:35.385448pt;width:443.1pt;height:23.6pt;mso-position-horizontal-relative:page;mso-position-vertical-relative:page;z-index:-214384" type="#_x0000_t202" filled="false" stroked="false">
          <v:textbox inset="0,0,0,0">
            <w:txbxContent>
              <w:p>
                <w:pPr>
                  <w:spacing w:line="224" w:lineRule="exact" w:before="0"/>
                  <w:ind w:left="0" w:right="18" w:firstLine="0"/>
                  <w:jc w:val="right"/>
                  <w:rPr>
                    <w:rFonts w:ascii="Times New Roman" w:hAnsi="Times New Roman"/>
                    <w:sz w:val="20"/>
                  </w:rPr>
                </w:pPr>
                <w:r>
                  <w:rPr>
                    <w:rFonts w:ascii="Times New Roman" w:hAnsi="Times New Roman"/>
                    <w:sz w:val="20"/>
                  </w:rPr>
                  <w:t>Detección de </w:t>
                </w:r>
                <w:r>
                  <w:rPr>
                    <w:rFonts w:ascii="Times New Roman" w:hAnsi="Times New Roman"/>
                    <w:i/>
                    <w:sz w:val="20"/>
                  </w:rPr>
                  <w:t>Staphylococcus aureus ORSA/MRSA </w:t>
                </w:r>
                <w:r>
                  <w:rPr>
                    <w:rFonts w:ascii="Times New Roman" w:hAnsi="Times New Roman"/>
                    <w:sz w:val="20"/>
                  </w:rPr>
                  <w:t>en quesos frescos artesanales comercializados en mercados</w:t>
                </w:r>
              </w:p>
              <w:p>
                <w:pPr>
                  <w:spacing w:before="3"/>
                  <w:ind w:left="0" w:right="19" w:firstLine="0"/>
                  <w:jc w:val="right"/>
                  <w:rPr>
                    <w:rFonts w:ascii="Times New Roman"/>
                    <w:sz w:val="20"/>
                  </w:rPr>
                </w:pPr>
                <w:r>
                  <w:rPr>
                    <w:rFonts w:ascii="Times New Roman"/>
                    <w:sz w:val="20"/>
                  </w:rPr>
                  <w:t>populares en el Valle de Toluca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bullet"/>
      <w:lvlText w:val=""/>
      <w:lvlJc w:val="left"/>
      <w:pPr>
        <w:ind w:left="862" w:hanging="360"/>
      </w:pPr>
      <w:rPr>
        <w:rFonts w:hint="default" w:ascii="Symbol" w:hAnsi="Symbol" w:eastAsia="Symbol" w:cs="Symbol"/>
        <w:w w:val="100"/>
        <w:sz w:val="24"/>
        <w:szCs w:val="24"/>
      </w:rPr>
    </w:lvl>
    <w:lvl w:ilvl="1">
      <w:start w:val="1"/>
      <w:numFmt w:val="bullet"/>
      <w:lvlText w:val="•"/>
      <w:lvlJc w:val="left"/>
      <w:pPr>
        <w:ind w:left="1686" w:hanging="360"/>
      </w:pPr>
      <w:rPr>
        <w:rFonts w:hint="default"/>
      </w:rPr>
    </w:lvl>
    <w:lvl w:ilvl="2">
      <w:start w:val="1"/>
      <w:numFmt w:val="bullet"/>
      <w:lvlText w:val="•"/>
      <w:lvlJc w:val="left"/>
      <w:pPr>
        <w:ind w:left="2512" w:hanging="360"/>
      </w:pPr>
      <w:rPr>
        <w:rFonts w:hint="default"/>
      </w:rPr>
    </w:lvl>
    <w:lvl w:ilvl="3">
      <w:start w:val="1"/>
      <w:numFmt w:val="bullet"/>
      <w:lvlText w:val="•"/>
      <w:lvlJc w:val="left"/>
      <w:pPr>
        <w:ind w:left="333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6" w:hanging="360"/>
      </w:pPr>
      <w:rPr>
        <w:rFonts w:hint="default"/>
      </w:rPr>
    </w:lvl>
    <w:lvl w:ilvl="7">
      <w:start w:val="1"/>
      <w:numFmt w:val="bullet"/>
      <w:lvlText w:val="•"/>
      <w:lvlJc w:val="left"/>
      <w:pPr>
        <w:ind w:left="6642" w:hanging="360"/>
      </w:pPr>
      <w:rPr>
        <w:rFonts w:hint="default"/>
      </w:rPr>
    </w:lvl>
    <w:lvl w:ilvl="8">
      <w:start w:val="1"/>
      <w:numFmt w:val="bullet"/>
      <w:lvlText w:val="•"/>
      <w:lvlJc w:val="left"/>
      <w:pPr>
        <w:ind w:left="7468" w:hanging="360"/>
      </w:pPr>
      <w:rPr>
        <w:rFonts w:hint="default"/>
      </w:rPr>
    </w:lvl>
  </w:abstractNum>
  <w:abstractNum w:abstractNumId="27">
    <w:multiLevelType w:val="hybridMultilevel"/>
    <w:lvl w:ilvl="0">
      <w:start w:val="1"/>
      <w:numFmt w:val="decimal"/>
      <w:lvlText w:val="%1"/>
      <w:lvlJc w:val="left"/>
      <w:pPr>
        <w:ind w:left="430" w:hanging="278"/>
        <w:jc w:val="left"/>
      </w:pPr>
      <w:rPr>
        <w:rFonts w:hint="default"/>
      </w:rPr>
    </w:lvl>
    <w:lvl w:ilvl="1">
      <w:start w:val="2"/>
      <w:numFmt w:val="decimal"/>
      <w:lvlText w:val="%1.%2"/>
      <w:lvlJc w:val="left"/>
      <w:pPr>
        <w:ind w:left="430" w:hanging="278"/>
        <w:jc w:val="left"/>
      </w:pPr>
      <w:rPr>
        <w:rFonts w:hint="default" w:ascii="Arial" w:hAnsi="Arial" w:eastAsia="Arial" w:cs="Arial"/>
        <w:spacing w:val="-1"/>
        <w:w w:val="99"/>
        <w:sz w:val="20"/>
        <w:szCs w:val="20"/>
      </w:rPr>
    </w:lvl>
    <w:lvl w:ilvl="2">
      <w:start w:val="1"/>
      <w:numFmt w:val="decimal"/>
      <w:lvlText w:val="%3."/>
      <w:lvlJc w:val="left"/>
      <w:pPr>
        <w:ind w:left="872" w:hanging="360"/>
        <w:jc w:val="left"/>
      </w:pPr>
      <w:rPr>
        <w:rFonts w:hint="default" w:ascii="Arial" w:hAnsi="Arial" w:eastAsia="Arial" w:cs="Arial"/>
        <w:spacing w:val="-1"/>
        <w:w w:val="99"/>
        <w:sz w:val="20"/>
        <w:szCs w:val="20"/>
      </w:rPr>
    </w:lvl>
    <w:lvl w:ilvl="3">
      <w:start w:val="1"/>
      <w:numFmt w:val="bullet"/>
      <w:lvlText w:val="•"/>
      <w:lvlJc w:val="left"/>
      <w:pPr>
        <w:ind w:left="2715" w:hanging="360"/>
      </w:pPr>
      <w:rPr>
        <w:rFonts w:hint="default"/>
      </w:rPr>
    </w:lvl>
    <w:lvl w:ilvl="4">
      <w:start w:val="1"/>
      <w:numFmt w:val="bullet"/>
      <w:lvlText w:val="•"/>
      <w:lvlJc w:val="left"/>
      <w:pPr>
        <w:ind w:left="3633" w:hanging="360"/>
      </w:pPr>
      <w:rPr>
        <w:rFonts w:hint="default"/>
      </w:rPr>
    </w:lvl>
    <w:lvl w:ilvl="5">
      <w:start w:val="1"/>
      <w:numFmt w:val="bullet"/>
      <w:lvlText w:val="•"/>
      <w:lvlJc w:val="left"/>
      <w:pPr>
        <w:ind w:left="4551" w:hanging="360"/>
      </w:pPr>
      <w:rPr>
        <w:rFonts w:hint="default"/>
      </w:rPr>
    </w:lvl>
    <w:lvl w:ilvl="6">
      <w:start w:val="1"/>
      <w:numFmt w:val="bullet"/>
      <w:lvlText w:val="•"/>
      <w:lvlJc w:val="left"/>
      <w:pPr>
        <w:ind w:left="5468" w:hanging="360"/>
      </w:pPr>
      <w:rPr>
        <w:rFonts w:hint="default"/>
      </w:rPr>
    </w:lvl>
    <w:lvl w:ilvl="7">
      <w:start w:val="1"/>
      <w:numFmt w:val="bullet"/>
      <w:lvlText w:val="•"/>
      <w:lvlJc w:val="left"/>
      <w:pPr>
        <w:ind w:left="6386" w:hanging="360"/>
      </w:pPr>
      <w:rPr>
        <w:rFonts w:hint="default"/>
      </w:rPr>
    </w:lvl>
    <w:lvl w:ilvl="8">
      <w:start w:val="1"/>
      <w:numFmt w:val="bullet"/>
      <w:lvlText w:val="•"/>
      <w:lvlJc w:val="left"/>
      <w:pPr>
        <w:ind w:left="7304" w:hanging="360"/>
      </w:pPr>
      <w:rPr>
        <w:rFonts w:hint="default"/>
      </w:rPr>
    </w:lvl>
  </w:abstractNum>
  <w:abstractNum w:abstractNumId="26">
    <w:multiLevelType w:val="hybridMultilevel"/>
    <w:lvl w:ilvl="0">
      <w:start w:val="1"/>
      <w:numFmt w:val="bullet"/>
      <w:lvlText w:val=""/>
      <w:lvlJc w:val="left"/>
      <w:pPr>
        <w:ind w:left="152" w:hanging="360"/>
      </w:pPr>
      <w:rPr>
        <w:rFonts w:hint="default" w:ascii="Symbol" w:hAnsi="Symbol" w:eastAsia="Symbol" w:cs="Symbol"/>
        <w:w w:val="99"/>
        <w:sz w:val="20"/>
        <w:szCs w:val="20"/>
      </w:rPr>
    </w:lvl>
    <w:lvl w:ilvl="1">
      <w:start w:val="1"/>
      <w:numFmt w:val="bullet"/>
      <w:lvlText w:val="•"/>
      <w:lvlJc w:val="left"/>
      <w:pPr>
        <w:ind w:left="1058" w:hanging="360"/>
      </w:pPr>
      <w:rPr>
        <w:rFonts w:hint="default"/>
      </w:rPr>
    </w:lvl>
    <w:lvl w:ilvl="2">
      <w:start w:val="1"/>
      <w:numFmt w:val="bullet"/>
      <w:lvlText w:val="•"/>
      <w:lvlJc w:val="left"/>
      <w:pPr>
        <w:ind w:left="1956" w:hanging="360"/>
      </w:pPr>
      <w:rPr>
        <w:rFonts w:hint="default"/>
      </w:rPr>
    </w:lvl>
    <w:lvl w:ilvl="3">
      <w:start w:val="1"/>
      <w:numFmt w:val="bullet"/>
      <w:lvlText w:val="•"/>
      <w:lvlJc w:val="left"/>
      <w:pPr>
        <w:ind w:left="2854" w:hanging="360"/>
      </w:pPr>
      <w:rPr>
        <w:rFonts w:hint="default"/>
      </w:rPr>
    </w:lvl>
    <w:lvl w:ilvl="4">
      <w:start w:val="1"/>
      <w:numFmt w:val="bullet"/>
      <w:lvlText w:val="•"/>
      <w:lvlJc w:val="left"/>
      <w:pPr>
        <w:ind w:left="3752" w:hanging="360"/>
      </w:pPr>
      <w:rPr>
        <w:rFonts w:hint="default"/>
      </w:rPr>
    </w:lvl>
    <w:lvl w:ilvl="5">
      <w:start w:val="1"/>
      <w:numFmt w:val="bullet"/>
      <w:lvlText w:val="•"/>
      <w:lvlJc w:val="left"/>
      <w:pPr>
        <w:ind w:left="4650" w:hanging="360"/>
      </w:pPr>
      <w:rPr>
        <w:rFonts w:hint="default"/>
      </w:rPr>
    </w:lvl>
    <w:lvl w:ilvl="6">
      <w:start w:val="1"/>
      <w:numFmt w:val="bullet"/>
      <w:lvlText w:val="•"/>
      <w:lvlJc w:val="left"/>
      <w:pPr>
        <w:ind w:left="5548" w:hanging="360"/>
      </w:pPr>
      <w:rPr>
        <w:rFonts w:hint="default"/>
      </w:rPr>
    </w:lvl>
    <w:lvl w:ilvl="7">
      <w:start w:val="1"/>
      <w:numFmt w:val="bullet"/>
      <w:lvlText w:val="•"/>
      <w:lvlJc w:val="left"/>
      <w:pPr>
        <w:ind w:left="6446" w:hanging="360"/>
      </w:pPr>
      <w:rPr>
        <w:rFonts w:hint="default"/>
      </w:rPr>
    </w:lvl>
    <w:lvl w:ilvl="8">
      <w:start w:val="1"/>
      <w:numFmt w:val="bullet"/>
      <w:lvlText w:val="•"/>
      <w:lvlJc w:val="left"/>
      <w:pPr>
        <w:ind w:left="7344" w:hanging="360"/>
      </w:pPr>
      <w:rPr>
        <w:rFonts w:hint="default"/>
      </w:rPr>
    </w:lvl>
  </w:abstractNum>
  <w:abstractNum w:abstractNumId="25">
    <w:multiLevelType w:val="hybridMultilevel"/>
    <w:lvl w:ilvl="0">
      <w:start w:val="1"/>
      <w:numFmt w:val="decimal"/>
      <w:lvlText w:val="%1."/>
      <w:lvlJc w:val="left"/>
      <w:pPr>
        <w:ind w:left="152" w:hanging="222"/>
        <w:jc w:val="left"/>
      </w:pPr>
      <w:rPr>
        <w:rFonts w:hint="default" w:ascii="Arial" w:hAnsi="Arial" w:eastAsia="Arial" w:cs="Arial"/>
        <w:spacing w:val="-1"/>
        <w:w w:val="99"/>
        <w:sz w:val="20"/>
        <w:szCs w:val="20"/>
      </w:rPr>
    </w:lvl>
    <w:lvl w:ilvl="1">
      <w:start w:val="1"/>
      <w:numFmt w:val="decimal"/>
      <w:lvlText w:val="%1.%2"/>
      <w:lvlJc w:val="left"/>
      <w:pPr>
        <w:ind w:left="483" w:hanging="332"/>
        <w:jc w:val="left"/>
      </w:pPr>
      <w:rPr>
        <w:rFonts w:hint="default" w:ascii="Arial" w:hAnsi="Arial" w:eastAsia="Arial" w:cs="Arial"/>
        <w:w w:val="99"/>
        <w:sz w:val="20"/>
        <w:szCs w:val="20"/>
      </w:rPr>
    </w:lvl>
    <w:lvl w:ilvl="2">
      <w:start w:val="1"/>
      <w:numFmt w:val="bullet"/>
      <w:lvlText w:val="•"/>
      <w:lvlJc w:val="left"/>
      <w:pPr>
        <w:ind w:left="1442" w:hanging="332"/>
      </w:pPr>
      <w:rPr>
        <w:rFonts w:hint="default"/>
      </w:rPr>
    </w:lvl>
    <w:lvl w:ilvl="3">
      <w:start w:val="1"/>
      <w:numFmt w:val="bullet"/>
      <w:lvlText w:val="•"/>
      <w:lvlJc w:val="left"/>
      <w:pPr>
        <w:ind w:left="2404" w:hanging="332"/>
      </w:pPr>
      <w:rPr>
        <w:rFonts w:hint="default"/>
      </w:rPr>
    </w:lvl>
    <w:lvl w:ilvl="4">
      <w:start w:val="1"/>
      <w:numFmt w:val="bullet"/>
      <w:lvlText w:val="•"/>
      <w:lvlJc w:val="left"/>
      <w:pPr>
        <w:ind w:left="3366" w:hanging="332"/>
      </w:pPr>
      <w:rPr>
        <w:rFonts w:hint="default"/>
      </w:rPr>
    </w:lvl>
    <w:lvl w:ilvl="5">
      <w:start w:val="1"/>
      <w:numFmt w:val="bullet"/>
      <w:lvlText w:val="•"/>
      <w:lvlJc w:val="left"/>
      <w:pPr>
        <w:ind w:left="4328" w:hanging="332"/>
      </w:pPr>
      <w:rPr>
        <w:rFonts w:hint="default"/>
      </w:rPr>
    </w:lvl>
    <w:lvl w:ilvl="6">
      <w:start w:val="1"/>
      <w:numFmt w:val="bullet"/>
      <w:lvlText w:val="•"/>
      <w:lvlJc w:val="left"/>
      <w:pPr>
        <w:ind w:left="5291" w:hanging="332"/>
      </w:pPr>
      <w:rPr>
        <w:rFonts w:hint="default"/>
      </w:rPr>
    </w:lvl>
    <w:lvl w:ilvl="7">
      <w:start w:val="1"/>
      <w:numFmt w:val="bullet"/>
      <w:lvlText w:val="•"/>
      <w:lvlJc w:val="left"/>
      <w:pPr>
        <w:ind w:left="6253" w:hanging="332"/>
      </w:pPr>
      <w:rPr>
        <w:rFonts w:hint="default"/>
      </w:rPr>
    </w:lvl>
    <w:lvl w:ilvl="8">
      <w:start w:val="1"/>
      <w:numFmt w:val="bullet"/>
      <w:lvlText w:val="•"/>
      <w:lvlJc w:val="left"/>
      <w:pPr>
        <w:ind w:left="7215" w:hanging="332"/>
      </w:pPr>
      <w:rPr>
        <w:rFonts w:hint="default"/>
      </w:rPr>
    </w:lvl>
  </w:abstractNum>
  <w:abstractNum w:abstractNumId="24">
    <w:multiLevelType w:val="hybridMultilevel"/>
    <w:lvl w:ilvl="0">
      <w:start w:val="1"/>
      <w:numFmt w:val="decimal"/>
      <w:lvlText w:val="%1."/>
      <w:lvlJc w:val="left"/>
      <w:pPr>
        <w:ind w:left="512" w:hanging="360"/>
        <w:jc w:val="left"/>
      </w:pPr>
      <w:rPr>
        <w:rFonts w:hint="default" w:ascii="Arial" w:hAnsi="Arial" w:eastAsia="Arial" w:cs="Arial"/>
        <w:spacing w:val="-1"/>
        <w:w w:val="99"/>
        <w:sz w:val="20"/>
        <w:szCs w:val="20"/>
      </w:rPr>
    </w:lvl>
    <w:lvl w:ilvl="1">
      <w:start w:val="1"/>
      <w:numFmt w:val="bullet"/>
      <w:lvlText w:val="•"/>
      <w:lvlJc w:val="left"/>
      <w:pPr>
        <w:ind w:left="1382" w:hanging="360"/>
      </w:pPr>
      <w:rPr>
        <w:rFonts w:hint="default"/>
      </w:rPr>
    </w:lvl>
    <w:lvl w:ilvl="2">
      <w:start w:val="1"/>
      <w:numFmt w:val="bullet"/>
      <w:lvlText w:val="•"/>
      <w:lvlJc w:val="left"/>
      <w:pPr>
        <w:ind w:left="2244" w:hanging="360"/>
      </w:pPr>
      <w:rPr>
        <w:rFonts w:hint="default"/>
      </w:rPr>
    </w:lvl>
    <w:lvl w:ilvl="3">
      <w:start w:val="1"/>
      <w:numFmt w:val="bullet"/>
      <w:lvlText w:val="•"/>
      <w:lvlJc w:val="left"/>
      <w:pPr>
        <w:ind w:left="3106" w:hanging="360"/>
      </w:pPr>
      <w:rPr>
        <w:rFonts w:hint="default"/>
      </w:rPr>
    </w:lvl>
    <w:lvl w:ilvl="4">
      <w:start w:val="1"/>
      <w:numFmt w:val="bullet"/>
      <w:lvlText w:val="•"/>
      <w:lvlJc w:val="left"/>
      <w:pPr>
        <w:ind w:left="3968" w:hanging="360"/>
      </w:pPr>
      <w:rPr>
        <w:rFonts w:hint="default"/>
      </w:rPr>
    </w:lvl>
    <w:lvl w:ilvl="5">
      <w:start w:val="1"/>
      <w:numFmt w:val="bullet"/>
      <w:lvlText w:val="•"/>
      <w:lvlJc w:val="left"/>
      <w:pPr>
        <w:ind w:left="4830" w:hanging="360"/>
      </w:pPr>
      <w:rPr>
        <w:rFonts w:hint="default"/>
      </w:rPr>
    </w:lvl>
    <w:lvl w:ilvl="6">
      <w:start w:val="1"/>
      <w:numFmt w:val="bullet"/>
      <w:lvlText w:val="•"/>
      <w:lvlJc w:val="left"/>
      <w:pPr>
        <w:ind w:left="5692" w:hanging="360"/>
      </w:pPr>
      <w:rPr>
        <w:rFonts w:hint="default"/>
      </w:rPr>
    </w:lvl>
    <w:lvl w:ilvl="7">
      <w:start w:val="1"/>
      <w:numFmt w:val="bullet"/>
      <w:lvlText w:val="•"/>
      <w:lvlJc w:val="left"/>
      <w:pPr>
        <w:ind w:left="6554" w:hanging="360"/>
      </w:pPr>
      <w:rPr>
        <w:rFonts w:hint="default"/>
      </w:rPr>
    </w:lvl>
    <w:lvl w:ilvl="8">
      <w:start w:val="1"/>
      <w:numFmt w:val="bullet"/>
      <w:lvlText w:val="•"/>
      <w:lvlJc w:val="left"/>
      <w:pPr>
        <w:ind w:left="7416" w:hanging="360"/>
      </w:pPr>
      <w:rPr>
        <w:rFonts w:hint="default"/>
      </w:rPr>
    </w:lvl>
  </w:abstractNum>
  <w:abstractNum w:abstractNumId="23">
    <w:multiLevelType w:val="hybridMultilevel"/>
    <w:lvl w:ilvl="0">
      <w:start w:val="1"/>
      <w:numFmt w:val="decimal"/>
      <w:lvlText w:val="%1."/>
      <w:lvlJc w:val="left"/>
      <w:pPr>
        <w:ind w:left="512" w:hanging="360"/>
        <w:jc w:val="left"/>
      </w:pPr>
      <w:rPr>
        <w:rFonts w:hint="default" w:ascii="Arial" w:hAnsi="Arial" w:eastAsia="Arial" w:cs="Arial"/>
        <w:spacing w:val="-1"/>
        <w:w w:val="99"/>
        <w:sz w:val="20"/>
        <w:szCs w:val="20"/>
      </w:rPr>
    </w:lvl>
    <w:lvl w:ilvl="1">
      <w:start w:val="1"/>
      <w:numFmt w:val="bullet"/>
      <w:lvlText w:val="•"/>
      <w:lvlJc w:val="left"/>
      <w:pPr>
        <w:ind w:left="1382" w:hanging="360"/>
      </w:pPr>
      <w:rPr>
        <w:rFonts w:hint="default"/>
      </w:rPr>
    </w:lvl>
    <w:lvl w:ilvl="2">
      <w:start w:val="1"/>
      <w:numFmt w:val="bullet"/>
      <w:lvlText w:val="•"/>
      <w:lvlJc w:val="left"/>
      <w:pPr>
        <w:ind w:left="2244" w:hanging="360"/>
      </w:pPr>
      <w:rPr>
        <w:rFonts w:hint="default"/>
      </w:rPr>
    </w:lvl>
    <w:lvl w:ilvl="3">
      <w:start w:val="1"/>
      <w:numFmt w:val="bullet"/>
      <w:lvlText w:val="•"/>
      <w:lvlJc w:val="left"/>
      <w:pPr>
        <w:ind w:left="3106" w:hanging="360"/>
      </w:pPr>
      <w:rPr>
        <w:rFonts w:hint="default"/>
      </w:rPr>
    </w:lvl>
    <w:lvl w:ilvl="4">
      <w:start w:val="1"/>
      <w:numFmt w:val="bullet"/>
      <w:lvlText w:val="•"/>
      <w:lvlJc w:val="left"/>
      <w:pPr>
        <w:ind w:left="3968" w:hanging="360"/>
      </w:pPr>
      <w:rPr>
        <w:rFonts w:hint="default"/>
      </w:rPr>
    </w:lvl>
    <w:lvl w:ilvl="5">
      <w:start w:val="1"/>
      <w:numFmt w:val="bullet"/>
      <w:lvlText w:val="•"/>
      <w:lvlJc w:val="left"/>
      <w:pPr>
        <w:ind w:left="4830" w:hanging="360"/>
      </w:pPr>
      <w:rPr>
        <w:rFonts w:hint="default"/>
      </w:rPr>
    </w:lvl>
    <w:lvl w:ilvl="6">
      <w:start w:val="1"/>
      <w:numFmt w:val="bullet"/>
      <w:lvlText w:val="•"/>
      <w:lvlJc w:val="left"/>
      <w:pPr>
        <w:ind w:left="5692" w:hanging="360"/>
      </w:pPr>
      <w:rPr>
        <w:rFonts w:hint="default"/>
      </w:rPr>
    </w:lvl>
    <w:lvl w:ilvl="7">
      <w:start w:val="1"/>
      <w:numFmt w:val="bullet"/>
      <w:lvlText w:val="•"/>
      <w:lvlJc w:val="left"/>
      <w:pPr>
        <w:ind w:left="6554" w:hanging="360"/>
      </w:pPr>
      <w:rPr>
        <w:rFonts w:hint="default"/>
      </w:rPr>
    </w:lvl>
    <w:lvl w:ilvl="8">
      <w:start w:val="1"/>
      <w:numFmt w:val="bullet"/>
      <w:lvlText w:val="•"/>
      <w:lvlJc w:val="left"/>
      <w:pPr>
        <w:ind w:left="7416" w:hanging="360"/>
      </w:pPr>
      <w:rPr>
        <w:rFonts w:hint="default"/>
      </w:rPr>
    </w:lvl>
  </w:abstractNum>
  <w:abstractNum w:abstractNumId="22">
    <w:multiLevelType w:val="hybridMultilevel"/>
    <w:lvl w:ilvl="0">
      <w:start w:val="1"/>
      <w:numFmt w:val="decimal"/>
      <w:lvlText w:val="%1."/>
      <w:lvlJc w:val="left"/>
      <w:pPr>
        <w:ind w:left="373" w:hanging="221"/>
        <w:jc w:val="left"/>
      </w:pPr>
      <w:rPr>
        <w:rFonts w:hint="default" w:ascii="Arial" w:hAnsi="Arial" w:eastAsia="Arial" w:cs="Arial"/>
        <w:w w:val="99"/>
        <w:sz w:val="20"/>
        <w:szCs w:val="20"/>
      </w:rPr>
    </w:lvl>
    <w:lvl w:ilvl="1">
      <w:start w:val="1"/>
      <w:numFmt w:val="decimal"/>
      <w:lvlText w:val="%1.%2"/>
      <w:lvlJc w:val="left"/>
      <w:pPr>
        <w:ind w:left="483" w:hanging="332"/>
        <w:jc w:val="left"/>
      </w:pPr>
      <w:rPr>
        <w:rFonts w:hint="default" w:ascii="Arial" w:hAnsi="Arial" w:eastAsia="Arial" w:cs="Arial"/>
        <w:w w:val="99"/>
        <w:sz w:val="20"/>
        <w:szCs w:val="20"/>
      </w:rPr>
    </w:lvl>
    <w:lvl w:ilvl="2">
      <w:start w:val="1"/>
      <w:numFmt w:val="decimal"/>
      <w:lvlText w:val="%1.%2.%3"/>
      <w:lvlJc w:val="left"/>
      <w:pPr>
        <w:ind w:left="651" w:hanging="500"/>
        <w:jc w:val="left"/>
      </w:pPr>
      <w:rPr>
        <w:rFonts w:hint="default" w:ascii="Arial" w:hAnsi="Arial" w:eastAsia="Arial" w:cs="Arial"/>
        <w:spacing w:val="-1"/>
        <w:w w:val="99"/>
        <w:position w:val="1"/>
        <w:sz w:val="20"/>
        <w:szCs w:val="20"/>
      </w:rPr>
    </w:lvl>
    <w:lvl w:ilvl="3">
      <w:start w:val="1"/>
      <w:numFmt w:val="bullet"/>
      <w:lvlText w:val="•"/>
      <w:lvlJc w:val="left"/>
      <w:pPr>
        <w:ind w:left="660" w:hanging="500"/>
      </w:pPr>
      <w:rPr>
        <w:rFonts w:hint="default"/>
      </w:rPr>
    </w:lvl>
    <w:lvl w:ilvl="4">
      <w:start w:val="1"/>
      <w:numFmt w:val="bullet"/>
      <w:lvlText w:val="•"/>
      <w:lvlJc w:val="left"/>
      <w:pPr>
        <w:ind w:left="1871" w:hanging="500"/>
      </w:pPr>
      <w:rPr>
        <w:rFonts w:hint="default"/>
      </w:rPr>
    </w:lvl>
    <w:lvl w:ilvl="5">
      <w:start w:val="1"/>
      <w:numFmt w:val="bullet"/>
      <w:lvlText w:val="•"/>
      <w:lvlJc w:val="left"/>
      <w:pPr>
        <w:ind w:left="3082" w:hanging="500"/>
      </w:pPr>
      <w:rPr>
        <w:rFonts w:hint="default"/>
      </w:rPr>
    </w:lvl>
    <w:lvl w:ilvl="6">
      <w:start w:val="1"/>
      <w:numFmt w:val="bullet"/>
      <w:lvlText w:val="•"/>
      <w:lvlJc w:val="left"/>
      <w:pPr>
        <w:ind w:left="4294" w:hanging="500"/>
      </w:pPr>
      <w:rPr>
        <w:rFonts w:hint="default"/>
      </w:rPr>
    </w:lvl>
    <w:lvl w:ilvl="7">
      <w:start w:val="1"/>
      <w:numFmt w:val="bullet"/>
      <w:lvlText w:val="•"/>
      <w:lvlJc w:val="left"/>
      <w:pPr>
        <w:ind w:left="5505" w:hanging="500"/>
      </w:pPr>
      <w:rPr>
        <w:rFonts w:hint="default"/>
      </w:rPr>
    </w:lvl>
    <w:lvl w:ilvl="8">
      <w:start w:val="1"/>
      <w:numFmt w:val="bullet"/>
      <w:lvlText w:val="•"/>
      <w:lvlJc w:val="left"/>
      <w:pPr>
        <w:ind w:left="6717" w:hanging="500"/>
      </w:pPr>
      <w:rPr>
        <w:rFonts w:hint="default"/>
      </w:rPr>
    </w:lvl>
  </w:abstractNum>
  <w:abstractNum w:abstractNumId="21">
    <w:multiLevelType w:val="hybridMultilevel"/>
    <w:lvl w:ilvl="0">
      <w:start w:val="1"/>
      <w:numFmt w:val="bullet"/>
      <w:lvlText w:val="•"/>
      <w:lvlJc w:val="left"/>
      <w:pPr>
        <w:ind w:left="152" w:hanging="128"/>
      </w:pPr>
      <w:rPr>
        <w:rFonts w:hint="default" w:ascii="Arial" w:hAnsi="Arial" w:eastAsia="Arial" w:cs="Arial"/>
        <w:w w:val="99"/>
        <w:sz w:val="20"/>
        <w:szCs w:val="20"/>
      </w:rPr>
    </w:lvl>
    <w:lvl w:ilvl="1">
      <w:start w:val="1"/>
      <w:numFmt w:val="bullet"/>
      <w:lvlText w:val="•"/>
      <w:lvlJc w:val="left"/>
      <w:pPr>
        <w:ind w:left="1058" w:hanging="128"/>
      </w:pPr>
      <w:rPr>
        <w:rFonts w:hint="default"/>
      </w:rPr>
    </w:lvl>
    <w:lvl w:ilvl="2">
      <w:start w:val="1"/>
      <w:numFmt w:val="bullet"/>
      <w:lvlText w:val="•"/>
      <w:lvlJc w:val="left"/>
      <w:pPr>
        <w:ind w:left="1956" w:hanging="128"/>
      </w:pPr>
      <w:rPr>
        <w:rFonts w:hint="default"/>
      </w:rPr>
    </w:lvl>
    <w:lvl w:ilvl="3">
      <w:start w:val="1"/>
      <w:numFmt w:val="bullet"/>
      <w:lvlText w:val="•"/>
      <w:lvlJc w:val="left"/>
      <w:pPr>
        <w:ind w:left="2854" w:hanging="128"/>
      </w:pPr>
      <w:rPr>
        <w:rFonts w:hint="default"/>
      </w:rPr>
    </w:lvl>
    <w:lvl w:ilvl="4">
      <w:start w:val="1"/>
      <w:numFmt w:val="bullet"/>
      <w:lvlText w:val="•"/>
      <w:lvlJc w:val="left"/>
      <w:pPr>
        <w:ind w:left="3752" w:hanging="128"/>
      </w:pPr>
      <w:rPr>
        <w:rFonts w:hint="default"/>
      </w:rPr>
    </w:lvl>
    <w:lvl w:ilvl="5">
      <w:start w:val="1"/>
      <w:numFmt w:val="bullet"/>
      <w:lvlText w:val="•"/>
      <w:lvlJc w:val="left"/>
      <w:pPr>
        <w:ind w:left="4650" w:hanging="128"/>
      </w:pPr>
      <w:rPr>
        <w:rFonts w:hint="default"/>
      </w:rPr>
    </w:lvl>
    <w:lvl w:ilvl="6">
      <w:start w:val="1"/>
      <w:numFmt w:val="bullet"/>
      <w:lvlText w:val="•"/>
      <w:lvlJc w:val="left"/>
      <w:pPr>
        <w:ind w:left="5548" w:hanging="128"/>
      </w:pPr>
      <w:rPr>
        <w:rFonts w:hint="default"/>
      </w:rPr>
    </w:lvl>
    <w:lvl w:ilvl="7">
      <w:start w:val="1"/>
      <w:numFmt w:val="bullet"/>
      <w:lvlText w:val="•"/>
      <w:lvlJc w:val="left"/>
      <w:pPr>
        <w:ind w:left="6446" w:hanging="128"/>
      </w:pPr>
      <w:rPr>
        <w:rFonts w:hint="default"/>
      </w:rPr>
    </w:lvl>
    <w:lvl w:ilvl="8">
      <w:start w:val="1"/>
      <w:numFmt w:val="bullet"/>
      <w:lvlText w:val="•"/>
      <w:lvlJc w:val="left"/>
      <w:pPr>
        <w:ind w:left="7344" w:hanging="128"/>
      </w:pPr>
      <w:rPr>
        <w:rFonts w:hint="default"/>
      </w:rPr>
    </w:lvl>
  </w:abstractNum>
  <w:abstractNum w:abstractNumId="20">
    <w:multiLevelType w:val="hybridMultilevel"/>
    <w:lvl w:ilvl="0">
      <w:start w:val="1"/>
      <w:numFmt w:val="decimal"/>
      <w:lvlText w:val="%1."/>
      <w:lvlJc w:val="left"/>
      <w:pPr>
        <w:ind w:left="152" w:hanging="221"/>
        <w:jc w:val="left"/>
      </w:pPr>
      <w:rPr>
        <w:rFonts w:hint="default" w:ascii="Arial" w:hAnsi="Arial" w:eastAsia="Arial" w:cs="Arial"/>
        <w:w w:val="99"/>
        <w:sz w:val="20"/>
        <w:szCs w:val="20"/>
      </w:rPr>
    </w:lvl>
    <w:lvl w:ilvl="1">
      <w:start w:val="1"/>
      <w:numFmt w:val="bullet"/>
      <w:lvlText w:val="•"/>
      <w:lvlJc w:val="left"/>
      <w:pPr>
        <w:ind w:left="1058" w:hanging="221"/>
      </w:pPr>
      <w:rPr>
        <w:rFonts w:hint="default"/>
      </w:rPr>
    </w:lvl>
    <w:lvl w:ilvl="2">
      <w:start w:val="1"/>
      <w:numFmt w:val="bullet"/>
      <w:lvlText w:val="•"/>
      <w:lvlJc w:val="left"/>
      <w:pPr>
        <w:ind w:left="1956" w:hanging="221"/>
      </w:pPr>
      <w:rPr>
        <w:rFonts w:hint="default"/>
      </w:rPr>
    </w:lvl>
    <w:lvl w:ilvl="3">
      <w:start w:val="1"/>
      <w:numFmt w:val="bullet"/>
      <w:lvlText w:val="•"/>
      <w:lvlJc w:val="left"/>
      <w:pPr>
        <w:ind w:left="2854" w:hanging="221"/>
      </w:pPr>
      <w:rPr>
        <w:rFonts w:hint="default"/>
      </w:rPr>
    </w:lvl>
    <w:lvl w:ilvl="4">
      <w:start w:val="1"/>
      <w:numFmt w:val="bullet"/>
      <w:lvlText w:val="•"/>
      <w:lvlJc w:val="left"/>
      <w:pPr>
        <w:ind w:left="3752" w:hanging="221"/>
      </w:pPr>
      <w:rPr>
        <w:rFonts w:hint="default"/>
      </w:rPr>
    </w:lvl>
    <w:lvl w:ilvl="5">
      <w:start w:val="1"/>
      <w:numFmt w:val="bullet"/>
      <w:lvlText w:val="•"/>
      <w:lvlJc w:val="left"/>
      <w:pPr>
        <w:ind w:left="4650" w:hanging="221"/>
      </w:pPr>
      <w:rPr>
        <w:rFonts w:hint="default"/>
      </w:rPr>
    </w:lvl>
    <w:lvl w:ilvl="6">
      <w:start w:val="1"/>
      <w:numFmt w:val="bullet"/>
      <w:lvlText w:val="•"/>
      <w:lvlJc w:val="left"/>
      <w:pPr>
        <w:ind w:left="5548" w:hanging="221"/>
      </w:pPr>
      <w:rPr>
        <w:rFonts w:hint="default"/>
      </w:rPr>
    </w:lvl>
    <w:lvl w:ilvl="7">
      <w:start w:val="1"/>
      <w:numFmt w:val="bullet"/>
      <w:lvlText w:val="•"/>
      <w:lvlJc w:val="left"/>
      <w:pPr>
        <w:ind w:left="6446" w:hanging="221"/>
      </w:pPr>
      <w:rPr>
        <w:rFonts w:hint="default"/>
      </w:rPr>
    </w:lvl>
    <w:lvl w:ilvl="8">
      <w:start w:val="1"/>
      <w:numFmt w:val="bullet"/>
      <w:lvlText w:val="•"/>
      <w:lvlJc w:val="left"/>
      <w:pPr>
        <w:ind w:left="7344" w:hanging="221"/>
      </w:pPr>
      <w:rPr>
        <w:rFonts w:hint="default"/>
      </w:rPr>
    </w:lvl>
  </w:abstractNum>
  <w:abstractNum w:abstractNumId="19">
    <w:multiLevelType w:val="hybridMultilevel"/>
    <w:lvl w:ilvl="0">
      <w:start w:val="9"/>
      <w:numFmt w:val="decimal"/>
      <w:lvlText w:val="%1."/>
      <w:lvlJc w:val="left"/>
      <w:pPr>
        <w:ind w:left="373" w:hanging="221"/>
        <w:jc w:val="left"/>
      </w:pPr>
      <w:rPr>
        <w:rFonts w:hint="default" w:ascii="Arial" w:hAnsi="Arial" w:eastAsia="Arial" w:cs="Arial"/>
        <w:w w:val="99"/>
        <w:sz w:val="20"/>
        <w:szCs w:val="20"/>
      </w:rPr>
    </w:lvl>
    <w:lvl w:ilvl="1">
      <w:start w:val="1"/>
      <w:numFmt w:val="decimal"/>
      <w:lvlText w:val="%1.%2"/>
      <w:lvlJc w:val="left"/>
      <w:pPr>
        <w:ind w:left="152" w:hanging="346"/>
        <w:jc w:val="left"/>
      </w:pPr>
      <w:rPr>
        <w:rFonts w:hint="default" w:ascii="Arial" w:hAnsi="Arial" w:eastAsia="Arial" w:cs="Arial"/>
        <w:w w:val="99"/>
        <w:sz w:val="20"/>
        <w:szCs w:val="20"/>
      </w:rPr>
    </w:lvl>
    <w:lvl w:ilvl="2">
      <w:start w:val="1"/>
      <w:numFmt w:val="bullet"/>
      <w:lvlText w:val="•"/>
      <w:lvlJc w:val="left"/>
      <w:pPr>
        <w:ind w:left="1353" w:hanging="346"/>
      </w:pPr>
      <w:rPr>
        <w:rFonts w:hint="default"/>
      </w:rPr>
    </w:lvl>
    <w:lvl w:ilvl="3">
      <w:start w:val="1"/>
      <w:numFmt w:val="bullet"/>
      <w:lvlText w:val="•"/>
      <w:lvlJc w:val="left"/>
      <w:pPr>
        <w:ind w:left="2326" w:hanging="346"/>
      </w:pPr>
      <w:rPr>
        <w:rFonts w:hint="default"/>
      </w:rPr>
    </w:lvl>
    <w:lvl w:ilvl="4">
      <w:start w:val="1"/>
      <w:numFmt w:val="bullet"/>
      <w:lvlText w:val="•"/>
      <w:lvlJc w:val="left"/>
      <w:pPr>
        <w:ind w:left="3300" w:hanging="346"/>
      </w:pPr>
      <w:rPr>
        <w:rFonts w:hint="default"/>
      </w:rPr>
    </w:lvl>
    <w:lvl w:ilvl="5">
      <w:start w:val="1"/>
      <w:numFmt w:val="bullet"/>
      <w:lvlText w:val="•"/>
      <w:lvlJc w:val="left"/>
      <w:pPr>
        <w:ind w:left="4273" w:hanging="346"/>
      </w:pPr>
      <w:rPr>
        <w:rFonts w:hint="default"/>
      </w:rPr>
    </w:lvl>
    <w:lvl w:ilvl="6">
      <w:start w:val="1"/>
      <w:numFmt w:val="bullet"/>
      <w:lvlText w:val="•"/>
      <w:lvlJc w:val="left"/>
      <w:pPr>
        <w:ind w:left="5246" w:hanging="346"/>
      </w:pPr>
      <w:rPr>
        <w:rFonts w:hint="default"/>
      </w:rPr>
    </w:lvl>
    <w:lvl w:ilvl="7">
      <w:start w:val="1"/>
      <w:numFmt w:val="bullet"/>
      <w:lvlText w:val="•"/>
      <w:lvlJc w:val="left"/>
      <w:pPr>
        <w:ind w:left="6220" w:hanging="346"/>
      </w:pPr>
      <w:rPr>
        <w:rFonts w:hint="default"/>
      </w:rPr>
    </w:lvl>
    <w:lvl w:ilvl="8">
      <w:start w:val="1"/>
      <w:numFmt w:val="bullet"/>
      <w:lvlText w:val="•"/>
      <w:lvlJc w:val="left"/>
      <w:pPr>
        <w:ind w:left="7193" w:hanging="346"/>
      </w:pPr>
      <w:rPr>
        <w:rFonts w:hint="default"/>
      </w:rPr>
    </w:lvl>
  </w:abstractNum>
  <w:abstractNum w:abstractNumId="18">
    <w:multiLevelType w:val="hybridMultilevel"/>
    <w:lvl w:ilvl="0">
      <w:start w:val="7"/>
      <w:numFmt w:val="decimal"/>
      <w:lvlText w:val="%1"/>
      <w:lvlJc w:val="left"/>
      <w:pPr>
        <w:ind w:left="318" w:hanging="167"/>
        <w:jc w:val="left"/>
      </w:pPr>
      <w:rPr>
        <w:rFonts w:hint="default" w:ascii="Arial" w:hAnsi="Arial" w:eastAsia="Arial" w:cs="Arial"/>
        <w:w w:val="99"/>
        <w:sz w:val="20"/>
        <w:szCs w:val="20"/>
      </w:rPr>
    </w:lvl>
    <w:lvl w:ilvl="1">
      <w:start w:val="1"/>
      <w:numFmt w:val="bullet"/>
      <w:lvlText w:val="•"/>
      <w:lvlJc w:val="left"/>
      <w:pPr>
        <w:ind w:left="480" w:hanging="167"/>
      </w:pPr>
      <w:rPr>
        <w:rFonts w:hint="default"/>
      </w:rPr>
    </w:lvl>
    <w:lvl w:ilvl="2">
      <w:start w:val="1"/>
      <w:numFmt w:val="bullet"/>
      <w:lvlText w:val="•"/>
      <w:lvlJc w:val="left"/>
      <w:pPr>
        <w:ind w:left="581" w:hanging="167"/>
      </w:pPr>
      <w:rPr>
        <w:rFonts w:hint="default"/>
      </w:rPr>
    </w:lvl>
    <w:lvl w:ilvl="3">
      <w:start w:val="1"/>
      <w:numFmt w:val="bullet"/>
      <w:lvlText w:val="•"/>
      <w:lvlJc w:val="left"/>
      <w:pPr>
        <w:ind w:left="683" w:hanging="167"/>
      </w:pPr>
      <w:rPr>
        <w:rFonts w:hint="default"/>
      </w:rPr>
    </w:lvl>
    <w:lvl w:ilvl="4">
      <w:start w:val="1"/>
      <w:numFmt w:val="bullet"/>
      <w:lvlText w:val="•"/>
      <w:lvlJc w:val="left"/>
      <w:pPr>
        <w:ind w:left="785" w:hanging="167"/>
      </w:pPr>
      <w:rPr>
        <w:rFonts w:hint="default"/>
      </w:rPr>
    </w:lvl>
    <w:lvl w:ilvl="5">
      <w:start w:val="1"/>
      <w:numFmt w:val="bullet"/>
      <w:lvlText w:val="•"/>
      <w:lvlJc w:val="left"/>
      <w:pPr>
        <w:ind w:left="887" w:hanging="167"/>
      </w:pPr>
      <w:rPr>
        <w:rFonts w:hint="default"/>
      </w:rPr>
    </w:lvl>
    <w:lvl w:ilvl="6">
      <w:start w:val="1"/>
      <w:numFmt w:val="bullet"/>
      <w:lvlText w:val="•"/>
      <w:lvlJc w:val="left"/>
      <w:pPr>
        <w:ind w:left="988" w:hanging="167"/>
      </w:pPr>
      <w:rPr>
        <w:rFonts w:hint="default"/>
      </w:rPr>
    </w:lvl>
    <w:lvl w:ilvl="7">
      <w:start w:val="1"/>
      <w:numFmt w:val="bullet"/>
      <w:lvlText w:val="•"/>
      <w:lvlJc w:val="left"/>
      <w:pPr>
        <w:ind w:left="1090" w:hanging="167"/>
      </w:pPr>
      <w:rPr>
        <w:rFonts w:hint="default"/>
      </w:rPr>
    </w:lvl>
    <w:lvl w:ilvl="8">
      <w:start w:val="1"/>
      <w:numFmt w:val="bullet"/>
      <w:lvlText w:val="•"/>
      <w:lvlJc w:val="left"/>
      <w:pPr>
        <w:ind w:left="1192" w:hanging="167"/>
      </w:pPr>
      <w:rPr>
        <w:rFonts w:hint="default"/>
      </w:rPr>
    </w:lvl>
  </w:abstractNum>
  <w:abstractNum w:abstractNumId="17">
    <w:multiLevelType w:val="hybridMultilevel"/>
    <w:lvl w:ilvl="0">
      <w:start w:val="5"/>
      <w:numFmt w:val="decimal"/>
      <w:lvlText w:val="%1."/>
      <w:lvlJc w:val="left"/>
      <w:pPr>
        <w:ind w:left="373" w:hanging="221"/>
        <w:jc w:val="left"/>
      </w:pPr>
      <w:rPr>
        <w:rFonts w:hint="default" w:ascii="Arial" w:hAnsi="Arial" w:eastAsia="Arial" w:cs="Arial"/>
        <w:w w:val="99"/>
        <w:sz w:val="20"/>
        <w:szCs w:val="20"/>
      </w:rPr>
    </w:lvl>
    <w:lvl w:ilvl="1">
      <w:start w:val="1"/>
      <w:numFmt w:val="bullet"/>
      <w:lvlText w:val="•"/>
      <w:lvlJc w:val="left"/>
      <w:pPr>
        <w:ind w:left="1256" w:hanging="221"/>
      </w:pPr>
      <w:rPr>
        <w:rFonts w:hint="default"/>
      </w:rPr>
    </w:lvl>
    <w:lvl w:ilvl="2">
      <w:start w:val="1"/>
      <w:numFmt w:val="bullet"/>
      <w:lvlText w:val="•"/>
      <w:lvlJc w:val="left"/>
      <w:pPr>
        <w:ind w:left="2132" w:hanging="221"/>
      </w:pPr>
      <w:rPr>
        <w:rFonts w:hint="default"/>
      </w:rPr>
    </w:lvl>
    <w:lvl w:ilvl="3">
      <w:start w:val="1"/>
      <w:numFmt w:val="bullet"/>
      <w:lvlText w:val="•"/>
      <w:lvlJc w:val="left"/>
      <w:pPr>
        <w:ind w:left="3008" w:hanging="221"/>
      </w:pPr>
      <w:rPr>
        <w:rFonts w:hint="default"/>
      </w:rPr>
    </w:lvl>
    <w:lvl w:ilvl="4">
      <w:start w:val="1"/>
      <w:numFmt w:val="bullet"/>
      <w:lvlText w:val="•"/>
      <w:lvlJc w:val="left"/>
      <w:pPr>
        <w:ind w:left="3884" w:hanging="221"/>
      </w:pPr>
      <w:rPr>
        <w:rFonts w:hint="default"/>
      </w:rPr>
    </w:lvl>
    <w:lvl w:ilvl="5">
      <w:start w:val="1"/>
      <w:numFmt w:val="bullet"/>
      <w:lvlText w:val="•"/>
      <w:lvlJc w:val="left"/>
      <w:pPr>
        <w:ind w:left="4760" w:hanging="221"/>
      </w:pPr>
      <w:rPr>
        <w:rFonts w:hint="default"/>
      </w:rPr>
    </w:lvl>
    <w:lvl w:ilvl="6">
      <w:start w:val="1"/>
      <w:numFmt w:val="bullet"/>
      <w:lvlText w:val="•"/>
      <w:lvlJc w:val="left"/>
      <w:pPr>
        <w:ind w:left="5636" w:hanging="221"/>
      </w:pPr>
      <w:rPr>
        <w:rFonts w:hint="default"/>
      </w:rPr>
    </w:lvl>
    <w:lvl w:ilvl="7">
      <w:start w:val="1"/>
      <w:numFmt w:val="bullet"/>
      <w:lvlText w:val="•"/>
      <w:lvlJc w:val="left"/>
      <w:pPr>
        <w:ind w:left="6512" w:hanging="221"/>
      </w:pPr>
      <w:rPr>
        <w:rFonts w:hint="default"/>
      </w:rPr>
    </w:lvl>
    <w:lvl w:ilvl="8">
      <w:start w:val="1"/>
      <w:numFmt w:val="bullet"/>
      <w:lvlText w:val="•"/>
      <w:lvlJc w:val="left"/>
      <w:pPr>
        <w:ind w:left="7388" w:hanging="221"/>
      </w:pPr>
      <w:rPr>
        <w:rFonts w:hint="default"/>
      </w:rPr>
    </w:lvl>
  </w:abstractNum>
  <w:abstractNum w:abstractNumId="16">
    <w:multiLevelType w:val="hybridMultilevel"/>
    <w:lvl w:ilvl="0">
      <w:start w:val="1"/>
      <w:numFmt w:val="decimal"/>
      <w:lvlText w:val="%1."/>
      <w:lvlJc w:val="left"/>
      <w:pPr>
        <w:ind w:left="373" w:hanging="221"/>
        <w:jc w:val="left"/>
      </w:pPr>
      <w:rPr>
        <w:rFonts w:hint="default" w:ascii="Arial" w:hAnsi="Arial" w:eastAsia="Arial" w:cs="Arial"/>
        <w:w w:val="99"/>
        <w:sz w:val="20"/>
        <w:szCs w:val="20"/>
      </w:rPr>
    </w:lvl>
    <w:lvl w:ilvl="1">
      <w:start w:val="1"/>
      <w:numFmt w:val="bullet"/>
      <w:lvlText w:val="•"/>
      <w:lvlJc w:val="left"/>
      <w:pPr>
        <w:ind w:left="1256" w:hanging="221"/>
      </w:pPr>
      <w:rPr>
        <w:rFonts w:hint="default"/>
      </w:rPr>
    </w:lvl>
    <w:lvl w:ilvl="2">
      <w:start w:val="1"/>
      <w:numFmt w:val="bullet"/>
      <w:lvlText w:val="•"/>
      <w:lvlJc w:val="left"/>
      <w:pPr>
        <w:ind w:left="2132" w:hanging="221"/>
      </w:pPr>
      <w:rPr>
        <w:rFonts w:hint="default"/>
      </w:rPr>
    </w:lvl>
    <w:lvl w:ilvl="3">
      <w:start w:val="1"/>
      <w:numFmt w:val="bullet"/>
      <w:lvlText w:val="•"/>
      <w:lvlJc w:val="left"/>
      <w:pPr>
        <w:ind w:left="3008" w:hanging="221"/>
      </w:pPr>
      <w:rPr>
        <w:rFonts w:hint="default"/>
      </w:rPr>
    </w:lvl>
    <w:lvl w:ilvl="4">
      <w:start w:val="1"/>
      <w:numFmt w:val="bullet"/>
      <w:lvlText w:val="•"/>
      <w:lvlJc w:val="left"/>
      <w:pPr>
        <w:ind w:left="3884" w:hanging="221"/>
      </w:pPr>
      <w:rPr>
        <w:rFonts w:hint="default"/>
      </w:rPr>
    </w:lvl>
    <w:lvl w:ilvl="5">
      <w:start w:val="1"/>
      <w:numFmt w:val="bullet"/>
      <w:lvlText w:val="•"/>
      <w:lvlJc w:val="left"/>
      <w:pPr>
        <w:ind w:left="4760" w:hanging="221"/>
      </w:pPr>
      <w:rPr>
        <w:rFonts w:hint="default"/>
      </w:rPr>
    </w:lvl>
    <w:lvl w:ilvl="6">
      <w:start w:val="1"/>
      <w:numFmt w:val="bullet"/>
      <w:lvlText w:val="•"/>
      <w:lvlJc w:val="left"/>
      <w:pPr>
        <w:ind w:left="5636" w:hanging="221"/>
      </w:pPr>
      <w:rPr>
        <w:rFonts w:hint="default"/>
      </w:rPr>
    </w:lvl>
    <w:lvl w:ilvl="7">
      <w:start w:val="1"/>
      <w:numFmt w:val="bullet"/>
      <w:lvlText w:val="•"/>
      <w:lvlJc w:val="left"/>
      <w:pPr>
        <w:ind w:left="6512" w:hanging="221"/>
      </w:pPr>
      <w:rPr>
        <w:rFonts w:hint="default"/>
      </w:rPr>
    </w:lvl>
    <w:lvl w:ilvl="8">
      <w:start w:val="1"/>
      <w:numFmt w:val="bullet"/>
      <w:lvlText w:val="•"/>
      <w:lvlJc w:val="left"/>
      <w:pPr>
        <w:ind w:left="7388" w:hanging="221"/>
      </w:pPr>
      <w:rPr>
        <w:rFonts w:hint="default"/>
      </w:rPr>
    </w:lvl>
  </w:abstractNum>
  <w:abstractNum w:abstractNumId="15">
    <w:multiLevelType w:val="hybridMultilevel"/>
    <w:lvl w:ilvl="0">
      <w:start w:val="9"/>
      <w:numFmt w:val="decimal"/>
      <w:lvlText w:val="%1"/>
      <w:lvlJc w:val="left"/>
      <w:pPr>
        <w:ind w:left="596" w:hanging="444"/>
        <w:jc w:val="left"/>
      </w:pPr>
      <w:rPr>
        <w:rFonts w:hint="default"/>
      </w:rPr>
    </w:lvl>
    <w:lvl w:ilvl="1">
      <w:start w:val="14"/>
      <w:numFmt w:val="decimal"/>
      <w:lvlText w:val="%1.%2"/>
      <w:lvlJc w:val="left"/>
      <w:pPr>
        <w:ind w:left="596" w:hanging="444"/>
        <w:jc w:val="left"/>
      </w:pPr>
      <w:rPr>
        <w:rFonts w:hint="default" w:ascii="Arial" w:hAnsi="Arial" w:eastAsia="Arial" w:cs="Arial"/>
        <w:spacing w:val="-1"/>
        <w:w w:val="99"/>
        <w:sz w:val="20"/>
        <w:szCs w:val="20"/>
      </w:rPr>
    </w:lvl>
    <w:lvl w:ilvl="2">
      <w:start w:val="1"/>
      <w:numFmt w:val="decimal"/>
      <w:lvlText w:val="%1.%2.%3"/>
      <w:lvlJc w:val="left"/>
      <w:pPr>
        <w:ind w:left="152" w:hanging="617"/>
        <w:jc w:val="left"/>
      </w:pPr>
      <w:rPr>
        <w:rFonts w:hint="default" w:ascii="Arial" w:hAnsi="Arial" w:eastAsia="Arial" w:cs="Arial"/>
        <w:spacing w:val="-1"/>
        <w:w w:val="99"/>
        <w:sz w:val="20"/>
        <w:szCs w:val="20"/>
      </w:rPr>
    </w:lvl>
    <w:lvl w:ilvl="3">
      <w:start w:val="1"/>
      <w:numFmt w:val="bullet"/>
      <w:lvlText w:val="•"/>
      <w:lvlJc w:val="left"/>
      <w:pPr>
        <w:ind w:left="2497" w:hanging="617"/>
      </w:pPr>
      <w:rPr>
        <w:rFonts w:hint="default"/>
      </w:rPr>
    </w:lvl>
    <w:lvl w:ilvl="4">
      <w:start w:val="1"/>
      <w:numFmt w:val="bullet"/>
      <w:lvlText w:val="•"/>
      <w:lvlJc w:val="left"/>
      <w:pPr>
        <w:ind w:left="3446" w:hanging="617"/>
      </w:pPr>
      <w:rPr>
        <w:rFonts w:hint="default"/>
      </w:rPr>
    </w:lvl>
    <w:lvl w:ilvl="5">
      <w:start w:val="1"/>
      <w:numFmt w:val="bullet"/>
      <w:lvlText w:val="•"/>
      <w:lvlJc w:val="left"/>
      <w:pPr>
        <w:ind w:left="4395" w:hanging="617"/>
      </w:pPr>
      <w:rPr>
        <w:rFonts w:hint="default"/>
      </w:rPr>
    </w:lvl>
    <w:lvl w:ilvl="6">
      <w:start w:val="1"/>
      <w:numFmt w:val="bullet"/>
      <w:lvlText w:val="•"/>
      <w:lvlJc w:val="left"/>
      <w:pPr>
        <w:ind w:left="5344" w:hanging="617"/>
      </w:pPr>
      <w:rPr>
        <w:rFonts w:hint="default"/>
      </w:rPr>
    </w:lvl>
    <w:lvl w:ilvl="7">
      <w:start w:val="1"/>
      <w:numFmt w:val="bullet"/>
      <w:lvlText w:val="•"/>
      <w:lvlJc w:val="left"/>
      <w:pPr>
        <w:ind w:left="6293" w:hanging="617"/>
      </w:pPr>
      <w:rPr>
        <w:rFonts w:hint="default"/>
      </w:rPr>
    </w:lvl>
    <w:lvl w:ilvl="8">
      <w:start w:val="1"/>
      <w:numFmt w:val="bullet"/>
      <w:lvlText w:val="•"/>
      <w:lvlJc w:val="left"/>
      <w:pPr>
        <w:ind w:left="7242" w:hanging="617"/>
      </w:pPr>
      <w:rPr>
        <w:rFonts w:hint="default"/>
      </w:rPr>
    </w:lvl>
  </w:abstractNum>
  <w:abstractNum w:abstractNumId="14">
    <w:multiLevelType w:val="hybridMultilevel"/>
    <w:lvl w:ilvl="0">
      <w:start w:val="6"/>
      <w:numFmt w:val="decimal"/>
      <w:lvlText w:val="%1"/>
      <w:lvlJc w:val="left"/>
      <w:pPr>
        <w:ind w:left="152" w:hanging="665"/>
        <w:jc w:val="left"/>
      </w:pPr>
      <w:rPr>
        <w:rFonts w:hint="default"/>
      </w:rPr>
    </w:lvl>
    <w:lvl w:ilvl="1">
      <w:start w:val="1"/>
      <w:numFmt w:val="decimal"/>
      <w:lvlText w:val="%1.%2"/>
      <w:lvlJc w:val="left"/>
      <w:pPr>
        <w:ind w:left="152" w:hanging="665"/>
        <w:jc w:val="left"/>
      </w:pPr>
      <w:rPr>
        <w:rFonts w:hint="default"/>
      </w:rPr>
    </w:lvl>
    <w:lvl w:ilvl="2">
      <w:start w:val="2"/>
      <w:numFmt w:val="decimal"/>
      <w:lvlText w:val="%1.%2.%3"/>
      <w:lvlJc w:val="left"/>
      <w:pPr>
        <w:ind w:left="152" w:hanging="665"/>
        <w:jc w:val="left"/>
      </w:pPr>
      <w:rPr>
        <w:rFonts w:hint="default"/>
      </w:rPr>
    </w:lvl>
    <w:lvl w:ilvl="3">
      <w:start w:val="2"/>
      <w:numFmt w:val="decimal"/>
      <w:lvlText w:val="%1.%2.%3.%4"/>
      <w:lvlJc w:val="left"/>
      <w:pPr>
        <w:ind w:left="152" w:hanging="665"/>
        <w:jc w:val="left"/>
      </w:pPr>
      <w:rPr>
        <w:rFonts w:hint="default" w:ascii="Arial" w:hAnsi="Arial" w:eastAsia="Arial" w:cs="Arial"/>
        <w:spacing w:val="-1"/>
        <w:w w:val="99"/>
        <w:sz w:val="20"/>
        <w:szCs w:val="20"/>
      </w:rPr>
    </w:lvl>
    <w:lvl w:ilvl="4">
      <w:start w:val="1"/>
      <w:numFmt w:val="decimal"/>
      <w:lvlText w:val="%1.%2.%3.%4.%5"/>
      <w:lvlJc w:val="left"/>
      <w:pPr>
        <w:ind w:left="152" w:hanging="833"/>
        <w:jc w:val="left"/>
      </w:pPr>
      <w:rPr>
        <w:rFonts w:hint="default" w:ascii="Arial" w:hAnsi="Arial" w:eastAsia="Arial" w:cs="Arial"/>
        <w:spacing w:val="-1"/>
        <w:w w:val="99"/>
        <w:sz w:val="20"/>
        <w:szCs w:val="20"/>
      </w:rPr>
    </w:lvl>
    <w:lvl w:ilvl="5">
      <w:start w:val="1"/>
      <w:numFmt w:val="bullet"/>
      <w:lvlText w:val="•"/>
      <w:lvlJc w:val="left"/>
      <w:pPr>
        <w:ind w:left="4650" w:hanging="833"/>
      </w:pPr>
      <w:rPr>
        <w:rFonts w:hint="default"/>
      </w:rPr>
    </w:lvl>
    <w:lvl w:ilvl="6">
      <w:start w:val="1"/>
      <w:numFmt w:val="bullet"/>
      <w:lvlText w:val="•"/>
      <w:lvlJc w:val="left"/>
      <w:pPr>
        <w:ind w:left="5548" w:hanging="833"/>
      </w:pPr>
      <w:rPr>
        <w:rFonts w:hint="default"/>
      </w:rPr>
    </w:lvl>
    <w:lvl w:ilvl="7">
      <w:start w:val="1"/>
      <w:numFmt w:val="bullet"/>
      <w:lvlText w:val="•"/>
      <w:lvlJc w:val="left"/>
      <w:pPr>
        <w:ind w:left="6446" w:hanging="833"/>
      </w:pPr>
      <w:rPr>
        <w:rFonts w:hint="default"/>
      </w:rPr>
    </w:lvl>
    <w:lvl w:ilvl="8">
      <w:start w:val="1"/>
      <w:numFmt w:val="bullet"/>
      <w:lvlText w:val="•"/>
      <w:lvlJc w:val="left"/>
      <w:pPr>
        <w:ind w:left="7344" w:hanging="833"/>
      </w:pPr>
      <w:rPr>
        <w:rFonts w:hint="default"/>
      </w:rPr>
    </w:lvl>
  </w:abstractNum>
  <w:abstractNum w:abstractNumId="13">
    <w:multiLevelType w:val="hybridMultilevel"/>
    <w:lvl w:ilvl="0">
      <w:start w:val="6"/>
      <w:numFmt w:val="decimal"/>
      <w:lvlText w:val="%1"/>
      <w:lvlJc w:val="left"/>
      <w:pPr>
        <w:ind w:left="651" w:hanging="500"/>
        <w:jc w:val="left"/>
      </w:pPr>
      <w:rPr>
        <w:rFonts w:hint="default"/>
      </w:rPr>
    </w:lvl>
    <w:lvl w:ilvl="1">
      <w:start w:val="1"/>
      <w:numFmt w:val="decimal"/>
      <w:lvlText w:val="%1.%2"/>
      <w:lvlJc w:val="left"/>
      <w:pPr>
        <w:ind w:left="651" w:hanging="500"/>
        <w:jc w:val="left"/>
      </w:pPr>
      <w:rPr>
        <w:rFonts w:hint="default"/>
      </w:rPr>
    </w:lvl>
    <w:lvl w:ilvl="2">
      <w:start w:val="2"/>
      <w:numFmt w:val="decimal"/>
      <w:lvlText w:val="%1.%2.%3"/>
      <w:lvlJc w:val="left"/>
      <w:pPr>
        <w:ind w:left="651" w:hanging="500"/>
        <w:jc w:val="left"/>
      </w:pPr>
      <w:rPr>
        <w:rFonts w:hint="default" w:ascii="Arial" w:hAnsi="Arial" w:eastAsia="Arial" w:cs="Arial"/>
        <w:spacing w:val="-1"/>
        <w:w w:val="99"/>
        <w:sz w:val="20"/>
        <w:szCs w:val="20"/>
      </w:rPr>
    </w:lvl>
    <w:lvl w:ilvl="3">
      <w:start w:val="1"/>
      <w:numFmt w:val="decimal"/>
      <w:lvlText w:val="%1.%2.%3.%4"/>
      <w:lvlJc w:val="left"/>
      <w:pPr>
        <w:ind w:left="152" w:hanging="665"/>
        <w:jc w:val="left"/>
      </w:pPr>
      <w:rPr>
        <w:rFonts w:hint="default" w:ascii="Arial" w:hAnsi="Arial" w:eastAsia="Arial" w:cs="Arial"/>
        <w:spacing w:val="-1"/>
        <w:w w:val="99"/>
        <w:sz w:val="20"/>
        <w:szCs w:val="20"/>
      </w:rPr>
    </w:lvl>
    <w:lvl w:ilvl="4">
      <w:start w:val="1"/>
      <w:numFmt w:val="decimal"/>
      <w:lvlText w:val="%1.%2.%3.%4.%5"/>
      <w:lvlJc w:val="left"/>
      <w:pPr>
        <w:ind w:left="152" w:hanging="833"/>
        <w:jc w:val="left"/>
      </w:pPr>
      <w:rPr>
        <w:rFonts w:hint="default" w:ascii="Arial" w:hAnsi="Arial" w:eastAsia="Arial" w:cs="Arial"/>
        <w:spacing w:val="-1"/>
        <w:w w:val="99"/>
        <w:sz w:val="20"/>
        <w:szCs w:val="20"/>
      </w:rPr>
    </w:lvl>
    <w:lvl w:ilvl="5">
      <w:start w:val="1"/>
      <w:numFmt w:val="bullet"/>
      <w:lvlText w:val="•"/>
      <w:lvlJc w:val="left"/>
      <w:pPr>
        <w:ind w:left="4428" w:hanging="833"/>
      </w:pPr>
      <w:rPr>
        <w:rFonts w:hint="default"/>
      </w:rPr>
    </w:lvl>
    <w:lvl w:ilvl="6">
      <w:start w:val="1"/>
      <w:numFmt w:val="bullet"/>
      <w:lvlText w:val="•"/>
      <w:lvlJc w:val="left"/>
      <w:pPr>
        <w:ind w:left="5371" w:hanging="833"/>
      </w:pPr>
      <w:rPr>
        <w:rFonts w:hint="default"/>
      </w:rPr>
    </w:lvl>
    <w:lvl w:ilvl="7">
      <w:start w:val="1"/>
      <w:numFmt w:val="bullet"/>
      <w:lvlText w:val="•"/>
      <w:lvlJc w:val="left"/>
      <w:pPr>
        <w:ind w:left="6313" w:hanging="833"/>
      </w:pPr>
      <w:rPr>
        <w:rFonts w:hint="default"/>
      </w:rPr>
    </w:lvl>
    <w:lvl w:ilvl="8">
      <w:start w:val="1"/>
      <w:numFmt w:val="bullet"/>
      <w:lvlText w:val="•"/>
      <w:lvlJc w:val="left"/>
      <w:pPr>
        <w:ind w:left="7255" w:hanging="833"/>
      </w:pPr>
      <w:rPr>
        <w:rFonts w:hint="default"/>
      </w:rPr>
    </w:lvl>
  </w:abstractNum>
  <w:abstractNum w:abstractNumId="12">
    <w:multiLevelType w:val="hybridMultilevel"/>
    <w:lvl w:ilvl="0">
      <w:start w:val="1"/>
      <w:numFmt w:val="decimal"/>
      <w:lvlText w:val="%1."/>
      <w:lvlJc w:val="left"/>
      <w:pPr>
        <w:ind w:left="373" w:hanging="221"/>
        <w:jc w:val="left"/>
      </w:pPr>
      <w:rPr>
        <w:rFonts w:hint="default" w:ascii="Arial" w:hAnsi="Arial" w:eastAsia="Arial" w:cs="Arial"/>
        <w:w w:val="99"/>
        <w:sz w:val="20"/>
        <w:szCs w:val="20"/>
      </w:rPr>
    </w:lvl>
    <w:lvl w:ilvl="1">
      <w:start w:val="1"/>
      <w:numFmt w:val="decimal"/>
      <w:lvlText w:val="%1.%2"/>
      <w:lvlJc w:val="left"/>
      <w:pPr>
        <w:ind w:left="152" w:hanging="344"/>
        <w:jc w:val="left"/>
      </w:pPr>
      <w:rPr>
        <w:rFonts w:hint="default" w:ascii="Arial" w:hAnsi="Arial" w:eastAsia="Arial" w:cs="Arial"/>
        <w:w w:val="99"/>
        <w:sz w:val="20"/>
        <w:szCs w:val="20"/>
      </w:rPr>
    </w:lvl>
    <w:lvl w:ilvl="2">
      <w:start w:val="1"/>
      <w:numFmt w:val="decimal"/>
      <w:lvlText w:val="%1.%2.%3"/>
      <w:lvlJc w:val="left"/>
      <w:pPr>
        <w:ind w:left="651" w:hanging="500"/>
        <w:jc w:val="left"/>
      </w:pPr>
      <w:rPr>
        <w:rFonts w:hint="default" w:ascii="Arial" w:hAnsi="Arial" w:eastAsia="Arial" w:cs="Arial"/>
        <w:spacing w:val="-1"/>
        <w:w w:val="99"/>
        <w:sz w:val="20"/>
        <w:szCs w:val="20"/>
      </w:rPr>
    </w:lvl>
    <w:lvl w:ilvl="3">
      <w:start w:val="1"/>
      <w:numFmt w:val="decimal"/>
      <w:lvlText w:val="%1.%2.%3.%4"/>
      <w:lvlJc w:val="left"/>
      <w:pPr>
        <w:ind w:left="152" w:hanging="667"/>
        <w:jc w:val="left"/>
      </w:pPr>
      <w:rPr>
        <w:rFonts w:hint="default" w:ascii="Arial" w:hAnsi="Arial" w:eastAsia="Arial" w:cs="Arial"/>
        <w:spacing w:val="-1"/>
        <w:w w:val="99"/>
        <w:sz w:val="20"/>
        <w:szCs w:val="20"/>
      </w:rPr>
    </w:lvl>
    <w:lvl w:ilvl="4">
      <w:start w:val="1"/>
      <w:numFmt w:val="bullet"/>
      <w:lvlText w:val="•"/>
      <w:lvlJc w:val="left"/>
      <w:pPr>
        <w:ind w:left="1871" w:hanging="667"/>
      </w:pPr>
      <w:rPr>
        <w:rFonts w:hint="default"/>
      </w:rPr>
    </w:lvl>
    <w:lvl w:ilvl="5">
      <w:start w:val="1"/>
      <w:numFmt w:val="bullet"/>
      <w:lvlText w:val="•"/>
      <w:lvlJc w:val="left"/>
      <w:pPr>
        <w:ind w:left="3082" w:hanging="667"/>
      </w:pPr>
      <w:rPr>
        <w:rFonts w:hint="default"/>
      </w:rPr>
    </w:lvl>
    <w:lvl w:ilvl="6">
      <w:start w:val="1"/>
      <w:numFmt w:val="bullet"/>
      <w:lvlText w:val="•"/>
      <w:lvlJc w:val="left"/>
      <w:pPr>
        <w:ind w:left="4294" w:hanging="667"/>
      </w:pPr>
      <w:rPr>
        <w:rFonts w:hint="default"/>
      </w:rPr>
    </w:lvl>
    <w:lvl w:ilvl="7">
      <w:start w:val="1"/>
      <w:numFmt w:val="bullet"/>
      <w:lvlText w:val="•"/>
      <w:lvlJc w:val="left"/>
      <w:pPr>
        <w:ind w:left="5505" w:hanging="667"/>
      </w:pPr>
      <w:rPr>
        <w:rFonts w:hint="default"/>
      </w:rPr>
    </w:lvl>
    <w:lvl w:ilvl="8">
      <w:start w:val="1"/>
      <w:numFmt w:val="bullet"/>
      <w:lvlText w:val="•"/>
      <w:lvlJc w:val="left"/>
      <w:pPr>
        <w:ind w:left="6717" w:hanging="667"/>
      </w:pPr>
      <w:rPr>
        <w:rFonts w:hint="default"/>
      </w:rPr>
    </w:lvl>
  </w:abstractNum>
  <w:abstractNum w:abstractNumId="11">
    <w:multiLevelType w:val="hybridMultilevel"/>
    <w:lvl w:ilvl="0">
      <w:start w:val="1"/>
      <w:numFmt w:val="decimal"/>
      <w:lvlText w:val="%1."/>
      <w:lvlJc w:val="left"/>
      <w:pPr>
        <w:ind w:left="373" w:hanging="221"/>
        <w:jc w:val="left"/>
      </w:pPr>
      <w:rPr>
        <w:rFonts w:hint="default" w:ascii="Arial" w:hAnsi="Arial" w:eastAsia="Arial" w:cs="Arial"/>
        <w:w w:val="99"/>
        <w:sz w:val="20"/>
        <w:szCs w:val="20"/>
      </w:rPr>
    </w:lvl>
    <w:lvl w:ilvl="1">
      <w:start w:val="1"/>
      <w:numFmt w:val="bullet"/>
      <w:lvlText w:val="•"/>
      <w:lvlJc w:val="left"/>
      <w:pPr>
        <w:ind w:left="1256" w:hanging="221"/>
      </w:pPr>
      <w:rPr>
        <w:rFonts w:hint="default"/>
      </w:rPr>
    </w:lvl>
    <w:lvl w:ilvl="2">
      <w:start w:val="1"/>
      <w:numFmt w:val="bullet"/>
      <w:lvlText w:val="•"/>
      <w:lvlJc w:val="left"/>
      <w:pPr>
        <w:ind w:left="2132" w:hanging="221"/>
      </w:pPr>
      <w:rPr>
        <w:rFonts w:hint="default"/>
      </w:rPr>
    </w:lvl>
    <w:lvl w:ilvl="3">
      <w:start w:val="1"/>
      <w:numFmt w:val="bullet"/>
      <w:lvlText w:val="•"/>
      <w:lvlJc w:val="left"/>
      <w:pPr>
        <w:ind w:left="3008" w:hanging="221"/>
      </w:pPr>
      <w:rPr>
        <w:rFonts w:hint="default"/>
      </w:rPr>
    </w:lvl>
    <w:lvl w:ilvl="4">
      <w:start w:val="1"/>
      <w:numFmt w:val="bullet"/>
      <w:lvlText w:val="•"/>
      <w:lvlJc w:val="left"/>
      <w:pPr>
        <w:ind w:left="3884" w:hanging="221"/>
      </w:pPr>
      <w:rPr>
        <w:rFonts w:hint="default"/>
      </w:rPr>
    </w:lvl>
    <w:lvl w:ilvl="5">
      <w:start w:val="1"/>
      <w:numFmt w:val="bullet"/>
      <w:lvlText w:val="•"/>
      <w:lvlJc w:val="left"/>
      <w:pPr>
        <w:ind w:left="4760" w:hanging="221"/>
      </w:pPr>
      <w:rPr>
        <w:rFonts w:hint="default"/>
      </w:rPr>
    </w:lvl>
    <w:lvl w:ilvl="6">
      <w:start w:val="1"/>
      <w:numFmt w:val="bullet"/>
      <w:lvlText w:val="•"/>
      <w:lvlJc w:val="left"/>
      <w:pPr>
        <w:ind w:left="5636" w:hanging="221"/>
      </w:pPr>
      <w:rPr>
        <w:rFonts w:hint="default"/>
      </w:rPr>
    </w:lvl>
    <w:lvl w:ilvl="7">
      <w:start w:val="1"/>
      <w:numFmt w:val="bullet"/>
      <w:lvlText w:val="•"/>
      <w:lvlJc w:val="left"/>
      <w:pPr>
        <w:ind w:left="6512" w:hanging="221"/>
      </w:pPr>
      <w:rPr>
        <w:rFonts w:hint="default"/>
      </w:rPr>
    </w:lvl>
    <w:lvl w:ilvl="8">
      <w:start w:val="1"/>
      <w:numFmt w:val="bullet"/>
      <w:lvlText w:val="•"/>
      <w:lvlJc w:val="left"/>
      <w:pPr>
        <w:ind w:left="7388" w:hanging="221"/>
      </w:pPr>
      <w:rPr>
        <w:rFonts w:hint="default"/>
      </w:rPr>
    </w:lvl>
  </w:abstractNum>
  <w:abstractNum w:abstractNumId="10">
    <w:multiLevelType w:val="hybridMultilevel"/>
    <w:lvl w:ilvl="0">
      <w:start w:val="1"/>
      <w:numFmt w:val="decimal"/>
      <w:lvlText w:val="%1"/>
      <w:lvlJc w:val="left"/>
      <w:pPr>
        <w:ind w:left="512" w:hanging="502"/>
        <w:jc w:val="left"/>
      </w:pPr>
      <w:rPr>
        <w:rFonts w:hint="default"/>
      </w:rPr>
    </w:lvl>
    <w:lvl w:ilvl="1">
      <w:start w:val="1"/>
      <w:numFmt w:val="decimal"/>
      <w:lvlText w:val="%1.%2"/>
      <w:lvlJc w:val="left"/>
      <w:pPr>
        <w:ind w:left="512" w:hanging="502"/>
        <w:jc w:val="left"/>
      </w:pPr>
      <w:rPr>
        <w:rFonts w:hint="default" w:ascii="Calibri" w:hAnsi="Calibri" w:eastAsia="Calibri" w:cs="Calibri"/>
        <w:color w:val="FFFFFF"/>
        <w:w w:val="99"/>
        <w:sz w:val="20"/>
        <w:szCs w:val="20"/>
      </w:rPr>
    </w:lvl>
    <w:lvl w:ilvl="2">
      <w:start w:val="1"/>
      <w:numFmt w:val="decimal"/>
      <w:lvlText w:val="%3."/>
      <w:lvlJc w:val="left"/>
      <w:pPr>
        <w:ind w:left="872" w:hanging="360"/>
        <w:jc w:val="left"/>
      </w:pPr>
      <w:rPr>
        <w:rFonts w:hint="default" w:ascii="Arial" w:hAnsi="Arial" w:eastAsia="Arial" w:cs="Arial"/>
        <w:spacing w:val="-9"/>
        <w:w w:val="99"/>
        <w:position w:val="1"/>
        <w:sz w:val="24"/>
        <w:szCs w:val="24"/>
      </w:rPr>
    </w:lvl>
    <w:lvl w:ilvl="3">
      <w:start w:val="1"/>
      <w:numFmt w:val="bullet"/>
      <w:lvlText w:val="•"/>
      <w:lvlJc w:val="left"/>
      <w:pPr>
        <w:ind w:left="858" w:hanging="360"/>
      </w:pPr>
      <w:rPr>
        <w:rFonts w:hint="default"/>
      </w:rPr>
    </w:lvl>
    <w:lvl w:ilvl="4">
      <w:start w:val="1"/>
      <w:numFmt w:val="bullet"/>
      <w:lvlText w:val="•"/>
      <w:lvlJc w:val="left"/>
      <w:pPr>
        <w:ind w:left="847" w:hanging="360"/>
      </w:pPr>
      <w:rPr>
        <w:rFonts w:hint="default"/>
      </w:rPr>
    </w:lvl>
    <w:lvl w:ilvl="5">
      <w:start w:val="1"/>
      <w:numFmt w:val="bullet"/>
      <w:lvlText w:val="•"/>
      <w:lvlJc w:val="left"/>
      <w:pPr>
        <w:ind w:left="836" w:hanging="360"/>
      </w:pPr>
      <w:rPr>
        <w:rFonts w:hint="default"/>
      </w:rPr>
    </w:lvl>
    <w:lvl w:ilvl="6">
      <w:start w:val="1"/>
      <w:numFmt w:val="bullet"/>
      <w:lvlText w:val="•"/>
      <w:lvlJc w:val="left"/>
      <w:pPr>
        <w:ind w:left="825" w:hanging="360"/>
      </w:pPr>
      <w:rPr>
        <w:rFonts w:hint="default"/>
      </w:rPr>
    </w:lvl>
    <w:lvl w:ilvl="7">
      <w:start w:val="1"/>
      <w:numFmt w:val="bullet"/>
      <w:lvlText w:val="•"/>
      <w:lvlJc w:val="left"/>
      <w:pPr>
        <w:ind w:left="814" w:hanging="360"/>
      </w:pPr>
      <w:rPr>
        <w:rFonts w:hint="default"/>
      </w:rPr>
    </w:lvl>
    <w:lvl w:ilvl="8">
      <w:start w:val="1"/>
      <w:numFmt w:val="bullet"/>
      <w:lvlText w:val="•"/>
      <w:lvlJc w:val="left"/>
      <w:pPr>
        <w:ind w:left="803" w:hanging="360"/>
      </w:pPr>
      <w:rPr>
        <w:rFonts w:hint="default"/>
      </w:rPr>
    </w:lvl>
  </w:abstractNum>
  <w:abstractNum w:abstractNumId="9">
    <w:multiLevelType w:val="hybridMultilevel"/>
    <w:lvl w:ilvl="0">
      <w:start w:val="26"/>
      <w:numFmt w:val="decimal"/>
      <w:lvlText w:val="%1."/>
      <w:lvlJc w:val="left"/>
      <w:pPr>
        <w:ind w:left="744" w:hanging="360"/>
        <w:jc w:val="left"/>
      </w:pPr>
      <w:rPr>
        <w:rFonts w:hint="default" w:ascii="Arial" w:hAnsi="Arial" w:eastAsia="Arial" w:cs="Arial"/>
        <w:w w:val="99"/>
        <w:sz w:val="12"/>
        <w:szCs w:val="12"/>
      </w:rPr>
    </w:lvl>
    <w:lvl w:ilvl="1">
      <w:start w:val="1"/>
      <w:numFmt w:val="bullet"/>
      <w:lvlText w:val="•"/>
      <w:lvlJc w:val="left"/>
      <w:pPr>
        <w:ind w:left="1578" w:hanging="360"/>
      </w:pPr>
      <w:rPr>
        <w:rFonts w:hint="default"/>
      </w:rPr>
    </w:lvl>
    <w:lvl w:ilvl="2">
      <w:start w:val="1"/>
      <w:numFmt w:val="bullet"/>
      <w:lvlText w:val="•"/>
      <w:lvlJc w:val="left"/>
      <w:pPr>
        <w:ind w:left="2416" w:hanging="360"/>
      </w:pPr>
      <w:rPr>
        <w:rFonts w:hint="default"/>
      </w:rPr>
    </w:lvl>
    <w:lvl w:ilvl="3">
      <w:start w:val="1"/>
      <w:numFmt w:val="bullet"/>
      <w:lvlText w:val="•"/>
      <w:lvlJc w:val="left"/>
      <w:pPr>
        <w:ind w:left="3254" w:hanging="360"/>
      </w:pPr>
      <w:rPr>
        <w:rFonts w:hint="default"/>
      </w:rPr>
    </w:lvl>
    <w:lvl w:ilvl="4">
      <w:start w:val="1"/>
      <w:numFmt w:val="bullet"/>
      <w:lvlText w:val="•"/>
      <w:lvlJc w:val="left"/>
      <w:pPr>
        <w:ind w:left="4092"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68" w:hanging="360"/>
      </w:pPr>
      <w:rPr>
        <w:rFonts w:hint="default"/>
      </w:rPr>
    </w:lvl>
    <w:lvl w:ilvl="7">
      <w:start w:val="1"/>
      <w:numFmt w:val="bullet"/>
      <w:lvlText w:val="•"/>
      <w:lvlJc w:val="left"/>
      <w:pPr>
        <w:ind w:left="6606" w:hanging="360"/>
      </w:pPr>
      <w:rPr>
        <w:rFonts w:hint="default"/>
      </w:rPr>
    </w:lvl>
    <w:lvl w:ilvl="8">
      <w:start w:val="1"/>
      <w:numFmt w:val="bullet"/>
      <w:lvlText w:val="•"/>
      <w:lvlJc w:val="left"/>
      <w:pPr>
        <w:ind w:left="7444" w:hanging="360"/>
      </w:pPr>
      <w:rPr>
        <w:rFonts w:hint="default"/>
      </w:rPr>
    </w:lvl>
  </w:abstractNum>
  <w:abstractNum w:abstractNumId="8">
    <w:multiLevelType w:val="hybridMultilevel"/>
    <w:lvl w:ilvl="0">
      <w:start w:val="1"/>
      <w:numFmt w:val="decimal"/>
      <w:lvlText w:val="%1."/>
      <w:lvlJc w:val="left"/>
      <w:pPr>
        <w:ind w:left="862" w:hanging="360"/>
        <w:jc w:val="left"/>
      </w:pPr>
      <w:rPr>
        <w:rFonts w:hint="default" w:ascii="Arial" w:hAnsi="Arial" w:eastAsia="Arial" w:cs="Arial"/>
        <w:spacing w:val="-4"/>
        <w:w w:val="99"/>
        <w:sz w:val="12"/>
        <w:szCs w:val="12"/>
      </w:rPr>
    </w:lvl>
    <w:lvl w:ilvl="1">
      <w:start w:val="1"/>
      <w:numFmt w:val="bullet"/>
      <w:lvlText w:val="•"/>
      <w:lvlJc w:val="left"/>
      <w:pPr>
        <w:ind w:left="1686" w:hanging="360"/>
      </w:pPr>
      <w:rPr>
        <w:rFonts w:hint="default"/>
      </w:rPr>
    </w:lvl>
    <w:lvl w:ilvl="2">
      <w:start w:val="1"/>
      <w:numFmt w:val="bullet"/>
      <w:lvlText w:val="•"/>
      <w:lvlJc w:val="left"/>
      <w:pPr>
        <w:ind w:left="2512" w:hanging="360"/>
      </w:pPr>
      <w:rPr>
        <w:rFonts w:hint="default"/>
      </w:rPr>
    </w:lvl>
    <w:lvl w:ilvl="3">
      <w:start w:val="1"/>
      <w:numFmt w:val="bullet"/>
      <w:lvlText w:val="•"/>
      <w:lvlJc w:val="left"/>
      <w:pPr>
        <w:ind w:left="333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6" w:hanging="360"/>
      </w:pPr>
      <w:rPr>
        <w:rFonts w:hint="default"/>
      </w:rPr>
    </w:lvl>
    <w:lvl w:ilvl="7">
      <w:start w:val="1"/>
      <w:numFmt w:val="bullet"/>
      <w:lvlText w:val="•"/>
      <w:lvlJc w:val="left"/>
      <w:pPr>
        <w:ind w:left="6642" w:hanging="360"/>
      </w:pPr>
      <w:rPr>
        <w:rFonts w:hint="default"/>
      </w:rPr>
    </w:lvl>
    <w:lvl w:ilvl="8">
      <w:start w:val="1"/>
      <w:numFmt w:val="bullet"/>
      <w:lvlText w:val="•"/>
      <w:lvlJc w:val="left"/>
      <w:pPr>
        <w:ind w:left="7468" w:hanging="360"/>
      </w:pPr>
      <w:rPr>
        <w:rFonts w:hint="default"/>
      </w:rPr>
    </w:lvl>
  </w:abstractNum>
  <w:abstractNum w:abstractNumId="7">
    <w:multiLevelType w:val="hybridMultilevel"/>
    <w:lvl w:ilvl="0">
      <w:start w:val="7"/>
      <w:numFmt w:val="lowerLetter"/>
      <w:lvlText w:val="%1."/>
      <w:lvlJc w:val="left"/>
      <w:pPr>
        <w:ind w:left="142" w:hanging="339"/>
        <w:jc w:val="left"/>
      </w:pPr>
      <w:rPr>
        <w:rFonts w:hint="default" w:ascii="Arial" w:hAnsi="Arial" w:eastAsia="Arial" w:cs="Arial"/>
        <w:spacing w:val="-2"/>
        <w:w w:val="99"/>
        <w:sz w:val="24"/>
        <w:szCs w:val="24"/>
      </w:rPr>
    </w:lvl>
    <w:lvl w:ilvl="1">
      <w:start w:val="1"/>
      <w:numFmt w:val="decimal"/>
      <w:lvlText w:val="%2."/>
      <w:lvlJc w:val="left"/>
      <w:pPr>
        <w:ind w:left="862" w:hanging="360"/>
        <w:jc w:val="left"/>
      </w:pPr>
      <w:rPr>
        <w:rFonts w:hint="default" w:ascii="Arial" w:hAnsi="Arial" w:eastAsia="Arial" w:cs="Arial"/>
        <w:spacing w:val="-4"/>
        <w:w w:val="99"/>
        <w:sz w:val="24"/>
        <w:szCs w:val="24"/>
      </w:rPr>
    </w:lvl>
    <w:lvl w:ilvl="2">
      <w:start w:val="1"/>
      <w:numFmt w:val="bullet"/>
      <w:lvlText w:val="•"/>
      <w:lvlJc w:val="left"/>
      <w:pPr>
        <w:ind w:left="1777" w:hanging="360"/>
      </w:pPr>
      <w:rPr>
        <w:rFonts w:hint="default"/>
      </w:rPr>
    </w:lvl>
    <w:lvl w:ilvl="3">
      <w:start w:val="1"/>
      <w:numFmt w:val="bullet"/>
      <w:lvlText w:val="•"/>
      <w:lvlJc w:val="left"/>
      <w:pPr>
        <w:ind w:left="2695" w:hanging="360"/>
      </w:pPr>
      <w:rPr>
        <w:rFonts w:hint="default"/>
      </w:rPr>
    </w:lvl>
    <w:lvl w:ilvl="4">
      <w:start w:val="1"/>
      <w:numFmt w:val="bullet"/>
      <w:lvlText w:val="•"/>
      <w:lvlJc w:val="left"/>
      <w:pPr>
        <w:ind w:left="3613" w:hanging="360"/>
      </w:pPr>
      <w:rPr>
        <w:rFonts w:hint="default"/>
      </w:rPr>
    </w:lvl>
    <w:lvl w:ilvl="5">
      <w:start w:val="1"/>
      <w:numFmt w:val="bullet"/>
      <w:lvlText w:val="•"/>
      <w:lvlJc w:val="left"/>
      <w:pPr>
        <w:ind w:left="4531" w:hanging="360"/>
      </w:pPr>
      <w:rPr>
        <w:rFonts w:hint="default"/>
      </w:rPr>
    </w:lvl>
    <w:lvl w:ilvl="6">
      <w:start w:val="1"/>
      <w:numFmt w:val="bullet"/>
      <w:lvlText w:val="•"/>
      <w:lvlJc w:val="left"/>
      <w:pPr>
        <w:ind w:left="5448" w:hanging="360"/>
      </w:pPr>
      <w:rPr>
        <w:rFonts w:hint="default"/>
      </w:rPr>
    </w:lvl>
    <w:lvl w:ilvl="7">
      <w:start w:val="1"/>
      <w:numFmt w:val="bullet"/>
      <w:lvlText w:val="•"/>
      <w:lvlJc w:val="left"/>
      <w:pPr>
        <w:ind w:left="6366" w:hanging="360"/>
      </w:pPr>
      <w:rPr>
        <w:rFonts w:hint="default"/>
      </w:rPr>
    </w:lvl>
    <w:lvl w:ilvl="8">
      <w:start w:val="1"/>
      <w:numFmt w:val="bullet"/>
      <w:lvlText w:val="•"/>
      <w:lvlJc w:val="left"/>
      <w:pPr>
        <w:ind w:left="7284" w:hanging="360"/>
      </w:pPr>
      <w:rPr>
        <w:rFonts w:hint="default"/>
      </w:rPr>
    </w:lvl>
  </w:abstractNum>
  <w:abstractNum w:abstractNumId="6">
    <w:multiLevelType w:val="hybridMultilevel"/>
    <w:lvl w:ilvl="0">
      <w:start w:val="1"/>
      <w:numFmt w:val="decimal"/>
      <w:lvlText w:val="%1."/>
      <w:lvlJc w:val="left"/>
      <w:pPr>
        <w:ind w:left="862" w:hanging="360"/>
        <w:jc w:val="left"/>
      </w:pPr>
      <w:rPr>
        <w:rFonts w:hint="default" w:ascii="Arial" w:hAnsi="Arial" w:eastAsia="Arial" w:cs="Arial"/>
        <w:spacing w:val="-8"/>
        <w:w w:val="99"/>
        <w:sz w:val="24"/>
        <w:szCs w:val="24"/>
      </w:rPr>
    </w:lvl>
    <w:lvl w:ilvl="1">
      <w:start w:val="1"/>
      <w:numFmt w:val="bullet"/>
      <w:lvlText w:val="•"/>
      <w:lvlJc w:val="left"/>
      <w:pPr>
        <w:ind w:left="1686" w:hanging="360"/>
      </w:pPr>
      <w:rPr>
        <w:rFonts w:hint="default"/>
      </w:rPr>
    </w:lvl>
    <w:lvl w:ilvl="2">
      <w:start w:val="1"/>
      <w:numFmt w:val="bullet"/>
      <w:lvlText w:val="•"/>
      <w:lvlJc w:val="left"/>
      <w:pPr>
        <w:ind w:left="2512" w:hanging="360"/>
      </w:pPr>
      <w:rPr>
        <w:rFonts w:hint="default"/>
      </w:rPr>
    </w:lvl>
    <w:lvl w:ilvl="3">
      <w:start w:val="1"/>
      <w:numFmt w:val="bullet"/>
      <w:lvlText w:val="•"/>
      <w:lvlJc w:val="left"/>
      <w:pPr>
        <w:ind w:left="333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6" w:hanging="360"/>
      </w:pPr>
      <w:rPr>
        <w:rFonts w:hint="default"/>
      </w:rPr>
    </w:lvl>
    <w:lvl w:ilvl="7">
      <w:start w:val="1"/>
      <w:numFmt w:val="bullet"/>
      <w:lvlText w:val="•"/>
      <w:lvlJc w:val="left"/>
      <w:pPr>
        <w:ind w:left="6642" w:hanging="360"/>
      </w:pPr>
      <w:rPr>
        <w:rFonts w:hint="default"/>
      </w:rPr>
    </w:lvl>
    <w:lvl w:ilvl="8">
      <w:start w:val="1"/>
      <w:numFmt w:val="bullet"/>
      <w:lvlText w:val="•"/>
      <w:lvlJc w:val="left"/>
      <w:pPr>
        <w:ind w:left="7468" w:hanging="360"/>
      </w:pPr>
      <w:rPr>
        <w:rFonts w:hint="default"/>
      </w:rPr>
    </w:lvl>
  </w:abstractNum>
  <w:abstractNum w:abstractNumId="4">
    <w:multiLevelType w:val="hybridMultilevel"/>
    <w:lvl w:ilvl="0">
      <w:start w:val="19"/>
      <w:numFmt w:val="upperLetter"/>
      <w:lvlText w:val="%1."/>
      <w:lvlJc w:val="left"/>
      <w:pPr>
        <w:ind w:left="142" w:hanging="295"/>
        <w:jc w:val="left"/>
      </w:pPr>
      <w:rPr>
        <w:rFonts w:hint="default" w:ascii="Arial" w:hAnsi="Arial" w:eastAsia="Arial" w:cs="Arial"/>
        <w:i/>
        <w:spacing w:val="-28"/>
        <w:w w:val="99"/>
        <w:sz w:val="24"/>
        <w:szCs w:val="24"/>
      </w:rPr>
    </w:lvl>
    <w:lvl w:ilvl="1">
      <w:start w:val="1"/>
      <w:numFmt w:val="bullet"/>
      <w:lvlText w:val=""/>
      <w:lvlJc w:val="left"/>
      <w:pPr>
        <w:ind w:left="862" w:hanging="360"/>
      </w:pPr>
      <w:rPr>
        <w:rFonts w:hint="default" w:ascii="Symbol" w:hAnsi="Symbol" w:eastAsia="Symbol" w:cs="Symbol"/>
        <w:w w:val="100"/>
        <w:sz w:val="24"/>
        <w:szCs w:val="24"/>
      </w:rPr>
    </w:lvl>
    <w:lvl w:ilvl="2">
      <w:start w:val="1"/>
      <w:numFmt w:val="bullet"/>
      <w:lvlText w:val="•"/>
      <w:lvlJc w:val="left"/>
      <w:pPr>
        <w:ind w:left="1777" w:hanging="360"/>
      </w:pPr>
      <w:rPr>
        <w:rFonts w:hint="default"/>
      </w:rPr>
    </w:lvl>
    <w:lvl w:ilvl="3">
      <w:start w:val="1"/>
      <w:numFmt w:val="bullet"/>
      <w:lvlText w:val="•"/>
      <w:lvlJc w:val="left"/>
      <w:pPr>
        <w:ind w:left="2695" w:hanging="360"/>
      </w:pPr>
      <w:rPr>
        <w:rFonts w:hint="default"/>
      </w:rPr>
    </w:lvl>
    <w:lvl w:ilvl="4">
      <w:start w:val="1"/>
      <w:numFmt w:val="bullet"/>
      <w:lvlText w:val="•"/>
      <w:lvlJc w:val="left"/>
      <w:pPr>
        <w:ind w:left="3613" w:hanging="360"/>
      </w:pPr>
      <w:rPr>
        <w:rFonts w:hint="default"/>
      </w:rPr>
    </w:lvl>
    <w:lvl w:ilvl="5">
      <w:start w:val="1"/>
      <w:numFmt w:val="bullet"/>
      <w:lvlText w:val="•"/>
      <w:lvlJc w:val="left"/>
      <w:pPr>
        <w:ind w:left="4531" w:hanging="360"/>
      </w:pPr>
      <w:rPr>
        <w:rFonts w:hint="default"/>
      </w:rPr>
    </w:lvl>
    <w:lvl w:ilvl="6">
      <w:start w:val="1"/>
      <w:numFmt w:val="bullet"/>
      <w:lvlText w:val="•"/>
      <w:lvlJc w:val="left"/>
      <w:pPr>
        <w:ind w:left="5448" w:hanging="360"/>
      </w:pPr>
      <w:rPr>
        <w:rFonts w:hint="default"/>
      </w:rPr>
    </w:lvl>
    <w:lvl w:ilvl="7">
      <w:start w:val="1"/>
      <w:numFmt w:val="bullet"/>
      <w:lvlText w:val="•"/>
      <w:lvlJc w:val="left"/>
      <w:pPr>
        <w:ind w:left="6366" w:hanging="360"/>
      </w:pPr>
      <w:rPr>
        <w:rFonts w:hint="default"/>
      </w:rPr>
    </w:lvl>
    <w:lvl w:ilvl="8">
      <w:start w:val="1"/>
      <w:numFmt w:val="bullet"/>
      <w:lvlText w:val="•"/>
      <w:lvlJc w:val="left"/>
      <w:pPr>
        <w:ind w:left="7284" w:hanging="360"/>
      </w:pPr>
      <w:rPr>
        <w:rFonts w:hint="default"/>
      </w:rPr>
    </w:lvl>
  </w:abstractNum>
  <w:abstractNum w:abstractNumId="3">
    <w:multiLevelType w:val="hybridMultilevel"/>
    <w:lvl w:ilvl="0">
      <w:start w:val="1"/>
      <w:numFmt w:val="decimal"/>
      <w:lvlText w:val="%1."/>
      <w:lvlJc w:val="left"/>
      <w:pPr>
        <w:ind w:left="410" w:hanging="269"/>
        <w:jc w:val="left"/>
      </w:pPr>
      <w:rPr>
        <w:rFonts w:hint="default"/>
        <w:b/>
        <w:bCs/>
        <w:w w:val="99"/>
      </w:rPr>
    </w:lvl>
    <w:lvl w:ilvl="1">
      <w:start w:val="1"/>
      <w:numFmt w:val="bullet"/>
      <w:lvlText w:val="•"/>
      <w:lvlJc w:val="left"/>
      <w:pPr>
        <w:ind w:left="1290" w:hanging="269"/>
      </w:pPr>
      <w:rPr>
        <w:rFonts w:hint="default"/>
      </w:rPr>
    </w:lvl>
    <w:lvl w:ilvl="2">
      <w:start w:val="1"/>
      <w:numFmt w:val="bullet"/>
      <w:lvlText w:val="•"/>
      <w:lvlJc w:val="left"/>
      <w:pPr>
        <w:ind w:left="2160" w:hanging="269"/>
      </w:pPr>
      <w:rPr>
        <w:rFonts w:hint="default"/>
      </w:rPr>
    </w:lvl>
    <w:lvl w:ilvl="3">
      <w:start w:val="1"/>
      <w:numFmt w:val="bullet"/>
      <w:lvlText w:val="•"/>
      <w:lvlJc w:val="left"/>
      <w:pPr>
        <w:ind w:left="3030" w:hanging="269"/>
      </w:pPr>
      <w:rPr>
        <w:rFonts w:hint="default"/>
      </w:rPr>
    </w:lvl>
    <w:lvl w:ilvl="4">
      <w:start w:val="1"/>
      <w:numFmt w:val="bullet"/>
      <w:lvlText w:val="•"/>
      <w:lvlJc w:val="left"/>
      <w:pPr>
        <w:ind w:left="3900" w:hanging="269"/>
      </w:pPr>
      <w:rPr>
        <w:rFonts w:hint="default"/>
      </w:rPr>
    </w:lvl>
    <w:lvl w:ilvl="5">
      <w:start w:val="1"/>
      <w:numFmt w:val="bullet"/>
      <w:lvlText w:val="•"/>
      <w:lvlJc w:val="left"/>
      <w:pPr>
        <w:ind w:left="4770" w:hanging="269"/>
      </w:pPr>
      <w:rPr>
        <w:rFonts w:hint="default"/>
      </w:rPr>
    </w:lvl>
    <w:lvl w:ilvl="6">
      <w:start w:val="1"/>
      <w:numFmt w:val="bullet"/>
      <w:lvlText w:val="•"/>
      <w:lvlJc w:val="left"/>
      <w:pPr>
        <w:ind w:left="5640" w:hanging="269"/>
      </w:pPr>
      <w:rPr>
        <w:rFonts w:hint="default"/>
      </w:rPr>
    </w:lvl>
    <w:lvl w:ilvl="7">
      <w:start w:val="1"/>
      <w:numFmt w:val="bullet"/>
      <w:lvlText w:val="•"/>
      <w:lvlJc w:val="left"/>
      <w:pPr>
        <w:ind w:left="6510" w:hanging="269"/>
      </w:pPr>
      <w:rPr>
        <w:rFonts w:hint="default"/>
      </w:rPr>
    </w:lvl>
    <w:lvl w:ilvl="8">
      <w:start w:val="1"/>
      <w:numFmt w:val="bullet"/>
      <w:lvlText w:val="•"/>
      <w:lvlJc w:val="left"/>
      <w:pPr>
        <w:ind w:left="7380" w:hanging="269"/>
      </w:pPr>
      <w:rPr>
        <w:rFonts w:hint="default"/>
      </w:rPr>
    </w:lvl>
  </w:abstractNum>
  <w:abstractNum w:abstractNumId="2">
    <w:multiLevelType w:val="hybridMultilevel"/>
    <w:lvl w:ilvl="0">
      <w:start w:val="1"/>
      <w:numFmt w:val="decimal"/>
      <w:lvlText w:val="%1)"/>
      <w:lvlJc w:val="left"/>
      <w:pPr>
        <w:ind w:left="142" w:hanging="353"/>
        <w:jc w:val="left"/>
      </w:pPr>
      <w:rPr>
        <w:rFonts w:hint="default" w:ascii="Arial" w:hAnsi="Arial" w:eastAsia="Arial" w:cs="Arial"/>
        <w:spacing w:val="-34"/>
        <w:w w:val="99"/>
        <w:sz w:val="24"/>
        <w:szCs w:val="24"/>
      </w:rPr>
    </w:lvl>
    <w:lvl w:ilvl="1">
      <w:start w:val="1"/>
      <w:numFmt w:val="upperRoman"/>
      <w:lvlText w:val="%2."/>
      <w:lvlJc w:val="left"/>
      <w:pPr>
        <w:ind w:left="142" w:hanging="202"/>
        <w:jc w:val="right"/>
      </w:pPr>
      <w:rPr>
        <w:rFonts w:hint="default" w:ascii="Arial" w:hAnsi="Arial" w:eastAsia="Arial" w:cs="Arial"/>
        <w:b/>
        <w:bCs/>
        <w:w w:val="100"/>
        <w:sz w:val="24"/>
        <w:szCs w:val="24"/>
      </w:rPr>
    </w:lvl>
    <w:lvl w:ilvl="2">
      <w:start w:val="1"/>
      <w:numFmt w:val="bullet"/>
      <w:lvlText w:val="•"/>
      <w:lvlJc w:val="left"/>
      <w:pPr>
        <w:ind w:left="1936" w:hanging="202"/>
      </w:pPr>
      <w:rPr>
        <w:rFonts w:hint="default"/>
      </w:rPr>
    </w:lvl>
    <w:lvl w:ilvl="3">
      <w:start w:val="1"/>
      <w:numFmt w:val="bullet"/>
      <w:lvlText w:val="•"/>
      <w:lvlJc w:val="left"/>
      <w:pPr>
        <w:ind w:left="2834" w:hanging="202"/>
      </w:pPr>
      <w:rPr>
        <w:rFonts w:hint="default"/>
      </w:rPr>
    </w:lvl>
    <w:lvl w:ilvl="4">
      <w:start w:val="1"/>
      <w:numFmt w:val="bullet"/>
      <w:lvlText w:val="•"/>
      <w:lvlJc w:val="left"/>
      <w:pPr>
        <w:ind w:left="3732" w:hanging="202"/>
      </w:pPr>
      <w:rPr>
        <w:rFonts w:hint="default"/>
      </w:rPr>
    </w:lvl>
    <w:lvl w:ilvl="5">
      <w:start w:val="1"/>
      <w:numFmt w:val="bullet"/>
      <w:lvlText w:val="•"/>
      <w:lvlJc w:val="left"/>
      <w:pPr>
        <w:ind w:left="4630" w:hanging="202"/>
      </w:pPr>
      <w:rPr>
        <w:rFonts w:hint="default"/>
      </w:rPr>
    </w:lvl>
    <w:lvl w:ilvl="6">
      <w:start w:val="1"/>
      <w:numFmt w:val="bullet"/>
      <w:lvlText w:val="•"/>
      <w:lvlJc w:val="left"/>
      <w:pPr>
        <w:ind w:left="5528" w:hanging="202"/>
      </w:pPr>
      <w:rPr>
        <w:rFonts w:hint="default"/>
      </w:rPr>
    </w:lvl>
    <w:lvl w:ilvl="7">
      <w:start w:val="1"/>
      <w:numFmt w:val="bullet"/>
      <w:lvlText w:val="•"/>
      <w:lvlJc w:val="left"/>
      <w:pPr>
        <w:ind w:left="6426" w:hanging="202"/>
      </w:pPr>
      <w:rPr>
        <w:rFonts w:hint="default"/>
      </w:rPr>
    </w:lvl>
    <w:lvl w:ilvl="8">
      <w:start w:val="1"/>
      <w:numFmt w:val="bullet"/>
      <w:lvlText w:val="•"/>
      <w:lvlJc w:val="left"/>
      <w:pPr>
        <w:ind w:left="7324" w:hanging="202"/>
      </w:pPr>
      <w:rPr>
        <w:rFonts w:hint="default"/>
      </w:rPr>
    </w:lvl>
  </w:abstractNum>
  <w:abstractNum w:abstractNumId="1">
    <w:multiLevelType w:val="hybridMultilevel"/>
    <w:lvl w:ilvl="0">
      <w:start w:val="1"/>
      <w:numFmt w:val="upperRoman"/>
      <w:lvlText w:val="%1."/>
      <w:lvlJc w:val="left"/>
      <w:pPr>
        <w:ind w:left="308" w:hanging="167"/>
        <w:jc w:val="left"/>
      </w:pPr>
      <w:rPr>
        <w:rFonts w:hint="default" w:ascii="Arial" w:hAnsi="Arial" w:eastAsia="Arial" w:cs="Arial"/>
        <w:b/>
        <w:bCs/>
        <w:w w:val="99"/>
        <w:sz w:val="20"/>
        <w:szCs w:val="20"/>
      </w:rPr>
    </w:lvl>
    <w:lvl w:ilvl="1">
      <w:start w:val="1"/>
      <w:numFmt w:val="decimal"/>
      <w:lvlText w:val="%2."/>
      <w:lvlJc w:val="left"/>
      <w:pPr>
        <w:ind w:left="362" w:hanging="221"/>
        <w:jc w:val="left"/>
      </w:pPr>
      <w:rPr>
        <w:rFonts w:hint="default"/>
        <w:b/>
        <w:bCs/>
        <w:w w:val="99"/>
      </w:rPr>
    </w:lvl>
    <w:lvl w:ilvl="2">
      <w:start w:val="1"/>
      <w:numFmt w:val="bullet"/>
      <w:lvlText w:val="•"/>
      <w:lvlJc w:val="left"/>
      <w:pPr>
        <w:ind w:left="1333" w:hanging="221"/>
      </w:pPr>
      <w:rPr>
        <w:rFonts w:hint="default"/>
      </w:rPr>
    </w:lvl>
    <w:lvl w:ilvl="3">
      <w:start w:val="1"/>
      <w:numFmt w:val="bullet"/>
      <w:lvlText w:val="•"/>
      <w:lvlJc w:val="left"/>
      <w:pPr>
        <w:ind w:left="2306" w:hanging="221"/>
      </w:pPr>
      <w:rPr>
        <w:rFonts w:hint="default"/>
      </w:rPr>
    </w:lvl>
    <w:lvl w:ilvl="4">
      <w:start w:val="1"/>
      <w:numFmt w:val="bullet"/>
      <w:lvlText w:val="•"/>
      <w:lvlJc w:val="left"/>
      <w:pPr>
        <w:ind w:left="3280" w:hanging="221"/>
      </w:pPr>
      <w:rPr>
        <w:rFonts w:hint="default"/>
      </w:rPr>
    </w:lvl>
    <w:lvl w:ilvl="5">
      <w:start w:val="1"/>
      <w:numFmt w:val="bullet"/>
      <w:lvlText w:val="•"/>
      <w:lvlJc w:val="left"/>
      <w:pPr>
        <w:ind w:left="4253" w:hanging="221"/>
      </w:pPr>
      <w:rPr>
        <w:rFonts w:hint="default"/>
      </w:rPr>
    </w:lvl>
    <w:lvl w:ilvl="6">
      <w:start w:val="1"/>
      <w:numFmt w:val="bullet"/>
      <w:lvlText w:val="•"/>
      <w:lvlJc w:val="left"/>
      <w:pPr>
        <w:ind w:left="5226" w:hanging="221"/>
      </w:pPr>
      <w:rPr>
        <w:rFonts w:hint="default"/>
      </w:rPr>
    </w:lvl>
    <w:lvl w:ilvl="7">
      <w:start w:val="1"/>
      <w:numFmt w:val="bullet"/>
      <w:lvlText w:val="•"/>
      <w:lvlJc w:val="left"/>
      <w:pPr>
        <w:ind w:left="6200" w:hanging="221"/>
      </w:pPr>
      <w:rPr>
        <w:rFonts w:hint="default"/>
      </w:rPr>
    </w:lvl>
    <w:lvl w:ilvl="8">
      <w:start w:val="1"/>
      <w:numFmt w:val="bullet"/>
      <w:lvlText w:val="•"/>
      <w:lvlJc w:val="left"/>
      <w:pPr>
        <w:ind w:left="7173" w:hanging="221"/>
      </w:pPr>
      <w:rPr>
        <w:rFonts w:hint="default"/>
      </w:rPr>
    </w:lvl>
  </w:abstractNum>
  <w:abstractNum w:abstractNumId="0">
    <w:multiLevelType w:val="hybridMultilevel"/>
    <w:lvl w:ilvl="0">
      <w:start w:val="1"/>
      <w:numFmt w:val="bullet"/>
      <w:lvlText w:val=""/>
      <w:lvlJc w:val="left"/>
      <w:pPr>
        <w:ind w:left="862" w:hanging="360"/>
      </w:pPr>
      <w:rPr>
        <w:rFonts w:hint="default" w:ascii="Symbol" w:hAnsi="Symbol" w:eastAsia="Symbol" w:cs="Symbol"/>
        <w:w w:val="99"/>
        <w:sz w:val="20"/>
        <w:szCs w:val="20"/>
      </w:rPr>
    </w:lvl>
    <w:lvl w:ilvl="1">
      <w:start w:val="1"/>
      <w:numFmt w:val="bullet"/>
      <w:lvlText w:val="•"/>
      <w:lvlJc w:val="left"/>
      <w:pPr>
        <w:ind w:left="1686" w:hanging="360"/>
      </w:pPr>
      <w:rPr>
        <w:rFonts w:hint="default"/>
      </w:rPr>
    </w:lvl>
    <w:lvl w:ilvl="2">
      <w:start w:val="1"/>
      <w:numFmt w:val="bullet"/>
      <w:lvlText w:val="•"/>
      <w:lvlJc w:val="left"/>
      <w:pPr>
        <w:ind w:left="2512" w:hanging="360"/>
      </w:pPr>
      <w:rPr>
        <w:rFonts w:hint="default"/>
      </w:rPr>
    </w:lvl>
    <w:lvl w:ilvl="3">
      <w:start w:val="1"/>
      <w:numFmt w:val="bullet"/>
      <w:lvlText w:val="•"/>
      <w:lvlJc w:val="left"/>
      <w:pPr>
        <w:ind w:left="333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6" w:hanging="360"/>
      </w:pPr>
      <w:rPr>
        <w:rFonts w:hint="default"/>
      </w:rPr>
    </w:lvl>
    <w:lvl w:ilvl="7">
      <w:start w:val="1"/>
      <w:numFmt w:val="bullet"/>
      <w:lvlText w:val="•"/>
      <w:lvlJc w:val="left"/>
      <w:pPr>
        <w:ind w:left="6642" w:hanging="360"/>
      </w:pPr>
      <w:rPr>
        <w:rFonts w:hint="default"/>
      </w:rPr>
    </w:lvl>
    <w:lvl w:ilvl="8">
      <w:start w:val="1"/>
      <w:numFmt w:val="bullet"/>
      <w:lvlText w:val="•"/>
      <w:lvlJc w:val="left"/>
      <w:pPr>
        <w:ind w:left="7468" w:hanging="360"/>
      </w:pPr>
      <w:rPr>
        <w:rFonts w:hint="default"/>
      </w:rPr>
    </w:lvl>
  </w:abstractNum>
  <w:num w:numId="6">
    <w:abstractNumId w:val="5"/>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23"/>
      <w:ind w:right="5"/>
      <w:jc w:val="center"/>
    </w:pPr>
    <w:rPr>
      <w:rFonts w:ascii="Arial" w:hAnsi="Arial" w:eastAsia="Arial" w:cs="Arial"/>
      <w:b/>
      <w:bCs/>
      <w:sz w:val="20"/>
      <w:szCs w:val="20"/>
    </w:rPr>
  </w:style>
  <w:style w:styleId="TOC2" w:type="paragraph">
    <w:name w:val="TOC 2"/>
    <w:basedOn w:val="Normal"/>
    <w:uiPriority w:val="1"/>
    <w:qFormat/>
    <w:pPr>
      <w:spacing w:before="125"/>
      <w:ind w:right="6"/>
      <w:jc w:val="center"/>
    </w:pPr>
    <w:rPr>
      <w:rFonts w:ascii="Arial" w:hAnsi="Arial" w:eastAsia="Arial" w:cs="Arial"/>
      <w:b/>
      <w:bCs/>
      <w:i/>
    </w:rPr>
  </w:style>
  <w:style w:styleId="TOC3" w:type="paragraph">
    <w:name w:val="TOC 3"/>
    <w:basedOn w:val="Normal"/>
    <w:uiPriority w:val="1"/>
    <w:qFormat/>
    <w:pPr>
      <w:spacing w:before="125"/>
      <w:ind w:left="192"/>
      <w:jc w:val="center"/>
    </w:pPr>
    <w:rPr>
      <w:rFonts w:ascii="Arial" w:hAnsi="Arial" w:eastAsia="Arial" w:cs="Arial"/>
      <w:b/>
      <w:bCs/>
      <w:sz w:val="20"/>
      <w:szCs w:val="20"/>
    </w:rPr>
  </w:style>
  <w:style w:styleId="TOC4" w:type="paragraph">
    <w:name w:val="TOC 4"/>
    <w:basedOn w:val="Normal"/>
    <w:uiPriority w:val="1"/>
    <w:qFormat/>
    <w:pPr>
      <w:spacing w:before="123"/>
      <w:ind w:left="362" w:right="5" w:hanging="220"/>
      <w:jc w:val="center"/>
    </w:pPr>
    <w:rPr>
      <w:rFonts w:ascii="Arial" w:hAnsi="Arial" w:eastAsia="Arial" w:cs="Arial"/>
      <w:b/>
      <w:bCs/>
      <w:i/>
      <w:sz w:val="20"/>
      <w:szCs w:val="20"/>
    </w:rPr>
  </w:style>
  <w:style w:styleId="TOC5" w:type="paragraph">
    <w:name w:val="TOC 5"/>
    <w:basedOn w:val="Normal"/>
    <w:uiPriority w:val="1"/>
    <w:qFormat/>
    <w:pPr>
      <w:spacing w:before="125"/>
      <w:ind w:left="192"/>
      <w:jc w:val="center"/>
    </w:pPr>
    <w:rPr>
      <w:rFonts w:ascii="Arial" w:hAnsi="Arial" w:eastAsia="Arial" w:cs="Arial"/>
      <w:b/>
      <w:bCs/>
      <w:i/>
    </w:rPr>
  </w:style>
  <w:style w:styleId="TOC6" w:type="paragraph">
    <w:name w:val="TOC 6"/>
    <w:basedOn w:val="Normal"/>
    <w:uiPriority w:val="1"/>
    <w:qFormat/>
    <w:pPr>
      <w:spacing w:before="118"/>
      <w:ind w:left="341" w:right="147" w:hanging="76"/>
      <w:jc w:val="center"/>
    </w:pPr>
    <w:rPr>
      <w:rFonts w:ascii="Arial" w:hAnsi="Arial" w:eastAsia="Arial" w:cs="Arial"/>
      <w:b/>
      <w:bCs/>
      <w:sz w:val="20"/>
      <w:szCs w:val="20"/>
    </w:rPr>
  </w:style>
  <w:style w:styleId="TOC7" w:type="paragraph">
    <w:name w:val="TOC 7"/>
    <w:basedOn w:val="Normal"/>
    <w:uiPriority w:val="1"/>
    <w:qFormat/>
    <w:pPr>
      <w:spacing w:before="98"/>
      <w:ind w:left="341"/>
    </w:pPr>
    <w:rPr>
      <w:rFonts w:ascii="Arial" w:hAnsi="Arial" w:eastAsia="Arial" w:cs="Arial"/>
      <w:b/>
      <w:bCs/>
      <w:sz w:val="20"/>
      <w:szCs w:val="20"/>
    </w:rPr>
  </w:style>
  <w:style w:styleId="TOC8" w:type="paragraph">
    <w:name w:val="TOC 8"/>
    <w:basedOn w:val="Normal"/>
    <w:uiPriority w:val="1"/>
    <w:qFormat/>
    <w:pPr>
      <w:spacing w:before="121"/>
      <w:ind w:left="341" w:right="147"/>
    </w:pPr>
    <w:rPr>
      <w:rFonts w:ascii="Arial" w:hAnsi="Arial" w:eastAsia="Arial" w:cs="Arial"/>
      <w:b/>
      <w:bCs/>
      <w:i/>
    </w:rPr>
  </w:style>
  <w:style w:styleId="TOC9" w:type="paragraph">
    <w:name w:val="TOC 9"/>
    <w:basedOn w:val="Normal"/>
    <w:uiPriority w:val="1"/>
    <w:qFormat/>
    <w:pPr>
      <w:spacing w:before="125"/>
      <w:ind w:left="542"/>
    </w:pPr>
    <w:rPr>
      <w:rFonts w:ascii="Arial" w:hAnsi="Arial" w:eastAsia="Arial" w:cs="Arial"/>
      <w:b/>
      <w:bCs/>
      <w:sz w:val="20"/>
      <w:szCs w:val="20"/>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5"/>
      <w:ind w:right="1"/>
      <w:jc w:val="center"/>
      <w:outlineLvl w:val="1"/>
    </w:pPr>
    <w:rPr>
      <w:rFonts w:ascii="Arial" w:hAnsi="Arial" w:eastAsia="Arial" w:cs="Arial"/>
      <w:b/>
      <w:bCs/>
      <w:sz w:val="28"/>
      <w:szCs w:val="28"/>
    </w:rPr>
  </w:style>
  <w:style w:styleId="Heading2" w:type="paragraph">
    <w:name w:val="Heading 2"/>
    <w:basedOn w:val="Normal"/>
    <w:uiPriority w:val="1"/>
    <w:qFormat/>
    <w:pPr>
      <w:spacing w:before="70"/>
      <w:ind w:left="142"/>
      <w:outlineLvl w:val="2"/>
    </w:pPr>
    <w:rPr>
      <w:rFonts w:ascii="Arial" w:hAnsi="Arial" w:eastAsia="Arial" w:cs="Arial"/>
      <w:b/>
      <w:bCs/>
      <w:sz w:val="24"/>
      <w:szCs w:val="24"/>
    </w:rPr>
  </w:style>
  <w:style w:styleId="ListParagraph" w:type="paragraph">
    <w:name w:val="List Paragraph"/>
    <w:basedOn w:val="Normal"/>
    <w:uiPriority w:val="1"/>
    <w:qFormat/>
    <w:pPr>
      <w:spacing w:before="115"/>
      <w:ind w:left="862" w:hanging="360"/>
    </w:pPr>
    <w:rPr>
      <w:rFonts w:ascii="Arial" w:hAnsi="Arial" w:eastAsia="Arial" w:cs="Arial"/>
    </w:rPr>
  </w:style>
  <w:style w:styleId="TableParagraph" w:type="paragraph">
    <w:name w:val="Table Paragraph"/>
    <w:basedOn w:val="Normal"/>
    <w:uiPriority w:val="1"/>
    <w:qFormat/>
    <w:pPr>
      <w:ind w:left="103"/>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header" Target="header2.xml"/><Relationship Id="rId10" Type="http://schemas.openxmlformats.org/officeDocument/2006/relationships/header" Target="header3.xml"/><Relationship Id="rId11" Type="http://schemas.openxmlformats.org/officeDocument/2006/relationships/footer" Target="footer3.xml"/><Relationship Id="rId12" Type="http://schemas.openxmlformats.org/officeDocument/2006/relationships/image" Target="media/image2.jpeg"/><Relationship Id="rId13" Type="http://schemas.openxmlformats.org/officeDocument/2006/relationships/footer" Target="footer4.xml"/><Relationship Id="rId14" Type="http://schemas.openxmlformats.org/officeDocument/2006/relationships/footer" Target="footer5.xml"/><Relationship Id="rId15" Type="http://schemas.openxmlformats.org/officeDocument/2006/relationships/image" Target="media/image3.png"/><Relationship Id="rId16" Type="http://schemas.openxmlformats.org/officeDocument/2006/relationships/image" Target="media/image4.png"/><Relationship Id="rId17" Type="http://schemas.openxmlformats.org/officeDocument/2006/relationships/image" Target="media/image5.jpeg"/><Relationship Id="rId18" Type="http://schemas.openxmlformats.org/officeDocument/2006/relationships/image" Target="media/image6.png"/><Relationship Id="rId19" Type="http://schemas.openxmlformats.org/officeDocument/2006/relationships/header" Target="header4.xml"/><Relationship Id="rId20" Type="http://schemas.openxmlformats.org/officeDocument/2006/relationships/footer" Target="footer6.xml"/><Relationship Id="rId21" Type="http://schemas.openxmlformats.org/officeDocument/2006/relationships/image" Target="media/image7.jpeg"/><Relationship Id="rId22" Type="http://schemas.openxmlformats.org/officeDocument/2006/relationships/image" Target="media/image8.png"/><Relationship Id="rId23" Type="http://schemas.openxmlformats.org/officeDocument/2006/relationships/footer" Target="footer7.xml"/><Relationship Id="rId24" Type="http://schemas.openxmlformats.org/officeDocument/2006/relationships/header" Target="header5.xml"/><Relationship Id="rId25" Type="http://schemas.openxmlformats.org/officeDocument/2006/relationships/footer" Target="footer8.xml"/><Relationship Id="rId26" Type="http://schemas.openxmlformats.org/officeDocument/2006/relationships/image" Target="media/image9.jpeg"/><Relationship Id="rId27" Type="http://schemas.openxmlformats.org/officeDocument/2006/relationships/footer" Target="footer9.xml"/><Relationship Id="rId28" Type="http://schemas.openxmlformats.org/officeDocument/2006/relationships/footer" Target="footer10.xml"/><Relationship Id="rId29" Type="http://schemas.openxmlformats.org/officeDocument/2006/relationships/footer" Target="footer11.xml"/><Relationship Id="rId30" Type="http://schemas.openxmlformats.org/officeDocument/2006/relationships/footer" Target="footer12.xml"/><Relationship Id="rId31" Type="http://schemas.openxmlformats.org/officeDocument/2006/relationships/image" Target="media/image10.png"/><Relationship Id="rId32" Type="http://schemas.openxmlformats.org/officeDocument/2006/relationships/image" Target="media/image11.png"/><Relationship Id="rId33" Type="http://schemas.openxmlformats.org/officeDocument/2006/relationships/image" Target="media/image12.png"/><Relationship Id="rId34" Type="http://schemas.openxmlformats.org/officeDocument/2006/relationships/image" Target="media/image13.png"/><Relationship Id="rId35" Type="http://schemas.openxmlformats.org/officeDocument/2006/relationships/image" Target="media/image14.png"/><Relationship Id="rId36" Type="http://schemas.openxmlformats.org/officeDocument/2006/relationships/image" Target="media/image15.png"/><Relationship Id="rId37" Type="http://schemas.openxmlformats.org/officeDocument/2006/relationships/footer" Target="footer13.xml"/><Relationship Id="rId38" Type="http://schemas.openxmlformats.org/officeDocument/2006/relationships/image" Target="media/image16.png"/><Relationship Id="rId39" Type="http://schemas.openxmlformats.org/officeDocument/2006/relationships/image" Target="media/image17.jpeg"/><Relationship Id="rId40" Type="http://schemas.openxmlformats.org/officeDocument/2006/relationships/image" Target="media/image18.png"/><Relationship Id="rId41" Type="http://schemas.openxmlformats.org/officeDocument/2006/relationships/image" Target="media/image19.png"/><Relationship Id="rId42" Type="http://schemas.openxmlformats.org/officeDocument/2006/relationships/footer" Target="footer14.xml"/><Relationship Id="rId43" Type="http://schemas.openxmlformats.org/officeDocument/2006/relationships/image" Target="media/image20.png"/><Relationship Id="rId44" Type="http://schemas.openxmlformats.org/officeDocument/2006/relationships/footer" Target="footer15.xml"/><Relationship Id="rId45" Type="http://schemas.openxmlformats.org/officeDocument/2006/relationships/image" Target="media/image21.png"/><Relationship Id="rId46" Type="http://schemas.openxmlformats.org/officeDocument/2006/relationships/image" Target="media/image22.png"/><Relationship Id="rId47" Type="http://schemas.openxmlformats.org/officeDocument/2006/relationships/image" Target="media/image23.png"/><Relationship Id="rId48" Type="http://schemas.openxmlformats.org/officeDocument/2006/relationships/image" Target="media/image24.png"/><Relationship Id="rId49" Type="http://schemas.openxmlformats.org/officeDocument/2006/relationships/image" Target="media/image25.png"/><Relationship Id="rId50" Type="http://schemas.openxmlformats.org/officeDocument/2006/relationships/image" Target="media/image26.png"/><Relationship Id="rId51" Type="http://schemas.openxmlformats.org/officeDocument/2006/relationships/image" Target="media/image27.png"/><Relationship Id="rId52" Type="http://schemas.openxmlformats.org/officeDocument/2006/relationships/image" Target="media/image28.png"/><Relationship Id="rId53" Type="http://schemas.openxmlformats.org/officeDocument/2006/relationships/image" Target="media/image29.png"/><Relationship Id="rId54" Type="http://schemas.openxmlformats.org/officeDocument/2006/relationships/image" Target="media/image30.png"/><Relationship Id="rId55" Type="http://schemas.openxmlformats.org/officeDocument/2006/relationships/footer" Target="footer16.xml"/><Relationship Id="rId56" Type="http://schemas.openxmlformats.org/officeDocument/2006/relationships/image" Target="media/image31.png"/><Relationship Id="rId57" Type="http://schemas.openxmlformats.org/officeDocument/2006/relationships/image" Target="media/image32.png"/><Relationship Id="rId58" Type="http://schemas.openxmlformats.org/officeDocument/2006/relationships/image" Target="media/image33.png"/><Relationship Id="rId59" Type="http://schemas.openxmlformats.org/officeDocument/2006/relationships/image" Target="media/image34.png"/><Relationship Id="rId60" Type="http://schemas.openxmlformats.org/officeDocument/2006/relationships/image" Target="media/image35.png"/><Relationship Id="rId61" Type="http://schemas.openxmlformats.org/officeDocument/2006/relationships/image" Target="media/image36.png"/><Relationship Id="rId62" Type="http://schemas.openxmlformats.org/officeDocument/2006/relationships/image" Target="media/image37.png"/><Relationship Id="rId63" Type="http://schemas.openxmlformats.org/officeDocument/2006/relationships/image" Target="media/image38.png"/><Relationship Id="rId64" Type="http://schemas.openxmlformats.org/officeDocument/2006/relationships/image" Target="media/image39.png"/><Relationship Id="rId65" Type="http://schemas.openxmlformats.org/officeDocument/2006/relationships/image" Target="media/image40.jpeg"/><Relationship Id="rId66" Type="http://schemas.openxmlformats.org/officeDocument/2006/relationships/hyperlink" Target="mailto:vvo@uaemex.mx" TargetMode="External"/><Relationship Id="rId67" Type="http://schemas.openxmlformats.org/officeDocument/2006/relationships/footer" Target="footer17.xml"/><Relationship Id="rId68" Type="http://schemas.openxmlformats.org/officeDocument/2006/relationships/footer" Target="footer18.xml"/><Relationship Id="rId69" Type="http://schemas.openxmlformats.org/officeDocument/2006/relationships/footer" Target="footer19.xml"/><Relationship Id="rId70" Type="http://schemas.openxmlformats.org/officeDocument/2006/relationships/hyperlink" Target="http://www.siap.gob.mx/pdfjs/web/viewer.php?file=b_leche_abrjun2015.pdf" TargetMode="External"/><Relationship Id="rId71" Type="http://schemas.openxmlformats.org/officeDocument/2006/relationships/footer" Target="footer20.xml"/><Relationship Id="rId72" Type="http://schemas.openxmlformats.org/officeDocument/2006/relationships/hyperlink" Target="http://www3.inegi.org.mx/sistemas/mexicocifras/datos-geograficos/15/15106.pdf" TargetMode="External"/><Relationship Id="rId73" Type="http://schemas.openxmlformats.org/officeDocument/2006/relationships/hyperlink" Target="http://cuentame.inegi.org.mx/mapas/pdf/entidades/div_municipal/mexicompios.pdf" TargetMode="External"/><Relationship Id="rId74" Type="http://schemas.openxmlformats.org/officeDocument/2006/relationships/image" Target="media/image41.png"/><Relationship Id="rId75" Type="http://schemas.openxmlformats.org/officeDocument/2006/relationships/image" Target="media/image42.png"/><Relationship Id="rId76" Type="http://schemas.openxmlformats.org/officeDocument/2006/relationships/footer" Target="footer21.xml"/><Relationship Id="rId77" Type="http://schemas.openxmlformats.org/officeDocument/2006/relationships/footer" Target="footer22.xml"/><Relationship Id="rId78" Type="http://schemas.openxmlformats.org/officeDocument/2006/relationships/hyperlink" Target="http://legislacion.edomex.gob.mx/sites/legislacion.edomex.gob.mx/files/files/pdf/bdo/bdo108.pdf" TargetMode="External"/><Relationship Id="rId79" Type="http://schemas.openxmlformats.org/officeDocument/2006/relationships/footer" Target="footer23.xml"/><Relationship Id="rId80" Type="http://schemas.openxmlformats.org/officeDocument/2006/relationships/footer" Target="footer24.xml"/><Relationship Id="rId81" Type="http://schemas.openxmlformats.org/officeDocument/2006/relationships/image" Target="media/image43.png"/><Relationship Id="rId82" Type="http://schemas.openxmlformats.org/officeDocument/2006/relationships/image" Target="media/image44.png"/><Relationship Id="rId83" Type="http://schemas.openxmlformats.org/officeDocument/2006/relationships/image" Target="media/image45.jpeg"/><Relationship Id="rId84" Type="http://schemas.openxmlformats.org/officeDocument/2006/relationships/image" Target="media/image46.jpeg"/><Relationship Id="rId85" Type="http://schemas.openxmlformats.org/officeDocument/2006/relationships/image" Target="media/image47.jpeg"/><Relationship Id="rId86" Type="http://schemas.openxmlformats.org/officeDocument/2006/relationships/image" Target="media/image48.jpeg"/><Relationship Id="rId87" Type="http://schemas.openxmlformats.org/officeDocument/2006/relationships/image" Target="media/image49.jpeg"/><Relationship Id="rId88" Type="http://schemas.openxmlformats.org/officeDocument/2006/relationships/image" Target="media/image50.jpeg"/><Relationship Id="rId89" Type="http://schemas.openxmlformats.org/officeDocument/2006/relationships/image" Target="media/image51.jpeg"/><Relationship Id="rId90" Type="http://schemas.openxmlformats.org/officeDocument/2006/relationships/image" Target="media/image52.jpeg"/><Relationship Id="rId91" Type="http://schemas.openxmlformats.org/officeDocument/2006/relationships/image" Target="media/image53.jpeg"/><Relationship Id="rId92" Type="http://schemas.openxmlformats.org/officeDocument/2006/relationships/image" Target="media/image54.jpeg"/><Relationship Id="rId93" Type="http://schemas.openxmlformats.org/officeDocument/2006/relationships/image" Target="media/image55.jpeg"/><Relationship Id="rId94" Type="http://schemas.openxmlformats.org/officeDocument/2006/relationships/header" Target="header6.xml"/><Relationship Id="rId95" Type="http://schemas.openxmlformats.org/officeDocument/2006/relationships/footer" Target="footer25.xml"/><Relationship Id="rId96" Type="http://schemas.openxmlformats.org/officeDocument/2006/relationships/image" Target="media/image56.png"/><Relationship Id="rId97" Type="http://schemas.openxmlformats.org/officeDocument/2006/relationships/image" Target="media/image57.png"/><Relationship Id="rId98" Type="http://schemas.openxmlformats.org/officeDocument/2006/relationships/image" Target="media/image58.png"/><Relationship Id="rId99" Type="http://schemas.openxmlformats.org/officeDocument/2006/relationships/image" Target="media/image59.png"/><Relationship Id="rId100" Type="http://schemas.openxmlformats.org/officeDocument/2006/relationships/image" Target="media/image60.png"/><Relationship Id="rId101" Type="http://schemas.openxmlformats.org/officeDocument/2006/relationships/image" Target="media/image61.png"/><Relationship Id="rId102" Type="http://schemas.openxmlformats.org/officeDocument/2006/relationships/image" Target="media/image62.png"/><Relationship Id="rId103" Type="http://schemas.openxmlformats.org/officeDocument/2006/relationships/image" Target="media/image63.png"/><Relationship Id="rId104" Type="http://schemas.openxmlformats.org/officeDocument/2006/relationships/image" Target="media/image64.png"/><Relationship Id="rId105" Type="http://schemas.openxmlformats.org/officeDocument/2006/relationships/image" Target="media/image65.png"/><Relationship Id="rId106" Type="http://schemas.openxmlformats.org/officeDocument/2006/relationships/image" Target="media/image66.jpeg"/><Relationship Id="rId107" Type="http://schemas.openxmlformats.org/officeDocument/2006/relationships/image" Target="media/image67.jpeg"/><Relationship Id="rId108" Type="http://schemas.openxmlformats.org/officeDocument/2006/relationships/image" Target="media/image68.jpeg"/><Relationship Id="rId109" Type="http://schemas.openxmlformats.org/officeDocument/2006/relationships/image" Target="media/image69.jpeg"/><Relationship Id="rId110" Type="http://schemas.openxmlformats.org/officeDocument/2006/relationships/image" Target="media/image70.jpeg"/><Relationship Id="rId111" Type="http://schemas.openxmlformats.org/officeDocument/2006/relationships/image" Target="media/image71.jpeg"/><Relationship Id="rId112" Type="http://schemas.openxmlformats.org/officeDocument/2006/relationships/image" Target="media/image72.jpeg"/><Relationship Id="rId113" Type="http://schemas.openxmlformats.org/officeDocument/2006/relationships/header" Target="header7.xml"/><Relationship Id="rId114" Type="http://schemas.openxmlformats.org/officeDocument/2006/relationships/footer" Target="footer26.xml"/><Relationship Id="rId115" Type="http://schemas.openxmlformats.org/officeDocument/2006/relationships/footer" Target="footer27.xml"/><Relationship Id="rId116" Type="http://schemas.openxmlformats.org/officeDocument/2006/relationships/footer" Target="footer28.xml"/><Relationship Id="rId117" Type="http://schemas.openxmlformats.org/officeDocument/2006/relationships/footer" Target="footer29.xml"/><Relationship Id="rId118" Type="http://schemas.openxmlformats.org/officeDocument/2006/relationships/footer" Target="footer30.xml"/><Relationship Id="rId119" Type="http://schemas.openxmlformats.org/officeDocument/2006/relationships/footer" Target="footer31.xml"/><Relationship Id="rId120" Type="http://schemas.openxmlformats.org/officeDocument/2006/relationships/footer" Target="footer32.xml"/><Relationship Id="rId12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Diaz</dc:creator>
  <dcterms:created xsi:type="dcterms:W3CDTF">2017-05-23T19:13:05Z</dcterms:created>
  <dcterms:modified xsi:type="dcterms:W3CDTF">2017-05-23T19:13:05Z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2016-01-27T00:00:00Z</vt:filetime>
  </property>
  <property fmtid="{D5CDD505-2E9C-101B-9397-08002B2CF9AE}" pid="3" name="Creator">
    <vt:lpwstr>Microsoft® Word 2013</vt:lpwstr>
  </property>
  <property fmtid="{D5CDD505-2E9C-101B-9397-08002B2CF9AE}" pid="4" name="LastSaved">
    <vt:filetime>2017-05-23T00:00:00Z</vt:filetime>
  </property>
</Properties>
</file>