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png" ContentType="image/png"/>
  <Default Extension="jpeg" ContentType="image/jpeg"/>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header2.xml" ContentType="application/vnd.openxmlformats-officedocument.wordprocessingml.header+xml"/>
  <Override PartName="/word/footer16.xml" ContentType="application/vnd.openxmlformats-officedocument.wordprocessingml.footer+xml"/>
  <Override PartName="/word/header3.xml" ContentType="application/vnd.openxmlformats-officedocument.wordprocessingml.header+xml"/>
  <Override PartName="/word/footer17.xml" ContentType="application/vnd.openxmlformats-officedocument.wordprocessingml.footer+xml"/>
  <Override PartName="/word/header4.xml" ContentType="application/vnd.openxmlformats-officedocument.wordprocessingml.header+xml"/>
  <Override PartName="/word/footer18.xml" ContentType="application/vnd.openxmlformats-officedocument.wordprocessingml.footer+xml"/>
  <Override PartName="/word/header5.xml" ContentType="application/vnd.openxmlformats-officedocument.wordprocessingml.header+xml"/>
  <Override PartName="/word/footer19.xml" ContentType="application/vnd.openxmlformats-officedocument.wordprocessingml.footer+xml"/>
  <Override PartName="/word/header6.xml" ContentType="application/vnd.openxmlformats-officedocument.wordprocessingml.header+xml"/>
  <Override PartName="/word/footer20.xml" ContentType="application/vnd.openxmlformats-officedocument.wordprocessingml.footer+xml"/>
  <Override PartName="/word/header7.xml" ContentType="application/vnd.openxmlformats-officedocument.wordprocessingml.header+xml"/>
  <Override PartName="/word/footer21.xml" ContentType="application/vnd.openxmlformats-officedocument.wordprocessingml.footer+xml"/>
  <Override PartName="/word/header8.xml" ContentType="application/vnd.openxmlformats-officedocument.wordprocessingml.header+xml"/>
  <Override PartName="/word/footer22.xml" ContentType="application/vnd.openxmlformats-officedocument.wordprocessingml.footer+xml"/>
  <Override PartName="/word/header9.xml" ContentType="application/vnd.openxmlformats-officedocument.wordprocessingml.header+xml"/>
  <Override PartName="/word/footer23.xml" ContentType="application/vnd.openxmlformats-officedocument.wordprocessingml.footer+xml"/>
  <Override PartName="/word/header10.xml" ContentType="application/vnd.openxmlformats-officedocument.wordprocessingml.header+xml"/>
  <Override PartName="/word/footer24.xml" ContentType="application/vnd.openxmlformats-officedocument.wordprocessingml.footer+xml"/>
  <Override PartName="/word/header11.xml" ContentType="application/vnd.openxmlformats-officedocument.wordprocessingml.header+xml"/>
  <Override PartName="/word/footer25.xml" ContentType="application/vnd.openxmlformats-officedocument.wordprocessingml.footer+xml"/>
  <Override PartName="/word/header12.xml" ContentType="application/vnd.openxmlformats-officedocument.wordprocessingml.header+xml"/>
  <Override PartName="/word/footer26.xml" ContentType="application/vnd.openxmlformats-officedocument.wordprocessingml.footer+xml"/>
  <Override PartName="/word/header13.xml" ContentType="application/vnd.openxmlformats-officedocument.wordprocessingml.header+xml"/>
  <Override PartName="/word/footer27.xml" ContentType="application/vnd.openxmlformats-officedocument.wordprocessingml.footer+xml"/>
  <Override PartName="/word/header14.xml" ContentType="application/vnd.openxmlformats-officedocument.wordprocessingml.header+xml"/>
  <Override PartName="/word/footer28.xml" ContentType="application/vnd.openxmlformats-officedocument.wordprocessingml.footer+xml"/>
  <Override PartName="/word/header15.xml" ContentType="application/vnd.openxmlformats-officedocument.wordprocessingml.header+xml"/>
  <Override PartName="/word/footer29.xml" ContentType="application/vnd.openxmlformats-officedocument.wordprocessingml.footer+xml"/>
  <Override PartName="/word/header16.xml" ContentType="application/vnd.openxmlformats-officedocument.wordprocessingml.header+xml"/>
  <Override PartName="/word/footer30.xml" ContentType="application/vnd.openxmlformats-officedocument.wordprocessingml.footer+xml"/>
  <Override PartName="/word/header17.xml" ContentType="application/vnd.openxmlformats-officedocument.wordprocessingml.header+xml"/>
  <Override PartName="/word/footer31.xml" ContentType="application/vnd.openxmlformats-officedocument.wordprocessingml.footer+xml"/>
  <Override PartName="/word/header18.xml" ContentType="application/vnd.openxmlformats-officedocument.wordprocessingml.header+xml"/>
  <Override PartName="/word/footer32.xml" ContentType="application/vnd.openxmlformats-officedocument.wordprocessingml.footer+xml"/>
  <Override PartName="/word/header19.xml" ContentType="application/vnd.openxmlformats-officedocument.wordprocessingml.header+xml"/>
  <Override PartName="/word/footer33.xml" ContentType="application/vnd.openxmlformats-officedocument.wordprocessingml.footer+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spacing w:before="58"/>
        <w:ind w:left="3362" w:right="713"/>
        <w:jc w:val="center"/>
      </w:pPr>
      <w:r>
        <w:rPr/>
        <w:pict>
          <v:group style="position:absolute;margin-left:32.252998pt;margin-top:3.115866pt;width:124.6pt;height:129.15pt;mso-position-horizontal-relative:page;mso-position-vertical-relative:paragraph;z-index:0" coordorigin="645,62" coordsize="2492,2583">
            <v:shape style="position:absolute;left:645;top:62;width:2491;height:2582" type="#_x0000_t75" stroked="false">
              <v:imagedata r:id="rId5" o:title=""/>
            </v:shape>
            <v:shape style="position:absolute;left:794;top:67;width:2194;height:1954" type="#_x0000_t75" stroked="false">
              <v:imagedata r:id="rId6" o:title=""/>
            </v:shape>
            <w10:wrap type="none"/>
          </v:group>
        </w:pict>
      </w:r>
      <w:r>
        <w:rPr/>
        <w:drawing>
          <wp:anchor distT="0" distB="0" distL="0" distR="0" allowOverlap="1" layoutInCell="1" locked="0" behindDoc="1" simplePos="0" relativeHeight="268311431">
            <wp:simplePos x="0" y="0"/>
            <wp:positionH relativeFrom="page">
              <wp:posOffset>2095538</wp:posOffset>
            </wp:positionH>
            <wp:positionV relativeFrom="page">
              <wp:posOffset>903643</wp:posOffset>
            </wp:positionV>
            <wp:extent cx="5114544" cy="8348471"/>
            <wp:effectExtent l="0" t="0" r="0" b="0"/>
            <wp:wrapNone/>
            <wp:docPr id="1" name="image3.png" descr=""/>
            <wp:cNvGraphicFramePr>
              <a:graphicFrameLocks noChangeAspect="1"/>
            </wp:cNvGraphicFramePr>
            <a:graphic>
              <a:graphicData uri="http://schemas.openxmlformats.org/drawingml/2006/picture">
                <pic:pic>
                  <pic:nvPicPr>
                    <pic:cNvPr id="2" name="image3.png"/>
                    <pic:cNvPicPr/>
                  </pic:nvPicPr>
                  <pic:blipFill>
                    <a:blip r:embed="rId7" cstate="print"/>
                    <a:stretch>
                      <a:fillRect/>
                    </a:stretch>
                  </pic:blipFill>
                  <pic:spPr>
                    <a:xfrm>
                      <a:off x="0" y="0"/>
                      <a:ext cx="5114544" cy="8348471"/>
                    </a:xfrm>
                    <a:prstGeom prst="rect">
                      <a:avLst/>
                    </a:prstGeom>
                  </pic:spPr>
                </pic:pic>
              </a:graphicData>
            </a:graphic>
          </wp:anchor>
        </w:drawing>
      </w:r>
      <w:r>
        <w:rPr/>
        <w:t>UNIVERSIDAD AUTÓNOMA DEL ESTADO DE MÉXICO</w:t>
      </w:r>
    </w:p>
    <w:p>
      <w:pPr>
        <w:pStyle w:val="BodyText"/>
      </w:pPr>
    </w:p>
    <w:p>
      <w:pPr>
        <w:pStyle w:val="BodyText"/>
      </w:pPr>
    </w:p>
    <w:p>
      <w:pPr>
        <w:pStyle w:val="BodyText"/>
        <w:spacing w:before="4"/>
      </w:pPr>
    </w:p>
    <w:p>
      <w:pPr>
        <w:pStyle w:val="BodyText"/>
        <w:spacing w:line="242" w:lineRule="auto" w:before="1"/>
        <w:ind w:left="3364" w:right="713"/>
        <w:jc w:val="center"/>
      </w:pPr>
      <w:r>
        <w:rPr/>
        <w:t>MAESTRÍA Y DOCTORADO EN CIENCIAS AGROPECUARIAS Y RECURSOS NATURALES</w:t>
      </w:r>
    </w:p>
    <w:p>
      <w:pPr>
        <w:pStyle w:val="BodyText"/>
      </w:pPr>
    </w:p>
    <w:p>
      <w:pPr>
        <w:pStyle w:val="BodyText"/>
      </w:pPr>
    </w:p>
    <w:p>
      <w:pPr>
        <w:pStyle w:val="BodyText"/>
      </w:pPr>
    </w:p>
    <w:p>
      <w:pPr>
        <w:pStyle w:val="BodyText"/>
      </w:pPr>
    </w:p>
    <w:p>
      <w:pPr>
        <w:pStyle w:val="BodyText"/>
      </w:pPr>
    </w:p>
    <w:p>
      <w:pPr>
        <w:pStyle w:val="BodyText"/>
        <w:spacing w:before="9"/>
      </w:pPr>
    </w:p>
    <w:p>
      <w:pPr>
        <w:pStyle w:val="BodyText"/>
        <w:spacing w:line="480" w:lineRule="auto"/>
        <w:ind w:left="3508" w:right="845"/>
        <w:jc w:val="center"/>
      </w:pPr>
      <w:r>
        <w:rPr/>
        <w:t>ESTADIFICACIÓN DE LA ENFERMEDAD RENAL CRÓNICA Y</w:t>
      </w:r>
    </w:p>
    <w:p>
      <w:pPr>
        <w:pStyle w:val="BodyText"/>
        <w:spacing w:before="8"/>
        <w:ind w:left="3364" w:right="708"/>
        <w:jc w:val="center"/>
      </w:pPr>
      <w:r>
        <w:rPr/>
        <w:t>SUS FACTORES DE RIESGO ASOCIADOS EN PERROS</w:t>
      </w:r>
    </w:p>
    <w:p>
      <w:pPr>
        <w:pStyle w:val="BodyText"/>
      </w:pPr>
    </w:p>
    <w:p>
      <w:pPr>
        <w:pStyle w:val="BodyText"/>
      </w:pPr>
    </w:p>
    <w:p>
      <w:pPr>
        <w:pStyle w:val="BodyText"/>
      </w:pPr>
    </w:p>
    <w:p>
      <w:pPr>
        <w:spacing w:before="147"/>
        <w:ind w:left="3364" w:right="708" w:firstLine="0"/>
        <w:jc w:val="center"/>
        <w:rPr>
          <w:b/>
          <w:sz w:val="40"/>
        </w:rPr>
      </w:pPr>
      <w:r>
        <w:rPr>
          <w:b/>
          <w:sz w:val="40"/>
        </w:rPr>
        <w:t>TESIS</w:t>
      </w:r>
    </w:p>
    <w:p>
      <w:pPr>
        <w:pStyle w:val="BodyText"/>
        <w:rPr>
          <w:b/>
          <w:sz w:val="40"/>
        </w:rPr>
      </w:pPr>
    </w:p>
    <w:p>
      <w:pPr>
        <w:pStyle w:val="BodyText"/>
        <w:rPr>
          <w:b/>
          <w:sz w:val="40"/>
        </w:rPr>
      </w:pPr>
    </w:p>
    <w:p>
      <w:pPr>
        <w:pStyle w:val="BodyText"/>
        <w:spacing w:line="600" w:lineRule="auto" w:before="282"/>
        <w:ind w:left="4315" w:right="1637" w:firstLine="676"/>
      </w:pPr>
      <w:r>
        <w:rPr/>
        <w:t>PARA OBTENER EL GRADO DE MAESTRO EN CIENCIAS AGROPECUARIAS</w:t>
      </w:r>
    </w:p>
    <w:p>
      <w:pPr>
        <w:pStyle w:val="BodyText"/>
        <w:spacing w:line="600" w:lineRule="auto" w:before="18"/>
        <w:ind w:left="5241" w:right="2585"/>
        <w:jc w:val="center"/>
      </w:pPr>
      <w:r>
        <w:rPr/>
        <w:t>Y RECURSOS NATURALES PRESENTA:</w:t>
      </w:r>
    </w:p>
    <w:p>
      <w:pPr>
        <w:pStyle w:val="BodyText"/>
        <w:spacing w:before="18"/>
        <w:ind w:left="4392" w:right="1637"/>
      </w:pPr>
      <w:r>
        <w:rPr/>
        <w:t>M.V.Z. Esp. Elsa Macarena García González</w:t>
      </w:r>
    </w:p>
    <w:p>
      <w:pPr>
        <w:pStyle w:val="BodyText"/>
      </w:pPr>
    </w:p>
    <w:p>
      <w:pPr>
        <w:pStyle w:val="BodyText"/>
      </w:pPr>
    </w:p>
    <w:p>
      <w:pPr>
        <w:pStyle w:val="BodyText"/>
      </w:pPr>
    </w:p>
    <w:p>
      <w:pPr>
        <w:pStyle w:val="BodyText"/>
        <w:spacing w:before="2"/>
      </w:pPr>
    </w:p>
    <w:p>
      <w:pPr>
        <w:pStyle w:val="BodyText"/>
        <w:ind w:left="3364" w:right="711"/>
        <w:jc w:val="center"/>
      </w:pPr>
      <w:r>
        <w:rPr/>
        <w:t>El Cerrillo Piedras Blancas, Toluca, Estado de México.</w:t>
      </w:r>
    </w:p>
    <w:p>
      <w:pPr>
        <w:pStyle w:val="BodyText"/>
        <w:spacing w:before="5"/>
        <w:rPr>
          <w:sz w:val="21"/>
        </w:rPr>
      </w:pPr>
    </w:p>
    <w:p>
      <w:pPr>
        <w:pStyle w:val="BodyText"/>
        <w:ind w:left="3364" w:right="711"/>
        <w:jc w:val="center"/>
      </w:pPr>
      <w:r>
        <w:rPr/>
        <w:t>Agosto 2014</w:t>
      </w:r>
    </w:p>
    <w:p>
      <w:pPr>
        <w:spacing w:after="0"/>
        <w:jc w:val="center"/>
        <w:sectPr>
          <w:type w:val="continuous"/>
          <w:pgSz w:w="12240" w:h="15840"/>
          <w:pgMar w:top="1360" w:bottom="280" w:left="540" w:right="780"/>
        </w:sectPr>
      </w:pPr>
    </w:p>
    <w:p>
      <w:pPr>
        <w:pStyle w:val="BodyText"/>
        <w:spacing w:before="158"/>
        <w:ind w:left="3362" w:right="713"/>
        <w:jc w:val="center"/>
      </w:pPr>
      <w:r>
        <w:rPr/>
        <w:drawing>
          <wp:anchor distT="0" distB="0" distL="0" distR="0" allowOverlap="1" layoutInCell="1" locked="0" behindDoc="1" simplePos="0" relativeHeight="268311455">
            <wp:simplePos x="0" y="0"/>
            <wp:positionH relativeFrom="page">
              <wp:posOffset>2247938</wp:posOffset>
            </wp:positionH>
            <wp:positionV relativeFrom="page">
              <wp:posOffset>1056042</wp:posOffset>
            </wp:positionV>
            <wp:extent cx="5114544" cy="8348472"/>
            <wp:effectExtent l="0" t="0" r="0" b="0"/>
            <wp:wrapNone/>
            <wp:docPr id="3" name="image3.png" descr=""/>
            <wp:cNvGraphicFramePr>
              <a:graphicFrameLocks noChangeAspect="1"/>
            </wp:cNvGraphicFramePr>
            <a:graphic>
              <a:graphicData uri="http://schemas.openxmlformats.org/drawingml/2006/picture">
                <pic:pic>
                  <pic:nvPicPr>
                    <pic:cNvPr id="4" name="image3.png"/>
                    <pic:cNvPicPr/>
                  </pic:nvPicPr>
                  <pic:blipFill>
                    <a:blip r:embed="rId7" cstate="print"/>
                    <a:stretch>
                      <a:fillRect/>
                    </a:stretch>
                  </pic:blipFill>
                  <pic:spPr>
                    <a:xfrm>
                      <a:off x="0" y="0"/>
                      <a:ext cx="5114544" cy="8348472"/>
                    </a:xfrm>
                    <a:prstGeom prst="rect">
                      <a:avLst/>
                    </a:prstGeom>
                  </pic:spPr>
                </pic:pic>
              </a:graphicData>
            </a:graphic>
          </wp:anchor>
        </w:drawing>
      </w:r>
      <w:r>
        <w:rPr/>
        <w:pict>
          <v:group style="position:absolute;margin-left:44.252998pt;margin-top:8.115767pt;width:124.6pt;height:129.15pt;mso-position-horizontal-relative:page;mso-position-vertical-relative:paragraph;z-index:1096" coordorigin="885,162" coordsize="2492,2583">
            <v:shape style="position:absolute;left:885;top:162;width:2491;height:2582" type="#_x0000_t75" stroked="false">
              <v:imagedata r:id="rId5" o:title=""/>
            </v:shape>
            <v:shape style="position:absolute;left:1034;top:167;width:2194;height:1954" type="#_x0000_t75" stroked="false">
              <v:imagedata r:id="rId6" o:title=""/>
            </v:shape>
            <w10:wrap type="none"/>
          </v:group>
        </w:pict>
      </w:r>
      <w:r>
        <w:rPr/>
        <w:t>UNIVERSIDAD AUTÓNOMA DEL ESTADO DE MÉXICO</w:t>
      </w:r>
    </w:p>
    <w:p>
      <w:pPr>
        <w:pStyle w:val="BodyText"/>
      </w:pPr>
    </w:p>
    <w:p>
      <w:pPr>
        <w:pStyle w:val="BodyText"/>
      </w:pPr>
    </w:p>
    <w:p>
      <w:pPr>
        <w:pStyle w:val="BodyText"/>
        <w:spacing w:before="4"/>
      </w:pPr>
    </w:p>
    <w:p>
      <w:pPr>
        <w:pStyle w:val="BodyText"/>
        <w:spacing w:line="242" w:lineRule="auto" w:before="1"/>
        <w:ind w:left="3364" w:right="713"/>
        <w:jc w:val="center"/>
      </w:pPr>
      <w:r>
        <w:rPr/>
        <w:t>MAESTRÍA Y DOCTORADO EN CIENCIAS AGROPECUARIAS Y RECURSOS NATURALES</w:t>
      </w:r>
    </w:p>
    <w:p>
      <w:pPr>
        <w:pStyle w:val="BodyText"/>
      </w:pPr>
    </w:p>
    <w:p>
      <w:pPr>
        <w:pStyle w:val="BodyText"/>
      </w:pPr>
    </w:p>
    <w:p>
      <w:pPr>
        <w:pStyle w:val="BodyText"/>
      </w:pPr>
    </w:p>
    <w:p>
      <w:pPr>
        <w:pStyle w:val="BodyText"/>
        <w:spacing w:line="480" w:lineRule="auto" w:before="141"/>
        <w:ind w:left="3508" w:right="845"/>
        <w:jc w:val="center"/>
      </w:pPr>
      <w:r>
        <w:rPr/>
        <w:t>ESTADIFICACIÓN DE LA ENFERMEDAD RENAL CRÓNICA Y</w:t>
      </w:r>
    </w:p>
    <w:p>
      <w:pPr>
        <w:pStyle w:val="BodyText"/>
        <w:spacing w:before="8"/>
        <w:ind w:left="3364" w:right="708"/>
        <w:jc w:val="center"/>
      </w:pPr>
      <w:r>
        <w:rPr/>
        <w:t>SUS FACTORES DE RIESGO ASOCIADOS EN PERROS</w:t>
      </w:r>
    </w:p>
    <w:p>
      <w:pPr>
        <w:pStyle w:val="BodyText"/>
      </w:pPr>
    </w:p>
    <w:p>
      <w:pPr>
        <w:pStyle w:val="BodyText"/>
      </w:pPr>
    </w:p>
    <w:p>
      <w:pPr>
        <w:pStyle w:val="BodyText"/>
      </w:pPr>
    </w:p>
    <w:p>
      <w:pPr>
        <w:spacing w:before="152"/>
        <w:ind w:left="3364" w:right="708" w:firstLine="0"/>
        <w:jc w:val="center"/>
        <w:rPr>
          <w:b/>
          <w:sz w:val="40"/>
        </w:rPr>
      </w:pPr>
      <w:r>
        <w:rPr>
          <w:b/>
          <w:sz w:val="40"/>
        </w:rPr>
        <w:t>TESIS</w:t>
      </w:r>
    </w:p>
    <w:p>
      <w:pPr>
        <w:pStyle w:val="BodyText"/>
        <w:rPr>
          <w:b/>
          <w:sz w:val="44"/>
        </w:rPr>
      </w:pPr>
    </w:p>
    <w:p>
      <w:pPr>
        <w:pStyle w:val="BodyText"/>
        <w:spacing w:line="600" w:lineRule="auto"/>
        <w:ind w:left="4315" w:right="1637" w:firstLine="676"/>
      </w:pPr>
      <w:r>
        <w:rPr/>
        <w:t>PARA OBTENER EL GRADO DE MAESTRO EN CIENCIAS AGROPECUARIAS</w:t>
      </w:r>
    </w:p>
    <w:p>
      <w:pPr>
        <w:pStyle w:val="BodyText"/>
        <w:spacing w:line="600" w:lineRule="auto" w:before="18"/>
        <w:ind w:left="5241" w:right="2585"/>
        <w:jc w:val="center"/>
      </w:pPr>
      <w:r>
        <w:rPr/>
        <w:t>Y RECURSOS NATURALES PRESENTA:</w:t>
      </w:r>
    </w:p>
    <w:p>
      <w:pPr>
        <w:pStyle w:val="BodyText"/>
        <w:spacing w:line="600" w:lineRule="auto" w:before="18"/>
        <w:ind w:left="5481" w:right="1720" w:hanging="1090"/>
      </w:pPr>
      <w:r>
        <w:rPr/>
        <w:t>M.V.Z. Esp. Elsa Macarena García González COMITÉ DE TUTORES:</w:t>
      </w:r>
    </w:p>
    <w:p>
      <w:pPr>
        <w:pStyle w:val="BodyText"/>
        <w:spacing w:before="18"/>
        <w:ind w:left="3364" w:right="711"/>
        <w:jc w:val="center"/>
      </w:pPr>
      <w:r>
        <w:rPr/>
        <w:t>Dr en C. Javier Del Angel Caraza</w:t>
      </w:r>
    </w:p>
    <w:p>
      <w:pPr>
        <w:pStyle w:val="BodyText"/>
        <w:spacing w:line="274" w:lineRule="exact" w:before="8"/>
        <w:ind w:left="4406" w:right="1749"/>
        <w:jc w:val="center"/>
      </w:pPr>
      <w:r>
        <w:rPr/>
        <w:t>Dr en C. Israel Alejandro Quijano Hernández Dr en C. José Simón Martínez Castañeda</w:t>
      </w:r>
    </w:p>
    <w:p>
      <w:pPr>
        <w:pStyle w:val="BodyText"/>
      </w:pPr>
    </w:p>
    <w:p>
      <w:pPr>
        <w:pStyle w:val="BodyText"/>
      </w:pPr>
    </w:p>
    <w:p>
      <w:pPr>
        <w:pStyle w:val="BodyText"/>
        <w:spacing w:before="8"/>
        <w:rPr>
          <w:sz w:val="35"/>
        </w:rPr>
      </w:pPr>
    </w:p>
    <w:p>
      <w:pPr>
        <w:pStyle w:val="BodyText"/>
        <w:spacing w:before="1"/>
        <w:ind w:left="3364" w:right="711"/>
        <w:jc w:val="center"/>
      </w:pPr>
      <w:r>
        <w:rPr/>
        <w:t>El Cerrillo Piedras Blancas, Toluca, Estado de México.</w:t>
      </w:r>
    </w:p>
    <w:p>
      <w:pPr>
        <w:pStyle w:val="BodyText"/>
        <w:spacing w:before="5"/>
        <w:rPr>
          <w:sz w:val="21"/>
        </w:rPr>
      </w:pPr>
    </w:p>
    <w:p>
      <w:pPr>
        <w:pStyle w:val="BodyText"/>
        <w:ind w:left="3364" w:right="711"/>
        <w:jc w:val="center"/>
      </w:pPr>
      <w:r>
        <w:rPr/>
        <w:t>Agosto 2014</w:t>
      </w:r>
    </w:p>
    <w:p>
      <w:pPr>
        <w:spacing w:after="0"/>
        <w:jc w:val="center"/>
        <w:sectPr>
          <w:pgSz w:w="12240" w:h="15840"/>
          <w:pgMar w:top="1500" w:bottom="280" w:left="780" w:right="540"/>
        </w:sectPr>
      </w:pPr>
    </w:p>
    <w:p>
      <w:pPr>
        <w:pStyle w:val="BodyText"/>
        <w:rPr>
          <w:sz w:val="20"/>
        </w:rPr>
      </w:pPr>
    </w:p>
    <w:p>
      <w:pPr>
        <w:pStyle w:val="BodyText"/>
        <w:rPr>
          <w:sz w:val="20"/>
        </w:rPr>
      </w:pPr>
    </w:p>
    <w:p>
      <w:pPr>
        <w:pStyle w:val="BodyText"/>
        <w:rPr>
          <w:sz w:val="20"/>
        </w:rPr>
      </w:pPr>
    </w:p>
    <w:p>
      <w:pPr>
        <w:pStyle w:val="BodyText"/>
        <w:spacing w:before="11"/>
        <w:rPr>
          <w:sz w:val="23"/>
        </w:rPr>
      </w:pPr>
    </w:p>
    <w:p>
      <w:pPr>
        <w:pStyle w:val="BodyText"/>
        <w:spacing w:before="69"/>
        <w:ind w:left="104"/>
        <w:jc w:val="both"/>
      </w:pPr>
      <w:r>
        <w:rPr/>
        <w:t>Agradecimientos</w:t>
      </w:r>
    </w:p>
    <w:p>
      <w:pPr>
        <w:pStyle w:val="BodyText"/>
      </w:pPr>
    </w:p>
    <w:p>
      <w:pPr>
        <w:pStyle w:val="BodyText"/>
      </w:pPr>
    </w:p>
    <w:p>
      <w:pPr>
        <w:pStyle w:val="BodyText"/>
      </w:pPr>
    </w:p>
    <w:p>
      <w:pPr>
        <w:pStyle w:val="BodyText"/>
      </w:pPr>
    </w:p>
    <w:p>
      <w:pPr>
        <w:pStyle w:val="BodyText"/>
        <w:spacing w:line="480" w:lineRule="auto" w:before="204"/>
        <w:ind w:left="104" w:right="108"/>
        <w:jc w:val="both"/>
      </w:pPr>
      <w:r>
        <w:rPr/>
        <w:t>Deseo expresar mi agradecimiento a todas las personas que me brindaron su colaboración para llevar a cabo este trabajo, así como a quienes me han acompañado durante esta etapa de mi vida.</w:t>
      </w:r>
    </w:p>
    <w:p>
      <w:pPr>
        <w:pStyle w:val="BodyText"/>
        <w:spacing w:before="6"/>
        <w:rPr>
          <w:sz w:val="21"/>
        </w:rPr>
      </w:pPr>
    </w:p>
    <w:p>
      <w:pPr>
        <w:pStyle w:val="BodyText"/>
        <w:spacing w:line="480" w:lineRule="auto"/>
        <w:ind w:left="104" w:right="108"/>
        <w:jc w:val="both"/>
      </w:pPr>
      <w:r>
        <w:rPr/>
        <w:t>A los doctores Javier Del Angel Caraza, Israel Alejandro Quijano Hernández y José Simón Martínez Castañeda por sus lecciones y experiencias en mi formación como profesionista y persona.</w:t>
      </w:r>
    </w:p>
    <w:p>
      <w:pPr>
        <w:pStyle w:val="BodyText"/>
        <w:spacing w:before="6"/>
        <w:rPr>
          <w:sz w:val="21"/>
        </w:rPr>
      </w:pPr>
    </w:p>
    <w:p>
      <w:pPr>
        <w:pStyle w:val="BodyText"/>
        <w:ind w:left="104"/>
        <w:jc w:val="both"/>
      </w:pPr>
      <w:r>
        <w:rPr/>
        <w:t>Al doctor Juan Francisco Sepúlveda Aceves por su valiosa contribución en este trabajo.</w:t>
      </w:r>
    </w:p>
    <w:p>
      <w:pPr>
        <w:pStyle w:val="BodyText"/>
      </w:pPr>
    </w:p>
    <w:p>
      <w:pPr>
        <w:pStyle w:val="BodyText"/>
        <w:spacing w:before="10"/>
        <w:rPr>
          <w:sz w:val="20"/>
        </w:rPr>
      </w:pPr>
    </w:p>
    <w:p>
      <w:pPr>
        <w:pStyle w:val="BodyText"/>
        <w:spacing w:line="480" w:lineRule="auto"/>
        <w:ind w:left="104" w:right="108"/>
        <w:jc w:val="both"/>
      </w:pPr>
      <w:r>
        <w:rPr/>
        <w:t>Al personal del Hospital Veterinario para Pequeñas Especies UAEMex por su amistad y apoyo.</w:t>
      </w:r>
    </w:p>
    <w:p>
      <w:pPr>
        <w:spacing w:after="0" w:line="480" w:lineRule="auto"/>
        <w:jc w:val="both"/>
        <w:sectPr>
          <w:pgSz w:w="12240" w:h="15840"/>
          <w:pgMar w:top="1500" w:bottom="280" w:left="1640" w:right="980"/>
        </w:sectPr>
      </w:pPr>
    </w:p>
    <w:p>
      <w:pPr>
        <w:pStyle w:val="BodyText"/>
        <w:rPr>
          <w:sz w:val="20"/>
        </w:rPr>
      </w:pPr>
    </w:p>
    <w:p>
      <w:pPr>
        <w:pStyle w:val="BodyText"/>
        <w:rPr>
          <w:sz w:val="20"/>
        </w:rPr>
      </w:pPr>
    </w:p>
    <w:p>
      <w:pPr>
        <w:pStyle w:val="BodyText"/>
        <w:rPr>
          <w:sz w:val="20"/>
        </w:rPr>
      </w:pPr>
    </w:p>
    <w:p>
      <w:pPr>
        <w:pStyle w:val="BodyText"/>
        <w:spacing w:before="2"/>
        <w:rPr>
          <w:sz w:val="20"/>
        </w:rPr>
      </w:pPr>
    </w:p>
    <w:p>
      <w:pPr>
        <w:pStyle w:val="BodyText"/>
        <w:spacing w:before="70"/>
        <w:ind w:left="104" w:right="11"/>
      </w:pPr>
      <w:r>
        <w:rPr/>
        <w:t>Dedicatorias</w:t>
      </w:r>
    </w:p>
    <w:p>
      <w:pPr>
        <w:pStyle w:val="BodyText"/>
      </w:pPr>
    </w:p>
    <w:p>
      <w:pPr>
        <w:pStyle w:val="BodyText"/>
      </w:pPr>
    </w:p>
    <w:p>
      <w:pPr>
        <w:pStyle w:val="BodyText"/>
      </w:pPr>
    </w:p>
    <w:p>
      <w:pPr>
        <w:pStyle w:val="BodyText"/>
      </w:pPr>
    </w:p>
    <w:p>
      <w:pPr>
        <w:pStyle w:val="BodyText"/>
        <w:spacing w:line="480" w:lineRule="auto" w:before="204"/>
        <w:ind w:left="104" w:right="11"/>
      </w:pPr>
      <w:r>
        <w:rPr/>
        <w:t>Con todo cariño para esas personas importantes en mi vida, que siempre estuvieron listas para darme toda su ayuda.</w:t>
      </w:r>
    </w:p>
    <w:p>
      <w:pPr>
        <w:pStyle w:val="BodyText"/>
        <w:spacing w:before="6"/>
        <w:rPr>
          <w:sz w:val="21"/>
        </w:rPr>
      </w:pPr>
    </w:p>
    <w:p>
      <w:pPr>
        <w:pStyle w:val="BodyText"/>
        <w:spacing w:line="480" w:lineRule="auto"/>
        <w:ind w:left="104" w:right="11"/>
      </w:pPr>
      <w:r>
        <w:rPr/>
        <w:t>A mis padres Ignacio García Hernández y Elsa Mayela González Arteaga por su amor y apoyo incondicional.</w:t>
      </w:r>
    </w:p>
    <w:p>
      <w:pPr>
        <w:pStyle w:val="BodyText"/>
        <w:spacing w:before="6"/>
        <w:rPr>
          <w:sz w:val="21"/>
        </w:rPr>
      </w:pPr>
    </w:p>
    <w:p>
      <w:pPr>
        <w:pStyle w:val="BodyText"/>
        <w:spacing w:line="480" w:lineRule="auto"/>
        <w:ind w:left="104" w:right="11"/>
      </w:pPr>
      <w:r>
        <w:rPr/>
        <w:t>A mis hermanas Valeria Alejandra García González y Claudia Mayela García González por siempre estar presentes y brindarme esa fortaleza para seguir adelante.</w:t>
      </w:r>
    </w:p>
    <w:p>
      <w:pPr>
        <w:pStyle w:val="BodyText"/>
        <w:spacing w:before="6"/>
        <w:rPr>
          <w:sz w:val="21"/>
        </w:rPr>
      </w:pPr>
    </w:p>
    <w:p>
      <w:pPr>
        <w:pStyle w:val="BodyText"/>
        <w:ind w:left="104" w:right="11"/>
      </w:pPr>
      <w:r>
        <w:rPr/>
        <w:t>A mis amigos y familiares que me acompañaron en este camino.</w:t>
      </w:r>
    </w:p>
    <w:p>
      <w:pPr>
        <w:pStyle w:val="BodyText"/>
      </w:pPr>
    </w:p>
    <w:p>
      <w:pPr>
        <w:pStyle w:val="BodyText"/>
        <w:spacing w:before="5"/>
        <w:rPr>
          <w:sz w:val="20"/>
        </w:rPr>
      </w:pPr>
    </w:p>
    <w:p>
      <w:pPr>
        <w:pStyle w:val="BodyText"/>
        <w:ind w:left="104" w:right="11"/>
      </w:pPr>
      <w:r>
        <w:rPr/>
        <w:t>A los pacientes utilizados en este estudio, así como a sus propietarios.</w:t>
      </w:r>
    </w:p>
    <w:p>
      <w:pPr>
        <w:spacing w:after="0"/>
        <w:sectPr>
          <w:pgSz w:w="12240" w:h="15840"/>
          <w:pgMar w:top="1500" w:bottom="280" w:left="1640" w:right="980"/>
        </w:sectPr>
      </w:pPr>
    </w:p>
    <w:p>
      <w:pPr>
        <w:pStyle w:val="BodyText"/>
        <w:rPr>
          <w:sz w:val="20"/>
        </w:rPr>
      </w:pPr>
    </w:p>
    <w:p>
      <w:pPr>
        <w:pStyle w:val="BodyText"/>
        <w:rPr>
          <w:sz w:val="20"/>
        </w:rPr>
      </w:pPr>
    </w:p>
    <w:p>
      <w:pPr>
        <w:pStyle w:val="BodyText"/>
        <w:spacing w:before="6"/>
        <w:rPr>
          <w:sz w:val="20"/>
        </w:rPr>
      </w:pPr>
    </w:p>
    <w:p>
      <w:pPr>
        <w:pStyle w:val="Heading1"/>
        <w:spacing w:before="0"/>
        <w:jc w:val="left"/>
      </w:pPr>
      <w:r>
        <w:rPr/>
        <w:t>Índice</w:t>
      </w:r>
    </w:p>
    <w:sdt>
      <w:sdtPr>
        <w:docPartObj>
          <w:docPartGallery w:val="Table of Contents"/>
          <w:docPartUnique/>
        </w:docPartObj>
      </w:sdtPr>
      <w:sdtEndPr/>
      <w:sdtContent>
        <w:p>
          <w:pPr>
            <w:pStyle w:val="TOC1"/>
            <w:tabs>
              <w:tab w:pos="8827" w:val="right" w:leader="dot"/>
            </w:tabs>
            <w:spacing w:before="559"/>
          </w:pPr>
          <w:hyperlink w:history="true" w:anchor="_TOC_250026">
            <w:r>
              <w:rPr/>
              <w:t>Lista de abreviaturas</w:t>
              <w:tab/>
              <w:t>1</w:t>
            </w:r>
          </w:hyperlink>
        </w:p>
        <w:p>
          <w:pPr>
            <w:pStyle w:val="TOC1"/>
            <w:tabs>
              <w:tab w:pos="8827" w:val="right" w:leader="dot"/>
            </w:tabs>
          </w:pPr>
          <w:hyperlink w:history="true" w:anchor="_TOC_250025">
            <w:r>
              <w:rPr/>
              <w:t>Tablas</w:t>
              <w:tab/>
              <w:t>2</w:t>
            </w:r>
          </w:hyperlink>
        </w:p>
        <w:p>
          <w:pPr>
            <w:pStyle w:val="TOC1"/>
            <w:tabs>
              <w:tab w:pos="8827" w:val="right" w:leader="dot"/>
            </w:tabs>
          </w:pPr>
          <w:hyperlink w:history="true" w:anchor="_TOC_250024">
            <w:r>
              <w:rPr/>
              <w:t>Resumen</w:t>
              <w:tab/>
              <w:t>4</w:t>
            </w:r>
          </w:hyperlink>
        </w:p>
        <w:p>
          <w:pPr>
            <w:pStyle w:val="TOC1"/>
            <w:tabs>
              <w:tab w:pos="8827" w:val="right" w:leader="dot"/>
            </w:tabs>
          </w:pPr>
          <w:hyperlink w:history="true" w:anchor="_TOC_250023">
            <w:r>
              <w:rPr/>
              <w:t>Summary</w:t>
              <w:tab/>
              <w:t>6</w:t>
            </w:r>
          </w:hyperlink>
        </w:p>
        <w:p>
          <w:pPr>
            <w:pStyle w:val="TOC1"/>
            <w:tabs>
              <w:tab w:pos="8827" w:val="right" w:leader="dot"/>
            </w:tabs>
          </w:pPr>
          <w:hyperlink w:history="true" w:anchor="_TOC_250022">
            <w:r>
              <w:rPr/>
              <w:t>CAPÍTULO I</w:t>
              <w:tab/>
              <w:t>8</w:t>
            </w:r>
          </w:hyperlink>
        </w:p>
        <w:p>
          <w:pPr>
            <w:pStyle w:val="TOC1"/>
            <w:tabs>
              <w:tab w:pos="8694" w:val="right" w:leader="dot"/>
            </w:tabs>
            <w:ind w:right="1208"/>
          </w:pPr>
          <w:hyperlink w:history="true" w:anchor="_TOC_250021">
            <w:r>
              <w:rPr/>
              <w:t>Introducción</w:t>
              <w:tab/>
              <w:t>8</w:t>
            </w:r>
          </w:hyperlink>
        </w:p>
        <w:p>
          <w:pPr>
            <w:pStyle w:val="TOC2"/>
            <w:tabs>
              <w:tab w:pos="8972" w:val="right" w:leader="dot"/>
            </w:tabs>
          </w:pPr>
          <w:hyperlink w:history="true" w:anchor="_TOC_250020">
            <w:r>
              <w:rPr/>
              <w:t>Epidemiología</w:t>
              <w:tab/>
              <w:t>8</w:t>
            </w:r>
          </w:hyperlink>
        </w:p>
        <w:p>
          <w:pPr>
            <w:pStyle w:val="TOC2"/>
            <w:tabs>
              <w:tab w:pos="8972" w:val="right" w:leader="dot"/>
            </w:tabs>
          </w:pPr>
          <w:hyperlink w:history="true" w:anchor="_TOC_250019">
            <w:r>
              <w:rPr/>
              <w:t>Fisiopatología</w:t>
              <w:tab/>
              <w:t>9</w:t>
            </w:r>
          </w:hyperlink>
        </w:p>
        <w:p>
          <w:pPr>
            <w:pStyle w:val="TOC2"/>
            <w:tabs>
              <w:tab w:pos="8972" w:val="right" w:leader="dot"/>
            </w:tabs>
          </w:pPr>
          <w:hyperlink w:history="true" w:anchor="_TOC_250018">
            <w:r>
              <w:rPr/>
              <w:t>Diagnóstico</w:t>
              <w:tab/>
              <w:t>12</w:t>
            </w:r>
          </w:hyperlink>
        </w:p>
        <w:p>
          <w:pPr>
            <w:pStyle w:val="TOC2"/>
            <w:tabs>
              <w:tab w:pos="8972" w:val="right" w:leader="dot"/>
            </w:tabs>
          </w:pPr>
          <w:hyperlink w:history="true" w:anchor="_TOC_250017">
            <w:r>
              <w:rPr/>
              <w:t>Estadificación de la ERC</w:t>
              <w:tab/>
              <w:t>15</w:t>
            </w:r>
          </w:hyperlink>
        </w:p>
        <w:p>
          <w:pPr>
            <w:pStyle w:val="TOC1"/>
            <w:tabs>
              <w:tab w:pos="8827" w:val="right" w:leader="dot"/>
            </w:tabs>
          </w:pPr>
          <w:hyperlink w:history="true" w:anchor="_TOC_250016">
            <w:r>
              <w:rPr/>
              <w:t>CAPÍTULO II</w:t>
              <w:tab/>
              <w:t>38</w:t>
            </w:r>
          </w:hyperlink>
        </w:p>
        <w:p>
          <w:pPr>
            <w:pStyle w:val="TOC1"/>
            <w:tabs>
              <w:tab w:pos="8694" w:val="right" w:leader="dot"/>
            </w:tabs>
            <w:ind w:right="1208"/>
          </w:pPr>
          <w:hyperlink w:history="true" w:anchor="_TOC_250015">
            <w:r>
              <w:rPr/>
              <w:t>Justificación</w:t>
              <w:tab/>
              <w:t>38</w:t>
            </w:r>
          </w:hyperlink>
        </w:p>
        <w:p>
          <w:pPr>
            <w:pStyle w:val="TOC1"/>
            <w:tabs>
              <w:tab w:pos="8827" w:val="right" w:leader="dot"/>
            </w:tabs>
          </w:pPr>
          <w:hyperlink w:history="true" w:anchor="_TOC_250014">
            <w:r>
              <w:rPr/>
              <w:t>CAPÍTULO III</w:t>
              <w:tab/>
              <w:t>39</w:t>
            </w:r>
          </w:hyperlink>
        </w:p>
        <w:p>
          <w:pPr>
            <w:pStyle w:val="TOC1"/>
            <w:tabs>
              <w:tab w:pos="8694" w:val="right" w:leader="dot"/>
            </w:tabs>
            <w:ind w:right="1208"/>
          </w:pPr>
          <w:hyperlink w:history="true" w:anchor="_TOC_250013">
            <w:r>
              <w:rPr/>
              <w:t>Objetivo general</w:t>
              <w:tab/>
              <w:t>39</w:t>
            </w:r>
          </w:hyperlink>
        </w:p>
        <w:p>
          <w:pPr>
            <w:pStyle w:val="TOC1"/>
            <w:tabs>
              <w:tab w:pos="8694" w:val="right" w:leader="dot"/>
            </w:tabs>
            <w:ind w:right="1208"/>
          </w:pPr>
          <w:hyperlink w:history="true" w:anchor="_TOC_250012">
            <w:r>
              <w:rPr/>
              <w:t>Objetivos particulares</w:t>
              <w:tab/>
              <w:t>39</w:t>
            </w:r>
          </w:hyperlink>
        </w:p>
        <w:p>
          <w:pPr>
            <w:pStyle w:val="TOC1"/>
            <w:tabs>
              <w:tab w:pos="8827" w:val="right" w:leader="dot"/>
            </w:tabs>
          </w:pPr>
          <w:hyperlink w:history="true" w:anchor="_TOC_250011">
            <w:r>
              <w:rPr/>
              <w:t>CAPÍTULO IV</w:t>
              <w:tab/>
              <w:t>40</w:t>
            </w:r>
          </w:hyperlink>
        </w:p>
        <w:p>
          <w:pPr>
            <w:pStyle w:val="TOC1"/>
            <w:tabs>
              <w:tab w:pos="8694" w:val="right" w:leader="dot"/>
            </w:tabs>
            <w:ind w:right="1208"/>
          </w:pPr>
          <w:hyperlink w:history="true" w:anchor="_TOC_250010">
            <w:r>
              <w:rPr/>
              <w:t>Material y método</w:t>
              <w:tab/>
              <w:t>40</w:t>
            </w:r>
          </w:hyperlink>
        </w:p>
        <w:p>
          <w:pPr>
            <w:pStyle w:val="TOC1"/>
            <w:tabs>
              <w:tab w:pos="8827" w:val="right" w:leader="dot"/>
            </w:tabs>
            <w:spacing w:before="137"/>
          </w:pPr>
          <w:hyperlink w:history="true" w:anchor="_TOC_250009">
            <w:r>
              <w:rPr/>
              <w:t>CAPÍTULO V</w:t>
              <w:tab/>
              <w:t>45</w:t>
            </w:r>
          </w:hyperlink>
        </w:p>
        <w:p>
          <w:pPr>
            <w:pStyle w:val="TOC1"/>
            <w:tabs>
              <w:tab w:pos="8694" w:val="right" w:leader="dot"/>
            </w:tabs>
            <w:ind w:right="1208"/>
          </w:pPr>
          <w:hyperlink w:history="true" w:anchor="_TOC_250008">
            <w:r>
              <w:rPr/>
              <w:t>Resultados</w:t>
              <w:tab/>
              <w:t>45</w:t>
            </w:r>
          </w:hyperlink>
        </w:p>
        <w:p>
          <w:pPr>
            <w:pStyle w:val="TOC1"/>
            <w:tabs>
              <w:tab w:pos="8827" w:val="right" w:leader="dot"/>
            </w:tabs>
          </w:pPr>
          <w:hyperlink w:history="true" w:anchor="_TOC_250007">
            <w:r>
              <w:rPr/>
              <w:t>CAPÍTULO VI</w:t>
              <w:tab/>
              <w:t>51</w:t>
            </w:r>
          </w:hyperlink>
        </w:p>
        <w:p>
          <w:pPr>
            <w:pStyle w:val="TOC1"/>
            <w:tabs>
              <w:tab w:pos="8694" w:val="right" w:leader="dot"/>
            </w:tabs>
            <w:ind w:right="1208"/>
          </w:pPr>
          <w:hyperlink w:history="true" w:anchor="_TOC_250006">
            <w:r>
              <w:rPr/>
              <w:t>Discusión</w:t>
              <w:tab/>
              <w:t>51</w:t>
            </w:r>
          </w:hyperlink>
        </w:p>
        <w:p>
          <w:pPr>
            <w:pStyle w:val="TOC1"/>
            <w:tabs>
              <w:tab w:pos="8827" w:val="right" w:leader="dot"/>
            </w:tabs>
          </w:pPr>
          <w:hyperlink w:history="true" w:anchor="_TOC_250005">
            <w:r>
              <w:rPr/>
              <w:t>CAPÍTULO VII</w:t>
              <w:tab/>
              <w:t>64</w:t>
            </w:r>
          </w:hyperlink>
        </w:p>
        <w:p>
          <w:pPr>
            <w:pStyle w:val="TOC1"/>
            <w:tabs>
              <w:tab w:pos="8694" w:val="right" w:leader="dot"/>
            </w:tabs>
            <w:ind w:right="1208"/>
          </w:pPr>
          <w:hyperlink w:history="true" w:anchor="_TOC_250004">
            <w:r>
              <w:rPr/>
              <w:t>Conclusiones</w:t>
              <w:tab/>
              <w:t>64</w:t>
            </w:r>
          </w:hyperlink>
        </w:p>
        <w:p>
          <w:pPr>
            <w:pStyle w:val="TOC1"/>
            <w:tabs>
              <w:tab w:pos="8827" w:val="right" w:leader="dot"/>
            </w:tabs>
          </w:pPr>
          <w:hyperlink w:history="true" w:anchor="_TOC_250003">
            <w:r>
              <w:rPr/>
              <w:t>CAPÍTULO VIII</w:t>
              <w:tab/>
              <w:t>65</w:t>
            </w:r>
          </w:hyperlink>
        </w:p>
        <w:p>
          <w:pPr>
            <w:pStyle w:val="TOC1"/>
            <w:tabs>
              <w:tab w:pos="8694" w:val="right" w:leader="dot"/>
            </w:tabs>
            <w:ind w:right="1208"/>
          </w:pPr>
          <w:hyperlink w:history="true" w:anchor="_TOC_250002">
            <w:r>
              <w:rPr/>
              <w:t>Referencias bibliográficas</w:t>
              <w:tab/>
              <w:t>65</w:t>
            </w:r>
          </w:hyperlink>
        </w:p>
        <w:p>
          <w:pPr>
            <w:pStyle w:val="TOC1"/>
            <w:tabs>
              <w:tab w:pos="8827" w:val="right" w:leader="dot"/>
            </w:tabs>
          </w:pPr>
          <w:hyperlink w:history="true" w:anchor="_TOC_250001">
            <w:r>
              <w:rPr/>
              <w:t>CAPITULO IX</w:t>
              <w:tab/>
              <w:t>78</w:t>
            </w:r>
          </w:hyperlink>
        </w:p>
        <w:p>
          <w:pPr>
            <w:pStyle w:val="TOC1"/>
            <w:tabs>
              <w:tab w:pos="8827" w:val="right" w:leader="dot"/>
            </w:tabs>
          </w:pPr>
          <w:r>
            <w:rPr/>
            <w:drawing>
              <wp:anchor distT="0" distB="0" distL="0" distR="0" allowOverlap="1" layoutInCell="1" locked="0" behindDoc="0" simplePos="0" relativeHeight="1144">
                <wp:simplePos x="0" y="0"/>
                <wp:positionH relativeFrom="page">
                  <wp:posOffset>7158393</wp:posOffset>
                </wp:positionH>
                <wp:positionV relativeFrom="paragraph">
                  <wp:posOffset>1016581</wp:posOffset>
                </wp:positionV>
                <wp:extent cx="434010" cy="192023"/>
                <wp:effectExtent l="0" t="0" r="0" b="0"/>
                <wp:wrapNone/>
                <wp:docPr id="5" name="image4.png" descr=""/>
                <wp:cNvGraphicFramePr>
                  <a:graphicFrameLocks noChangeAspect="1"/>
                </wp:cNvGraphicFramePr>
                <a:graphic>
                  <a:graphicData uri="http://schemas.openxmlformats.org/drawingml/2006/picture">
                    <pic:pic>
                      <pic:nvPicPr>
                        <pic:cNvPr id="6" name="image4.png"/>
                        <pic:cNvPicPr/>
                      </pic:nvPicPr>
                      <pic:blipFill>
                        <a:blip r:embed="rId9" cstate="print"/>
                        <a:stretch>
                          <a:fillRect/>
                        </a:stretch>
                      </pic:blipFill>
                      <pic:spPr>
                        <a:xfrm>
                          <a:off x="0" y="0"/>
                          <a:ext cx="434010" cy="192023"/>
                        </a:xfrm>
                        <a:prstGeom prst="rect">
                          <a:avLst/>
                        </a:prstGeom>
                      </pic:spPr>
                    </pic:pic>
                  </a:graphicData>
                </a:graphic>
              </wp:anchor>
            </w:drawing>
          </w:r>
          <w:hyperlink w:history="true" w:anchor="_TOC_250000">
            <w:r>
              <w:rPr/>
              <w:t>ANEXO: Artículo científico</w:t>
              <w:tab/>
              <w:t>78</w:t>
            </w:r>
          </w:hyperlink>
        </w:p>
      </w:sdtContent>
    </w:sdt>
    <w:p>
      <w:pPr>
        <w:pStyle w:val="BodyText"/>
        <w:rPr>
          <w:sz w:val="20"/>
        </w:rPr>
      </w:pPr>
    </w:p>
    <w:p>
      <w:pPr>
        <w:pStyle w:val="BodyText"/>
        <w:rPr>
          <w:sz w:val="20"/>
        </w:rPr>
      </w:pPr>
    </w:p>
    <w:p>
      <w:pPr>
        <w:pStyle w:val="BodyText"/>
        <w:rPr>
          <w:sz w:val="20"/>
        </w:rPr>
      </w:pPr>
    </w:p>
    <w:p>
      <w:pPr>
        <w:pStyle w:val="BodyText"/>
        <w:rPr>
          <w:sz w:val="20"/>
        </w:rPr>
      </w:pPr>
    </w:p>
    <w:p>
      <w:pPr>
        <w:pStyle w:val="BodyText"/>
        <w:spacing w:before="7"/>
        <w:rPr>
          <w:sz w:val="18"/>
        </w:rPr>
      </w:pPr>
      <w:r>
        <w:rPr/>
        <w:pict>
          <v:line style="position:absolute;mso-position-horizontal-relative:page;mso-position-vertical-relative:paragraph;z-index:1120;mso-wrap-distance-left:0;mso-wrap-distance-right:0" from="85.772987pt,12.900895pt" to="558.812997pt,12.900895pt" stroked="true" strokeweight=".48pt" strokecolor="#000000">
            <w10:wrap type="topAndBottom"/>
          </v:line>
        </w:pict>
      </w:r>
    </w:p>
    <w:p>
      <w:pPr>
        <w:pStyle w:val="BodyText"/>
        <w:ind w:left="144"/>
      </w:pPr>
      <w:r>
        <w:rPr/>
        <w:t>M.V.Z. Esp. Elsa Macarena García González. Toluca, México  Agosto 2014</w:t>
      </w:r>
    </w:p>
    <w:p>
      <w:pPr>
        <w:spacing w:after="0"/>
        <w:sectPr>
          <w:headerReference w:type="default" r:id="rId8"/>
          <w:pgSz w:w="12240" w:h="15840"/>
          <w:pgMar w:header="742" w:footer="0" w:top="980" w:bottom="280" w:left="1600" w:right="180"/>
        </w:sectPr>
      </w:pPr>
    </w:p>
    <w:p>
      <w:pPr>
        <w:pStyle w:val="BodyText"/>
        <w:rPr>
          <w:sz w:val="20"/>
        </w:rPr>
      </w:pPr>
    </w:p>
    <w:p>
      <w:pPr>
        <w:pStyle w:val="BodyText"/>
        <w:rPr>
          <w:sz w:val="20"/>
        </w:rPr>
      </w:pPr>
    </w:p>
    <w:p>
      <w:pPr>
        <w:pStyle w:val="BodyText"/>
        <w:rPr>
          <w:sz w:val="20"/>
        </w:rPr>
      </w:pPr>
    </w:p>
    <w:p>
      <w:pPr>
        <w:pStyle w:val="BodyText"/>
        <w:spacing w:before="9"/>
        <w:rPr>
          <w:sz w:val="15"/>
        </w:rPr>
      </w:pPr>
    </w:p>
    <w:p>
      <w:pPr>
        <w:pStyle w:val="Heading1"/>
        <w:jc w:val="left"/>
      </w:pPr>
      <w:bookmarkStart w:name="_TOC_250026" w:id="1"/>
      <w:bookmarkEnd w:id="1"/>
      <w:r>
        <w:rPr/>
        <w:t>Lista de abreviaturas</w:t>
      </w:r>
    </w:p>
    <w:p>
      <w:pPr>
        <w:pStyle w:val="BodyText"/>
        <w:rPr>
          <w:b/>
        </w:rPr>
      </w:pPr>
    </w:p>
    <w:p>
      <w:pPr>
        <w:pStyle w:val="BodyText"/>
        <w:rPr>
          <w:b/>
        </w:rPr>
      </w:pPr>
    </w:p>
    <w:p>
      <w:pPr>
        <w:pStyle w:val="BodyText"/>
        <w:tabs>
          <w:tab w:pos="4819" w:val="left" w:leader="none"/>
        </w:tabs>
        <w:spacing w:before="204"/>
        <w:ind w:left="2159"/>
      </w:pPr>
      <w:r>
        <w:rPr>
          <w:b/>
          <w:i/>
        </w:rPr>
        <w:t>CrS</w:t>
        <w:tab/>
      </w:r>
      <w:r>
        <w:rPr/>
        <w:t>Creatinina sérica</w:t>
      </w:r>
    </w:p>
    <w:p>
      <w:pPr>
        <w:pStyle w:val="BodyText"/>
      </w:pPr>
    </w:p>
    <w:p>
      <w:pPr>
        <w:pStyle w:val="BodyText"/>
      </w:pPr>
    </w:p>
    <w:p>
      <w:pPr>
        <w:pStyle w:val="BodyText"/>
        <w:tabs>
          <w:tab w:pos="4819" w:val="left" w:leader="none"/>
        </w:tabs>
        <w:spacing w:before="204"/>
        <w:ind w:left="2119"/>
      </w:pPr>
      <w:r>
        <w:rPr>
          <w:b/>
          <w:i/>
        </w:rPr>
        <w:t>ERC</w:t>
        <w:tab/>
      </w:r>
      <w:r>
        <w:rPr/>
        <w:t>Enfermedad renal crónica</w:t>
      </w:r>
    </w:p>
    <w:p>
      <w:pPr>
        <w:pStyle w:val="BodyText"/>
      </w:pPr>
    </w:p>
    <w:p>
      <w:pPr>
        <w:pStyle w:val="BodyText"/>
      </w:pPr>
    </w:p>
    <w:p>
      <w:pPr>
        <w:pStyle w:val="BodyText"/>
        <w:tabs>
          <w:tab w:pos="4819" w:val="left" w:leader="none"/>
        </w:tabs>
        <w:spacing w:before="204"/>
        <w:ind w:left="2139"/>
      </w:pPr>
      <w:r>
        <w:rPr>
          <w:b/>
          <w:i/>
        </w:rPr>
        <w:t>IRIS</w:t>
        <w:tab/>
      </w:r>
      <w:r>
        <w:rPr/>
        <w:t>International Renal Interest Society</w:t>
      </w:r>
    </w:p>
    <w:p>
      <w:pPr>
        <w:pStyle w:val="BodyText"/>
      </w:pPr>
    </w:p>
    <w:p>
      <w:pPr>
        <w:pStyle w:val="BodyText"/>
      </w:pPr>
    </w:p>
    <w:p>
      <w:pPr>
        <w:pStyle w:val="BodyText"/>
        <w:tabs>
          <w:tab w:pos="4819" w:val="left" w:leader="none"/>
        </w:tabs>
        <w:spacing w:before="204"/>
        <w:ind w:left="1979"/>
      </w:pPr>
      <w:r>
        <w:rPr>
          <w:b/>
          <w:i/>
        </w:rPr>
        <w:t>KDOQI</w:t>
        <w:tab/>
      </w:r>
      <w:r>
        <w:rPr/>
        <w:t>Kidney Disease Outcome Quality</w:t>
      </w:r>
      <w:r>
        <w:rPr>
          <w:spacing w:val="-10"/>
        </w:rPr>
        <w:t> </w:t>
      </w:r>
      <w:r>
        <w:rPr/>
        <w:t>Initiative</w:t>
      </w:r>
    </w:p>
    <w:p>
      <w:pPr>
        <w:pStyle w:val="BodyText"/>
      </w:pPr>
    </w:p>
    <w:p>
      <w:pPr>
        <w:pStyle w:val="BodyText"/>
      </w:pPr>
    </w:p>
    <w:p>
      <w:pPr>
        <w:pStyle w:val="BodyText"/>
        <w:tabs>
          <w:tab w:pos="4819" w:val="left" w:leader="none"/>
        </w:tabs>
        <w:spacing w:before="204"/>
        <w:ind w:left="2126"/>
      </w:pPr>
      <w:r>
        <w:rPr>
          <w:b/>
          <w:i/>
        </w:rPr>
        <w:t>LRA</w:t>
        <w:tab/>
      </w:r>
      <w:r>
        <w:rPr/>
        <w:t>Lesión renal</w:t>
      </w:r>
      <w:r>
        <w:rPr>
          <w:spacing w:val="-1"/>
        </w:rPr>
        <w:t> </w:t>
      </w:r>
      <w:r>
        <w:rPr/>
        <w:t>aguda</w:t>
      </w:r>
    </w:p>
    <w:p>
      <w:pPr>
        <w:pStyle w:val="BodyText"/>
      </w:pPr>
    </w:p>
    <w:p>
      <w:pPr>
        <w:pStyle w:val="BodyText"/>
      </w:pPr>
    </w:p>
    <w:p>
      <w:pPr>
        <w:pStyle w:val="BodyText"/>
        <w:tabs>
          <w:tab w:pos="4819" w:val="left" w:leader="none"/>
        </w:tabs>
        <w:spacing w:before="204"/>
        <w:ind w:left="1993"/>
      </w:pPr>
      <w:r>
        <w:rPr>
          <w:b/>
          <w:i/>
        </w:rPr>
        <w:t>PU:CU</w:t>
        <w:tab/>
      </w:r>
      <w:r>
        <w:rPr/>
        <w:t>Relación proteinuria/creatinuria</w:t>
      </w:r>
    </w:p>
    <w:p>
      <w:pPr>
        <w:pStyle w:val="BodyText"/>
      </w:pPr>
    </w:p>
    <w:p>
      <w:pPr>
        <w:pStyle w:val="BodyText"/>
      </w:pPr>
    </w:p>
    <w:p>
      <w:pPr>
        <w:pStyle w:val="BodyText"/>
        <w:tabs>
          <w:tab w:pos="4819" w:val="left" w:leader="none"/>
        </w:tabs>
        <w:spacing w:before="204"/>
        <w:ind w:left="2133"/>
      </w:pPr>
      <w:r>
        <w:rPr>
          <w:b/>
          <w:i/>
        </w:rPr>
        <w:t>TFG</w:t>
        <w:tab/>
      </w:r>
      <w:r>
        <w:rPr/>
        <w:t>Tasa de filtración glomerular</w:t>
      </w:r>
    </w:p>
    <w:p>
      <w:pPr>
        <w:spacing w:after="0"/>
        <w:sectPr>
          <w:footerReference w:type="default" r:id="rId10"/>
          <w:pgSz w:w="12240" w:h="15840"/>
          <w:pgMar w:footer="748" w:header="742" w:top="980" w:bottom="940" w:left="1620" w:right="180"/>
          <w:pgNumType w:start="1"/>
        </w:sectPr>
      </w:pPr>
    </w:p>
    <w:p>
      <w:pPr>
        <w:pStyle w:val="BodyText"/>
        <w:rPr>
          <w:sz w:val="20"/>
        </w:rPr>
      </w:pPr>
    </w:p>
    <w:p>
      <w:pPr>
        <w:pStyle w:val="BodyText"/>
        <w:rPr>
          <w:sz w:val="20"/>
        </w:rPr>
      </w:pPr>
    </w:p>
    <w:p>
      <w:pPr>
        <w:pStyle w:val="BodyText"/>
        <w:spacing w:before="11"/>
        <w:rPr>
          <w:sz w:val="20"/>
        </w:rPr>
      </w:pPr>
    </w:p>
    <w:p>
      <w:pPr>
        <w:pStyle w:val="Heading1"/>
        <w:spacing w:before="0"/>
        <w:jc w:val="left"/>
      </w:pPr>
      <w:bookmarkStart w:name="_TOC_250025" w:id="2"/>
      <w:bookmarkEnd w:id="2"/>
      <w:r>
        <w:rPr/>
        <w:t>Tablas</w:t>
      </w:r>
    </w:p>
    <w:p>
      <w:pPr>
        <w:pStyle w:val="BodyText"/>
        <w:rPr>
          <w:b/>
          <w:sz w:val="20"/>
        </w:rPr>
      </w:pPr>
    </w:p>
    <w:p>
      <w:pPr>
        <w:pStyle w:val="BodyText"/>
        <w:spacing w:before="3"/>
        <w:rPr>
          <w:b/>
          <w:sz w:val="29"/>
        </w:rPr>
      </w:pPr>
    </w:p>
    <w:p>
      <w:pPr>
        <w:pStyle w:val="BodyText"/>
        <w:spacing w:before="69"/>
        <w:ind w:right="1876"/>
        <w:jc w:val="right"/>
      </w:pPr>
      <w:r>
        <w:rPr/>
        <w:t>Página</w:t>
      </w:r>
    </w:p>
    <w:p>
      <w:pPr>
        <w:pStyle w:val="BodyText"/>
        <w:rPr>
          <w:sz w:val="20"/>
        </w:rPr>
      </w:pPr>
    </w:p>
    <w:p>
      <w:pPr>
        <w:pStyle w:val="BodyText"/>
        <w:spacing w:before="9"/>
        <w:rPr>
          <w:sz w:val="18"/>
        </w:rPr>
      </w:pPr>
    </w:p>
    <w:p>
      <w:pPr>
        <w:pStyle w:val="BodyText"/>
        <w:tabs>
          <w:tab w:pos="3254" w:val="left" w:leader="none"/>
          <w:tab w:pos="8320" w:val="right" w:leader="none"/>
        </w:tabs>
        <w:spacing w:before="70"/>
        <w:ind w:left="144"/>
      </w:pPr>
      <w:r>
        <w:rPr/>
        <w:t>Tabla</w:t>
      </w:r>
      <w:r>
        <w:rPr>
          <w:spacing w:val="-1"/>
        </w:rPr>
        <w:t> </w:t>
      </w:r>
      <w:r>
        <w:rPr/>
        <w:t>1</w:t>
        <w:tab/>
        <w:t>Sistema de clasificación</w:t>
      </w:r>
      <w:r>
        <w:rPr>
          <w:spacing w:val="65"/>
        </w:rPr>
        <w:t> </w:t>
      </w:r>
      <w:r>
        <w:rPr/>
        <w:t>de</w:t>
      </w:r>
      <w:r>
        <w:rPr>
          <w:spacing w:val="22"/>
        </w:rPr>
        <w:t> </w:t>
      </w:r>
      <w:r>
        <w:rPr/>
        <w:t>los</w:t>
        <w:tab/>
        <w:t>20</w:t>
      </w:r>
    </w:p>
    <w:p>
      <w:pPr>
        <w:pStyle w:val="BodyText"/>
        <w:spacing w:line="480" w:lineRule="auto" w:before="276"/>
        <w:ind w:left="3254" w:right="3824"/>
      </w:pPr>
      <w:r>
        <w:rPr/>
        <w:t>estadios de la ERC según IRIS 2009.</w:t>
      </w:r>
    </w:p>
    <w:p>
      <w:pPr>
        <w:pStyle w:val="BodyText"/>
        <w:tabs>
          <w:tab w:pos="3254" w:val="left" w:leader="none"/>
          <w:tab w:pos="5287" w:val="left" w:leader="none"/>
          <w:tab w:pos="5839" w:val="left" w:leader="none"/>
          <w:tab w:pos="8320" w:val="right" w:leader="none"/>
        </w:tabs>
        <w:spacing w:before="920"/>
        <w:ind w:left="144"/>
      </w:pPr>
      <w:r>
        <w:rPr/>
        <w:t>Tabla</w:t>
      </w:r>
      <w:r>
        <w:rPr>
          <w:spacing w:val="-1"/>
        </w:rPr>
        <w:t> </w:t>
      </w:r>
      <w:r>
        <w:rPr/>
        <w:t>2</w:t>
        <w:tab/>
        <w:t>Sub-clasificación</w:t>
        <w:tab/>
        <w:t>del</w:t>
        <w:tab/>
        <w:t>estadio</w:t>
        <w:tab/>
        <w:t>21</w:t>
      </w:r>
    </w:p>
    <w:p>
      <w:pPr>
        <w:pStyle w:val="BodyText"/>
        <w:spacing w:line="480" w:lineRule="auto" w:before="276"/>
        <w:ind w:left="3254" w:right="3824"/>
        <w:jc w:val="both"/>
      </w:pPr>
      <w:r>
        <w:rPr/>
        <w:t>de la enfermedad con respecto a la proteinuria en el paciente con ERC según IRIS 2009.</w:t>
      </w:r>
    </w:p>
    <w:p>
      <w:pPr>
        <w:pStyle w:val="BodyText"/>
        <w:tabs>
          <w:tab w:pos="3254" w:val="left" w:leader="none"/>
          <w:tab w:pos="5287" w:val="left" w:leader="none"/>
          <w:tab w:pos="5839" w:val="left" w:leader="none"/>
          <w:tab w:pos="8320" w:val="right" w:leader="none"/>
        </w:tabs>
        <w:spacing w:before="920"/>
        <w:ind w:left="144"/>
      </w:pPr>
      <w:r>
        <w:rPr/>
        <w:t>Tabla</w:t>
      </w:r>
      <w:r>
        <w:rPr>
          <w:spacing w:val="-1"/>
        </w:rPr>
        <w:t> </w:t>
      </w:r>
      <w:r>
        <w:rPr/>
        <w:t>3</w:t>
        <w:tab/>
        <w:t>Sub-clasificación</w:t>
        <w:tab/>
        <w:t>del</w:t>
        <w:tab/>
        <w:t>estadio</w:t>
        <w:tab/>
        <w:t>24</w:t>
      </w:r>
    </w:p>
    <w:p>
      <w:pPr>
        <w:pStyle w:val="BodyText"/>
        <w:spacing w:line="480" w:lineRule="auto" w:before="276"/>
        <w:ind w:left="3254" w:right="3824"/>
        <w:jc w:val="both"/>
      </w:pPr>
      <w:r>
        <w:rPr/>
        <w:t>de la enfermedad respecto a la hipertensión en el paciente con ERC según Iris 2009.</w:t>
      </w:r>
    </w:p>
    <w:p>
      <w:pPr>
        <w:pStyle w:val="BodyText"/>
        <w:tabs>
          <w:tab w:pos="3254" w:val="left" w:leader="none"/>
          <w:tab w:pos="8320" w:val="right" w:leader="none"/>
        </w:tabs>
        <w:spacing w:before="920"/>
        <w:ind w:left="144"/>
      </w:pPr>
      <w:r>
        <w:rPr/>
        <w:t>Tabla</w:t>
      </w:r>
      <w:r>
        <w:rPr>
          <w:spacing w:val="-1"/>
        </w:rPr>
        <w:t> </w:t>
      </w:r>
      <w:r>
        <w:rPr/>
        <w:t>4</w:t>
        <w:tab/>
        <w:t>Distribución   de </w:t>
      </w:r>
      <w:r>
        <w:rPr>
          <w:spacing w:val="28"/>
        </w:rPr>
        <w:t> </w:t>
      </w:r>
      <w:r>
        <w:rPr/>
        <w:t>pacientes </w:t>
      </w:r>
      <w:r>
        <w:rPr>
          <w:spacing w:val="47"/>
        </w:rPr>
        <w:t> </w:t>
      </w:r>
      <w:r>
        <w:rPr/>
        <w:t>de</w:t>
        <w:tab/>
        <w:t>47</w:t>
      </w:r>
    </w:p>
    <w:p>
      <w:pPr>
        <w:pStyle w:val="BodyText"/>
        <w:spacing w:line="480" w:lineRule="auto" w:before="276"/>
        <w:ind w:left="3254" w:right="3824"/>
      </w:pPr>
      <w:r>
        <w:rPr/>
        <w:t>acuerdo a la clasificación de Cortadellas 2009.</w:t>
      </w:r>
    </w:p>
    <w:p>
      <w:pPr>
        <w:spacing w:after="0" w:line="480" w:lineRule="auto"/>
        <w:sectPr>
          <w:pgSz w:w="12240" w:h="15840"/>
          <w:pgMar w:header="742" w:footer="748" w:top="980" w:bottom="940" w:left="1620" w:right="180"/>
        </w:sectPr>
      </w:pPr>
    </w:p>
    <w:p>
      <w:pPr>
        <w:pStyle w:val="BodyText"/>
      </w:pPr>
    </w:p>
    <w:p>
      <w:pPr>
        <w:pStyle w:val="BodyText"/>
      </w:pPr>
    </w:p>
    <w:p>
      <w:pPr>
        <w:pStyle w:val="BodyText"/>
      </w:pPr>
    </w:p>
    <w:p>
      <w:pPr>
        <w:pStyle w:val="BodyText"/>
      </w:pPr>
    </w:p>
    <w:p>
      <w:pPr>
        <w:pStyle w:val="BodyText"/>
        <w:spacing w:before="9"/>
        <w:rPr>
          <w:sz w:val="33"/>
        </w:rPr>
      </w:pPr>
    </w:p>
    <w:p>
      <w:pPr>
        <w:pStyle w:val="BodyText"/>
        <w:tabs>
          <w:tab w:pos="3254" w:val="left" w:leader="none"/>
          <w:tab w:pos="8053" w:val="left" w:leader="none"/>
        </w:tabs>
        <w:spacing w:before="1"/>
        <w:ind w:left="144"/>
      </w:pPr>
      <w:r>
        <w:rPr/>
        <w:t>Tabla</w:t>
      </w:r>
      <w:r>
        <w:rPr>
          <w:spacing w:val="-1"/>
        </w:rPr>
        <w:t> </w:t>
      </w:r>
      <w:r>
        <w:rPr/>
        <w:t>5</w:t>
        <w:tab/>
        <w:t>Distribución  de  los</w:t>
      </w:r>
      <w:r>
        <w:rPr>
          <w:spacing w:val="-27"/>
        </w:rPr>
        <w:t> </w:t>
      </w:r>
      <w:r>
        <w:rPr/>
        <w:t>factores</w:t>
      </w:r>
      <w:r>
        <w:rPr>
          <w:spacing w:val="35"/>
        </w:rPr>
        <w:t> </w:t>
      </w:r>
      <w:r>
        <w:rPr/>
        <w:t>de</w:t>
        <w:tab/>
        <w:t>48</w:t>
      </w:r>
    </w:p>
    <w:p>
      <w:pPr>
        <w:pStyle w:val="BodyText"/>
      </w:pPr>
    </w:p>
    <w:p>
      <w:pPr>
        <w:pStyle w:val="BodyText"/>
        <w:tabs>
          <w:tab w:pos="4316" w:val="left" w:leader="none"/>
          <w:tab w:pos="4991" w:val="left" w:leader="none"/>
          <w:tab w:pos="5586" w:val="left" w:leader="none"/>
        </w:tabs>
        <w:spacing w:line="480" w:lineRule="auto"/>
        <w:ind w:left="3254" w:right="3824"/>
      </w:pPr>
      <w:r>
        <w:rPr/>
        <w:t>riesgo</w:t>
        <w:tab/>
        <w:t>en</w:t>
        <w:tab/>
        <w:t>la</w:t>
        <w:tab/>
        <w:t>población estudiada.</w:t>
      </w:r>
    </w:p>
    <w:p>
      <w:pPr>
        <w:pStyle w:val="BodyText"/>
        <w:rPr>
          <w:sz w:val="20"/>
        </w:rPr>
      </w:pPr>
    </w:p>
    <w:p>
      <w:pPr>
        <w:pStyle w:val="BodyText"/>
        <w:rPr>
          <w:sz w:val="20"/>
        </w:rPr>
      </w:pPr>
    </w:p>
    <w:p>
      <w:pPr>
        <w:pStyle w:val="BodyText"/>
        <w:rPr>
          <w:sz w:val="20"/>
        </w:rPr>
      </w:pPr>
    </w:p>
    <w:p>
      <w:pPr>
        <w:pStyle w:val="BodyText"/>
        <w:tabs>
          <w:tab w:pos="3254" w:val="left" w:leader="none"/>
          <w:tab w:pos="8320" w:val="right" w:leader="none"/>
        </w:tabs>
        <w:spacing w:before="230"/>
        <w:ind w:left="144"/>
      </w:pPr>
      <w:r>
        <w:rPr/>
        <w:t>Tabla</w:t>
      </w:r>
      <w:r>
        <w:rPr>
          <w:spacing w:val="-1"/>
        </w:rPr>
        <w:t> </w:t>
      </w:r>
      <w:r>
        <w:rPr/>
        <w:t>6</w:t>
        <w:tab/>
        <w:t>Regresión   logística </w:t>
      </w:r>
      <w:r>
        <w:rPr>
          <w:spacing w:val="64"/>
        </w:rPr>
        <w:t> </w:t>
      </w:r>
      <w:r>
        <w:rPr/>
        <w:t>para </w:t>
      </w:r>
      <w:r>
        <w:rPr>
          <w:spacing w:val="65"/>
        </w:rPr>
        <w:t> </w:t>
      </w:r>
      <w:r>
        <w:rPr/>
        <w:t>los</w:t>
        <w:tab/>
        <w:t>50</w:t>
      </w:r>
    </w:p>
    <w:p>
      <w:pPr>
        <w:pStyle w:val="BodyText"/>
        <w:spacing w:before="276"/>
        <w:ind w:left="3254"/>
      </w:pPr>
      <w:r>
        <w:rPr/>
        <w:t>factores de riesgo relacionados</w:t>
      </w:r>
    </w:p>
    <w:p>
      <w:pPr>
        <w:spacing w:after="0"/>
        <w:sectPr>
          <w:pgSz w:w="12240" w:h="15840"/>
          <w:pgMar w:header="742" w:footer="748" w:top="980" w:bottom="940" w:left="1620" w:right="180"/>
        </w:sectPr>
      </w:pPr>
    </w:p>
    <w:p>
      <w:pPr>
        <w:pStyle w:val="BodyText"/>
      </w:pPr>
    </w:p>
    <w:p>
      <w:pPr>
        <w:pStyle w:val="BodyText"/>
      </w:pPr>
    </w:p>
    <w:p>
      <w:pPr>
        <w:pStyle w:val="Heading1"/>
        <w:spacing w:before="149"/>
      </w:pPr>
      <w:bookmarkStart w:name="_TOC_250024" w:id="3"/>
      <w:bookmarkEnd w:id="3"/>
      <w:r>
        <w:rPr/>
        <w:t>Resumen</w:t>
      </w:r>
    </w:p>
    <w:p>
      <w:pPr>
        <w:pStyle w:val="BodyText"/>
        <w:rPr>
          <w:b/>
        </w:rPr>
      </w:pPr>
    </w:p>
    <w:p>
      <w:pPr>
        <w:pStyle w:val="BodyText"/>
        <w:rPr>
          <w:b/>
        </w:rPr>
      </w:pPr>
    </w:p>
    <w:p>
      <w:pPr>
        <w:pStyle w:val="BodyText"/>
        <w:spacing w:line="480" w:lineRule="auto" w:before="204"/>
        <w:ind w:left="144" w:right="888"/>
        <w:jc w:val="both"/>
      </w:pPr>
      <w:r>
        <w:rPr/>
        <w:t>La enfermedad renal crónica (ERC) es la patología renal más frecuentemente diagnosticada en perros y gatos; esta se define como cualquier anormalidad estructural o funcional presente en uno o ambos riñones por al menos tres meses.</w:t>
      </w:r>
    </w:p>
    <w:p>
      <w:pPr>
        <w:pStyle w:val="BodyText"/>
      </w:pPr>
    </w:p>
    <w:p>
      <w:pPr>
        <w:pStyle w:val="BodyText"/>
        <w:spacing w:line="480" w:lineRule="auto" w:before="212"/>
        <w:ind w:left="144" w:right="888"/>
        <w:jc w:val="both"/>
      </w:pPr>
      <w:r>
        <w:rPr/>
        <w:t>Este estudio fue diseñado para determinar la frecuencia de ERC en perros atendidos en el Hospital Veterinario de Pequeñas Especies de la UAEMex, así como para determinar su distribución en los diferentes estadios de enfermedad y los factores de riesgo asociados en el periodo de enero de 2010 a junio de 2012.</w:t>
      </w:r>
    </w:p>
    <w:p>
      <w:pPr>
        <w:pStyle w:val="BodyText"/>
      </w:pPr>
    </w:p>
    <w:p>
      <w:pPr>
        <w:pStyle w:val="BodyText"/>
        <w:spacing w:line="475" w:lineRule="auto" w:before="212"/>
        <w:ind w:left="144" w:right="888"/>
        <w:jc w:val="both"/>
      </w:pPr>
      <w:r>
        <w:rPr/>
        <w:t>Se utilizaron 288 perros en los cuales se evaluó la historia clínica, se realizó examen físico general, medición de la presión arterial por oscilometría y determinación los valores de creatinina sérica y la relación de proteinuria-creatinuria. Posteriormente se clasificaron de acuerdo a su estadio de enfermedad renal. Se establecieron los factores de riesgo a los que estuvieron expuestos y por medio de </w:t>
      </w:r>
      <w:r>
        <w:rPr>
          <w:rFonts w:ascii="Times New Roman" w:hAnsi="Times New Roman"/>
          <w:i/>
        </w:rPr>
        <w:t>X1</w:t>
      </w:r>
      <w:r>
        <w:rPr>
          <w:rFonts w:ascii="Times New Roman" w:hAnsi="Times New Roman"/>
          <w:i/>
          <w:position w:val="11"/>
          <w:sz w:val="16"/>
        </w:rPr>
        <w:t>2 </w:t>
      </w:r>
      <w:r>
        <w:rPr/>
        <w:t>y regresión logística se determinaron cuales pueden considerarse como factores de riesgo para la enfermedad renal.</w:t>
      </w:r>
    </w:p>
    <w:p>
      <w:pPr>
        <w:pStyle w:val="BodyText"/>
      </w:pPr>
    </w:p>
    <w:p>
      <w:pPr>
        <w:pStyle w:val="BodyText"/>
        <w:spacing w:before="10"/>
        <w:rPr>
          <w:sz w:val="18"/>
        </w:rPr>
      </w:pPr>
    </w:p>
    <w:p>
      <w:pPr>
        <w:pStyle w:val="BodyText"/>
        <w:spacing w:line="480" w:lineRule="auto"/>
        <w:ind w:left="144" w:right="888"/>
        <w:jc w:val="both"/>
      </w:pPr>
      <w:r>
        <w:rPr/>
        <w:t>Del total de los pacientes evaluados, el 84.72% tuvieron 7 años o más, 14.23% entre 1- 5 años y tres menores de 1 año. Las razas presentes con mayor frecuencia fueron poodle, labrador y schnauzer.  El diagnóstico de ERC se estableció en 139 pacientes,  La mayoría se encontraba en estadios tempranos de la</w:t>
      </w:r>
      <w:r>
        <w:rPr>
          <w:spacing w:val="-2"/>
        </w:rPr>
        <w:t> </w:t>
      </w:r>
      <w:r>
        <w:rPr/>
        <w:t>enfermedad.</w:t>
      </w:r>
    </w:p>
    <w:p>
      <w:pPr>
        <w:spacing w:after="0" w:line="480" w:lineRule="auto"/>
        <w:jc w:val="both"/>
        <w:sectPr>
          <w:pgSz w:w="12240" w:h="15840"/>
          <w:pgMar w:header="742" w:footer="748" w:top="980" w:bottom="940" w:left="1620" w:right="180"/>
        </w:sectPr>
      </w:pPr>
    </w:p>
    <w:p>
      <w:pPr>
        <w:pStyle w:val="BodyText"/>
        <w:rPr>
          <w:sz w:val="20"/>
        </w:rPr>
      </w:pPr>
    </w:p>
    <w:p>
      <w:pPr>
        <w:pStyle w:val="BodyText"/>
        <w:rPr>
          <w:sz w:val="20"/>
        </w:rPr>
      </w:pPr>
    </w:p>
    <w:p>
      <w:pPr>
        <w:pStyle w:val="BodyText"/>
        <w:spacing w:before="11"/>
        <w:rPr>
          <w:sz w:val="20"/>
        </w:rPr>
      </w:pPr>
    </w:p>
    <w:p>
      <w:pPr>
        <w:pStyle w:val="BodyText"/>
        <w:spacing w:line="480" w:lineRule="auto"/>
        <w:ind w:left="144" w:right="888"/>
        <w:jc w:val="both"/>
      </w:pPr>
      <w:r>
        <w:rPr/>
        <w:t>De igual manera, la mayoría se encontró con rangos de presión arterial normal o con riesgo de daño a órganos diana mínimo o bajo. Los factores de riesgo identificados fueron las cardiopatías, endocrinopatías y enfermedades hepáticas.</w:t>
      </w:r>
    </w:p>
    <w:p>
      <w:pPr>
        <w:pStyle w:val="BodyText"/>
      </w:pPr>
    </w:p>
    <w:p>
      <w:pPr>
        <w:pStyle w:val="BodyText"/>
        <w:spacing w:line="480" w:lineRule="auto" w:before="212"/>
        <w:ind w:left="144" w:right="888"/>
        <w:jc w:val="both"/>
      </w:pPr>
      <w:r>
        <w:rPr/>
        <w:t>De acuerdo a los resultados observados podemos concluir que con la utilización de el protocolo diagnóstico propuesto por la IRIS se identificó una frecuencia de 48.2% de ERC en este centro hospitalario, además de permitir la identificación en estadios tempranos.</w:t>
      </w:r>
    </w:p>
    <w:p>
      <w:pPr>
        <w:spacing w:after="0" w:line="480" w:lineRule="auto"/>
        <w:jc w:val="both"/>
        <w:sectPr>
          <w:pgSz w:w="12240" w:h="15840"/>
          <w:pgMar w:header="742" w:footer="748" w:top="980" w:bottom="940" w:left="1620" w:right="180"/>
        </w:sectPr>
      </w:pPr>
    </w:p>
    <w:p>
      <w:pPr>
        <w:pStyle w:val="BodyText"/>
        <w:rPr>
          <w:sz w:val="20"/>
        </w:rPr>
      </w:pPr>
    </w:p>
    <w:p>
      <w:pPr>
        <w:pStyle w:val="BodyText"/>
        <w:rPr>
          <w:sz w:val="20"/>
        </w:rPr>
      </w:pPr>
    </w:p>
    <w:p>
      <w:pPr>
        <w:pStyle w:val="BodyText"/>
        <w:spacing w:before="11"/>
        <w:rPr>
          <w:sz w:val="20"/>
        </w:rPr>
      </w:pPr>
    </w:p>
    <w:p>
      <w:pPr>
        <w:pStyle w:val="Heading1"/>
        <w:spacing w:before="0"/>
      </w:pPr>
      <w:bookmarkStart w:name="_TOC_250023" w:id="4"/>
      <w:bookmarkEnd w:id="4"/>
      <w:r>
        <w:rPr/>
        <w:t>Summary</w:t>
      </w:r>
    </w:p>
    <w:p>
      <w:pPr>
        <w:pStyle w:val="BodyText"/>
        <w:rPr>
          <w:b/>
        </w:rPr>
      </w:pPr>
    </w:p>
    <w:p>
      <w:pPr>
        <w:pStyle w:val="BodyText"/>
        <w:rPr>
          <w:b/>
        </w:rPr>
      </w:pPr>
    </w:p>
    <w:p>
      <w:pPr>
        <w:pStyle w:val="BodyText"/>
        <w:spacing w:line="480" w:lineRule="auto" w:before="204"/>
        <w:ind w:left="144" w:right="888"/>
        <w:jc w:val="both"/>
      </w:pPr>
      <w:r>
        <w:rPr/>
        <w:t>Chronic kidney disease (CKD) is the renal pathology more often diagnosed in dogs and cats. This is defined as any structural or functional abnormalities present in one or both kidneys for at least three months.</w:t>
      </w:r>
    </w:p>
    <w:p>
      <w:pPr>
        <w:pStyle w:val="BodyText"/>
      </w:pPr>
    </w:p>
    <w:p>
      <w:pPr>
        <w:pStyle w:val="BodyText"/>
        <w:spacing w:line="480" w:lineRule="auto" w:before="212"/>
        <w:ind w:left="144" w:right="888"/>
        <w:jc w:val="both"/>
      </w:pPr>
      <w:r>
        <w:rPr/>
        <w:t>This study was designed to determine the frequency of ERC in dogs seen at the Veterinarian Hospital of SmallSspecies of the UAEMex, as well as to determine their distribution in the different stages of disease and risk factors associated in the period from January 2010 to June 2012.</w:t>
      </w:r>
    </w:p>
    <w:p>
      <w:pPr>
        <w:pStyle w:val="BodyText"/>
      </w:pPr>
    </w:p>
    <w:p>
      <w:pPr>
        <w:pStyle w:val="BodyText"/>
        <w:spacing w:line="480" w:lineRule="auto" w:before="212"/>
        <w:ind w:left="144" w:right="888"/>
        <w:jc w:val="both"/>
      </w:pPr>
      <w:r>
        <w:rPr/>
        <w:t>288 dogs were used in which we evaluated the clinical history, and made general physical examination, measurement of blood pressure by oscillometry and determination the values of serum creatinine and proteinuria-creatinuria relationship. They were then classified according to their stage of kidney disease an established the risk factors to which they were exposed and through 12 X, and logistic regression were determined which can be considered risk factors for kidney disease.</w:t>
      </w:r>
    </w:p>
    <w:p>
      <w:pPr>
        <w:pStyle w:val="BodyText"/>
      </w:pPr>
    </w:p>
    <w:p>
      <w:pPr>
        <w:pStyle w:val="BodyText"/>
        <w:spacing w:line="480" w:lineRule="auto" w:before="212"/>
        <w:ind w:left="144" w:right="888"/>
        <w:jc w:val="both"/>
      </w:pPr>
      <w:r>
        <w:rPr/>
        <w:t>Of the total number of patients evaluated, the 84.72% had 7 years or more, 14.23% between 1-5 years and three less than 1 year. The breeds most frequently presented were labrador, poodle and schnauzer. The diagnosis of ERC was established in 139 patients, most was in the early stages of the disease.</w:t>
      </w:r>
    </w:p>
    <w:p>
      <w:pPr>
        <w:spacing w:after="0" w:line="480" w:lineRule="auto"/>
        <w:jc w:val="both"/>
        <w:sectPr>
          <w:pgSz w:w="12240" w:h="15840"/>
          <w:pgMar w:header="742" w:footer="748" w:top="980" w:bottom="940" w:left="1620" w:right="180"/>
        </w:sectPr>
      </w:pPr>
    </w:p>
    <w:p>
      <w:pPr>
        <w:pStyle w:val="BodyText"/>
        <w:rPr>
          <w:sz w:val="20"/>
        </w:rPr>
      </w:pPr>
    </w:p>
    <w:p>
      <w:pPr>
        <w:pStyle w:val="BodyText"/>
        <w:rPr>
          <w:sz w:val="20"/>
        </w:rPr>
      </w:pPr>
    </w:p>
    <w:p>
      <w:pPr>
        <w:pStyle w:val="BodyText"/>
        <w:spacing w:before="11"/>
        <w:rPr>
          <w:sz w:val="20"/>
        </w:rPr>
      </w:pPr>
    </w:p>
    <w:p>
      <w:pPr>
        <w:pStyle w:val="BodyText"/>
        <w:spacing w:line="480" w:lineRule="auto"/>
        <w:ind w:left="144" w:right="888"/>
        <w:jc w:val="both"/>
      </w:pPr>
      <w:r>
        <w:rPr/>
        <w:t>Similarly, most met with normal blood pressure ranges or risk of damage to target  organs minimal or low. The risk factors identified were heart disease, endocrinopathies and liver</w:t>
      </w:r>
      <w:r>
        <w:rPr>
          <w:spacing w:val="-1"/>
        </w:rPr>
        <w:t> </w:t>
      </w:r>
      <w:r>
        <w:rPr/>
        <w:t>diseases.</w:t>
      </w:r>
    </w:p>
    <w:p>
      <w:pPr>
        <w:pStyle w:val="BodyText"/>
      </w:pPr>
    </w:p>
    <w:p>
      <w:pPr>
        <w:pStyle w:val="BodyText"/>
        <w:spacing w:line="480" w:lineRule="auto" w:before="212"/>
        <w:ind w:left="144" w:right="888"/>
        <w:jc w:val="both"/>
      </w:pPr>
      <w:r>
        <w:rPr/>
        <w:t>According to the observed results we can conclude that the use of the diagnostic protocol proposed by the IRIS identified a frequency of 48.2% of ERC at this hospital, as well as allowing the identification in the early</w:t>
      </w:r>
      <w:r>
        <w:rPr>
          <w:spacing w:val="-1"/>
        </w:rPr>
        <w:t> </w:t>
      </w:r>
      <w:r>
        <w:rPr/>
        <w:t>stages.</w:t>
      </w:r>
    </w:p>
    <w:p>
      <w:pPr>
        <w:spacing w:after="0" w:line="480" w:lineRule="auto"/>
        <w:jc w:val="both"/>
        <w:sectPr>
          <w:pgSz w:w="12240" w:h="15840"/>
          <w:pgMar w:header="742" w:footer="748" w:top="980" w:bottom="940" w:left="1620" w:right="180"/>
        </w:sectPr>
      </w:pPr>
    </w:p>
    <w:p>
      <w:pPr>
        <w:pStyle w:val="BodyText"/>
        <w:rPr>
          <w:sz w:val="20"/>
        </w:rPr>
      </w:pPr>
    </w:p>
    <w:p>
      <w:pPr>
        <w:pStyle w:val="BodyText"/>
        <w:rPr>
          <w:sz w:val="20"/>
        </w:rPr>
      </w:pPr>
    </w:p>
    <w:p>
      <w:pPr>
        <w:pStyle w:val="BodyText"/>
        <w:spacing w:before="11"/>
        <w:rPr>
          <w:sz w:val="20"/>
        </w:rPr>
      </w:pPr>
    </w:p>
    <w:p>
      <w:pPr>
        <w:pStyle w:val="Heading1"/>
        <w:spacing w:before="0"/>
      </w:pPr>
      <w:bookmarkStart w:name="_TOC_250022" w:id="5"/>
      <w:bookmarkEnd w:id="5"/>
      <w:r>
        <w:rPr/>
        <w:t>CAPÍTULO I</w:t>
      </w:r>
    </w:p>
    <w:p>
      <w:pPr>
        <w:pStyle w:val="BodyText"/>
        <w:rPr>
          <w:b/>
        </w:rPr>
      </w:pPr>
    </w:p>
    <w:p>
      <w:pPr>
        <w:pStyle w:val="BodyText"/>
        <w:rPr>
          <w:b/>
        </w:rPr>
      </w:pPr>
    </w:p>
    <w:p>
      <w:pPr>
        <w:pStyle w:val="BodyText"/>
        <w:rPr>
          <w:b/>
        </w:rPr>
      </w:pPr>
    </w:p>
    <w:p>
      <w:pPr>
        <w:pStyle w:val="Heading1"/>
        <w:spacing w:before="168"/>
      </w:pPr>
      <w:bookmarkStart w:name="_TOC_250021" w:id="6"/>
      <w:bookmarkEnd w:id="6"/>
      <w:r>
        <w:rPr/>
        <w:t>Introducción</w:t>
      </w:r>
    </w:p>
    <w:p>
      <w:pPr>
        <w:pStyle w:val="BodyText"/>
        <w:rPr>
          <w:b/>
        </w:rPr>
      </w:pPr>
    </w:p>
    <w:p>
      <w:pPr>
        <w:pStyle w:val="BodyText"/>
        <w:rPr>
          <w:b/>
        </w:rPr>
      </w:pPr>
    </w:p>
    <w:p>
      <w:pPr>
        <w:pStyle w:val="BodyText"/>
        <w:rPr>
          <w:b/>
        </w:rPr>
      </w:pPr>
    </w:p>
    <w:p>
      <w:pPr>
        <w:pStyle w:val="BodyText"/>
        <w:spacing w:line="480" w:lineRule="auto" w:before="168"/>
        <w:ind w:left="144" w:right="888"/>
        <w:jc w:val="both"/>
      </w:pPr>
      <w:r>
        <w:rPr/>
        <w:t>La enfermedad renal crónica (ERC) se define como la disminución de la función renal expresada por una tasa de filtración glomerular (TFG) baja, o como cualquier anormalidad estructural o funcional presente en uno o ambos riñones por al menos tres meses; es la enfermedad renal más frecuente en perros y gatos (Polzin, 2011a; 2011b). Las manifestaciones clínicas en el paciente con ERC son el resultado de la alteración homeostática orgánica debido a la reducción de la función renal por la pérdida irreversible y progresiva de las nefronas funcionales (Polzin, 2010; McGrotty,2008).</w:t>
      </w:r>
    </w:p>
    <w:p>
      <w:pPr>
        <w:pStyle w:val="BodyText"/>
      </w:pPr>
    </w:p>
    <w:p>
      <w:pPr>
        <w:pStyle w:val="BodyText"/>
      </w:pPr>
    </w:p>
    <w:p>
      <w:pPr>
        <w:pStyle w:val="Heading1"/>
        <w:spacing w:before="176"/>
      </w:pPr>
      <w:bookmarkStart w:name="_TOC_250020" w:id="7"/>
      <w:bookmarkEnd w:id="7"/>
      <w:r>
        <w:rPr/>
        <w:t>Epidemiología</w:t>
      </w:r>
    </w:p>
    <w:p>
      <w:pPr>
        <w:pStyle w:val="BodyText"/>
        <w:rPr>
          <w:b/>
        </w:rPr>
      </w:pPr>
    </w:p>
    <w:p>
      <w:pPr>
        <w:pStyle w:val="BodyText"/>
        <w:rPr>
          <w:b/>
        </w:rPr>
      </w:pPr>
    </w:p>
    <w:p>
      <w:pPr>
        <w:pStyle w:val="BodyText"/>
        <w:rPr>
          <w:b/>
        </w:rPr>
      </w:pPr>
    </w:p>
    <w:p>
      <w:pPr>
        <w:pStyle w:val="BodyText"/>
        <w:spacing w:line="480" w:lineRule="auto" w:before="168"/>
        <w:ind w:left="144" w:right="888"/>
        <w:jc w:val="both"/>
      </w:pPr>
      <w:r>
        <w:rPr/>
        <w:t>La ERC es un problema frecuente que causa una considerable morbilidad y mortalidad (Less, 2004). En diferentes estudios desarrollados en los Estados Unidos de América y Europa se ha reportado que la ERC se presenta en el 0.5 al 7.8% de los perros (Bronson, 1982; Sosnar y cols., 2003) y del 1 al 20% de los gatos (Lund y cols., 1999; Watson, 2001; Brown y cols., 2007). Siendo considerada una causa importante de mortalidad en animales de edad avanzada; sin embargo se puede encontrar con una frecuencia variable en los perros y gatos de todas las edades.</w:t>
      </w:r>
    </w:p>
    <w:p>
      <w:pPr>
        <w:spacing w:after="0" w:line="480" w:lineRule="auto"/>
        <w:jc w:val="both"/>
        <w:sectPr>
          <w:pgSz w:w="12240" w:h="15840"/>
          <w:pgMar w:header="742" w:footer="748" w:top="980" w:bottom="940" w:left="1620" w:right="18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7"/>
        <w:rPr>
          <w:sz w:val="19"/>
        </w:rPr>
      </w:pPr>
    </w:p>
    <w:p>
      <w:pPr>
        <w:pStyle w:val="BodyText"/>
        <w:spacing w:line="480" w:lineRule="auto"/>
        <w:ind w:left="144" w:right="888"/>
        <w:jc w:val="both"/>
      </w:pPr>
      <w:r>
        <w:rPr/>
        <w:t>En un estudio sobre distribución por edades de los perros con ERC, el 18% de los casos eran menores de 4 años, 17% entre 4 y 7 años, 20% entre 7 y 10 años y el 45% más de 10 años de edad (Polzin y cols., 2010; Brown, 2007). Debido posiblemente a enfermedades hereditarias en las razas predispuestas y a enfermedades infecciosas se presenta en animales menores de 3 años (Lulich y cols., 1992). Otro estudio reporta  que el 10% de los perros y el 30% de los gatos diagnosticados con ERC eran mayores  a 15 años (Lulich y cols., 1992; Polzin DJ, 2011b).</w:t>
      </w:r>
    </w:p>
    <w:p>
      <w:pPr>
        <w:pStyle w:val="BodyText"/>
      </w:pPr>
    </w:p>
    <w:p>
      <w:pPr>
        <w:pStyle w:val="BodyText"/>
      </w:pPr>
    </w:p>
    <w:p>
      <w:pPr>
        <w:pStyle w:val="Heading1"/>
        <w:spacing w:before="176"/>
      </w:pPr>
      <w:bookmarkStart w:name="_TOC_250019" w:id="8"/>
      <w:bookmarkEnd w:id="8"/>
      <w:r>
        <w:rPr/>
        <w:t>Fisiopatología</w:t>
      </w:r>
    </w:p>
    <w:p>
      <w:pPr>
        <w:pStyle w:val="BodyText"/>
        <w:rPr>
          <w:b/>
        </w:rPr>
      </w:pPr>
    </w:p>
    <w:p>
      <w:pPr>
        <w:pStyle w:val="BodyText"/>
        <w:rPr>
          <w:b/>
        </w:rPr>
      </w:pPr>
    </w:p>
    <w:p>
      <w:pPr>
        <w:pStyle w:val="BodyText"/>
        <w:rPr>
          <w:b/>
        </w:rPr>
      </w:pPr>
    </w:p>
    <w:p>
      <w:pPr>
        <w:pStyle w:val="BodyText"/>
        <w:spacing w:line="480" w:lineRule="auto" w:before="168"/>
        <w:ind w:left="144" w:right="888"/>
        <w:jc w:val="both"/>
      </w:pPr>
      <w:r>
        <w:rPr/>
        <w:t>La ERC se caracteriza por una disminución progresiva del número de nefronas. De manera inicial, esta pérdida es causada por una enfermedad renal primaria; las  nefronas restantes sufren procesos adaptativos para mantener la función renal estable, sin embargo, estas adaptaciones provocan que continúen dañándose, a pesar de que la enfermedad primaria haya sido controlada (Polzin, 2011b). Esto es conocido como progresión espontánea de la ERC (Harris y Neilson, 2006).</w:t>
      </w:r>
    </w:p>
    <w:p>
      <w:pPr>
        <w:spacing w:after="0" w:line="480" w:lineRule="auto"/>
        <w:jc w:val="both"/>
        <w:sectPr>
          <w:pgSz w:w="12240" w:h="15840"/>
          <w:pgMar w:header="742" w:footer="748" w:top="980" w:bottom="940" w:left="1620" w:right="18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6"/>
        <w:rPr>
          <w:sz w:val="25"/>
        </w:rPr>
      </w:pPr>
    </w:p>
    <w:p>
      <w:pPr>
        <w:pStyle w:val="BodyText"/>
        <w:spacing w:line="480" w:lineRule="auto" w:before="70"/>
        <w:ind w:left="144" w:right="888"/>
        <w:jc w:val="both"/>
      </w:pPr>
      <w:r>
        <w:rPr/>
        <w:t>El mecanismo de compensación consiste en la pérdida de resistencia de la arteriola aferente, lo que induce un aumento de la tasa de filtración glomerular (TFG) de cada nefrona (de forma tal, que en suma, se tenga una TFG adecuada) e hipertrofia, provocando en el glomérulo hipertensión, hiperperfusión e hiperfiltración (Brown y cols., 1995; Maddison y Harriet, 2010).</w:t>
      </w:r>
    </w:p>
    <w:p>
      <w:pPr>
        <w:pStyle w:val="BodyText"/>
      </w:pPr>
    </w:p>
    <w:p>
      <w:pPr>
        <w:pStyle w:val="BodyText"/>
      </w:pPr>
    </w:p>
    <w:p>
      <w:pPr>
        <w:pStyle w:val="BodyText"/>
        <w:spacing w:line="480" w:lineRule="auto" w:before="176"/>
        <w:ind w:left="144" w:right="888"/>
        <w:jc w:val="both"/>
      </w:pPr>
      <w:r>
        <w:rPr/>
        <w:t>La hipertrofia del glomérulo ocurre sin que exista hiperplasia de los podocitos que son parte de la membrana basal y constituyen una barrera importante, ya que tienen interdigitaciones que funcionan como filtro, lo cual se traduce en pérdida de la  integridad estructural de los mismos, provocando que se formen espacios a través de los cuales se filtra albúmina y otras proteínas, reflejándose un mayor daño glomerular (glomeruloesclerosis) y proteinuria (Polzin,</w:t>
      </w:r>
      <w:r>
        <w:rPr>
          <w:spacing w:val="-2"/>
        </w:rPr>
        <w:t> </w:t>
      </w:r>
      <w:r>
        <w:rPr/>
        <w:t>2011b).</w:t>
      </w:r>
    </w:p>
    <w:p>
      <w:pPr>
        <w:pStyle w:val="BodyText"/>
      </w:pPr>
    </w:p>
    <w:p>
      <w:pPr>
        <w:pStyle w:val="BodyText"/>
      </w:pPr>
    </w:p>
    <w:p>
      <w:pPr>
        <w:pStyle w:val="BodyText"/>
        <w:spacing w:line="480" w:lineRule="auto" w:before="176"/>
        <w:ind w:left="144" w:right="888"/>
        <w:jc w:val="both"/>
      </w:pPr>
      <w:r>
        <w:rPr/>
        <w:t>La angiotensina II y la aldosterona también juegan un papel importante. Se ha observado que la angiotensina II provoca vasoconstricción de las arteriolas eferentes (hipertensión capilar) y proteinuria; por su parte, la aldosterona incrementa la  resistencia de los vasos renales y la presión de los capilares glomerulares, además se ha demostrado que aumenta la respuesta a moléculas inflamatorias, genera especies reactivas de oxígeno y sensibiliza los receptores de angiotensina II (Harris y Neilson, 2006).</w:t>
      </w:r>
    </w:p>
    <w:p>
      <w:pPr>
        <w:spacing w:after="0" w:line="480" w:lineRule="auto"/>
        <w:jc w:val="both"/>
        <w:sectPr>
          <w:footerReference w:type="default" r:id="rId11"/>
          <w:pgSz w:w="12240" w:h="15840"/>
          <w:pgMar w:footer="748" w:header="742" w:top="980" w:bottom="940" w:left="1620" w:right="18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6"/>
        <w:rPr>
          <w:sz w:val="25"/>
        </w:rPr>
      </w:pPr>
    </w:p>
    <w:p>
      <w:pPr>
        <w:pStyle w:val="BodyText"/>
        <w:spacing w:line="480" w:lineRule="auto" w:before="70"/>
        <w:ind w:left="144" w:right="888"/>
        <w:jc w:val="both"/>
      </w:pPr>
      <w:r>
        <w:rPr/>
        <w:t>La proteinuria resultante promueve la lesión renal, ya que induce toxicidad mesangial, hiperplasia y sobrecarga tubular, toxicidad por proteínas específicas (transferrinas/hierro) y la inducción de proteínas inflamatorias (Polzin, 2011b).</w:t>
      </w:r>
    </w:p>
    <w:p>
      <w:pPr>
        <w:pStyle w:val="BodyText"/>
      </w:pPr>
    </w:p>
    <w:p>
      <w:pPr>
        <w:pStyle w:val="BodyText"/>
      </w:pPr>
    </w:p>
    <w:p>
      <w:pPr>
        <w:pStyle w:val="BodyText"/>
        <w:spacing w:line="480" w:lineRule="auto" w:before="176"/>
        <w:ind w:left="144" w:right="888"/>
        <w:jc w:val="both"/>
      </w:pPr>
      <w:r>
        <w:rPr/>
        <w:t>Como resultado final se tienen daños estructurales por depósitos hialinos, acumulación de matriz celular, microaneurismas y trombosis (Rennke y Denker, 2007).</w:t>
      </w:r>
    </w:p>
    <w:p>
      <w:pPr>
        <w:pStyle w:val="BodyText"/>
      </w:pPr>
    </w:p>
    <w:p>
      <w:pPr>
        <w:pStyle w:val="BodyText"/>
      </w:pPr>
    </w:p>
    <w:p>
      <w:pPr>
        <w:pStyle w:val="BodyText"/>
        <w:spacing w:line="480" w:lineRule="auto" w:before="176"/>
        <w:ind w:left="144" w:right="887"/>
        <w:jc w:val="both"/>
      </w:pPr>
      <w:r>
        <w:rPr/>
        <w:t>La progresión espontánea de la ERC en modelos de roedores se caracteriza por azotemia progresiva, proteinuria, hipertensión arterial sistémica y eventualmente, muerte por uremia. Las lesiones renales observadas en este proceso incluyen glomeruloesclerosis segmental focal y lesiones tubulares tubulointerticiales, incluyendo dilatación e inflamación tubular y fibrosis (Hostetter y cols. 2001). Los resultados de varios estudios sugieren que estos hallazgos pueden ser aplicados en perros y gatos (Polzin y cols, 1988). En el paciente, la presentación clínica del curso de la ERC  incluye: la exposición a factores de riesgo, daño renal y TFG disminuida, falla renal y, finalmente, muerte (Stevens y Levey, 2005).</w:t>
      </w:r>
    </w:p>
    <w:p>
      <w:pPr>
        <w:spacing w:after="0" w:line="480" w:lineRule="auto"/>
        <w:jc w:val="both"/>
        <w:sectPr>
          <w:footerReference w:type="default" r:id="rId12"/>
          <w:pgSz w:w="12240" w:h="15840"/>
          <w:pgMar w:footer="748" w:header="742" w:top="980" w:bottom="940" w:left="1620" w:right="180"/>
          <w:pgNumType w:start="11"/>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6"/>
        <w:rPr>
          <w:sz w:val="25"/>
        </w:rPr>
      </w:pPr>
    </w:p>
    <w:p>
      <w:pPr>
        <w:pStyle w:val="Heading1"/>
      </w:pPr>
      <w:bookmarkStart w:name="_TOC_250018" w:id="9"/>
      <w:bookmarkEnd w:id="9"/>
      <w:r>
        <w:rPr/>
        <w:t>Diagnóstico</w:t>
      </w:r>
    </w:p>
    <w:p>
      <w:pPr>
        <w:pStyle w:val="BodyText"/>
        <w:rPr>
          <w:b/>
        </w:rPr>
      </w:pPr>
    </w:p>
    <w:p>
      <w:pPr>
        <w:pStyle w:val="BodyText"/>
        <w:rPr>
          <w:b/>
        </w:rPr>
      </w:pPr>
    </w:p>
    <w:p>
      <w:pPr>
        <w:pStyle w:val="BodyText"/>
        <w:rPr>
          <w:b/>
        </w:rPr>
      </w:pPr>
    </w:p>
    <w:p>
      <w:pPr>
        <w:pStyle w:val="BodyText"/>
        <w:spacing w:line="480" w:lineRule="auto" w:before="168"/>
        <w:ind w:left="144" w:right="888"/>
        <w:jc w:val="both"/>
      </w:pPr>
      <w:r>
        <w:rPr/>
        <w:t>Históricamente, la enfermedad renal en curso es poco frecuente diagnosticarla en los pacientes, si no hasta que las condiciones han avanzado cerca de un estadio final y ha llegado a desarrollar un cuadro urémico.</w:t>
      </w:r>
    </w:p>
    <w:p>
      <w:pPr>
        <w:pStyle w:val="BodyText"/>
      </w:pPr>
    </w:p>
    <w:p>
      <w:pPr>
        <w:pStyle w:val="BodyText"/>
      </w:pPr>
    </w:p>
    <w:p>
      <w:pPr>
        <w:pStyle w:val="BodyText"/>
        <w:spacing w:line="480" w:lineRule="auto" w:before="176"/>
        <w:ind w:left="144" w:right="888"/>
        <w:jc w:val="both"/>
      </w:pPr>
      <w:r>
        <w:rPr/>
        <w:t>Las manifestaciones clínicas de la ERC se observan hasta que se ha perdido más del 80% a 85% de la función renal, esto dificulta su reconocimiento en estadios tempranos (Grauer, 2005; McGrotty, 2008).</w:t>
      </w:r>
    </w:p>
    <w:p>
      <w:pPr>
        <w:pStyle w:val="BodyText"/>
      </w:pPr>
    </w:p>
    <w:p>
      <w:pPr>
        <w:pStyle w:val="BodyText"/>
      </w:pPr>
    </w:p>
    <w:p>
      <w:pPr>
        <w:pStyle w:val="BodyText"/>
        <w:spacing w:line="480" w:lineRule="auto" w:before="176"/>
        <w:ind w:left="144" w:right="888"/>
        <w:jc w:val="both"/>
      </w:pPr>
      <w:r>
        <w:rPr/>
        <w:t>El diagnóstico de la ERC se obtiene a través de la anamnesis, el examen físico general, perfil bioquímico sérico, hemograma, análisis de orina, estudios de imagen e histopatología (Elliot  y Watson, 2008; Maddison y Harriet, 2010).</w:t>
      </w:r>
    </w:p>
    <w:p>
      <w:pPr>
        <w:pStyle w:val="BodyText"/>
      </w:pPr>
    </w:p>
    <w:p>
      <w:pPr>
        <w:pStyle w:val="BodyText"/>
      </w:pPr>
    </w:p>
    <w:p>
      <w:pPr>
        <w:pStyle w:val="BodyText"/>
        <w:spacing w:line="480" w:lineRule="auto" w:before="176"/>
        <w:ind w:left="144" w:right="888"/>
        <w:jc w:val="both"/>
      </w:pPr>
      <w:r>
        <w:rPr/>
        <w:t>Dentro de la anamnesis se busca la exposición a factores de riesgo, los cuales son condiciones que ponen al paciente una probabilidad mayor de desarrollar la ERC y pueden ser factores de susceptibilidad, desencadenantes y de progresión (Fernández- del Palacio MJ, 2007).</w:t>
      </w:r>
    </w:p>
    <w:p>
      <w:pPr>
        <w:spacing w:after="0" w:line="480" w:lineRule="auto"/>
        <w:jc w:val="both"/>
        <w:sectPr>
          <w:pgSz w:w="12240" w:h="15840"/>
          <w:pgMar w:header="742" w:footer="748" w:top="980" w:bottom="940" w:left="1620" w:right="18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6"/>
        <w:rPr>
          <w:sz w:val="25"/>
        </w:rPr>
      </w:pPr>
    </w:p>
    <w:p>
      <w:pPr>
        <w:pStyle w:val="BodyText"/>
        <w:spacing w:line="480" w:lineRule="auto" w:before="70"/>
        <w:ind w:left="144" w:right="888"/>
        <w:jc w:val="both"/>
      </w:pPr>
      <w:r>
        <w:rPr/>
        <w:t>Los primeros signos clínicos que los propietarios pueden notar en su mascota con ERC son poliuria, polidipsia, pérdida progresiva de peso, disminución de la masa muscular, pelo hirsuto, disminución del apetito y apetito selectivo. (Polzin, 2010; 2011b; McGrotty, 2008).</w:t>
      </w:r>
    </w:p>
    <w:p>
      <w:pPr>
        <w:pStyle w:val="BodyText"/>
      </w:pPr>
    </w:p>
    <w:p>
      <w:pPr>
        <w:pStyle w:val="BodyText"/>
      </w:pPr>
    </w:p>
    <w:p>
      <w:pPr>
        <w:pStyle w:val="BodyText"/>
        <w:spacing w:line="480" w:lineRule="auto" w:before="176"/>
        <w:ind w:left="144" w:right="888" w:firstLine="66"/>
        <w:jc w:val="both"/>
      </w:pPr>
      <w:r>
        <w:rPr/>
        <w:t>A medida que la ERC avanza, se comienza a desarrollar un síndrome tóxico polisistémico, conocido como “uremia” caracterizado por la retención de metabolitos, cambios en el volumen y composición de líquidos corporales; y exceso o deficiencia de ciertas hormonas (Polzin, 2011b).</w:t>
      </w:r>
    </w:p>
    <w:p>
      <w:pPr>
        <w:pStyle w:val="BodyText"/>
      </w:pPr>
    </w:p>
    <w:p>
      <w:pPr>
        <w:pStyle w:val="BodyText"/>
      </w:pPr>
    </w:p>
    <w:p>
      <w:pPr>
        <w:pStyle w:val="BodyText"/>
        <w:spacing w:line="480" w:lineRule="auto" w:before="176"/>
        <w:ind w:left="144" w:right="888"/>
        <w:jc w:val="both"/>
      </w:pPr>
      <w:r>
        <w:rPr/>
        <w:t>La mayoría de los signos clínicos de la uremia se relacionan con el tracto digestivo (hiporexia, apetito selectivo, estomatitis, aliento urémico, vómito, hematemesis, diarrea, melena o hematoquecia); otros signos que se pueden observar son: hipotermia, letargo, debilidad, tremores musculares, pericarditis o neumonitis urémica, hipertensión, neuropatías, comportamiento inusual, diátesis hemorrágica, riñones de  tamaño reducido y osteodistrofia renal; además de los ya antes mencionados (Polzin, 2011a; 2011b).</w:t>
      </w:r>
    </w:p>
    <w:p>
      <w:pPr>
        <w:spacing w:after="0" w:line="480" w:lineRule="auto"/>
        <w:jc w:val="both"/>
        <w:sectPr>
          <w:pgSz w:w="12240" w:h="15840"/>
          <w:pgMar w:header="742" w:footer="748" w:top="980" w:bottom="940" w:left="1620" w:right="18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6"/>
        <w:rPr>
          <w:sz w:val="25"/>
        </w:rPr>
      </w:pPr>
    </w:p>
    <w:p>
      <w:pPr>
        <w:pStyle w:val="BodyText"/>
        <w:spacing w:line="480" w:lineRule="auto" w:before="70"/>
        <w:ind w:left="144" w:right="888"/>
        <w:jc w:val="both"/>
      </w:pPr>
      <w:r>
        <w:rPr/>
        <w:t>Los marcadores en los estudios de laboratorio de daño renal incluyen: azotemia de origen renal, hiperfosfatemia, hipercalemia o hipocalemia, acidosis metabólica, hipoalbuminemia, proteinuria, cilindruria, hematuria renal (Grauer, 2005).</w:t>
      </w:r>
    </w:p>
    <w:p>
      <w:pPr>
        <w:pStyle w:val="BodyText"/>
      </w:pPr>
    </w:p>
    <w:p>
      <w:pPr>
        <w:pStyle w:val="BodyText"/>
      </w:pPr>
    </w:p>
    <w:p>
      <w:pPr>
        <w:pStyle w:val="BodyText"/>
        <w:spacing w:line="480" w:lineRule="auto" w:before="176"/>
        <w:ind w:left="144" w:right="888"/>
        <w:jc w:val="both"/>
      </w:pPr>
      <w:r>
        <w:rPr/>
        <w:t>En los estudios de imagen se pueden observar riñones pequeños y con tejido fibroso;  en las etapas tempranas se pueden observar más grandes, debido a mecanismos compensatorios y en ocasiones cambios óseos asociados a osteodistrofia  renal  (Polzin, 2010; McGrotty, 2008), en animales</w:t>
      </w:r>
      <w:r>
        <w:rPr>
          <w:spacing w:val="-1"/>
        </w:rPr>
        <w:t> </w:t>
      </w:r>
      <w:r>
        <w:rPr/>
        <w:t>jóvenes.</w:t>
      </w:r>
    </w:p>
    <w:p>
      <w:pPr>
        <w:pStyle w:val="BodyText"/>
      </w:pPr>
    </w:p>
    <w:p>
      <w:pPr>
        <w:pStyle w:val="BodyText"/>
      </w:pPr>
    </w:p>
    <w:p>
      <w:pPr>
        <w:pStyle w:val="BodyText"/>
        <w:spacing w:line="480" w:lineRule="auto" w:before="176"/>
        <w:ind w:left="144" w:right="888"/>
        <w:jc w:val="both"/>
      </w:pPr>
      <w:r>
        <w:rPr/>
        <w:t>Es importante diferenciar la ERC de la lesión renal aguda (LRA). De manera inicial, esta diferenciación se basa en la historia clínica: exposición a factores de riesgo y la aparición súbita de signos en la LRA. Normalmente en la LRA encontramos los valores del hematocrito dentro de los rangos normales de referencia, el tamaño de los riñones de normal a aumentado, manto piloso sano y en la anamnesis cambios en el consumo de agua y alimento recientes. En la ERC la presencia de azotemia, anemia no regenerativa, pérdida de peso, hiporexia, poliuria, polidipsia y aliento urémico están presentes por un periodo de al menos 3 meses; otros hallazgos son signos clínicos</w:t>
      </w:r>
    </w:p>
    <w:p>
      <w:pPr>
        <w:spacing w:after="0" w:line="480" w:lineRule="auto"/>
        <w:jc w:val="both"/>
        <w:sectPr>
          <w:pgSz w:w="12240" w:h="15840"/>
          <w:pgMar w:header="742" w:footer="748" w:top="980" w:bottom="940" w:left="1620" w:right="18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1"/>
        <w:rPr>
          <w:sz w:val="22"/>
        </w:rPr>
      </w:pPr>
    </w:p>
    <w:p>
      <w:pPr>
        <w:pStyle w:val="BodyText"/>
        <w:spacing w:line="480" w:lineRule="auto" w:before="69"/>
        <w:ind w:left="144" w:right="888" w:firstLine="66"/>
        <w:jc w:val="both"/>
      </w:pPr>
      <w:r>
        <w:rPr/>
        <w:t>moderados a pesar de la presencia de azotemia, evidencia de cambios crónicos  renales en estudios de imagenología (disminución del tamaño de uno o ambos riñones, cambios asociados a osteodistrofia renal) o de histopatología (cambios estructurales) (Polzin,</w:t>
      </w:r>
      <w:r>
        <w:rPr>
          <w:spacing w:val="-1"/>
        </w:rPr>
        <w:t> </w:t>
      </w:r>
      <w:r>
        <w:rPr/>
        <w:t>2011a).</w:t>
      </w:r>
    </w:p>
    <w:p>
      <w:pPr>
        <w:pStyle w:val="BodyText"/>
      </w:pPr>
    </w:p>
    <w:p>
      <w:pPr>
        <w:pStyle w:val="BodyText"/>
      </w:pPr>
    </w:p>
    <w:p>
      <w:pPr>
        <w:pStyle w:val="Heading1"/>
        <w:spacing w:before="176"/>
      </w:pPr>
      <w:bookmarkStart w:name="_TOC_250017" w:id="10"/>
      <w:bookmarkEnd w:id="10"/>
      <w:r>
        <w:rPr/>
        <w:t>Estadificación de la ERC</w:t>
      </w:r>
    </w:p>
    <w:p>
      <w:pPr>
        <w:pStyle w:val="BodyText"/>
        <w:rPr>
          <w:b/>
        </w:rPr>
      </w:pPr>
    </w:p>
    <w:p>
      <w:pPr>
        <w:pStyle w:val="BodyText"/>
        <w:rPr>
          <w:b/>
        </w:rPr>
      </w:pPr>
    </w:p>
    <w:p>
      <w:pPr>
        <w:pStyle w:val="BodyText"/>
        <w:rPr>
          <w:b/>
        </w:rPr>
      </w:pPr>
    </w:p>
    <w:p>
      <w:pPr>
        <w:pStyle w:val="BodyText"/>
        <w:spacing w:line="480" w:lineRule="auto" w:before="168"/>
        <w:ind w:left="144" w:right="888"/>
        <w:jc w:val="both"/>
      </w:pPr>
      <w:r>
        <w:rPr/>
        <w:t>Una vez que se ha confirmado la enfermedad renal crónica, se debe establecer el estadio de enfermedad en el que se encuentra el paciente, con la finalidad de  pronóstico y elección del tratamiento adecuado en base a los lineamientos establecidos (Roudebush y cols</w:t>
      </w:r>
      <w:r>
        <w:rPr>
          <w:spacing w:val="-1"/>
        </w:rPr>
        <w:t> </w:t>
      </w:r>
      <w:r>
        <w:rPr/>
        <w:t>2009).</w:t>
      </w:r>
    </w:p>
    <w:p>
      <w:pPr>
        <w:pStyle w:val="BodyText"/>
      </w:pPr>
    </w:p>
    <w:p>
      <w:pPr>
        <w:pStyle w:val="BodyText"/>
        <w:spacing w:line="550" w:lineRule="atLeast" w:before="178"/>
        <w:ind w:left="144" w:right="888"/>
        <w:jc w:val="both"/>
      </w:pPr>
      <w:r>
        <w:rPr/>
        <w:t>En medicina humana en el año 2002, la National kidney fundation a través del Kidney Disease Outcome Quality Initiative (KDOQI) propuso una definición y una clasificación de la ERC, con el objetivo de unificar criterios, para facilitar el diagnóstico de la enfermedad independientemente de la causa que la originó. La ERC se define como la disminución de la función renal, expresada por una TFG baja o como presencia de daño renal de forma persistente durante al menos tres meses; y clasifica esta enfermedad dependiendo del valor de la TFG a partir de la depuración de la creatinina, expresada  en ml/m/1.73m</w:t>
      </w:r>
      <w:r>
        <w:rPr>
          <w:position w:val="11"/>
          <w:sz w:val="16"/>
        </w:rPr>
        <w:t>2</w:t>
      </w:r>
      <w:r>
        <w:rPr/>
        <w:t>; clasificando la enfermedad en cinco estadios (KDOQI,</w:t>
      </w:r>
      <w:r>
        <w:rPr>
          <w:spacing w:val="-3"/>
        </w:rPr>
        <w:t> </w:t>
      </w:r>
      <w:r>
        <w:rPr/>
        <w:t>2002).</w:t>
      </w:r>
    </w:p>
    <w:p>
      <w:pPr>
        <w:spacing w:after="0" w:line="550" w:lineRule="atLeast"/>
        <w:jc w:val="both"/>
        <w:sectPr>
          <w:pgSz w:w="12240" w:h="15840"/>
          <w:pgMar w:header="742" w:footer="748" w:top="980" w:bottom="940" w:left="1620" w:right="18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6"/>
        <w:rPr>
          <w:sz w:val="25"/>
        </w:rPr>
      </w:pPr>
    </w:p>
    <w:p>
      <w:pPr>
        <w:pStyle w:val="BodyText"/>
        <w:spacing w:line="480" w:lineRule="auto" w:before="70"/>
        <w:ind w:left="144" w:right="888"/>
        <w:jc w:val="both"/>
      </w:pPr>
      <w:r>
        <w:rPr/>
        <w:t>Recientemente un sistema de estandarización en el diagnóstico y clasificación de la ERC en Medicina Veterinaria fue propuesto por la International Renal Interest Society (IRIS) siendo desarrollado con el propósito de mejorar las comunicaciones en torno a la ERC a través de un diagnóstico y manejo terapéutico apropiados para los pacientes en sus diferentes estadios de evolución de la enfermedad (IRIS, 2009). A diferencia del utilizado en humanos este sistema utiliza la concentración de creatinina sérica </w:t>
      </w:r>
      <w:r>
        <w:rPr>
          <w:b/>
        </w:rPr>
        <w:t>(CrS)  </w:t>
      </w:r>
      <w:r>
        <w:rPr/>
        <w:t>que es considerada como el mejor indicador de la TFG disponible en la práctica clínica veterinaria actualmente; y solo clasifica la enfermedad en cuatro estadios en base a la TFG que tiene el paciente (Tabla 1). Siendo útil subclasificar a cada estadio según la proteinuria (Tabla 2) y la presión arterial sistémica (Tabla 3) (IRIS 2009; Elliot y Watson, 2008; Polzin,</w:t>
      </w:r>
      <w:r>
        <w:rPr>
          <w:spacing w:val="-1"/>
        </w:rPr>
        <w:t> </w:t>
      </w:r>
      <w:r>
        <w:rPr/>
        <w:t>2011a).</w:t>
      </w:r>
    </w:p>
    <w:p>
      <w:pPr>
        <w:pStyle w:val="BodyText"/>
      </w:pPr>
    </w:p>
    <w:p>
      <w:pPr>
        <w:pStyle w:val="BodyText"/>
      </w:pPr>
    </w:p>
    <w:p>
      <w:pPr>
        <w:pStyle w:val="BodyText"/>
        <w:spacing w:line="480" w:lineRule="auto" w:before="176"/>
        <w:ind w:left="144" w:right="888"/>
        <w:jc w:val="both"/>
      </w:pPr>
      <w:r>
        <w:rPr/>
        <w:t>En la orina de perros sanos es normal encontrar pequeñas cantidades de proteína (Delmar 1995, Less y cols 2005). Sin embargo, estudios recientes han demostrado que la detección de proteína en orina en mayores cantidades puede funcionar como marcador de la enfermedad renal u otras patologías (Zatelli 2010).</w:t>
      </w:r>
    </w:p>
    <w:p>
      <w:pPr>
        <w:spacing w:after="0" w:line="480" w:lineRule="auto"/>
        <w:jc w:val="both"/>
        <w:sectPr>
          <w:pgSz w:w="12240" w:h="15840"/>
          <w:pgMar w:header="742" w:footer="748" w:top="980" w:bottom="940" w:left="1620" w:right="18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6"/>
        <w:rPr>
          <w:sz w:val="25"/>
        </w:rPr>
      </w:pPr>
    </w:p>
    <w:p>
      <w:pPr>
        <w:pStyle w:val="BodyText"/>
        <w:spacing w:line="480" w:lineRule="auto" w:before="70"/>
        <w:ind w:left="144" w:right="888"/>
        <w:jc w:val="both"/>
      </w:pPr>
      <w:r>
        <w:rPr/>
        <w:t>De manera normal, el colágeno, los glucosaminoglicanos y la matriz celular presentes en la membrana basal del capilar glomerular impiden el paso de la mayoría de las proteínas plasmáticas; las proteínas con un peso molecular menor al de la albúmina (69 kD) o con carga negativas, pasan libremente. El filtrado glomerular presenta una concentración proteica de 2-3 mg/dL. Posteriormente, en el túbulo proximal las células epiteliales reabsorben casi por completo las proteínas de bajo peso molecular o cargadas positivamente; de esta manera, la orina contiene menos de 1mg/dL de proteína (Grauer 2011). El término proteinuria se utiliza cuando la concentración de proteína en orina es mayor a 1 mg/dL (Delmar 1995). La microproteinuria se refiere a valores de concentración de proteína en orina entre 1 y 30 mg/dL (Grauer</w:t>
      </w:r>
      <w:r>
        <w:rPr>
          <w:spacing w:val="-1"/>
        </w:rPr>
        <w:t> </w:t>
      </w:r>
      <w:r>
        <w:rPr/>
        <w:t>2011).</w:t>
      </w:r>
    </w:p>
    <w:p>
      <w:pPr>
        <w:pStyle w:val="BodyText"/>
      </w:pPr>
    </w:p>
    <w:p>
      <w:pPr>
        <w:pStyle w:val="BodyText"/>
      </w:pPr>
    </w:p>
    <w:p>
      <w:pPr>
        <w:pStyle w:val="BodyText"/>
        <w:spacing w:line="480" w:lineRule="auto" w:before="176"/>
        <w:ind w:left="144" w:right="888"/>
        <w:jc w:val="both"/>
      </w:pPr>
      <w:r>
        <w:rPr/>
        <w:t>La proteinuria se puede deber a un aumento de la excreción por el glomérulo, sobrepasando la capacidad de reabsorción del túbulo o por inhabilidad del mismo para reabsorber las proteínas secretadas de manera normal por el glomérulo (Delmar, 1995). El origen puede ser fisiológico o patológico. La proteinuria fisiológica suele ser  transitoria y está relacionada con convulsiones, fiebre, exposición a temperaturas altas  y estrés (McCaw y cols 1985).</w:t>
      </w:r>
    </w:p>
    <w:p>
      <w:pPr>
        <w:spacing w:after="0" w:line="480" w:lineRule="auto"/>
        <w:jc w:val="both"/>
        <w:sectPr>
          <w:pgSz w:w="12240" w:h="15840"/>
          <w:pgMar w:header="742" w:footer="748" w:top="980" w:bottom="940" w:left="1620" w:right="18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6"/>
        <w:rPr>
          <w:sz w:val="25"/>
        </w:rPr>
      </w:pPr>
    </w:p>
    <w:p>
      <w:pPr>
        <w:pStyle w:val="BodyText"/>
        <w:spacing w:line="480" w:lineRule="auto" w:before="70"/>
        <w:ind w:left="144" w:right="888"/>
        <w:jc w:val="both"/>
      </w:pPr>
      <w:r>
        <w:rPr/>
        <w:t>La proteinuria patológica puede deberse a hipertensión, diabetes mellitus, tumores, pacientes con enfermedades inflamatoria en estado crítico, disproteinemias y enfermedad renal, entre otros (Grauer 2011). Es importante considerar que el alto contenido proteico en el filtrado glomerular puede ser tóxico para las células epiteliales del túbulo, lo que puede llevar a inflamación intersticial, fibrosis y muerte celular de las nefronas, provocando enfermedad renal y/o la progresión de la misma (Eddy 2001).</w:t>
      </w:r>
    </w:p>
    <w:p>
      <w:pPr>
        <w:pStyle w:val="BodyText"/>
      </w:pPr>
    </w:p>
    <w:p>
      <w:pPr>
        <w:pStyle w:val="BodyText"/>
      </w:pPr>
    </w:p>
    <w:p>
      <w:pPr>
        <w:pStyle w:val="BodyText"/>
        <w:spacing w:line="480" w:lineRule="auto" w:before="176"/>
        <w:ind w:left="144" w:right="888"/>
        <w:jc w:val="both"/>
      </w:pPr>
      <w:r>
        <w:rPr/>
        <w:t>Para determinar si la proteinuria es persistente o transitoria, se recomienda realizar dos a tres mediciones, con un espacio de siete a diez días entre una y otra (Grauer 2011).</w:t>
      </w:r>
    </w:p>
    <w:p>
      <w:pPr>
        <w:pStyle w:val="BodyText"/>
      </w:pPr>
    </w:p>
    <w:p>
      <w:pPr>
        <w:pStyle w:val="BodyText"/>
      </w:pPr>
    </w:p>
    <w:p>
      <w:pPr>
        <w:pStyle w:val="BodyText"/>
        <w:spacing w:line="480" w:lineRule="auto" w:before="176"/>
        <w:ind w:left="144" w:right="888"/>
        <w:jc w:val="both"/>
      </w:pPr>
      <w:r>
        <w:rPr/>
        <w:t>Usualmente, la medición de proteína en orina se puede llevar a cabo por medio de tiras reactivas y de la prueba con Ácido Sulfosalicílico. Sin embargo, estas pruebas  presentan desventajas, ya que pueden dar resultados falsos, en el caso de las tiras reactivas debido a que el límite inferior de detección es de 30 mg/dL; y por su parte, la prueba con Ácido Sulfosalicílico, por interacción con drogas (penicilinas, cefalosporinas, sulfaxoles) u otros agentes (contrastes radiográficos, timol) presentes en la orina (Lyon  y cols 2010).</w:t>
      </w:r>
    </w:p>
    <w:p>
      <w:pPr>
        <w:spacing w:after="0" w:line="480" w:lineRule="auto"/>
        <w:jc w:val="both"/>
        <w:sectPr>
          <w:pgSz w:w="12240" w:h="15840"/>
          <w:pgMar w:header="742" w:footer="748" w:top="980" w:bottom="940" w:left="1620" w:right="18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6"/>
        <w:rPr>
          <w:sz w:val="25"/>
        </w:rPr>
      </w:pPr>
    </w:p>
    <w:p>
      <w:pPr>
        <w:pStyle w:val="BodyText"/>
        <w:spacing w:line="480" w:lineRule="auto" w:before="70"/>
        <w:ind w:left="144" w:right="888"/>
        <w:jc w:val="both"/>
      </w:pPr>
      <w:r>
        <w:rPr/>
        <w:t>Otro método para la cuantificación de la concentración de proteína en orina es la determinación de la relación proteinuria:creatinuria (PU:CU), es más sensible a la albúmina y los estudios han demostrado que puede ser representativa de la excreción de proteína en 24 horas (Stockham 2008).</w:t>
      </w:r>
    </w:p>
    <w:p>
      <w:pPr>
        <w:pStyle w:val="BodyText"/>
      </w:pPr>
    </w:p>
    <w:p>
      <w:pPr>
        <w:pStyle w:val="BodyText"/>
      </w:pPr>
    </w:p>
    <w:p>
      <w:pPr>
        <w:pStyle w:val="BodyText"/>
        <w:spacing w:line="480" w:lineRule="auto" w:before="176"/>
        <w:ind w:left="144" w:right="888"/>
        <w:jc w:val="both"/>
      </w:pPr>
      <w:r>
        <w:rPr/>
        <w:t>De acuerdo a estudios realizados, en perros, una relación PU:CU menor o igual a 0.2  se puede considerar como normal de un paciente no proteinúrico, entre 0.21 a 0.49 como proteinúricos limítrofes (sospechosos) y &gt; 0.5 como proteinúricos verdaderos (Grauer 2011, Less y col 2005) (Tabla</w:t>
      </w:r>
      <w:r>
        <w:rPr>
          <w:spacing w:val="-2"/>
        </w:rPr>
        <w:t> </w:t>
      </w:r>
      <w:r>
        <w:rPr/>
        <w:t>2).</w:t>
      </w:r>
    </w:p>
    <w:p>
      <w:pPr>
        <w:spacing w:after="0" w:line="480" w:lineRule="auto"/>
        <w:jc w:val="both"/>
        <w:sectPr>
          <w:pgSz w:w="12240" w:h="15840"/>
          <w:pgMar w:header="742" w:footer="748" w:top="980" w:bottom="940" w:left="1620" w:right="180"/>
        </w:sectPr>
      </w:pPr>
    </w:p>
    <w:p>
      <w:pPr>
        <w:pStyle w:val="BodyText"/>
        <w:rPr>
          <w:sz w:val="20"/>
        </w:rPr>
      </w:pPr>
    </w:p>
    <w:p>
      <w:pPr>
        <w:pStyle w:val="BodyText"/>
        <w:rPr>
          <w:sz w:val="20"/>
        </w:rPr>
      </w:pPr>
    </w:p>
    <w:p>
      <w:pPr>
        <w:pStyle w:val="BodyText"/>
        <w:spacing w:before="8"/>
        <w:rPr>
          <w:sz w:val="21"/>
        </w:rPr>
      </w:pPr>
    </w:p>
    <w:p>
      <w:pPr>
        <w:spacing w:before="0"/>
        <w:ind w:left="247" w:right="0" w:firstLine="0"/>
        <w:jc w:val="left"/>
        <w:rPr>
          <w:b/>
          <w:sz w:val="21"/>
        </w:rPr>
      </w:pPr>
      <w:r>
        <w:rPr>
          <w:b/>
          <w:w w:val="105"/>
          <w:sz w:val="21"/>
        </w:rPr>
        <w:t>Tabla 1: Sistema de clasificación de los estadios de la ERC según IRIS 2009.</w:t>
      </w:r>
    </w:p>
    <w:p>
      <w:pPr>
        <w:pStyle w:val="BodyText"/>
        <w:rPr>
          <w:b/>
          <w:sz w:val="20"/>
        </w:rPr>
      </w:pPr>
    </w:p>
    <w:p>
      <w:pPr>
        <w:pStyle w:val="BodyText"/>
        <w:spacing w:before="8"/>
        <w:rPr>
          <w:b/>
          <w:sz w:val="13"/>
        </w:rPr>
      </w:pPr>
    </w:p>
    <w:tbl>
      <w:tblPr>
        <w:tblW w:w="0" w:type="auto"/>
        <w:jc w:val="left"/>
        <w:tblInd w:w="13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618"/>
        <w:gridCol w:w="1829"/>
        <w:gridCol w:w="1814"/>
        <w:gridCol w:w="4114"/>
      </w:tblGrid>
      <w:tr>
        <w:trPr>
          <w:trHeight w:val="303" w:hRule="exact"/>
        </w:trPr>
        <w:tc>
          <w:tcPr>
            <w:tcW w:w="1618" w:type="dxa"/>
            <w:tcBorders>
              <w:left w:val="nil"/>
              <w:bottom w:val="nil"/>
            </w:tcBorders>
          </w:tcPr>
          <w:p>
            <w:pPr>
              <w:pStyle w:val="TableParagraph"/>
              <w:spacing w:before="4"/>
              <w:ind w:left="136" w:right="129"/>
              <w:jc w:val="center"/>
              <w:rPr>
                <w:b/>
                <w:sz w:val="21"/>
              </w:rPr>
            </w:pPr>
            <w:r>
              <w:rPr>
                <w:b/>
                <w:w w:val="105"/>
                <w:sz w:val="21"/>
                <w:u w:val="single"/>
              </w:rPr>
              <w:t>Estadio</w:t>
            </w:r>
          </w:p>
        </w:tc>
        <w:tc>
          <w:tcPr>
            <w:tcW w:w="3643" w:type="dxa"/>
            <w:gridSpan w:val="2"/>
            <w:tcBorders>
              <w:bottom w:val="nil"/>
            </w:tcBorders>
          </w:tcPr>
          <w:p>
            <w:pPr/>
          </w:p>
        </w:tc>
        <w:tc>
          <w:tcPr>
            <w:tcW w:w="4114" w:type="dxa"/>
            <w:tcBorders>
              <w:bottom w:val="nil"/>
              <w:right w:val="nil"/>
            </w:tcBorders>
          </w:tcPr>
          <w:p>
            <w:pPr/>
          </w:p>
        </w:tc>
      </w:tr>
      <w:tr>
        <w:trPr>
          <w:trHeight w:val="289" w:hRule="exact"/>
        </w:trPr>
        <w:tc>
          <w:tcPr>
            <w:tcW w:w="1618" w:type="dxa"/>
            <w:tcBorders>
              <w:top w:val="nil"/>
              <w:left w:val="nil"/>
              <w:bottom w:val="nil"/>
            </w:tcBorders>
          </w:tcPr>
          <w:p>
            <w:pPr/>
          </w:p>
        </w:tc>
        <w:tc>
          <w:tcPr>
            <w:tcW w:w="3643" w:type="dxa"/>
            <w:gridSpan w:val="2"/>
            <w:tcBorders>
              <w:top w:val="nil"/>
              <w:bottom w:val="nil"/>
            </w:tcBorders>
          </w:tcPr>
          <w:p>
            <w:pPr>
              <w:pStyle w:val="TableParagraph"/>
              <w:spacing w:before="33"/>
              <w:ind w:left="681"/>
              <w:rPr>
                <w:b/>
                <w:sz w:val="21"/>
              </w:rPr>
            </w:pPr>
            <w:r>
              <w:rPr>
                <w:b/>
                <w:w w:val="105"/>
                <w:sz w:val="21"/>
                <w:u w:val="single"/>
              </w:rPr>
              <w:t>Creatinina plasmática</w:t>
            </w:r>
          </w:p>
        </w:tc>
        <w:tc>
          <w:tcPr>
            <w:tcW w:w="4114" w:type="dxa"/>
            <w:tcBorders>
              <w:top w:val="nil"/>
              <w:bottom w:val="nil"/>
              <w:right w:val="nil"/>
            </w:tcBorders>
          </w:tcPr>
          <w:p>
            <w:pPr/>
          </w:p>
        </w:tc>
      </w:tr>
      <w:tr>
        <w:trPr>
          <w:trHeight w:val="311" w:hRule="exact"/>
        </w:trPr>
        <w:tc>
          <w:tcPr>
            <w:tcW w:w="1618" w:type="dxa"/>
            <w:tcBorders>
              <w:top w:val="nil"/>
              <w:left w:val="nil"/>
              <w:bottom w:val="nil"/>
            </w:tcBorders>
          </w:tcPr>
          <w:p>
            <w:pPr>
              <w:pStyle w:val="TableParagraph"/>
              <w:spacing w:line="217" w:lineRule="exact"/>
              <w:ind w:left="136" w:right="129"/>
              <w:jc w:val="center"/>
              <w:rPr>
                <w:b/>
                <w:sz w:val="19"/>
              </w:rPr>
            </w:pPr>
            <w:r>
              <w:rPr>
                <w:b/>
                <w:w w:val="105"/>
                <w:sz w:val="19"/>
                <w:u w:val="single"/>
              </w:rPr>
              <w:t>(% de función</w:t>
            </w:r>
          </w:p>
        </w:tc>
        <w:tc>
          <w:tcPr>
            <w:tcW w:w="3643" w:type="dxa"/>
            <w:gridSpan w:val="2"/>
            <w:tcBorders>
              <w:top w:val="nil"/>
              <w:bottom w:val="nil"/>
            </w:tcBorders>
          </w:tcPr>
          <w:p>
            <w:pPr/>
          </w:p>
        </w:tc>
        <w:tc>
          <w:tcPr>
            <w:tcW w:w="4114" w:type="dxa"/>
            <w:tcBorders>
              <w:top w:val="nil"/>
              <w:bottom w:val="nil"/>
              <w:right w:val="nil"/>
            </w:tcBorders>
          </w:tcPr>
          <w:p>
            <w:pPr>
              <w:pStyle w:val="TableParagraph"/>
              <w:spacing w:before="37"/>
              <w:ind w:left="732"/>
              <w:rPr>
                <w:b/>
                <w:sz w:val="21"/>
              </w:rPr>
            </w:pPr>
            <w:r>
              <w:rPr>
                <w:b/>
                <w:w w:val="105"/>
                <w:sz w:val="21"/>
                <w:u w:val="single"/>
              </w:rPr>
              <w:t>Características de la fase</w:t>
            </w:r>
          </w:p>
        </w:tc>
      </w:tr>
      <w:tr>
        <w:trPr>
          <w:trHeight w:val="322" w:hRule="exact"/>
        </w:trPr>
        <w:tc>
          <w:tcPr>
            <w:tcW w:w="1618" w:type="dxa"/>
            <w:tcBorders>
              <w:top w:val="nil"/>
              <w:left w:val="nil"/>
              <w:bottom w:val="nil"/>
            </w:tcBorders>
          </w:tcPr>
          <w:p>
            <w:pPr>
              <w:pStyle w:val="TableParagraph"/>
              <w:spacing w:before="33"/>
              <w:ind w:left="136" w:right="127"/>
              <w:jc w:val="center"/>
              <w:rPr>
                <w:b/>
                <w:sz w:val="19"/>
              </w:rPr>
            </w:pPr>
            <w:r>
              <w:rPr>
                <w:b/>
                <w:w w:val="105"/>
                <w:sz w:val="19"/>
                <w:u w:val="single"/>
              </w:rPr>
              <w:t>renal</w:t>
            </w:r>
          </w:p>
        </w:tc>
        <w:tc>
          <w:tcPr>
            <w:tcW w:w="3643" w:type="dxa"/>
            <w:gridSpan w:val="2"/>
            <w:tcBorders>
              <w:top w:val="nil"/>
              <w:bottom w:val="nil"/>
            </w:tcBorders>
          </w:tcPr>
          <w:p>
            <w:pPr>
              <w:pStyle w:val="TableParagraph"/>
              <w:spacing w:before="14"/>
              <w:ind w:left="1101"/>
              <w:rPr>
                <w:b/>
                <w:sz w:val="21"/>
              </w:rPr>
            </w:pPr>
            <w:r>
              <w:rPr>
                <w:b/>
                <w:w w:val="105"/>
                <w:sz w:val="21"/>
                <w:u w:val="single"/>
              </w:rPr>
              <w:t>µmol/l (mg/dl)</w:t>
            </w:r>
          </w:p>
        </w:tc>
        <w:tc>
          <w:tcPr>
            <w:tcW w:w="4114" w:type="dxa"/>
            <w:tcBorders>
              <w:top w:val="nil"/>
              <w:bottom w:val="nil"/>
              <w:right w:val="nil"/>
            </w:tcBorders>
          </w:tcPr>
          <w:p>
            <w:pPr/>
          </w:p>
        </w:tc>
      </w:tr>
      <w:tr>
        <w:trPr>
          <w:trHeight w:val="599" w:hRule="exact"/>
        </w:trPr>
        <w:tc>
          <w:tcPr>
            <w:tcW w:w="1618" w:type="dxa"/>
            <w:tcBorders>
              <w:top w:val="nil"/>
              <w:left w:val="nil"/>
            </w:tcBorders>
          </w:tcPr>
          <w:p>
            <w:pPr>
              <w:pStyle w:val="TableParagraph"/>
              <w:spacing w:before="51"/>
              <w:ind w:left="136" w:right="128"/>
              <w:jc w:val="center"/>
              <w:rPr>
                <w:b/>
                <w:sz w:val="19"/>
              </w:rPr>
            </w:pPr>
            <w:r>
              <w:rPr>
                <w:b/>
                <w:w w:val="105"/>
                <w:sz w:val="19"/>
                <w:u w:val="single"/>
              </w:rPr>
              <w:t>residual)*</w:t>
            </w:r>
          </w:p>
        </w:tc>
        <w:tc>
          <w:tcPr>
            <w:tcW w:w="3643" w:type="dxa"/>
            <w:gridSpan w:val="2"/>
            <w:tcBorders>
              <w:top w:val="nil"/>
            </w:tcBorders>
          </w:tcPr>
          <w:p>
            <w:pPr/>
          </w:p>
        </w:tc>
        <w:tc>
          <w:tcPr>
            <w:tcW w:w="4114" w:type="dxa"/>
            <w:tcBorders>
              <w:top w:val="nil"/>
              <w:right w:val="nil"/>
            </w:tcBorders>
          </w:tcPr>
          <w:p>
            <w:pPr/>
          </w:p>
        </w:tc>
      </w:tr>
      <w:tr>
        <w:trPr>
          <w:trHeight w:val="590" w:hRule="exact"/>
        </w:trPr>
        <w:tc>
          <w:tcPr>
            <w:tcW w:w="1618" w:type="dxa"/>
            <w:tcBorders>
              <w:left w:val="nil"/>
            </w:tcBorders>
          </w:tcPr>
          <w:p>
            <w:pPr/>
          </w:p>
        </w:tc>
        <w:tc>
          <w:tcPr>
            <w:tcW w:w="1829" w:type="dxa"/>
          </w:tcPr>
          <w:p>
            <w:pPr>
              <w:pStyle w:val="TableParagraph"/>
              <w:spacing w:before="4"/>
              <w:ind w:left="562"/>
              <w:rPr>
                <w:b/>
                <w:sz w:val="21"/>
              </w:rPr>
            </w:pPr>
            <w:r>
              <w:rPr>
                <w:b/>
                <w:w w:val="105"/>
                <w:sz w:val="21"/>
                <w:u w:val="single"/>
              </w:rPr>
              <w:t>Perros</w:t>
            </w:r>
          </w:p>
        </w:tc>
        <w:tc>
          <w:tcPr>
            <w:tcW w:w="1814" w:type="dxa"/>
          </w:tcPr>
          <w:p>
            <w:pPr>
              <w:pStyle w:val="TableParagraph"/>
              <w:spacing w:before="4"/>
              <w:ind w:left="147" w:right="143"/>
              <w:jc w:val="center"/>
              <w:rPr>
                <w:b/>
                <w:sz w:val="21"/>
              </w:rPr>
            </w:pPr>
            <w:r>
              <w:rPr>
                <w:b/>
                <w:w w:val="105"/>
                <w:sz w:val="21"/>
                <w:u w:val="single"/>
              </w:rPr>
              <w:t>Gatos</w:t>
            </w:r>
          </w:p>
        </w:tc>
        <w:tc>
          <w:tcPr>
            <w:tcW w:w="4114" w:type="dxa"/>
            <w:tcBorders>
              <w:right w:val="nil"/>
            </w:tcBorders>
          </w:tcPr>
          <w:p>
            <w:pPr/>
          </w:p>
        </w:tc>
      </w:tr>
      <w:tr>
        <w:trPr>
          <w:trHeight w:val="372" w:hRule="exact"/>
        </w:trPr>
        <w:tc>
          <w:tcPr>
            <w:tcW w:w="1618" w:type="dxa"/>
            <w:tcBorders>
              <w:left w:val="nil"/>
              <w:bottom w:val="nil"/>
            </w:tcBorders>
          </w:tcPr>
          <w:p>
            <w:pPr>
              <w:pStyle w:val="TableParagraph"/>
              <w:spacing w:before="91"/>
              <w:ind w:left="7"/>
              <w:jc w:val="center"/>
              <w:rPr>
                <w:b/>
                <w:sz w:val="21"/>
              </w:rPr>
            </w:pPr>
            <w:r>
              <w:rPr>
                <w:b/>
                <w:w w:val="102"/>
                <w:sz w:val="21"/>
              </w:rPr>
              <w:t>1</w:t>
            </w:r>
          </w:p>
        </w:tc>
        <w:tc>
          <w:tcPr>
            <w:tcW w:w="1829" w:type="dxa"/>
            <w:tcBorders>
              <w:bottom w:val="nil"/>
            </w:tcBorders>
          </w:tcPr>
          <w:p>
            <w:pPr/>
          </w:p>
        </w:tc>
        <w:tc>
          <w:tcPr>
            <w:tcW w:w="1814" w:type="dxa"/>
            <w:tcBorders>
              <w:bottom w:val="nil"/>
            </w:tcBorders>
          </w:tcPr>
          <w:p>
            <w:pPr/>
          </w:p>
        </w:tc>
        <w:tc>
          <w:tcPr>
            <w:tcW w:w="4114" w:type="dxa"/>
            <w:tcBorders>
              <w:bottom w:val="nil"/>
              <w:right w:val="nil"/>
            </w:tcBorders>
          </w:tcPr>
          <w:p>
            <w:pPr>
              <w:pStyle w:val="TableParagraph"/>
              <w:tabs>
                <w:tab w:pos="890" w:val="left" w:leader="none"/>
                <w:tab w:pos="2310" w:val="left" w:leader="none"/>
                <w:tab w:pos="3058" w:val="left" w:leader="none"/>
              </w:tabs>
              <w:spacing w:before="9"/>
              <w:ind w:left="105"/>
              <w:rPr>
                <w:sz w:val="21"/>
              </w:rPr>
            </w:pPr>
            <w:r>
              <w:rPr>
                <w:i/>
                <w:w w:val="105"/>
                <w:sz w:val="21"/>
              </w:rPr>
              <w:t>Sin</w:t>
              <w:tab/>
              <w:t>azotemia</w:t>
            </w:r>
            <w:r>
              <w:rPr>
                <w:w w:val="105"/>
                <w:sz w:val="21"/>
              </w:rPr>
              <w:t>,</w:t>
              <w:tab/>
              <w:t>los</w:t>
              <w:tab/>
              <w:t>pacientes</w:t>
            </w:r>
          </w:p>
        </w:tc>
      </w:tr>
      <w:tr>
        <w:trPr>
          <w:trHeight w:val="293" w:hRule="exact"/>
        </w:trPr>
        <w:tc>
          <w:tcPr>
            <w:tcW w:w="1618" w:type="dxa"/>
            <w:tcBorders>
              <w:top w:val="nil"/>
              <w:left w:val="nil"/>
              <w:bottom w:val="nil"/>
            </w:tcBorders>
          </w:tcPr>
          <w:p>
            <w:pPr/>
          </w:p>
        </w:tc>
        <w:tc>
          <w:tcPr>
            <w:tcW w:w="1829" w:type="dxa"/>
            <w:tcBorders>
              <w:top w:val="nil"/>
              <w:bottom w:val="nil"/>
            </w:tcBorders>
          </w:tcPr>
          <w:p>
            <w:pPr>
              <w:pStyle w:val="TableParagraph"/>
              <w:spacing w:before="16"/>
              <w:ind w:left="281"/>
              <w:rPr>
                <w:sz w:val="21"/>
              </w:rPr>
            </w:pPr>
            <w:r>
              <w:rPr>
                <w:w w:val="105"/>
                <w:sz w:val="21"/>
              </w:rPr>
              <w:t>&lt;125 </w:t>
            </w:r>
            <w:r>
              <w:rPr>
                <w:spacing w:val="56"/>
                <w:w w:val="105"/>
                <w:sz w:val="21"/>
              </w:rPr>
              <w:t> </w:t>
            </w:r>
            <w:r>
              <w:rPr>
                <w:w w:val="105"/>
                <w:sz w:val="21"/>
              </w:rPr>
              <w:t>(&lt;1.4)</w:t>
            </w:r>
          </w:p>
        </w:tc>
        <w:tc>
          <w:tcPr>
            <w:tcW w:w="1814" w:type="dxa"/>
            <w:tcBorders>
              <w:top w:val="nil"/>
              <w:bottom w:val="nil"/>
            </w:tcBorders>
          </w:tcPr>
          <w:p>
            <w:pPr>
              <w:pStyle w:val="TableParagraph"/>
              <w:spacing w:before="16"/>
              <w:ind w:left="147" w:right="140"/>
              <w:jc w:val="center"/>
              <w:rPr>
                <w:sz w:val="21"/>
              </w:rPr>
            </w:pPr>
            <w:r>
              <w:rPr>
                <w:w w:val="105"/>
                <w:sz w:val="21"/>
              </w:rPr>
              <w:t>&lt;140</w:t>
            </w:r>
            <w:r>
              <w:rPr>
                <w:spacing w:val="56"/>
                <w:w w:val="105"/>
                <w:sz w:val="21"/>
              </w:rPr>
              <w:t> </w:t>
            </w:r>
            <w:r>
              <w:rPr>
                <w:w w:val="105"/>
                <w:sz w:val="21"/>
              </w:rPr>
              <w:t>(&lt;1.6)</w:t>
            </w:r>
          </w:p>
        </w:tc>
        <w:tc>
          <w:tcPr>
            <w:tcW w:w="4114" w:type="dxa"/>
            <w:tcBorders>
              <w:top w:val="nil"/>
              <w:bottom w:val="nil"/>
              <w:right w:val="nil"/>
            </w:tcBorders>
          </w:tcPr>
          <w:p>
            <w:pPr>
              <w:pStyle w:val="TableParagraph"/>
              <w:spacing w:before="21"/>
              <w:ind w:left="105"/>
              <w:rPr>
                <w:sz w:val="21"/>
              </w:rPr>
            </w:pPr>
            <w:r>
              <w:rPr>
                <w:w w:val="105"/>
                <w:sz w:val="21"/>
              </w:rPr>
              <w:t>generalmente  solo  presentan   poliuria</w:t>
            </w:r>
          </w:p>
        </w:tc>
      </w:tr>
      <w:tr>
        <w:trPr>
          <w:trHeight w:val="684" w:hRule="exact"/>
        </w:trPr>
        <w:tc>
          <w:tcPr>
            <w:tcW w:w="1618" w:type="dxa"/>
            <w:tcBorders>
              <w:top w:val="nil"/>
              <w:left w:val="nil"/>
            </w:tcBorders>
          </w:tcPr>
          <w:p>
            <w:pPr>
              <w:pStyle w:val="TableParagraph"/>
              <w:spacing w:before="11"/>
              <w:ind w:left="136" w:right="128"/>
              <w:jc w:val="center"/>
              <w:rPr>
                <w:sz w:val="21"/>
              </w:rPr>
            </w:pPr>
            <w:r>
              <w:rPr>
                <w:w w:val="105"/>
                <w:sz w:val="21"/>
              </w:rPr>
              <w:t>(100 a 67%)</w:t>
            </w:r>
          </w:p>
        </w:tc>
        <w:tc>
          <w:tcPr>
            <w:tcW w:w="1829" w:type="dxa"/>
            <w:tcBorders>
              <w:top w:val="nil"/>
            </w:tcBorders>
          </w:tcPr>
          <w:p>
            <w:pPr/>
          </w:p>
        </w:tc>
        <w:tc>
          <w:tcPr>
            <w:tcW w:w="1814" w:type="dxa"/>
            <w:tcBorders>
              <w:top w:val="nil"/>
            </w:tcBorders>
          </w:tcPr>
          <w:p>
            <w:pPr/>
          </w:p>
        </w:tc>
        <w:tc>
          <w:tcPr>
            <w:tcW w:w="4114" w:type="dxa"/>
            <w:tcBorders>
              <w:top w:val="nil"/>
              <w:right w:val="nil"/>
            </w:tcBorders>
          </w:tcPr>
          <w:p>
            <w:pPr>
              <w:pStyle w:val="TableParagraph"/>
              <w:spacing w:before="103"/>
              <w:ind w:left="105"/>
              <w:rPr>
                <w:sz w:val="21"/>
              </w:rPr>
            </w:pPr>
            <w:r>
              <w:rPr>
                <w:w w:val="105"/>
                <w:sz w:val="21"/>
              </w:rPr>
              <w:t>polidipsia.</w:t>
            </w:r>
          </w:p>
        </w:tc>
      </w:tr>
      <w:tr>
        <w:trPr>
          <w:trHeight w:val="334" w:hRule="exact"/>
        </w:trPr>
        <w:tc>
          <w:tcPr>
            <w:tcW w:w="1618" w:type="dxa"/>
            <w:tcBorders>
              <w:left w:val="nil"/>
              <w:bottom w:val="nil"/>
            </w:tcBorders>
          </w:tcPr>
          <w:p>
            <w:pPr/>
          </w:p>
        </w:tc>
        <w:tc>
          <w:tcPr>
            <w:tcW w:w="1829" w:type="dxa"/>
            <w:tcBorders>
              <w:bottom w:val="nil"/>
            </w:tcBorders>
          </w:tcPr>
          <w:p>
            <w:pPr/>
          </w:p>
        </w:tc>
        <w:tc>
          <w:tcPr>
            <w:tcW w:w="1814" w:type="dxa"/>
            <w:tcBorders>
              <w:bottom w:val="nil"/>
            </w:tcBorders>
          </w:tcPr>
          <w:p>
            <w:pPr/>
          </w:p>
        </w:tc>
        <w:tc>
          <w:tcPr>
            <w:tcW w:w="4114" w:type="dxa"/>
            <w:tcBorders>
              <w:bottom w:val="nil"/>
              <w:right w:val="nil"/>
            </w:tcBorders>
          </w:tcPr>
          <w:p>
            <w:pPr>
              <w:pStyle w:val="TableParagraph"/>
              <w:spacing w:before="9"/>
              <w:ind w:left="105"/>
              <w:rPr>
                <w:sz w:val="21"/>
              </w:rPr>
            </w:pPr>
            <w:r>
              <w:rPr>
                <w:i/>
                <w:w w:val="105"/>
                <w:sz w:val="21"/>
              </w:rPr>
              <w:t>Azotemia  renal  leve</w:t>
            </w:r>
            <w:r>
              <w:rPr>
                <w:w w:val="105"/>
                <w:sz w:val="21"/>
              </w:rPr>
              <w:t>,  los  pacientes en</w:t>
            </w:r>
          </w:p>
        </w:tc>
      </w:tr>
      <w:tr>
        <w:trPr>
          <w:trHeight w:val="379" w:hRule="exact"/>
        </w:trPr>
        <w:tc>
          <w:tcPr>
            <w:tcW w:w="1618" w:type="dxa"/>
            <w:tcBorders>
              <w:top w:val="nil"/>
              <w:left w:val="nil"/>
              <w:bottom w:val="nil"/>
            </w:tcBorders>
          </w:tcPr>
          <w:p>
            <w:pPr/>
          </w:p>
        </w:tc>
        <w:tc>
          <w:tcPr>
            <w:tcW w:w="1829" w:type="dxa"/>
            <w:tcBorders>
              <w:top w:val="nil"/>
              <w:bottom w:val="nil"/>
            </w:tcBorders>
          </w:tcPr>
          <w:p>
            <w:pPr/>
          </w:p>
        </w:tc>
        <w:tc>
          <w:tcPr>
            <w:tcW w:w="1814" w:type="dxa"/>
            <w:tcBorders>
              <w:top w:val="nil"/>
              <w:bottom w:val="nil"/>
            </w:tcBorders>
          </w:tcPr>
          <w:p>
            <w:pPr/>
          </w:p>
        </w:tc>
        <w:tc>
          <w:tcPr>
            <w:tcW w:w="4114" w:type="dxa"/>
            <w:tcBorders>
              <w:top w:val="nil"/>
              <w:bottom w:val="nil"/>
              <w:right w:val="nil"/>
            </w:tcBorders>
          </w:tcPr>
          <w:p>
            <w:pPr>
              <w:pStyle w:val="TableParagraph"/>
              <w:spacing w:before="59"/>
              <w:ind w:left="105"/>
              <w:rPr>
                <w:sz w:val="21"/>
              </w:rPr>
            </w:pPr>
            <w:r>
              <w:rPr>
                <w:w w:val="105"/>
                <w:sz w:val="21"/>
              </w:rPr>
              <w:t>ocasiones presentan pérdida de   peso,</w:t>
            </w:r>
          </w:p>
        </w:tc>
      </w:tr>
      <w:tr>
        <w:trPr>
          <w:trHeight w:val="326" w:hRule="exact"/>
        </w:trPr>
        <w:tc>
          <w:tcPr>
            <w:tcW w:w="1618" w:type="dxa"/>
            <w:tcBorders>
              <w:top w:val="nil"/>
              <w:left w:val="nil"/>
              <w:bottom w:val="nil"/>
            </w:tcBorders>
          </w:tcPr>
          <w:p>
            <w:pPr/>
          </w:p>
        </w:tc>
        <w:tc>
          <w:tcPr>
            <w:tcW w:w="1829" w:type="dxa"/>
            <w:tcBorders>
              <w:top w:val="nil"/>
              <w:bottom w:val="nil"/>
            </w:tcBorders>
          </w:tcPr>
          <w:p>
            <w:pPr/>
          </w:p>
        </w:tc>
        <w:tc>
          <w:tcPr>
            <w:tcW w:w="1814" w:type="dxa"/>
            <w:tcBorders>
              <w:top w:val="nil"/>
              <w:bottom w:val="nil"/>
            </w:tcBorders>
          </w:tcPr>
          <w:p>
            <w:pPr/>
          </w:p>
        </w:tc>
        <w:tc>
          <w:tcPr>
            <w:tcW w:w="4114" w:type="dxa"/>
            <w:tcBorders>
              <w:top w:val="nil"/>
              <w:bottom w:val="nil"/>
              <w:right w:val="nil"/>
            </w:tcBorders>
          </w:tcPr>
          <w:p>
            <w:pPr>
              <w:pStyle w:val="TableParagraph"/>
              <w:spacing w:before="59"/>
              <w:ind w:left="105"/>
              <w:rPr>
                <w:sz w:val="21"/>
              </w:rPr>
            </w:pPr>
            <w:r>
              <w:rPr>
                <w:w w:val="105"/>
                <w:sz w:val="21"/>
              </w:rPr>
              <w:t>apetito selectivo. Sin embargo </w:t>
            </w:r>
            <w:r>
              <w:rPr>
                <w:spacing w:val="58"/>
                <w:w w:val="105"/>
                <w:sz w:val="21"/>
              </w:rPr>
              <w:t> </w:t>
            </w:r>
            <w:r>
              <w:rPr>
                <w:spacing w:val="2"/>
                <w:w w:val="105"/>
                <w:sz w:val="21"/>
              </w:rPr>
              <w:t>pueden</w:t>
            </w:r>
          </w:p>
        </w:tc>
      </w:tr>
      <w:tr>
        <w:trPr>
          <w:trHeight w:val="430" w:hRule="exact"/>
        </w:trPr>
        <w:tc>
          <w:tcPr>
            <w:tcW w:w="1618" w:type="dxa"/>
            <w:tcBorders>
              <w:top w:val="nil"/>
              <w:left w:val="nil"/>
              <w:bottom w:val="nil"/>
            </w:tcBorders>
          </w:tcPr>
          <w:p>
            <w:pPr>
              <w:pStyle w:val="TableParagraph"/>
              <w:spacing w:before="7"/>
              <w:ind w:left="7"/>
              <w:jc w:val="center"/>
              <w:rPr>
                <w:b/>
                <w:sz w:val="21"/>
              </w:rPr>
            </w:pPr>
            <w:r>
              <w:rPr>
                <w:b/>
                <w:w w:val="102"/>
                <w:sz w:val="21"/>
              </w:rPr>
              <w:t>2</w:t>
            </w:r>
          </w:p>
        </w:tc>
        <w:tc>
          <w:tcPr>
            <w:tcW w:w="1829" w:type="dxa"/>
            <w:tcBorders>
              <w:top w:val="nil"/>
              <w:bottom w:val="nil"/>
            </w:tcBorders>
          </w:tcPr>
          <w:p>
            <w:pPr>
              <w:pStyle w:val="TableParagraph"/>
              <w:spacing w:before="112"/>
              <w:ind w:right="107"/>
              <w:jc w:val="right"/>
              <w:rPr>
                <w:sz w:val="21"/>
              </w:rPr>
            </w:pPr>
            <w:r>
              <w:rPr>
                <w:w w:val="105"/>
                <w:sz w:val="21"/>
              </w:rPr>
              <w:t>125 a 179 (1.4 a</w:t>
            </w:r>
          </w:p>
        </w:tc>
        <w:tc>
          <w:tcPr>
            <w:tcW w:w="1814" w:type="dxa"/>
            <w:tcBorders>
              <w:top w:val="nil"/>
              <w:bottom w:val="nil"/>
            </w:tcBorders>
          </w:tcPr>
          <w:p>
            <w:pPr>
              <w:pStyle w:val="TableParagraph"/>
              <w:spacing w:before="112"/>
              <w:ind w:left="147" w:right="144"/>
              <w:jc w:val="center"/>
              <w:rPr>
                <w:sz w:val="21"/>
              </w:rPr>
            </w:pPr>
            <w:r>
              <w:rPr>
                <w:w w:val="105"/>
                <w:sz w:val="21"/>
              </w:rPr>
              <w:t>140 a 249 (1.6</w:t>
            </w:r>
          </w:p>
        </w:tc>
        <w:tc>
          <w:tcPr>
            <w:tcW w:w="4114" w:type="dxa"/>
            <w:tcBorders>
              <w:top w:val="nil"/>
              <w:bottom w:val="nil"/>
              <w:right w:val="nil"/>
            </w:tcBorders>
          </w:tcPr>
          <w:p>
            <w:pPr>
              <w:pStyle w:val="TableParagraph"/>
              <w:spacing w:before="112"/>
              <w:ind w:left="105"/>
              <w:rPr>
                <w:sz w:val="21"/>
              </w:rPr>
            </w:pPr>
            <w:r>
              <w:rPr>
                <w:w w:val="105"/>
                <w:sz w:val="21"/>
              </w:rPr>
              <w:t>presentar   signos   debido  pielonefritis</w:t>
            </w:r>
          </w:p>
        </w:tc>
      </w:tr>
      <w:tr>
        <w:trPr>
          <w:trHeight w:val="430" w:hRule="exact"/>
        </w:trPr>
        <w:tc>
          <w:tcPr>
            <w:tcW w:w="1618" w:type="dxa"/>
            <w:tcBorders>
              <w:top w:val="nil"/>
              <w:left w:val="nil"/>
              <w:bottom w:val="nil"/>
            </w:tcBorders>
          </w:tcPr>
          <w:p>
            <w:pPr>
              <w:pStyle w:val="TableParagraph"/>
              <w:spacing w:before="158"/>
              <w:ind w:left="136" w:right="128"/>
              <w:jc w:val="center"/>
              <w:rPr>
                <w:sz w:val="21"/>
              </w:rPr>
            </w:pPr>
            <w:r>
              <w:rPr>
                <w:w w:val="105"/>
                <w:sz w:val="21"/>
              </w:rPr>
              <w:t>(33%)</w:t>
            </w:r>
          </w:p>
        </w:tc>
        <w:tc>
          <w:tcPr>
            <w:tcW w:w="1829" w:type="dxa"/>
            <w:tcBorders>
              <w:top w:val="nil"/>
              <w:bottom w:val="nil"/>
            </w:tcBorders>
          </w:tcPr>
          <w:p>
            <w:pPr>
              <w:pStyle w:val="TableParagraph"/>
              <w:spacing w:before="57"/>
              <w:ind w:left="609" w:right="606"/>
              <w:jc w:val="center"/>
              <w:rPr>
                <w:sz w:val="21"/>
              </w:rPr>
            </w:pPr>
            <w:r>
              <w:rPr>
                <w:w w:val="105"/>
                <w:sz w:val="21"/>
              </w:rPr>
              <w:t>2.0)</w:t>
            </w:r>
          </w:p>
        </w:tc>
        <w:tc>
          <w:tcPr>
            <w:tcW w:w="1814" w:type="dxa"/>
            <w:tcBorders>
              <w:top w:val="nil"/>
              <w:bottom w:val="nil"/>
            </w:tcBorders>
          </w:tcPr>
          <w:p>
            <w:pPr>
              <w:pStyle w:val="TableParagraph"/>
              <w:spacing w:before="57"/>
              <w:ind w:left="147" w:right="140"/>
              <w:jc w:val="center"/>
              <w:rPr>
                <w:sz w:val="21"/>
              </w:rPr>
            </w:pPr>
            <w:r>
              <w:rPr>
                <w:w w:val="105"/>
                <w:sz w:val="21"/>
              </w:rPr>
              <w:t>a 2.8)</w:t>
            </w:r>
          </w:p>
        </w:tc>
        <w:tc>
          <w:tcPr>
            <w:tcW w:w="4114" w:type="dxa"/>
            <w:tcBorders>
              <w:top w:val="nil"/>
              <w:bottom w:val="nil"/>
              <w:right w:val="nil"/>
            </w:tcBorders>
          </w:tcPr>
          <w:p>
            <w:pPr>
              <w:pStyle w:val="TableParagraph"/>
              <w:spacing w:before="62"/>
              <w:ind w:left="105"/>
              <w:rPr>
                <w:sz w:val="21"/>
              </w:rPr>
            </w:pPr>
            <w:r>
              <w:rPr>
                <w:w w:val="105"/>
                <w:sz w:val="21"/>
              </w:rPr>
              <w:t>aguda   o   nefrolitiasis   o   en  algunos</w:t>
            </w:r>
          </w:p>
        </w:tc>
      </w:tr>
      <w:tr>
        <w:trPr>
          <w:trHeight w:val="331" w:hRule="exact"/>
        </w:trPr>
        <w:tc>
          <w:tcPr>
            <w:tcW w:w="1618" w:type="dxa"/>
            <w:tcBorders>
              <w:top w:val="nil"/>
              <w:left w:val="nil"/>
              <w:bottom w:val="nil"/>
            </w:tcBorders>
          </w:tcPr>
          <w:p>
            <w:pPr/>
          </w:p>
        </w:tc>
        <w:tc>
          <w:tcPr>
            <w:tcW w:w="1829" w:type="dxa"/>
            <w:tcBorders>
              <w:top w:val="nil"/>
              <w:bottom w:val="nil"/>
            </w:tcBorders>
          </w:tcPr>
          <w:p>
            <w:pPr/>
          </w:p>
        </w:tc>
        <w:tc>
          <w:tcPr>
            <w:tcW w:w="1814" w:type="dxa"/>
            <w:tcBorders>
              <w:top w:val="nil"/>
              <w:bottom w:val="nil"/>
            </w:tcBorders>
          </w:tcPr>
          <w:p>
            <w:pPr/>
          </w:p>
        </w:tc>
        <w:tc>
          <w:tcPr>
            <w:tcW w:w="4114" w:type="dxa"/>
            <w:tcBorders>
              <w:top w:val="nil"/>
              <w:bottom w:val="nil"/>
              <w:right w:val="nil"/>
            </w:tcBorders>
          </w:tcPr>
          <w:p>
            <w:pPr>
              <w:pStyle w:val="TableParagraph"/>
              <w:spacing w:before="11"/>
              <w:ind w:left="105"/>
              <w:rPr>
                <w:sz w:val="21"/>
              </w:rPr>
            </w:pPr>
            <w:r>
              <w:rPr>
                <w:w w:val="105"/>
                <w:sz w:val="21"/>
              </w:rPr>
              <w:t>casos   se   pueden   presentar   signos</w:t>
            </w:r>
          </w:p>
        </w:tc>
      </w:tr>
      <w:tr>
        <w:trPr>
          <w:trHeight w:val="377" w:hRule="exact"/>
        </w:trPr>
        <w:tc>
          <w:tcPr>
            <w:tcW w:w="1618" w:type="dxa"/>
            <w:tcBorders>
              <w:top w:val="nil"/>
              <w:left w:val="nil"/>
              <w:bottom w:val="nil"/>
            </w:tcBorders>
          </w:tcPr>
          <w:p>
            <w:pPr/>
          </w:p>
        </w:tc>
        <w:tc>
          <w:tcPr>
            <w:tcW w:w="1829" w:type="dxa"/>
            <w:tcBorders>
              <w:top w:val="nil"/>
              <w:bottom w:val="nil"/>
            </w:tcBorders>
          </w:tcPr>
          <w:p>
            <w:pPr/>
          </w:p>
        </w:tc>
        <w:tc>
          <w:tcPr>
            <w:tcW w:w="1814" w:type="dxa"/>
            <w:tcBorders>
              <w:top w:val="nil"/>
              <w:bottom w:val="nil"/>
            </w:tcBorders>
          </w:tcPr>
          <w:p>
            <w:pPr/>
          </w:p>
        </w:tc>
        <w:tc>
          <w:tcPr>
            <w:tcW w:w="4114" w:type="dxa"/>
            <w:tcBorders>
              <w:top w:val="nil"/>
              <w:bottom w:val="nil"/>
              <w:right w:val="nil"/>
            </w:tcBorders>
          </w:tcPr>
          <w:p>
            <w:pPr>
              <w:pStyle w:val="TableParagraph"/>
              <w:spacing w:before="59"/>
              <w:ind w:left="105"/>
              <w:rPr>
                <w:sz w:val="21"/>
              </w:rPr>
            </w:pPr>
            <w:r>
              <w:rPr>
                <w:w w:val="105"/>
                <w:sz w:val="21"/>
              </w:rPr>
              <w:t>relacionados   a   proteinuria   severa  o</w:t>
            </w:r>
          </w:p>
        </w:tc>
      </w:tr>
      <w:tr>
        <w:trPr>
          <w:trHeight w:val="638" w:hRule="exact"/>
        </w:trPr>
        <w:tc>
          <w:tcPr>
            <w:tcW w:w="1618" w:type="dxa"/>
            <w:tcBorders>
              <w:top w:val="nil"/>
              <w:left w:val="nil"/>
            </w:tcBorders>
          </w:tcPr>
          <w:p>
            <w:pPr/>
          </w:p>
        </w:tc>
        <w:tc>
          <w:tcPr>
            <w:tcW w:w="1829" w:type="dxa"/>
            <w:tcBorders>
              <w:top w:val="nil"/>
            </w:tcBorders>
          </w:tcPr>
          <w:p>
            <w:pPr/>
          </w:p>
        </w:tc>
        <w:tc>
          <w:tcPr>
            <w:tcW w:w="1814" w:type="dxa"/>
            <w:tcBorders>
              <w:top w:val="nil"/>
            </w:tcBorders>
          </w:tcPr>
          <w:p>
            <w:pPr/>
          </w:p>
        </w:tc>
        <w:tc>
          <w:tcPr>
            <w:tcW w:w="4114" w:type="dxa"/>
            <w:tcBorders>
              <w:top w:val="nil"/>
              <w:right w:val="nil"/>
            </w:tcBorders>
          </w:tcPr>
          <w:p>
            <w:pPr>
              <w:pStyle w:val="TableParagraph"/>
              <w:spacing w:before="57"/>
              <w:ind w:left="105"/>
              <w:rPr>
                <w:sz w:val="21"/>
              </w:rPr>
            </w:pPr>
            <w:r>
              <w:rPr>
                <w:w w:val="105"/>
                <w:sz w:val="21"/>
              </w:rPr>
              <w:t>hipertensión sistémica.</w:t>
            </w:r>
          </w:p>
        </w:tc>
      </w:tr>
      <w:tr>
        <w:trPr>
          <w:trHeight w:val="281" w:hRule="exact"/>
        </w:trPr>
        <w:tc>
          <w:tcPr>
            <w:tcW w:w="1618" w:type="dxa"/>
            <w:tcBorders>
              <w:left w:val="nil"/>
              <w:bottom w:val="nil"/>
            </w:tcBorders>
          </w:tcPr>
          <w:p>
            <w:pPr/>
          </w:p>
        </w:tc>
        <w:tc>
          <w:tcPr>
            <w:tcW w:w="1829" w:type="dxa"/>
            <w:tcBorders>
              <w:bottom w:val="nil"/>
            </w:tcBorders>
          </w:tcPr>
          <w:p>
            <w:pPr/>
          </w:p>
        </w:tc>
        <w:tc>
          <w:tcPr>
            <w:tcW w:w="1814" w:type="dxa"/>
            <w:tcBorders>
              <w:bottom w:val="nil"/>
            </w:tcBorders>
          </w:tcPr>
          <w:p>
            <w:pPr/>
          </w:p>
        </w:tc>
        <w:tc>
          <w:tcPr>
            <w:tcW w:w="4114" w:type="dxa"/>
            <w:tcBorders>
              <w:bottom w:val="nil"/>
              <w:right w:val="nil"/>
            </w:tcBorders>
          </w:tcPr>
          <w:p>
            <w:pPr>
              <w:pStyle w:val="TableParagraph"/>
              <w:tabs>
                <w:tab w:pos="1407" w:val="left" w:leader="none"/>
                <w:tab w:pos="2282" w:val="left" w:leader="none"/>
                <w:tab w:pos="3719" w:val="left" w:leader="none"/>
              </w:tabs>
              <w:spacing w:before="9"/>
              <w:ind w:left="105"/>
              <w:rPr>
                <w:sz w:val="21"/>
              </w:rPr>
            </w:pPr>
            <w:r>
              <w:rPr>
                <w:i/>
                <w:w w:val="105"/>
                <w:sz w:val="21"/>
              </w:rPr>
              <w:t>Azotemia</w:t>
              <w:tab/>
              <w:t>renal</w:t>
              <w:tab/>
              <w:t>moderada</w:t>
            </w:r>
            <w:r>
              <w:rPr>
                <w:w w:val="105"/>
                <w:sz w:val="21"/>
              </w:rPr>
              <w:t>,</w:t>
              <w:tab/>
              <w:t>los</w:t>
            </w:r>
          </w:p>
        </w:tc>
      </w:tr>
      <w:tr>
        <w:trPr>
          <w:trHeight w:val="430" w:hRule="exact"/>
        </w:trPr>
        <w:tc>
          <w:tcPr>
            <w:tcW w:w="1618" w:type="dxa"/>
            <w:tcBorders>
              <w:top w:val="nil"/>
              <w:left w:val="nil"/>
              <w:bottom w:val="nil"/>
            </w:tcBorders>
          </w:tcPr>
          <w:p>
            <w:pPr>
              <w:pStyle w:val="TableParagraph"/>
              <w:spacing w:before="7"/>
              <w:ind w:left="7"/>
              <w:jc w:val="center"/>
              <w:rPr>
                <w:b/>
                <w:sz w:val="21"/>
              </w:rPr>
            </w:pPr>
            <w:r>
              <w:rPr>
                <w:b/>
                <w:w w:val="102"/>
                <w:sz w:val="21"/>
              </w:rPr>
              <w:t>3</w:t>
            </w:r>
          </w:p>
        </w:tc>
        <w:tc>
          <w:tcPr>
            <w:tcW w:w="1829" w:type="dxa"/>
            <w:tcBorders>
              <w:top w:val="nil"/>
              <w:bottom w:val="nil"/>
            </w:tcBorders>
          </w:tcPr>
          <w:p>
            <w:pPr>
              <w:pStyle w:val="TableParagraph"/>
              <w:spacing w:before="112"/>
              <w:ind w:right="168"/>
              <w:jc w:val="right"/>
              <w:rPr>
                <w:sz w:val="21"/>
              </w:rPr>
            </w:pPr>
            <w:r>
              <w:rPr>
                <w:w w:val="105"/>
                <w:sz w:val="21"/>
              </w:rPr>
              <w:t>180 a 439</w:t>
            </w:r>
            <w:r>
              <w:rPr>
                <w:spacing w:val="51"/>
                <w:w w:val="105"/>
                <w:sz w:val="21"/>
              </w:rPr>
              <w:t> </w:t>
            </w:r>
            <w:r>
              <w:rPr>
                <w:w w:val="105"/>
                <w:sz w:val="21"/>
              </w:rPr>
              <w:t>(2.1</w:t>
            </w:r>
          </w:p>
        </w:tc>
        <w:tc>
          <w:tcPr>
            <w:tcW w:w="1814" w:type="dxa"/>
            <w:tcBorders>
              <w:top w:val="nil"/>
              <w:bottom w:val="nil"/>
            </w:tcBorders>
          </w:tcPr>
          <w:p>
            <w:pPr>
              <w:pStyle w:val="TableParagraph"/>
              <w:spacing w:before="112"/>
              <w:ind w:left="147" w:right="144"/>
              <w:jc w:val="center"/>
              <w:rPr>
                <w:sz w:val="21"/>
              </w:rPr>
            </w:pPr>
            <w:r>
              <w:rPr>
                <w:w w:val="105"/>
                <w:sz w:val="21"/>
              </w:rPr>
              <w:t>250 a 439</w:t>
            </w:r>
            <w:r>
              <w:rPr>
                <w:spacing w:val="51"/>
                <w:w w:val="105"/>
                <w:sz w:val="21"/>
              </w:rPr>
              <w:t> </w:t>
            </w:r>
            <w:r>
              <w:rPr>
                <w:w w:val="105"/>
                <w:sz w:val="21"/>
              </w:rPr>
              <w:t>(2.9</w:t>
            </w:r>
          </w:p>
        </w:tc>
        <w:tc>
          <w:tcPr>
            <w:tcW w:w="4114" w:type="dxa"/>
            <w:tcBorders>
              <w:top w:val="nil"/>
              <w:bottom w:val="nil"/>
              <w:right w:val="nil"/>
            </w:tcBorders>
          </w:tcPr>
          <w:p>
            <w:pPr>
              <w:pStyle w:val="TableParagraph"/>
              <w:spacing w:before="112"/>
              <w:ind w:left="105"/>
              <w:rPr>
                <w:sz w:val="21"/>
              </w:rPr>
            </w:pPr>
            <w:r>
              <w:rPr>
                <w:w w:val="105"/>
                <w:sz w:val="21"/>
              </w:rPr>
              <w:t>pacientes  en  esta  fase  pueden  tener</w:t>
            </w:r>
          </w:p>
        </w:tc>
      </w:tr>
      <w:tr>
        <w:trPr>
          <w:trHeight w:val="427" w:hRule="exact"/>
        </w:trPr>
        <w:tc>
          <w:tcPr>
            <w:tcW w:w="1618" w:type="dxa"/>
            <w:tcBorders>
              <w:top w:val="nil"/>
              <w:left w:val="nil"/>
              <w:bottom w:val="nil"/>
            </w:tcBorders>
          </w:tcPr>
          <w:p>
            <w:pPr>
              <w:pStyle w:val="TableParagraph"/>
              <w:spacing w:before="158"/>
              <w:ind w:left="136" w:right="128"/>
              <w:jc w:val="center"/>
              <w:rPr>
                <w:sz w:val="21"/>
              </w:rPr>
            </w:pPr>
            <w:r>
              <w:rPr>
                <w:w w:val="105"/>
                <w:sz w:val="21"/>
              </w:rPr>
              <w:t>(25%)</w:t>
            </w:r>
          </w:p>
        </w:tc>
        <w:tc>
          <w:tcPr>
            <w:tcW w:w="1829" w:type="dxa"/>
            <w:tcBorders>
              <w:top w:val="nil"/>
              <w:bottom w:val="nil"/>
            </w:tcBorders>
          </w:tcPr>
          <w:p>
            <w:pPr>
              <w:pStyle w:val="TableParagraph"/>
              <w:spacing w:before="57"/>
              <w:ind w:left="609" w:right="606"/>
              <w:jc w:val="center"/>
              <w:rPr>
                <w:sz w:val="21"/>
              </w:rPr>
            </w:pPr>
            <w:r>
              <w:rPr>
                <w:w w:val="105"/>
                <w:sz w:val="21"/>
              </w:rPr>
              <w:t>a 5.0)</w:t>
            </w:r>
          </w:p>
        </w:tc>
        <w:tc>
          <w:tcPr>
            <w:tcW w:w="1814" w:type="dxa"/>
            <w:tcBorders>
              <w:top w:val="nil"/>
              <w:bottom w:val="nil"/>
            </w:tcBorders>
          </w:tcPr>
          <w:p>
            <w:pPr>
              <w:pStyle w:val="TableParagraph"/>
              <w:spacing w:before="57"/>
              <w:ind w:left="147" w:right="140"/>
              <w:jc w:val="center"/>
              <w:rPr>
                <w:sz w:val="21"/>
              </w:rPr>
            </w:pPr>
            <w:r>
              <w:rPr>
                <w:w w:val="105"/>
                <w:sz w:val="21"/>
              </w:rPr>
              <w:t>a 5.0)</w:t>
            </w:r>
          </w:p>
        </w:tc>
        <w:tc>
          <w:tcPr>
            <w:tcW w:w="4114" w:type="dxa"/>
            <w:tcBorders>
              <w:top w:val="nil"/>
              <w:bottom w:val="nil"/>
              <w:right w:val="nil"/>
            </w:tcBorders>
          </w:tcPr>
          <w:p>
            <w:pPr>
              <w:pStyle w:val="TableParagraph"/>
              <w:tabs>
                <w:tab w:pos="987" w:val="left" w:leader="none"/>
                <w:tab w:pos="1967" w:val="left" w:leader="none"/>
                <w:tab w:pos="3460" w:val="left" w:leader="none"/>
                <w:tab w:pos="3828" w:val="left" w:leader="none"/>
              </w:tabs>
              <w:spacing w:before="62"/>
              <w:ind w:left="105"/>
              <w:rPr>
                <w:sz w:val="21"/>
              </w:rPr>
            </w:pPr>
            <w:r>
              <w:rPr>
                <w:w w:val="105"/>
                <w:sz w:val="21"/>
              </w:rPr>
              <w:t>signos</w:t>
              <w:tab/>
              <w:t>clínicos</w:t>
              <w:tab/>
              <w:t>relacionados</w:t>
              <w:tab/>
              <w:t>a</w:t>
              <w:tab/>
              <w:t>la</w:t>
            </w:r>
          </w:p>
        </w:tc>
      </w:tr>
      <w:tr>
        <w:trPr>
          <w:trHeight w:val="590" w:hRule="exact"/>
        </w:trPr>
        <w:tc>
          <w:tcPr>
            <w:tcW w:w="1618" w:type="dxa"/>
            <w:tcBorders>
              <w:top w:val="nil"/>
              <w:left w:val="nil"/>
            </w:tcBorders>
          </w:tcPr>
          <w:p>
            <w:pPr/>
          </w:p>
        </w:tc>
        <w:tc>
          <w:tcPr>
            <w:tcW w:w="1829" w:type="dxa"/>
            <w:tcBorders>
              <w:top w:val="nil"/>
            </w:tcBorders>
          </w:tcPr>
          <w:p>
            <w:pPr/>
          </w:p>
        </w:tc>
        <w:tc>
          <w:tcPr>
            <w:tcW w:w="1814" w:type="dxa"/>
            <w:tcBorders>
              <w:top w:val="nil"/>
            </w:tcBorders>
          </w:tcPr>
          <w:p>
            <w:pPr/>
          </w:p>
        </w:tc>
        <w:tc>
          <w:tcPr>
            <w:tcW w:w="4114" w:type="dxa"/>
            <w:tcBorders>
              <w:top w:val="nil"/>
              <w:right w:val="nil"/>
            </w:tcBorders>
          </w:tcPr>
          <w:p>
            <w:pPr>
              <w:pStyle w:val="TableParagraph"/>
              <w:spacing w:before="9"/>
              <w:ind w:left="105"/>
              <w:rPr>
                <w:sz w:val="21"/>
              </w:rPr>
            </w:pPr>
            <w:r>
              <w:rPr>
                <w:w w:val="105"/>
                <w:sz w:val="21"/>
              </w:rPr>
              <w:t>perdida de función renal</w:t>
            </w:r>
          </w:p>
        </w:tc>
      </w:tr>
      <w:tr>
        <w:trPr>
          <w:trHeight w:val="334" w:hRule="exact"/>
        </w:trPr>
        <w:tc>
          <w:tcPr>
            <w:tcW w:w="1618" w:type="dxa"/>
            <w:tcBorders>
              <w:left w:val="nil"/>
              <w:bottom w:val="nil"/>
            </w:tcBorders>
          </w:tcPr>
          <w:p>
            <w:pPr/>
          </w:p>
        </w:tc>
        <w:tc>
          <w:tcPr>
            <w:tcW w:w="1829" w:type="dxa"/>
            <w:tcBorders>
              <w:bottom w:val="nil"/>
            </w:tcBorders>
          </w:tcPr>
          <w:p>
            <w:pPr/>
          </w:p>
        </w:tc>
        <w:tc>
          <w:tcPr>
            <w:tcW w:w="1814" w:type="dxa"/>
            <w:tcBorders>
              <w:bottom w:val="nil"/>
            </w:tcBorders>
          </w:tcPr>
          <w:p>
            <w:pPr/>
          </w:p>
        </w:tc>
        <w:tc>
          <w:tcPr>
            <w:tcW w:w="4114" w:type="dxa"/>
            <w:tcBorders>
              <w:bottom w:val="nil"/>
              <w:right w:val="nil"/>
            </w:tcBorders>
          </w:tcPr>
          <w:p>
            <w:pPr>
              <w:pStyle w:val="TableParagraph"/>
              <w:tabs>
                <w:tab w:pos="1284" w:val="left" w:leader="none"/>
                <w:tab w:pos="2034" w:val="left" w:leader="none"/>
                <w:tab w:pos="2907" w:val="left" w:leader="none"/>
                <w:tab w:pos="3584" w:val="left" w:leader="none"/>
              </w:tabs>
              <w:spacing w:before="9"/>
              <w:ind w:left="105"/>
              <w:rPr>
                <w:sz w:val="21"/>
              </w:rPr>
            </w:pPr>
            <w:r>
              <w:rPr>
                <w:i/>
                <w:w w:val="105"/>
                <w:sz w:val="21"/>
              </w:rPr>
              <w:t>Azotemia</w:t>
              <w:tab/>
              <w:t>renal</w:t>
              <w:tab/>
              <w:t>grave</w:t>
            </w:r>
            <w:r>
              <w:rPr>
                <w:w w:val="105"/>
                <w:sz w:val="21"/>
              </w:rPr>
              <w:t>,</w:t>
              <w:tab/>
              <w:t>esta</w:t>
              <w:tab/>
              <w:t>fase</w:t>
            </w:r>
          </w:p>
        </w:tc>
      </w:tr>
      <w:tr>
        <w:trPr>
          <w:trHeight w:val="326" w:hRule="exact"/>
        </w:trPr>
        <w:tc>
          <w:tcPr>
            <w:tcW w:w="1618" w:type="dxa"/>
            <w:tcBorders>
              <w:top w:val="nil"/>
              <w:left w:val="nil"/>
              <w:bottom w:val="nil"/>
            </w:tcBorders>
          </w:tcPr>
          <w:p>
            <w:pPr/>
          </w:p>
        </w:tc>
        <w:tc>
          <w:tcPr>
            <w:tcW w:w="1829" w:type="dxa"/>
            <w:tcBorders>
              <w:top w:val="nil"/>
              <w:bottom w:val="nil"/>
            </w:tcBorders>
          </w:tcPr>
          <w:p>
            <w:pPr/>
          </w:p>
        </w:tc>
        <w:tc>
          <w:tcPr>
            <w:tcW w:w="1814" w:type="dxa"/>
            <w:tcBorders>
              <w:top w:val="nil"/>
              <w:bottom w:val="nil"/>
            </w:tcBorders>
          </w:tcPr>
          <w:p>
            <w:pPr/>
          </w:p>
        </w:tc>
        <w:tc>
          <w:tcPr>
            <w:tcW w:w="4114" w:type="dxa"/>
            <w:tcBorders>
              <w:top w:val="nil"/>
              <w:bottom w:val="nil"/>
              <w:right w:val="nil"/>
            </w:tcBorders>
          </w:tcPr>
          <w:p>
            <w:pPr>
              <w:pStyle w:val="TableParagraph"/>
              <w:spacing w:before="59"/>
              <w:ind w:left="105"/>
              <w:rPr>
                <w:i/>
                <w:sz w:val="21"/>
              </w:rPr>
            </w:pPr>
            <w:r>
              <w:rPr>
                <w:w w:val="105"/>
                <w:sz w:val="21"/>
              </w:rPr>
              <w:t>también denominada </w:t>
            </w:r>
            <w:r>
              <w:rPr>
                <w:i/>
                <w:w w:val="105"/>
                <w:sz w:val="21"/>
              </w:rPr>
              <w:t>insuficiencia renal</w:t>
            </w:r>
          </w:p>
        </w:tc>
      </w:tr>
      <w:tr>
        <w:trPr>
          <w:trHeight w:val="859" w:hRule="exact"/>
        </w:trPr>
        <w:tc>
          <w:tcPr>
            <w:tcW w:w="1618" w:type="dxa"/>
            <w:tcBorders>
              <w:top w:val="nil"/>
              <w:left w:val="nil"/>
              <w:bottom w:val="nil"/>
            </w:tcBorders>
          </w:tcPr>
          <w:p>
            <w:pPr>
              <w:pStyle w:val="TableParagraph"/>
              <w:spacing w:before="7"/>
              <w:ind w:left="7"/>
              <w:jc w:val="center"/>
              <w:rPr>
                <w:b/>
                <w:sz w:val="21"/>
              </w:rPr>
            </w:pPr>
            <w:r>
              <w:rPr>
                <w:b/>
                <w:w w:val="102"/>
                <w:sz w:val="21"/>
              </w:rPr>
              <w:t>4</w:t>
            </w:r>
          </w:p>
          <w:p>
            <w:pPr>
              <w:pStyle w:val="TableParagraph"/>
              <w:spacing w:before="5"/>
              <w:rPr>
                <w:b/>
                <w:sz w:val="29"/>
              </w:rPr>
            </w:pPr>
          </w:p>
          <w:p>
            <w:pPr>
              <w:pStyle w:val="TableParagraph"/>
              <w:spacing w:before="1"/>
              <w:ind w:left="136" w:right="128"/>
              <w:jc w:val="center"/>
              <w:rPr>
                <w:sz w:val="21"/>
              </w:rPr>
            </w:pPr>
            <w:r>
              <w:rPr>
                <w:w w:val="105"/>
                <w:sz w:val="21"/>
              </w:rPr>
              <w:t>(&lt;10%)</w:t>
            </w:r>
          </w:p>
        </w:tc>
        <w:tc>
          <w:tcPr>
            <w:tcW w:w="1829" w:type="dxa"/>
            <w:tcBorders>
              <w:top w:val="nil"/>
              <w:bottom w:val="nil"/>
            </w:tcBorders>
          </w:tcPr>
          <w:p>
            <w:pPr>
              <w:pStyle w:val="TableParagraph"/>
              <w:rPr>
                <w:b/>
                <w:sz w:val="26"/>
              </w:rPr>
            </w:pPr>
          </w:p>
          <w:p>
            <w:pPr>
              <w:pStyle w:val="TableParagraph"/>
              <w:ind w:left="311"/>
              <w:rPr>
                <w:sz w:val="21"/>
              </w:rPr>
            </w:pPr>
            <w:r>
              <w:rPr>
                <w:w w:val="105"/>
                <w:sz w:val="21"/>
              </w:rPr>
              <w:t>&gt;440</w:t>
            </w:r>
            <w:r>
              <w:rPr>
                <w:spacing w:val="56"/>
                <w:w w:val="105"/>
                <w:sz w:val="21"/>
              </w:rPr>
              <w:t> </w:t>
            </w:r>
            <w:r>
              <w:rPr>
                <w:w w:val="105"/>
                <w:sz w:val="21"/>
              </w:rPr>
              <w:t>(&gt;5.0)</w:t>
            </w:r>
          </w:p>
        </w:tc>
        <w:tc>
          <w:tcPr>
            <w:tcW w:w="1814" w:type="dxa"/>
            <w:tcBorders>
              <w:top w:val="nil"/>
              <w:bottom w:val="nil"/>
            </w:tcBorders>
          </w:tcPr>
          <w:p>
            <w:pPr>
              <w:pStyle w:val="TableParagraph"/>
              <w:rPr>
                <w:b/>
                <w:sz w:val="26"/>
              </w:rPr>
            </w:pPr>
          </w:p>
          <w:p>
            <w:pPr>
              <w:pStyle w:val="TableParagraph"/>
              <w:ind w:left="147" w:right="140"/>
              <w:jc w:val="center"/>
              <w:rPr>
                <w:sz w:val="21"/>
              </w:rPr>
            </w:pPr>
            <w:r>
              <w:rPr>
                <w:w w:val="105"/>
                <w:sz w:val="21"/>
              </w:rPr>
              <w:t>&gt;440</w:t>
            </w:r>
            <w:r>
              <w:rPr>
                <w:spacing w:val="56"/>
                <w:w w:val="105"/>
                <w:sz w:val="21"/>
              </w:rPr>
              <w:t> </w:t>
            </w:r>
            <w:r>
              <w:rPr>
                <w:w w:val="105"/>
                <w:sz w:val="21"/>
              </w:rPr>
              <w:t>(&gt;5.0)</w:t>
            </w:r>
          </w:p>
        </w:tc>
        <w:tc>
          <w:tcPr>
            <w:tcW w:w="4114" w:type="dxa"/>
            <w:tcBorders>
              <w:top w:val="nil"/>
              <w:bottom w:val="nil"/>
              <w:right w:val="nil"/>
            </w:tcBorders>
          </w:tcPr>
          <w:p>
            <w:pPr>
              <w:pStyle w:val="TableParagraph"/>
              <w:spacing w:line="376" w:lineRule="auto" w:before="112"/>
              <w:ind w:left="105" w:right="98"/>
              <w:rPr>
                <w:sz w:val="21"/>
              </w:rPr>
            </w:pPr>
            <w:r>
              <w:rPr>
                <w:i/>
                <w:w w:val="105"/>
                <w:sz w:val="21"/>
              </w:rPr>
              <w:t>crónica </w:t>
            </w:r>
            <w:r>
              <w:rPr>
                <w:w w:val="105"/>
                <w:sz w:val="21"/>
              </w:rPr>
              <w:t>con frecuencia se asocia a signos  clínicos  de  uremia  que surgen</w:t>
            </w:r>
          </w:p>
        </w:tc>
      </w:tr>
      <w:tr>
        <w:trPr>
          <w:trHeight w:val="329" w:hRule="exact"/>
        </w:trPr>
        <w:tc>
          <w:tcPr>
            <w:tcW w:w="1618" w:type="dxa"/>
            <w:tcBorders>
              <w:top w:val="nil"/>
              <w:left w:val="nil"/>
              <w:bottom w:val="nil"/>
            </w:tcBorders>
          </w:tcPr>
          <w:p>
            <w:pPr/>
          </w:p>
        </w:tc>
        <w:tc>
          <w:tcPr>
            <w:tcW w:w="1829" w:type="dxa"/>
            <w:tcBorders>
              <w:top w:val="nil"/>
              <w:bottom w:val="nil"/>
            </w:tcBorders>
          </w:tcPr>
          <w:p>
            <w:pPr/>
          </w:p>
        </w:tc>
        <w:tc>
          <w:tcPr>
            <w:tcW w:w="1814" w:type="dxa"/>
            <w:tcBorders>
              <w:top w:val="nil"/>
              <w:bottom w:val="nil"/>
            </w:tcBorders>
          </w:tcPr>
          <w:p>
            <w:pPr/>
          </w:p>
        </w:tc>
        <w:tc>
          <w:tcPr>
            <w:tcW w:w="4114" w:type="dxa"/>
            <w:tcBorders>
              <w:top w:val="nil"/>
              <w:bottom w:val="nil"/>
              <w:right w:val="nil"/>
            </w:tcBorders>
          </w:tcPr>
          <w:p>
            <w:pPr>
              <w:pStyle w:val="TableParagraph"/>
              <w:spacing w:before="11"/>
              <w:ind w:left="105"/>
              <w:rPr>
                <w:sz w:val="21"/>
              </w:rPr>
            </w:pPr>
            <w:r>
              <w:rPr>
                <w:w w:val="105"/>
                <w:sz w:val="21"/>
              </w:rPr>
              <w:t>como consecuencia de la pérdida de</w:t>
            </w:r>
            <w:r>
              <w:rPr>
                <w:spacing w:val="59"/>
                <w:w w:val="105"/>
                <w:sz w:val="21"/>
              </w:rPr>
              <w:t> </w:t>
            </w:r>
            <w:r>
              <w:rPr>
                <w:w w:val="105"/>
                <w:sz w:val="21"/>
              </w:rPr>
              <w:t>la</w:t>
            </w:r>
          </w:p>
        </w:tc>
      </w:tr>
      <w:tr>
        <w:trPr>
          <w:trHeight w:val="638" w:hRule="exact"/>
        </w:trPr>
        <w:tc>
          <w:tcPr>
            <w:tcW w:w="1618" w:type="dxa"/>
            <w:tcBorders>
              <w:top w:val="nil"/>
              <w:left w:val="nil"/>
            </w:tcBorders>
          </w:tcPr>
          <w:p>
            <w:pPr/>
          </w:p>
        </w:tc>
        <w:tc>
          <w:tcPr>
            <w:tcW w:w="1829" w:type="dxa"/>
            <w:tcBorders>
              <w:top w:val="nil"/>
            </w:tcBorders>
          </w:tcPr>
          <w:p>
            <w:pPr/>
          </w:p>
        </w:tc>
        <w:tc>
          <w:tcPr>
            <w:tcW w:w="1814" w:type="dxa"/>
            <w:tcBorders>
              <w:top w:val="nil"/>
            </w:tcBorders>
          </w:tcPr>
          <w:p>
            <w:pPr/>
          </w:p>
        </w:tc>
        <w:tc>
          <w:tcPr>
            <w:tcW w:w="4114" w:type="dxa"/>
            <w:tcBorders>
              <w:top w:val="nil"/>
              <w:right w:val="nil"/>
            </w:tcBorders>
          </w:tcPr>
          <w:p>
            <w:pPr>
              <w:pStyle w:val="TableParagraph"/>
              <w:spacing w:before="57"/>
              <w:ind w:left="105"/>
              <w:rPr>
                <w:sz w:val="21"/>
              </w:rPr>
            </w:pPr>
            <w:r>
              <w:rPr>
                <w:w w:val="105"/>
                <w:sz w:val="21"/>
              </w:rPr>
              <w:t>función renal.</w:t>
            </w:r>
          </w:p>
        </w:tc>
      </w:tr>
    </w:tbl>
    <w:p>
      <w:pPr>
        <w:spacing w:before="4"/>
        <w:ind w:left="1312" w:right="0" w:firstLine="0"/>
        <w:jc w:val="left"/>
        <w:rPr>
          <w:sz w:val="19"/>
        </w:rPr>
      </w:pPr>
      <w:r>
        <w:rPr>
          <w:w w:val="105"/>
          <w:sz w:val="19"/>
        </w:rPr>
        <w:t>* Los porcentajes la función renal residual son solo estimaciones conceptuales.</w:t>
      </w:r>
    </w:p>
    <w:p>
      <w:pPr>
        <w:pStyle w:val="BodyText"/>
        <w:spacing w:before="9"/>
      </w:pPr>
      <w:r>
        <w:rPr/>
        <w:pict>
          <v:line style="position:absolute;mso-position-horizontal-relative:page;mso-position-vertical-relative:paragraph;z-index:1168;mso-wrap-distance-left:0;mso-wrap-distance-right:0" from="66.133003pt,16.466772pt" to="535.573003pt,16.466772pt" stroked="true" strokeweight=".47999pt" strokecolor="#000000">
            <w10:wrap type="topAndBottom"/>
          </v:line>
        </w:pict>
      </w:r>
    </w:p>
    <w:p>
      <w:pPr>
        <w:spacing w:after="0"/>
        <w:sectPr>
          <w:footerReference w:type="default" r:id="rId13"/>
          <w:pgSz w:w="12240" w:h="15840"/>
          <w:pgMar w:footer="748" w:header="742" w:top="980" w:bottom="940" w:left="1200" w:right="18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4"/>
        <w:rPr>
          <w:sz w:val="16"/>
        </w:rPr>
      </w:pPr>
    </w:p>
    <w:p>
      <w:pPr>
        <w:spacing w:line="372" w:lineRule="auto" w:before="78"/>
        <w:ind w:left="254" w:right="888" w:firstLine="0"/>
        <w:jc w:val="left"/>
        <w:rPr>
          <w:b/>
          <w:sz w:val="21"/>
        </w:rPr>
      </w:pPr>
      <w:r>
        <w:rPr>
          <w:b/>
          <w:w w:val="105"/>
          <w:sz w:val="21"/>
        </w:rPr>
        <w:t>Tabla 2. Sub-clasificación del estadio de la enfermedad con respecto a la proteinuria en el paciente con ERC según IRIS 2009</w:t>
      </w:r>
    </w:p>
    <w:p>
      <w:pPr>
        <w:pStyle w:val="BodyText"/>
        <w:spacing w:before="5"/>
        <w:rPr>
          <w:b/>
          <w:sz w:val="14"/>
        </w:rPr>
      </w:pPr>
      <w:r>
        <w:rPr/>
        <w:pict>
          <v:group style="position:absolute;margin-left:87.962997pt;margin-top:10.273209pt;width:475.5pt;height:.5pt;mso-position-horizontal-relative:page;mso-position-vertical-relative:paragraph;z-index:1192;mso-wrap-distance-left:0;mso-wrap-distance-right:0" coordorigin="1759,205" coordsize="9510,10">
            <v:line style="position:absolute" from="1764,210" to="6828,210" stroked="true" strokeweight=".4799pt" strokecolor="#000000"/>
            <v:line style="position:absolute" from="6828,210" to="6838,210" stroked="true" strokeweight=".4799pt" strokecolor="#000000"/>
            <v:line style="position:absolute" from="6838,210" to="7068,210" stroked="true" strokeweight=".4799pt" strokecolor="#000000"/>
            <v:line style="position:absolute" from="7068,210" to="7078,210" stroked="true" strokeweight=".4799pt" strokecolor="#000000"/>
            <v:line style="position:absolute" from="7078,210" to="11263,210" stroked="true" strokeweight=".4799pt" strokecolor="#000000"/>
            <w10:wrap type="topAndBottom"/>
          </v:group>
        </w:pict>
      </w:r>
    </w:p>
    <w:p>
      <w:pPr>
        <w:tabs>
          <w:tab w:pos="6865" w:val="left" w:leader="none"/>
        </w:tabs>
        <w:spacing w:before="52"/>
        <w:ind w:left="1017" w:right="0" w:firstLine="0"/>
        <w:jc w:val="left"/>
        <w:rPr>
          <w:b/>
          <w:sz w:val="21"/>
        </w:rPr>
      </w:pPr>
      <w:r>
        <w:rPr>
          <w:b/>
          <w:w w:val="105"/>
          <w:sz w:val="21"/>
          <w:u w:val="single"/>
        </w:rPr>
        <w:t>Relación</w:t>
      </w:r>
      <w:r>
        <w:rPr>
          <w:b/>
          <w:spacing w:val="-6"/>
          <w:w w:val="105"/>
          <w:sz w:val="21"/>
          <w:u w:val="single"/>
        </w:rPr>
        <w:t> </w:t>
      </w:r>
      <w:r>
        <w:rPr>
          <w:b/>
          <w:w w:val="105"/>
          <w:sz w:val="21"/>
          <w:u w:val="single"/>
        </w:rPr>
        <w:t>proteinuria:creatinuria</w:t>
      </w:r>
      <w:r>
        <w:rPr>
          <w:b/>
          <w:w w:val="105"/>
          <w:sz w:val="21"/>
        </w:rPr>
        <w:tab/>
        <w:t>Clasificación</w:t>
      </w:r>
    </w:p>
    <w:p>
      <w:pPr>
        <w:pStyle w:val="BodyText"/>
        <w:rPr>
          <w:b/>
          <w:sz w:val="20"/>
        </w:rPr>
      </w:pPr>
    </w:p>
    <w:p>
      <w:pPr>
        <w:pStyle w:val="BodyText"/>
        <w:spacing w:before="4"/>
        <w:rPr>
          <w:b/>
          <w:sz w:val="12"/>
        </w:rPr>
      </w:pPr>
      <w:r>
        <w:rPr/>
        <w:pict>
          <v:group style="position:absolute;margin-left:87.962997pt;margin-top:9.065886pt;width:475.5pt;height:.5pt;mso-position-horizontal-relative:page;mso-position-vertical-relative:paragraph;z-index:1216;mso-wrap-distance-left:0;mso-wrap-distance-right:0" coordorigin="1759,181" coordsize="9510,10">
            <v:line style="position:absolute" from="1764,186" to="4668,186" stroked="true" strokeweight=".48pt" strokecolor="#000000"/>
            <v:line style="position:absolute" from="4668,186" to="4678,186" stroked="true" strokeweight=".48pt" strokecolor="#000000"/>
            <v:line style="position:absolute" from="4678,186" to="6828,186" stroked="true" strokeweight=".48pt" strokecolor="#000000"/>
            <v:line style="position:absolute" from="6828,186" to="6838,186" stroked="true" strokeweight=".48pt" strokecolor="#000000"/>
            <v:line style="position:absolute" from="6838,186" to="7068,186" stroked="true" strokeweight=".48pt" strokecolor="#000000"/>
            <v:line style="position:absolute" from="7068,186" to="7078,186" stroked="true" strokeweight=".48pt" strokecolor="#000000"/>
            <v:line style="position:absolute" from="7078,186" to="11263,186" stroked="true" strokeweight=".48pt" strokecolor="#000000"/>
            <w10:wrap type="topAndBottom"/>
          </v:group>
        </w:pict>
      </w:r>
    </w:p>
    <w:p>
      <w:pPr>
        <w:tabs>
          <w:tab w:pos="3819" w:val="left" w:leader="none"/>
        </w:tabs>
        <w:spacing w:before="57"/>
        <w:ind w:left="1250" w:right="0" w:firstLine="0"/>
        <w:jc w:val="left"/>
        <w:rPr>
          <w:b/>
          <w:sz w:val="21"/>
        </w:rPr>
      </w:pPr>
      <w:r>
        <w:rPr>
          <w:b/>
          <w:w w:val="105"/>
          <w:sz w:val="21"/>
          <w:u w:val="single"/>
        </w:rPr>
        <w:t>Perros</w:t>
      </w:r>
      <w:r>
        <w:rPr>
          <w:b/>
          <w:w w:val="105"/>
          <w:sz w:val="21"/>
        </w:rPr>
        <w:tab/>
      </w:r>
      <w:r>
        <w:rPr>
          <w:b/>
          <w:w w:val="105"/>
          <w:sz w:val="21"/>
          <w:u w:val="single"/>
        </w:rPr>
        <w:t>Gatos</w:t>
      </w:r>
    </w:p>
    <w:p>
      <w:pPr>
        <w:pStyle w:val="BodyText"/>
        <w:rPr>
          <w:b/>
          <w:sz w:val="20"/>
        </w:rPr>
      </w:pPr>
    </w:p>
    <w:p>
      <w:pPr>
        <w:pStyle w:val="BodyText"/>
        <w:spacing w:before="4"/>
        <w:rPr>
          <w:b/>
          <w:sz w:val="12"/>
        </w:rPr>
      </w:pPr>
      <w:r>
        <w:rPr/>
        <w:pict>
          <v:group style="position:absolute;margin-left:87.962997pt;margin-top:9.065884pt;width:475.5pt;height:.5pt;mso-position-horizontal-relative:page;mso-position-vertical-relative:paragraph;z-index:1240;mso-wrap-distance-left:0;mso-wrap-distance-right:0" coordorigin="1759,181" coordsize="9510,10">
            <v:line style="position:absolute" from="1764,186" to="4668,186" stroked="true" strokeweight=".48pt" strokecolor="#000000"/>
            <v:line style="position:absolute" from="4668,186" to="4678,186" stroked="true" strokeweight=".48pt" strokecolor="#000000"/>
            <v:line style="position:absolute" from="4678,186" to="6828,186" stroked="true" strokeweight=".48pt" strokecolor="#000000"/>
            <v:line style="position:absolute" from="6828,186" to="6838,186" stroked="true" strokeweight=".48pt" strokecolor="#000000"/>
            <v:line style="position:absolute" from="6838,186" to="7068,186" stroked="true" strokeweight=".48pt" strokecolor="#000000"/>
            <v:line style="position:absolute" from="7068,186" to="7078,186" stroked="true" strokeweight=".48pt" strokecolor="#000000"/>
            <v:line style="position:absolute" from="7078,186" to="11263,186" stroked="true" strokeweight=".48pt" strokecolor="#000000"/>
            <w10:wrap type="topAndBottom"/>
          </v:group>
        </w:pict>
      </w:r>
    </w:p>
    <w:p>
      <w:pPr>
        <w:tabs>
          <w:tab w:pos="3913" w:val="left" w:leader="none"/>
          <w:tab w:pos="6797" w:val="left" w:leader="none"/>
        </w:tabs>
        <w:spacing w:before="52"/>
        <w:ind w:left="1382" w:right="0" w:firstLine="0"/>
        <w:jc w:val="left"/>
        <w:rPr>
          <w:sz w:val="21"/>
        </w:rPr>
      </w:pPr>
      <w:r>
        <w:rPr>
          <w:w w:val="105"/>
          <w:sz w:val="21"/>
        </w:rPr>
        <w:t>&lt;0.2</w:t>
        <w:tab/>
        <w:t>&lt;0.2</w:t>
        <w:tab/>
        <w:t>No</w:t>
      </w:r>
      <w:r>
        <w:rPr>
          <w:spacing w:val="-12"/>
          <w:w w:val="105"/>
          <w:sz w:val="21"/>
        </w:rPr>
        <w:t> </w:t>
      </w:r>
      <w:r>
        <w:rPr>
          <w:w w:val="105"/>
          <w:sz w:val="21"/>
        </w:rPr>
        <w:t>proteinúrico</w:t>
      </w:r>
    </w:p>
    <w:p>
      <w:pPr>
        <w:pStyle w:val="BodyText"/>
        <w:rPr>
          <w:sz w:val="20"/>
        </w:rPr>
      </w:pPr>
    </w:p>
    <w:p>
      <w:pPr>
        <w:pStyle w:val="BodyText"/>
        <w:spacing w:before="5"/>
        <w:rPr>
          <w:sz w:val="16"/>
        </w:rPr>
      </w:pPr>
    </w:p>
    <w:p>
      <w:pPr>
        <w:tabs>
          <w:tab w:pos="3702" w:val="left" w:leader="none"/>
          <w:tab w:pos="6602" w:val="left" w:leader="none"/>
        </w:tabs>
        <w:spacing w:before="78"/>
        <w:ind w:left="1174" w:right="0" w:firstLine="0"/>
        <w:jc w:val="left"/>
        <w:rPr>
          <w:sz w:val="21"/>
        </w:rPr>
      </w:pPr>
      <w:r>
        <w:rPr>
          <w:w w:val="105"/>
          <w:position w:val="-10"/>
          <w:sz w:val="21"/>
        </w:rPr>
        <w:t>0.2</w:t>
      </w:r>
      <w:r>
        <w:rPr>
          <w:spacing w:val="-7"/>
          <w:w w:val="105"/>
          <w:position w:val="-10"/>
          <w:sz w:val="21"/>
        </w:rPr>
        <w:t> </w:t>
      </w:r>
      <w:r>
        <w:rPr>
          <w:w w:val="105"/>
          <w:position w:val="-10"/>
          <w:sz w:val="21"/>
        </w:rPr>
        <w:t>a</w:t>
      </w:r>
      <w:r>
        <w:rPr>
          <w:spacing w:val="-1"/>
          <w:w w:val="105"/>
          <w:position w:val="-10"/>
          <w:sz w:val="21"/>
        </w:rPr>
        <w:t> </w:t>
      </w:r>
      <w:r>
        <w:rPr>
          <w:w w:val="105"/>
          <w:position w:val="-10"/>
          <w:sz w:val="21"/>
        </w:rPr>
        <w:t>0.5</w:t>
        <w:tab/>
      </w:r>
      <w:r>
        <w:rPr>
          <w:w w:val="105"/>
          <w:sz w:val="21"/>
        </w:rPr>
        <w:t>0.2</w:t>
      </w:r>
      <w:r>
        <w:rPr>
          <w:spacing w:val="-1"/>
          <w:w w:val="105"/>
          <w:sz w:val="21"/>
        </w:rPr>
        <w:t> </w:t>
      </w:r>
      <w:r>
        <w:rPr>
          <w:w w:val="105"/>
          <w:sz w:val="21"/>
        </w:rPr>
        <w:t>a</w:t>
      </w:r>
      <w:r>
        <w:rPr>
          <w:spacing w:val="-1"/>
          <w:w w:val="105"/>
          <w:sz w:val="21"/>
        </w:rPr>
        <w:t> </w:t>
      </w:r>
      <w:r>
        <w:rPr>
          <w:w w:val="105"/>
          <w:sz w:val="21"/>
        </w:rPr>
        <w:t>0.4</w:t>
        <w:tab/>
        <w:t>Proteinuria al</w:t>
      </w:r>
      <w:r>
        <w:rPr>
          <w:spacing w:val="-14"/>
          <w:w w:val="105"/>
          <w:sz w:val="21"/>
        </w:rPr>
        <w:t> </w:t>
      </w:r>
      <w:r>
        <w:rPr>
          <w:w w:val="105"/>
          <w:sz w:val="21"/>
        </w:rPr>
        <w:t>límite</w:t>
      </w:r>
    </w:p>
    <w:p>
      <w:pPr>
        <w:pStyle w:val="BodyText"/>
        <w:spacing w:before="3"/>
        <w:rPr>
          <w:sz w:val="33"/>
        </w:rPr>
      </w:pPr>
    </w:p>
    <w:p>
      <w:pPr>
        <w:tabs>
          <w:tab w:pos="3913" w:val="left" w:leader="none"/>
          <w:tab w:pos="6956" w:val="left" w:leader="none"/>
        </w:tabs>
        <w:spacing w:before="0"/>
        <w:ind w:left="1382" w:right="0" w:firstLine="0"/>
        <w:jc w:val="left"/>
        <w:rPr>
          <w:sz w:val="21"/>
        </w:rPr>
      </w:pPr>
      <w:r>
        <w:rPr>
          <w:w w:val="105"/>
          <w:sz w:val="21"/>
        </w:rPr>
        <w:t>&gt;0.5</w:t>
        <w:tab/>
        <w:t>&gt;0.4</w:t>
        <w:tab/>
        <w:t>Proteinúrico</w:t>
      </w:r>
    </w:p>
    <w:p>
      <w:pPr>
        <w:pStyle w:val="BodyText"/>
        <w:rPr>
          <w:sz w:val="20"/>
        </w:rPr>
      </w:pPr>
    </w:p>
    <w:p>
      <w:pPr>
        <w:pStyle w:val="BodyText"/>
        <w:spacing w:before="9"/>
        <w:rPr>
          <w:sz w:val="12"/>
        </w:rPr>
      </w:pPr>
      <w:r>
        <w:rPr/>
        <w:pict>
          <v:group style="position:absolute;margin-left:87.242996pt;margin-top:9.305879pt;width:476.2pt;height:.5pt;mso-position-horizontal-relative:page;mso-position-vertical-relative:paragraph;z-index:1264;mso-wrap-distance-left:0;mso-wrap-distance-right:0" coordorigin="1745,186" coordsize="9524,10">
            <v:line style="position:absolute" from="1750,191" to="4668,191" stroked="true" strokeweight=".48pt" strokecolor="#000000"/>
            <v:line style="position:absolute" from="4654,191" to="4663,191" stroked="true" strokeweight=".48pt" strokecolor="#000000"/>
            <v:line style="position:absolute" from="4663,191" to="6828,191" stroked="true" strokeweight=".48pt" strokecolor="#000000"/>
            <v:line style="position:absolute" from="6814,191" to="6823,191" stroked="true" strokeweight=".48pt" strokecolor="#000000"/>
            <v:line style="position:absolute" from="6823,191" to="7068,191" stroked="true" strokeweight=".48pt" strokecolor="#000000"/>
            <v:line style="position:absolute" from="7054,191" to="7063,191" stroked="true" strokeweight=".48pt" strokecolor="#000000"/>
            <v:line style="position:absolute" from="7063,191" to="11263,191" stroked="true" strokeweight=".48pt" strokecolor="#000000"/>
            <w10:wrap type="topAndBottom"/>
          </v:group>
        </w:pic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3"/>
      </w:pPr>
    </w:p>
    <w:p>
      <w:pPr>
        <w:pStyle w:val="BodyText"/>
        <w:spacing w:line="480" w:lineRule="auto" w:before="69"/>
        <w:ind w:left="144" w:right="888"/>
        <w:jc w:val="both"/>
      </w:pPr>
      <w:r>
        <w:rPr/>
        <w:t>En los últimos años, la determinación de la concentración de las proteínas excretadas en orina (proteinuria) ha tomado importancia en la práctica de medicina en perros, ya que se utiliza como un marcador en el diagnóstico y monitoreo de enfermedades, tales como: la enfermedad renal crónica, diabetes mellitus e hipertensión, entre otras (Grauer 2009).</w:t>
      </w:r>
    </w:p>
    <w:p>
      <w:pPr>
        <w:spacing w:after="0" w:line="480" w:lineRule="auto"/>
        <w:jc w:val="both"/>
        <w:sectPr>
          <w:footerReference w:type="default" r:id="rId14"/>
          <w:pgSz w:w="12240" w:h="15840"/>
          <w:pgMar w:footer="748" w:header="742" w:top="980" w:bottom="940" w:left="1620" w:right="180"/>
          <w:pgNumType w:start="21"/>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6"/>
        <w:rPr>
          <w:sz w:val="25"/>
        </w:rPr>
      </w:pPr>
    </w:p>
    <w:p>
      <w:pPr>
        <w:pStyle w:val="BodyText"/>
        <w:spacing w:line="480" w:lineRule="auto" w:before="70"/>
        <w:ind w:left="144" w:right="888"/>
        <w:jc w:val="both"/>
      </w:pPr>
      <w:r>
        <w:rPr/>
        <w:t>Para un funcionamiento adecuado del organismo es necesario que la presión arterial se mantenga dentro de rangos específicos, los mecanismos encargados de este equilibrio incluyen entre otros a los reflejos barorreceptores y quimorreceptores, el sistema renina-angiotensina-aldosterona y las catecolaminas. (Egner y cols. 2007)</w:t>
      </w:r>
    </w:p>
    <w:p>
      <w:pPr>
        <w:pStyle w:val="BodyText"/>
      </w:pPr>
    </w:p>
    <w:p>
      <w:pPr>
        <w:pStyle w:val="BodyText"/>
      </w:pPr>
    </w:p>
    <w:p>
      <w:pPr>
        <w:pStyle w:val="BodyText"/>
        <w:spacing w:line="480" w:lineRule="auto" w:before="176"/>
        <w:ind w:left="144" w:right="888"/>
        <w:jc w:val="both"/>
      </w:pPr>
      <w:r>
        <w:rPr/>
        <w:t>Se han realizado diferentes estudios para definir el rango normal de referencia para la presión sanguínea en el perro, sin embargo se ha observado que los valores obtenidos pueden variar tanto por el método de medición como por la raza y talla del paciente (Bodey y Michell, 1996). De acuerdo a la IRIS se considera como normal una presión arterial sistólica de 120 mmHg (IRIS 2009).</w:t>
      </w:r>
    </w:p>
    <w:p>
      <w:pPr>
        <w:pStyle w:val="BodyText"/>
      </w:pPr>
    </w:p>
    <w:p>
      <w:pPr>
        <w:pStyle w:val="BodyText"/>
      </w:pPr>
    </w:p>
    <w:p>
      <w:pPr>
        <w:pStyle w:val="BodyText"/>
        <w:spacing w:line="480" w:lineRule="auto" w:before="176"/>
        <w:ind w:left="144" w:right="888"/>
        <w:jc w:val="both"/>
      </w:pPr>
      <w:r>
        <w:rPr/>
        <w:t>La hipertensión arterial se define como una presión arterial que se mantiene por encima de los valores de referencia (Brown y cols., 2007). De acuerdo al origen de la hipertensión, esta se puede clasificar como “hipertensión por efecto de bata blanca” la cual está asociada a estrés y mediada por el sistema nervioso autónomo; hipertensión secundaria, cuando se encuentra como consecuencia de alguna enfermedad subyacente (enfermedad renal crónica, cardiopatías, endocrinopatías, obesidad) y la hipertensión primaria o idiopática, en la cual no se puede encontrar otra causa aparente (Brown y cols., 2007b).</w:t>
      </w:r>
    </w:p>
    <w:p>
      <w:pPr>
        <w:spacing w:after="0" w:line="480" w:lineRule="auto"/>
        <w:jc w:val="both"/>
        <w:sectPr>
          <w:pgSz w:w="12240" w:h="15840"/>
          <w:pgMar w:header="742" w:footer="748" w:top="980" w:bottom="940" w:left="1620" w:right="18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6"/>
        <w:rPr>
          <w:sz w:val="25"/>
        </w:rPr>
      </w:pPr>
    </w:p>
    <w:p>
      <w:pPr>
        <w:pStyle w:val="BodyText"/>
        <w:spacing w:line="480" w:lineRule="auto" w:before="70"/>
        <w:ind w:left="144" w:right="888"/>
        <w:jc w:val="both"/>
      </w:pPr>
      <w:r>
        <w:rPr/>
        <w:t>Se ha observado que la ERC y la hipertensión están altamente relacionadas, ya que los elementos fisiopatológicos que se han propuesto como causantes de la hipertensión en pacientes con ERC juegan un papel importante en la fisiopatología de la hipertensión primaria, y viceversa (Syme, 2011).</w:t>
      </w:r>
    </w:p>
    <w:p>
      <w:pPr>
        <w:pStyle w:val="BodyText"/>
      </w:pPr>
    </w:p>
    <w:p>
      <w:pPr>
        <w:pStyle w:val="BodyText"/>
      </w:pPr>
    </w:p>
    <w:p>
      <w:pPr>
        <w:pStyle w:val="BodyText"/>
        <w:spacing w:line="480" w:lineRule="auto" w:before="176"/>
        <w:ind w:left="144" w:right="888"/>
        <w:jc w:val="both"/>
      </w:pPr>
      <w:r>
        <w:rPr/>
        <w:t>Los principales mecanismos por los cuales se presenta hipertensión en pacientes con ERC incluyen: disminución de la capacidad del riñón para llevar a cabo la natriuresis (Koomans y cols. 1982), activación del sistema renina-angiotensisna-aldosterona con la consecuente retención de sodio (Greene EL, 1996) y activación del sistema nervioso simpático mediada por los nervios aferentes somáticos renales, la cual resulta en retención de sodio, estimulación de la renina y disminución de la función renal (Schlaich y cols., 2009).</w:t>
      </w:r>
    </w:p>
    <w:p>
      <w:pPr>
        <w:pStyle w:val="BodyText"/>
      </w:pPr>
    </w:p>
    <w:p>
      <w:pPr>
        <w:pStyle w:val="BodyText"/>
      </w:pPr>
    </w:p>
    <w:p>
      <w:pPr>
        <w:pStyle w:val="BodyText"/>
        <w:spacing w:line="480" w:lineRule="auto" w:before="176"/>
        <w:ind w:left="144" w:right="888"/>
        <w:jc w:val="both"/>
      </w:pPr>
      <w:r>
        <w:rPr/>
        <w:t>De acuerdo al potencial para que la hipertensión pueda causar lesión en órganos diana (riñón, ojos, cerebro y corazón), esta se puede clasificar en riesgo mínimo (130 – 149 mmHg), bajo (150 – 159 mmHg), moderado (160 – 179 mmHg) y alto (≥ 180 mmHg) (IRIS, 2009), tomando como referencia la presión sistólica (Tabla 3).</w:t>
      </w:r>
    </w:p>
    <w:p>
      <w:pPr>
        <w:spacing w:after="0" w:line="480" w:lineRule="auto"/>
        <w:jc w:val="both"/>
        <w:sectPr>
          <w:pgSz w:w="12240" w:h="15840"/>
          <w:pgMar w:header="742" w:footer="748" w:top="980" w:bottom="940" w:left="1620" w:right="18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3"/>
        </w:rPr>
      </w:pPr>
    </w:p>
    <w:p>
      <w:pPr>
        <w:spacing w:before="78"/>
        <w:ind w:left="0" w:right="1290" w:firstLine="0"/>
        <w:jc w:val="center"/>
        <w:rPr>
          <w:b/>
          <w:sz w:val="21"/>
        </w:rPr>
      </w:pPr>
      <w:r>
        <w:rPr>
          <w:b/>
          <w:w w:val="105"/>
          <w:sz w:val="21"/>
        </w:rPr>
        <w:t>Tabla 3. Sub-clasificación del estadio de la enfermedad respecto a la hipertensión</w:t>
      </w:r>
    </w:p>
    <w:p>
      <w:pPr>
        <w:tabs>
          <w:tab w:pos="2449" w:val="left" w:leader="none"/>
          <w:tab w:pos="8980" w:val="left" w:leader="none"/>
        </w:tabs>
        <w:spacing w:before="13"/>
        <w:ind w:left="0" w:right="1289" w:firstLine="0"/>
        <w:jc w:val="center"/>
        <w:rPr>
          <w:b/>
          <w:sz w:val="21"/>
        </w:rPr>
      </w:pPr>
      <w:r>
        <w:rPr>
          <w:b/>
          <w:w w:val="102"/>
          <w:sz w:val="21"/>
          <w:u w:val="single"/>
        </w:rPr>
        <w:t> </w:t>
      </w:r>
      <w:r>
        <w:rPr>
          <w:b/>
          <w:sz w:val="21"/>
          <w:u w:val="single"/>
        </w:rPr>
        <w:tab/>
      </w:r>
      <w:r>
        <w:rPr>
          <w:b/>
          <w:w w:val="105"/>
          <w:sz w:val="21"/>
          <w:u w:val="single"/>
        </w:rPr>
        <w:t>en el paciente con ERC según Iris</w:t>
      </w:r>
      <w:r>
        <w:rPr>
          <w:b/>
          <w:spacing w:val="-24"/>
          <w:w w:val="105"/>
          <w:sz w:val="21"/>
          <w:u w:val="single"/>
        </w:rPr>
        <w:t> </w:t>
      </w:r>
      <w:r>
        <w:rPr>
          <w:b/>
          <w:w w:val="105"/>
          <w:sz w:val="21"/>
          <w:u w:val="single"/>
        </w:rPr>
        <w:t>2009</w:t>
      </w:r>
      <w:r>
        <w:rPr>
          <w:b/>
          <w:sz w:val="21"/>
          <w:u w:val="single"/>
        </w:rPr>
        <w:tab/>
      </w:r>
    </w:p>
    <w:p>
      <w:pPr>
        <w:pStyle w:val="BodyText"/>
        <w:rPr>
          <w:b/>
          <w:sz w:val="16"/>
        </w:rPr>
      </w:pPr>
    </w:p>
    <w:tbl>
      <w:tblPr>
        <w:tblW w:w="0" w:type="auto"/>
        <w:jc w:val="left"/>
        <w:tblInd w:w="133"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3387"/>
        <w:gridCol w:w="2508"/>
        <w:gridCol w:w="3086"/>
      </w:tblGrid>
      <w:tr>
        <w:trPr>
          <w:trHeight w:val="1312" w:hRule="exact"/>
        </w:trPr>
        <w:tc>
          <w:tcPr>
            <w:tcW w:w="3387" w:type="dxa"/>
            <w:tcBorders>
              <w:bottom w:val="single" w:sz="4" w:space="0" w:color="000000"/>
            </w:tcBorders>
          </w:tcPr>
          <w:p>
            <w:pPr>
              <w:pStyle w:val="TableParagraph"/>
              <w:spacing w:before="78"/>
              <w:ind w:left="204" w:right="593"/>
              <w:jc w:val="center"/>
              <w:rPr>
                <w:b/>
                <w:sz w:val="21"/>
              </w:rPr>
            </w:pPr>
            <w:r>
              <w:rPr>
                <w:b/>
                <w:w w:val="105"/>
                <w:sz w:val="21"/>
                <w:u w:val="single"/>
              </w:rPr>
              <w:t>Presión arterial sistólica</w:t>
            </w:r>
          </w:p>
          <w:p>
            <w:pPr>
              <w:pStyle w:val="TableParagraph"/>
              <w:rPr>
                <w:b/>
                <w:sz w:val="22"/>
              </w:rPr>
            </w:pPr>
          </w:p>
          <w:p>
            <w:pPr>
              <w:pStyle w:val="TableParagraph"/>
              <w:spacing w:before="3"/>
              <w:rPr>
                <w:b/>
                <w:sz w:val="21"/>
              </w:rPr>
            </w:pPr>
          </w:p>
          <w:p>
            <w:pPr>
              <w:pStyle w:val="TableParagraph"/>
              <w:ind w:left="204" w:right="593"/>
              <w:jc w:val="center"/>
              <w:rPr>
                <w:b/>
                <w:sz w:val="21"/>
              </w:rPr>
            </w:pPr>
            <w:r>
              <w:rPr>
                <w:b/>
                <w:w w:val="105"/>
                <w:sz w:val="21"/>
              </w:rPr>
              <w:t>(mmHg)</w:t>
            </w:r>
          </w:p>
        </w:tc>
        <w:tc>
          <w:tcPr>
            <w:tcW w:w="2508" w:type="dxa"/>
            <w:tcBorders>
              <w:bottom w:val="single" w:sz="4" w:space="0" w:color="000000"/>
            </w:tcBorders>
          </w:tcPr>
          <w:p>
            <w:pPr/>
          </w:p>
        </w:tc>
        <w:tc>
          <w:tcPr>
            <w:tcW w:w="3086" w:type="dxa"/>
            <w:tcBorders>
              <w:bottom w:val="single" w:sz="4" w:space="0" w:color="000000"/>
            </w:tcBorders>
          </w:tcPr>
          <w:p>
            <w:pPr>
              <w:pStyle w:val="TableParagraph"/>
              <w:rPr>
                <w:b/>
                <w:sz w:val="22"/>
              </w:rPr>
            </w:pPr>
          </w:p>
          <w:p>
            <w:pPr>
              <w:pStyle w:val="TableParagraph"/>
              <w:rPr>
                <w:b/>
                <w:sz w:val="22"/>
              </w:rPr>
            </w:pPr>
          </w:p>
          <w:p>
            <w:pPr>
              <w:pStyle w:val="TableParagraph"/>
              <w:rPr>
                <w:b/>
                <w:sz w:val="27"/>
              </w:rPr>
            </w:pPr>
          </w:p>
          <w:p>
            <w:pPr>
              <w:pStyle w:val="TableParagraph"/>
              <w:spacing w:before="1"/>
              <w:ind w:left="887" w:right="797"/>
              <w:jc w:val="center"/>
              <w:rPr>
                <w:b/>
                <w:sz w:val="21"/>
              </w:rPr>
            </w:pPr>
            <w:r>
              <w:rPr>
                <w:b/>
                <w:w w:val="105"/>
                <w:sz w:val="21"/>
              </w:rPr>
              <w:t>Clasificación</w:t>
            </w:r>
          </w:p>
        </w:tc>
      </w:tr>
      <w:tr>
        <w:trPr>
          <w:trHeight w:val="744" w:hRule="exact"/>
        </w:trPr>
        <w:tc>
          <w:tcPr>
            <w:tcW w:w="3387" w:type="dxa"/>
            <w:tcBorders>
              <w:top w:val="single" w:sz="4" w:space="0" w:color="000000"/>
              <w:bottom w:val="single" w:sz="4" w:space="0" w:color="000000"/>
            </w:tcBorders>
          </w:tcPr>
          <w:p>
            <w:pPr>
              <w:pStyle w:val="TableParagraph"/>
              <w:spacing w:before="3"/>
              <w:rPr>
                <w:b/>
                <w:sz w:val="21"/>
              </w:rPr>
            </w:pPr>
          </w:p>
          <w:p>
            <w:pPr>
              <w:pStyle w:val="TableParagraph"/>
              <w:ind w:left="1149"/>
              <w:rPr>
                <w:b/>
                <w:sz w:val="21"/>
              </w:rPr>
            </w:pPr>
            <w:r>
              <w:rPr>
                <w:b/>
                <w:w w:val="105"/>
                <w:sz w:val="21"/>
                <w:u w:val="single"/>
              </w:rPr>
              <w:t>Perros</w:t>
            </w:r>
          </w:p>
        </w:tc>
        <w:tc>
          <w:tcPr>
            <w:tcW w:w="2508" w:type="dxa"/>
            <w:tcBorders>
              <w:top w:val="single" w:sz="4" w:space="0" w:color="000000"/>
              <w:bottom w:val="single" w:sz="4" w:space="0" w:color="000000"/>
            </w:tcBorders>
          </w:tcPr>
          <w:p>
            <w:pPr>
              <w:pStyle w:val="TableParagraph"/>
              <w:spacing w:before="3"/>
              <w:rPr>
                <w:b/>
                <w:sz w:val="21"/>
              </w:rPr>
            </w:pPr>
          </w:p>
          <w:p>
            <w:pPr>
              <w:pStyle w:val="TableParagraph"/>
              <w:ind w:left="596" w:right="889"/>
              <w:jc w:val="center"/>
              <w:rPr>
                <w:b/>
                <w:sz w:val="21"/>
              </w:rPr>
            </w:pPr>
            <w:r>
              <w:rPr>
                <w:b/>
                <w:w w:val="105"/>
                <w:sz w:val="21"/>
                <w:u w:val="single"/>
              </w:rPr>
              <w:t>Gatos</w:t>
            </w:r>
          </w:p>
        </w:tc>
        <w:tc>
          <w:tcPr>
            <w:tcW w:w="3086" w:type="dxa"/>
            <w:tcBorders>
              <w:top w:val="single" w:sz="4" w:space="0" w:color="000000"/>
              <w:bottom w:val="single" w:sz="4" w:space="0" w:color="000000"/>
            </w:tcBorders>
          </w:tcPr>
          <w:p>
            <w:pPr/>
          </w:p>
        </w:tc>
      </w:tr>
      <w:tr>
        <w:trPr>
          <w:trHeight w:val="751" w:hRule="exact"/>
        </w:trPr>
        <w:tc>
          <w:tcPr>
            <w:tcW w:w="3387" w:type="dxa"/>
            <w:tcBorders>
              <w:top w:val="single" w:sz="4" w:space="0" w:color="000000"/>
            </w:tcBorders>
          </w:tcPr>
          <w:p>
            <w:pPr>
              <w:pStyle w:val="TableParagraph"/>
              <w:spacing w:before="7"/>
              <w:rPr>
                <w:b/>
                <w:sz w:val="21"/>
              </w:rPr>
            </w:pPr>
          </w:p>
          <w:p>
            <w:pPr>
              <w:pStyle w:val="TableParagraph"/>
              <w:spacing w:before="1"/>
              <w:ind w:left="1250"/>
              <w:rPr>
                <w:sz w:val="21"/>
              </w:rPr>
            </w:pPr>
            <w:r>
              <w:rPr>
                <w:w w:val="105"/>
                <w:sz w:val="21"/>
              </w:rPr>
              <w:t>&lt;140</w:t>
            </w:r>
          </w:p>
        </w:tc>
        <w:tc>
          <w:tcPr>
            <w:tcW w:w="2508" w:type="dxa"/>
            <w:tcBorders>
              <w:top w:val="single" w:sz="4" w:space="0" w:color="000000"/>
            </w:tcBorders>
          </w:tcPr>
          <w:p>
            <w:pPr>
              <w:pStyle w:val="TableParagraph"/>
              <w:spacing w:before="7"/>
              <w:rPr>
                <w:b/>
                <w:sz w:val="21"/>
              </w:rPr>
            </w:pPr>
          </w:p>
          <w:p>
            <w:pPr>
              <w:pStyle w:val="TableParagraph"/>
              <w:spacing w:before="1"/>
              <w:ind w:left="598" w:right="888"/>
              <w:jc w:val="center"/>
              <w:rPr>
                <w:sz w:val="21"/>
              </w:rPr>
            </w:pPr>
            <w:r>
              <w:rPr>
                <w:w w:val="105"/>
                <w:sz w:val="21"/>
              </w:rPr>
              <w:t>&lt;140</w:t>
            </w:r>
          </w:p>
        </w:tc>
        <w:tc>
          <w:tcPr>
            <w:tcW w:w="3086" w:type="dxa"/>
            <w:tcBorders>
              <w:top w:val="single" w:sz="4" w:space="0" w:color="000000"/>
            </w:tcBorders>
          </w:tcPr>
          <w:p>
            <w:pPr>
              <w:pStyle w:val="TableParagraph"/>
              <w:spacing w:before="7"/>
              <w:rPr>
                <w:b/>
                <w:sz w:val="21"/>
              </w:rPr>
            </w:pPr>
          </w:p>
          <w:p>
            <w:pPr>
              <w:pStyle w:val="TableParagraph"/>
              <w:spacing w:before="1"/>
              <w:ind w:left="887" w:right="796"/>
              <w:jc w:val="center"/>
              <w:rPr>
                <w:sz w:val="21"/>
              </w:rPr>
            </w:pPr>
            <w:r>
              <w:rPr>
                <w:w w:val="105"/>
                <w:sz w:val="21"/>
              </w:rPr>
              <w:t>Normotenso</w:t>
            </w:r>
          </w:p>
        </w:tc>
      </w:tr>
      <w:tr>
        <w:trPr>
          <w:trHeight w:val="1314" w:hRule="exact"/>
        </w:trPr>
        <w:tc>
          <w:tcPr>
            <w:tcW w:w="3387" w:type="dxa"/>
          </w:tcPr>
          <w:p>
            <w:pPr>
              <w:pStyle w:val="TableParagraph"/>
              <w:spacing w:before="7"/>
              <w:rPr>
                <w:b/>
                <w:sz w:val="20"/>
              </w:rPr>
            </w:pPr>
          </w:p>
          <w:p>
            <w:pPr>
              <w:pStyle w:val="TableParagraph"/>
              <w:ind w:left="204" w:right="591"/>
              <w:jc w:val="center"/>
              <w:rPr>
                <w:sz w:val="21"/>
              </w:rPr>
            </w:pPr>
            <w:r>
              <w:rPr>
                <w:w w:val="105"/>
                <w:sz w:val="21"/>
              </w:rPr>
              <w:t>140 a 160</w:t>
            </w:r>
          </w:p>
          <w:p>
            <w:pPr>
              <w:pStyle w:val="TableParagraph"/>
              <w:rPr>
                <w:b/>
                <w:sz w:val="22"/>
              </w:rPr>
            </w:pPr>
          </w:p>
          <w:p>
            <w:pPr>
              <w:pStyle w:val="TableParagraph"/>
              <w:spacing w:before="3"/>
              <w:rPr>
                <w:b/>
                <w:sz w:val="21"/>
              </w:rPr>
            </w:pPr>
          </w:p>
          <w:p>
            <w:pPr>
              <w:pStyle w:val="TableParagraph"/>
              <w:ind w:left="204" w:right="591"/>
              <w:jc w:val="center"/>
              <w:rPr>
                <w:sz w:val="21"/>
              </w:rPr>
            </w:pPr>
            <w:r>
              <w:rPr>
                <w:w w:val="105"/>
                <w:sz w:val="21"/>
              </w:rPr>
              <w:t>&lt;160</w:t>
            </w:r>
          </w:p>
        </w:tc>
        <w:tc>
          <w:tcPr>
            <w:tcW w:w="2508" w:type="dxa"/>
          </w:tcPr>
          <w:p>
            <w:pPr>
              <w:pStyle w:val="TableParagraph"/>
              <w:spacing w:before="7"/>
              <w:rPr>
                <w:b/>
                <w:sz w:val="20"/>
              </w:rPr>
            </w:pPr>
          </w:p>
          <w:p>
            <w:pPr>
              <w:pStyle w:val="TableParagraph"/>
              <w:ind w:left="598" w:right="889"/>
              <w:jc w:val="center"/>
              <w:rPr>
                <w:sz w:val="21"/>
              </w:rPr>
            </w:pPr>
            <w:r>
              <w:rPr>
                <w:w w:val="105"/>
                <w:sz w:val="21"/>
              </w:rPr>
              <w:t>140 a 160</w:t>
            </w:r>
          </w:p>
          <w:p>
            <w:pPr>
              <w:pStyle w:val="TableParagraph"/>
              <w:rPr>
                <w:b/>
                <w:sz w:val="22"/>
              </w:rPr>
            </w:pPr>
          </w:p>
          <w:p>
            <w:pPr>
              <w:pStyle w:val="TableParagraph"/>
              <w:spacing w:before="3"/>
              <w:rPr>
                <w:b/>
                <w:sz w:val="21"/>
              </w:rPr>
            </w:pPr>
          </w:p>
          <w:p>
            <w:pPr>
              <w:pStyle w:val="TableParagraph"/>
              <w:ind w:left="598" w:right="888"/>
              <w:jc w:val="center"/>
              <w:rPr>
                <w:sz w:val="21"/>
              </w:rPr>
            </w:pPr>
            <w:r>
              <w:rPr>
                <w:w w:val="105"/>
                <w:sz w:val="21"/>
              </w:rPr>
              <w:t>&lt;160</w:t>
            </w:r>
          </w:p>
        </w:tc>
        <w:tc>
          <w:tcPr>
            <w:tcW w:w="3086" w:type="dxa"/>
          </w:tcPr>
          <w:p>
            <w:pPr>
              <w:pStyle w:val="TableParagraph"/>
              <w:spacing w:before="7"/>
              <w:rPr>
                <w:b/>
                <w:sz w:val="20"/>
              </w:rPr>
            </w:pPr>
          </w:p>
          <w:p>
            <w:pPr>
              <w:pStyle w:val="TableParagraph"/>
              <w:ind w:left="887" w:right="796"/>
              <w:jc w:val="center"/>
              <w:rPr>
                <w:sz w:val="21"/>
              </w:rPr>
            </w:pPr>
            <w:r>
              <w:rPr>
                <w:w w:val="105"/>
                <w:sz w:val="21"/>
              </w:rPr>
              <w:t>Hipertenso</w:t>
            </w:r>
          </w:p>
        </w:tc>
      </w:tr>
    </w:tbl>
    <w:p>
      <w:pPr>
        <w:pStyle w:val="BodyText"/>
        <w:spacing w:before="1"/>
        <w:rPr>
          <w:b/>
          <w:sz w:val="28"/>
        </w:rPr>
      </w:pPr>
    </w:p>
    <w:p>
      <w:pPr>
        <w:tabs>
          <w:tab w:pos="6890" w:val="left" w:leader="none"/>
        </w:tabs>
        <w:spacing w:before="78"/>
        <w:ind w:left="1483" w:right="2029" w:firstLine="0"/>
        <w:jc w:val="left"/>
        <w:rPr>
          <w:sz w:val="21"/>
        </w:rPr>
      </w:pPr>
      <w:r>
        <w:rPr>
          <w:w w:val="105"/>
          <w:sz w:val="21"/>
        </w:rPr>
        <w:t>Sin evidencia de</w:t>
      </w:r>
      <w:r>
        <w:rPr>
          <w:spacing w:val="-7"/>
          <w:w w:val="105"/>
          <w:sz w:val="21"/>
        </w:rPr>
        <w:t> </w:t>
      </w:r>
      <w:r>
        <w:rPr>
          <w:w w:val="105"/>
          <w:sz w:val="21"/>
        </w:rPr>
        <w:t>daños</w:t>
      </w:r>
      <w:r>
        <w:rPr>
          <w:spacing w:val="-4"/>
          <w:w w:val="105"/>
          <w:sz w:val="21"/>
        </w:rPr>
        <w:t> </w:t>
      </w:r>
      <w:r>
        <w:rPr>
          <w:w w:val="105"/>
          <w:sz w:val="21"/>
        </w:rPr>
        <w:t>orgánicos</w:t>
        <w:tab/>
        <w:t>No</w:t>
      </w:r>
      <w:r>
        <w:rPr>
          <w:spacing w:val="-11"/>
          <w:w w:val="105"/>
          <w:sz w:val="21"/>
        </w:rPr>
        <w:t> </w:t>
      </w:r>
      <w:r>
        <w:rPr>
          <w:w w:val="105"/>
          <w:sz w:val="21"/>
        </w:rPr>
        <w:t>complicada</w:t>
      </w:r>
    </w:p>
    <w:p>
      <w:pPr>
        <w:tabs>
          <w:tab w:pos="6725" w:val="left" w:leader="none"/>
          <w:tab w:pos="7037" w:val="left" w:leader="none"/>
        </w:tabs>
        <w:spacing w:line="740" w:lineRule="exact" w:before="98"/>
        <w:ind w:left="1673" w:right="2029" w:hanging="13"/>
        <w:jc w:val="left"/>
        <w:rPr>
          <w:sz w:val="21"/>
        </w:rPr>
      </w:pPr>
      <w:r>
        <w:rPr>
          <w:w w:val="105"/>
          <w:sz w:val="21"/>
        </w:rPr>
        <w:t>Evidencia de</w:t>
      </w:r>
      <w:r>
        <w:rPr>
          <w:spacing w:val="-5"/>
          <w:w w:val="105"/>
          <w:sz w:val="21"/>
        </w:rPr>
        <w:t> </w:t>
      </w:r>
      <w:r>
        <w:rPr>
          <w:w w:val="105"/>
          <w:sz w:val="21"/>
        </w:rPr>
        <w:t>daños</w:t>
      </w:r>
      <w:r>
        <w:rPr>
          <w:spacing w:val="-4"/>
          <w:w w:val="105"/>
          <w:sz w:val="21"/>
        </w:rPr>
        <w:t> </w:t>
      </w:r>
      <w:r>
        <w:rPr>
          <w:w w:val="105"/>
          <w:sz w:val="21"/>
        </w:rPr>
        <w:t>orgánicos</w:t>
        <w:tab/>
        <w:tab/>
        <w:t>Complicada No se midió la</w:t>
      </w:r>
      <w:r>
        <w:rPr>
          <w:spacing w:val="-9"/>
          <w:w w:val="105"/>
          <w:sz w:val="21"/>
        </w:rPr>
        <w:t> </w:t>
      </w:r>
      <w:r>
        <w:rPr>
          <w:w w:val="105"/>
          <w:sz w:val="21"/>
        </w:rPr>
        <w:t>presión</w:t>
      </w:r>
      <w:r>
        <w:rPr>
          <w:spacing w:val="-3"/>
          <w:w w:val="105"/>
          <w:sz w:val="21"/>
        </w:rPr>
        <w:t> </w:t>
      </w:r>
      <w:r>
        <w:rPr>
          <w:w w:val="105"/>
          <w:sz w:val="21"/>
        </w:rPr>
        <w:t>arterial</w:t>
        <w:tab/>
      </w:r>
      <w:r>
        <w:rPr>
          <w:w w:val="105"/>
          <w:position w:val="13"/>
          <w:sz w:val="21"/>
        </w:rPr>
        <w:t>Presión arterial</w:t>
      </w:r>
      <w:r>
        <w:rPr>
          <w:spacing w:val="-12"/>
          <w:w w:val="105"/>
          <w:position w:val="13"/>
          <w:sz w:val="21"/>
        </w:rPr>
        <w:t> </w:t>
      </w:r>
      <w:r>
        <w:rPr>
          <w:w w:val="105"/>
          <w:position w:val="13"/>
          <w:sz w:val="21"/>
        </w:rPr>
        <w:t>no</w:t>
      </w:r>
    </w:p>
    <w:p>
      <w:pPr>
        <w:spacing w:line="21" w:lineRule="exact" w:before="0"/>
        <w:ind w:left="7006" w:right="2029" w:firstLine="0"/>
        <w:jc w:val="left"/>
        <w:rPr>
          <w:sz w:val="21"/>
        </w:rPr>
      </w:pPr>
      <w:r>
        <w:rPr/>
        <w:pict>
          <v:group style="position:absolute;margin-left:81.723pt;margin-top:7.230112pt;width:450.3pt;height:.5pt;mso-position-horizontal-relative:page;mso-position-vertical-relative:paragraph;z-index:1288;mso-wrap-distance-left:0;mso-wrap-distance-right:0" coordorigin="1634,145" coordsize="9006,10">
            <v:line style="position:absolute" from="1639,150" to="7639,150" stroked="true" strokeweight=".48pt" strokecolor="#000000"/>
            <v:line style="position:absolute" from="7625,150" to="7635,150" stroked="true" strokeweight=".48pt" strokecolor="#000000"/>
            <v:line style="position:absolute" from="7635,150" to="10635,150" stroked="true" strokeweight=".48pt" strokecolor="#000000"/>
            <w10:wrap type="topAndBottom"/>
          </v:group>
        </w:pict>
      </w:r>
      <w:r>
        <w:rPr>
          <w:w w:val="105"/>
          <w:sz w:val="21"/>
        </w:rPr>
        <w:t>determinada</w:t>
      </w:r>
    </w:p>
    <w:p>
      <w:pPr>
        <w:spacing w:after="0" w:line="21" w:lineRule="exact"/>
        <w:jc w:val="left"/>
        <w:rPr>
          <w:sz w:val="21"/>
        </w:rPr>
        <w:sectPr>
          <w:pgSz w:w="12240" w:h="15840"/>
          <w:pgMar w:header="742" w:footer="748" w:top="980" w:bottom="940" w:left="1520" w:right="18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6"/>
        <w:rPr>
          <w:sz w:val="25"/>
        </w:rPr>
      </w:pPr>
    </w:p>
    <w:p>
      <w:pPr>
        <w:pStyle w:val="BodyText"/>
        <w:spacing w:before="70"/>
        <w:ind w:left="144"/>
        <w:jc w:val="both"/>
      </w:pPr>
      <w:r>
        <w:rPr/>
        <w:t>Factores de Riesgo</w:t>
      </w:r>
    </w:p>
    <w:p>
      <w:pPr>
        <w:pStyle w:val="BodyText"/>
      </w:pPr>
    </w:p>
    <w:p>
      <w:pPr>
        <w:pStyle w:val="BodyText"/>
      </w:pPr>
    </w:p>
    <w:p>
      <w:pPr>
        <w:pStyle w:val="BodyText"/>
      </w:pPr>
    </w:p>
    <w:p>
      <w:pPr>
        <w:pStyle w:val="BodyText"/>
        <w:spacing w:line="480" w:lineRule="auto" w:before="168"/>
        <w:ind w:left="144" w:right="888"/>
        <w:jc w:val="both"/>
      </w:pPr>
      <w:r>
        <w:rPr/>
        <w:t>Un factor de riesgo se define como cualquier rasgo, característica o exposición de un individuo que aumente su probabilidad de sufrir una enfermedad o lesión (OMS, 2014). Los estudios epidemiológicos han demostrado una mayor frecuencia de la ERC en poblaciones con ciertas características clínicas y demográficas, esto sugiere que  existen factores de riesgo para la ERC, los cuales se pueden clasificar en tres grupos (Fernández-del Palacio,</w:t>
      </w:r>
      <w:r>
        <w:rPr>
          <w:spacing w:val="-2"/>
        </w:rPr>
        <w:t> </w:t>
      </w:r>
      <w:r>
        <w:rPr/>
        <w:t>2007):</w:t>
      </w:r>
    </w:p>
    <w:p>
      <w:pPr>
        <w:pStyle w:val="BodyText"/>
      </w:pPr>
    </w:p>
    <w:p>
      <w:pPr>
        <w:pStyle w:val="BodyText"/>
      </w:pPr>
    </w:p>
    <w:p>
      <w:pPr>
        <w:pStyle w:val="ListParagraph"/>
        <w:numPr>
          <w:ilvl w:val="0"/>
          <w:numId w:val="1"/>
        </w:numPr>
        <w:tabs>
          <w:tab w:pos="505" w:val="left" w:leader="none"/>
        </w:tabs>
        <w:spacing w:line="240" w:lineRule="auto" w:before="176" w:after="0"/>
        <w:ind w:left="504" w:right="0" w:hanging="360"/>
        <w:jc w:val="both"/>
        <w:rPr>
          <w:rFonts w:ascii="Arial"/>
          <w:sz w:val="24"/>
        </w:rPr>
      </w:pPr>
      <w:r>
        <w:rPr>
          <w:rFonts w:ascii="Arial"/>
          <w:sz w:val="24"/>
        </w:rPr>
        <w:t>Factores de susceptibilidad:</w:t>
      </w:r>
    </w:p>
    <w:p>
      <w:pPr>
        <w:pStyle w:val="BodyText"/>
        <w:spacing w:before="3"/>
      </w:pPr>
    </w:p>
    <w:p>
      <w:pPr>
        <w:pStyle w:val="ListParagraph"/>
        <w:numPr>
          <w:ilvl w:val="1"/>
          <w:numId w:val="1"/>
        </w:numPr>
        <w:tabs>
          <w:tab w:pos="1585" w:val="left" w:leader="none"/>
        </w:tabs>
        <w:spacing w:line="463" w:lineRule="auto" w:before="0" w:after="0"/>
        <w:ind w:left="1584" w:right="888" w:hanging="360"/>
        <w:jc w:val="both"/>
        <w:rPr>
          <w:rFonts w:ascii="Arial" w:hAnsi="Arial"/>
          <w:sz w:val="24"/>
        </w:rPr>
      </w:pPr>
      <w:r>
        <w:rPr>
          <w:rFonts w:ascii="Arial" w:hAnsi="Arial"/>
          <w:sz w:val="24"/>
        </w:rPr>
        <w:t>Especie: la incidencia en gatos fue de 1.6% en comparación con la de perros de 0.9% (Fernández-del Palacio,</w:t>
      </w:r>
      <w:r>
        <w:rPr>
          <w:rFonts w:ascii="Arial" w:hAnsi="Arial"/>
          <w:spacing w:val="-3"/>
          <w:sz w:val="24"/>
        </w:rPr>
        <w:t> </w:t>
      </w:r>
      <w:r>
        <w:rPr>
          <w:rFonts w:ascii="Arial" w:hAnsi="Arial"/>
          <w:sz w:val="24"/>
        </w:rPr>
        <w:t>2007).</w:t>
      </w:r>
    </w:p>
    <w:p>
      <w:pPr>
        <w:pStyle w:val="ListParagraph"/>
        <w:numPr>
          <w:ilvl w:val="1"/>
          <w:numId w:val="1"/>
        </w:numPr>
        <w:tabs>
          <w:tab w:pos="1584" w:val="left" w:leader="none"/>
          <w:tab w:pos="1585" w:val="left" w:leader="none"/>
        </w:tabs>
        <w:spacing w:line="240" w:lineRule="auto" w:before="29" w:after="0"/>
        <w:ind w:left="1584" w:right="0" w:hanging="360"/>
        <w:jc w:val="left"/>
        <w:rPr>
          <w:rFonts w:ascii="Arial" w:hAnsi="Arial"/>
          <w:sz w:val="24"/>
        </w:rPr>
      </w:pPr>
      <w:r>
        <w:rPr>
          <w:rFonts w:ascii="Arial" w:hAnsi="Arial"/>
          <w:sz w:val="24"/>
        </w:rPr>
        <w:t>Predisposición racial a enfermedades renales familiares (Less,</w:t>
      </w:r>
      <w:r>
        <w:rPr>
          <w:rFonts w:ascii="Arial" w:hAnsi="Arial"/>
          <w:spacing w:val="-2"/>
          <w:sz w:val="24"/>
        </w:rPr>
        <w:t> </w:t>
      </w:r>
      <w:r>
        <w:rPr>
          <w:rFonts w:ascii="Arial" w:hAnsi="Arial"/>
          <w:sz w:val="24"/>
        </w:rPr>
        <w:t>2007).</w:t>
      </w:r>
    </w:p>
    <w:p>
      <w:pPr>
        <w:pStyle w:val="BodyText"/>
        <w:spacing w:before="7"/>
        <w:rPr>
          <w:sz w:val="23"/>
        </w:rPr>
      </w:pPr>
    </w:p>
    <w:p>
      <w:pPr>
        <w:pStyle w:val="ListParagraph"/>
        <w:numPr>
          <w:ilvl w:val="1"/>
          <w:numId w:val="1"/>
        </w:numPr>
        <w:tabs>
          <w:tab w:pos="1585" w:val="left" w:leader="none"/>
        </w:tabs>
        <w:spacing w:line="460" w:lineRule="auto" w:before="1" w:after="0"/>
        <w:ind w:left="1584" w:right="888" w:hanging="360"/>
        <w:jc w:val="both"/>
        <w:rPr>
          <w:rFonts w:ascii="Arial" w:hAnsi="Arial"/>
          <w:sz w:val="24"/>
        </w:rPr>
      </w:pPr>
      <w:r>
        <w:rPr>
          <w:rFonts w:ascii="Arial" w:hAnsi="Arial"/>
          <w:sz w:val="24"/>
        </w:rPr>
        <w:t>La ERC es más frecuente en pacientes de edad avanzada (White y cols., 2006).</w:t>
      </w:r>
    </w:p>
    <w:p>
      <w:pPr>
        <w:pStyle w:val="ListParagraph"/>
        <w:numPr>
          <w:ilvl w:val="1"/>
          <w:numId w:val="1"/>
        </w:numPr>
        <w:tabs>
          <w:tab w:pos="1585" w:val="left" w:leader="none"/>
        </w:tabs>
        <w:spacing w:line="472" w:lineRule="auto" w:before="32" w:after="0"/>
        <w:ind w:left="1584" w:right="888" w:hanging="360"/>
        <w:jc w:val="both"/>
        <w:rPr>
          <w:rFonts w:ascii="Arial" w:hAnsi="Arial"/>
          <w:sz w:val="24"/>
        </w:rPr>
      </w:pPr>
      <w:r>
        <w:rPr>
          <w:rFonts w:ascii="Arial" w:hAnsi="Arial"/>
          <w:sz w:val="24"/>
        </w:rPr>
        <w:t>Condiciones ambientales en las que viva el paciente que favorecen la exposición a ciertos químicos, agentes infecciosos, etc. (Fernández-del Palacio,</w:t>
      </w:r>
      <w:r>
        <w:rPr>
          <w:rFonts w:ascii="Arial" w:hAnsi="Arial"/>
          <w:spacing w:val="-1"/>
          <w:sz w:val="24"/>
        </w:rPr>
        <w:t> </w:t>
      </w:r>
      <w:r>
        <w:rPr>
          <w:rFonts w:ascii="Arial" w:hAnsi="Arial"/>
          <w:sz w:val="24"/>
        </w:rPr>
        <w:t>2007).</w:t>
      </w:r>
    </w:p>
    <w:p>
      <w:pPr>
        <w:spacing w:after="0" w:line="472" w:lineRule="auto"/>
        <w:jc w:val="both"/>
        <w:rPr>
          <w:rFonts w:ascii="Arial" w:hAnsi="Arial"/>
          <w:sz w:val="24"/>
        </w:rPr>
        <w:sectPr>
          <w:pgSz w:w="12240" w:h="15840"/>
          <w:pgMar w:header="742" w:footer="748" w:top="980" w:bottom="940" w:left="1620" w:right="18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ListParagraph"/>
        <w:numPr>
          <w:ilvl w:val="0"/>
          <w:numId w:val="1"/>
        </w:numPr>
        <w:tabs>
          <w:tab w:pos="505" w:val="left" w:leader="none"/>
        </w:tabs>
        <w:spacing w:line="240" w:lineRule="auto" w:before="195" w:after="0"/>
        <w:ind w:left="504" w:right="0" w:hanging="360"/>
        <w:jc w:val="left"/>
        <w:rPr>
          <w:rFonts w:ascii="Arial"/>
          <w:sz w:val="24"/>
        </w:rPr>
      </w:pPr>
      <w:r>
        <w:rPr>
          <w:rFonts w:ascii="Arial"/>
          <w:sz w:val="24"/>
        </w:rPr>
        <w:t>Factores</w:t>
      </w:r>
      <w:r>
        <w:rPr>
          <w:rFonts w:ascii="Arial"/>
          <w:spacing w:val="-1"/>
          <w:sz w:val="24"/>
        </w:rPr>
        <w:t> </w:t>
      </w:r>
      <w:r>
        <w:rPr>
          <w:rFonts w:ascii="Arial"/>
          <w:sz w:val="24"/>
        </w:rPr>
        <w:t>desencadenantes:</w:t>
      </w:r>
    </w:p>
    <w:p>
      <w:pPr>
        <w:pStyle w:val="BodyText"/>
        <w:spacing w:before="3"/>
      </w:pPr>
    </w:p>
    <w:p>
      <w:pPr>
        <w:pStyle w:val="ListParagraph"/>
        <w:numPr>
          <w:ilvl w:val="1"/>
          <w:numId w:val="1"/>
        </w:numPr>
        <w:tabs>
          <w:tab w:pos="1585" w:val="left" w:leader="none"/>
        </w:tabs>
        <w:spacing w:line="472" w:lineRule="auto" w:before="0" w:after="0"/>
        <w:ind w:left="1584" w:right="888" w:hanging="360"/>
        <w:jc w:val="both"/>
        <w:rPr>
          <w:rFonts w:ascii="Arial" w:hAnsi="Arial"/>
          <w:sz w:val="24"/>
        </w:rPr>
      </w:pPr>
      <w:r>
        <w:rPr>
          <w:rFonts w:ascii="Arial" w:hAnsi="Arial"/>
          <w:sz w:val="24"/>
        </w:rPr>
        <w:t>Enfermedades glomerulares en perros que pueden ser primarias o secundarias en asociación con otras enfermedades (Vaden, 2005; Grauer, 2007).</w:t>
      </w:r>
    </w:p>
    <w:p>
      <w:pPr>
        <w:pStyle w:val="ListParagraph"/>
        <w:numPr>
          <w:ilvl w:val="1"/>
          <w:numId w:val="1"/>
        </w:numPr>
        <w:tabs>
          <w:tab w:pos="1579" w:val="left" w:leader="none"/>
        </w:tabs>
        <w:spacing w:line="472" w:lineRule="auto" w:before="19" w:after="0"/>
        <w:ind w:left="1578" w:right="888" w:hanging="357"/>
        <w:jc w:val="both"/>
        <w:rPr>
          <w:rFonts w:ascii="Arial" w:hAnsi="Arial"/>
          <w:sz w:val="24"/>
        </w:rPr>
      </w:pPr>
      <w:r>
        <w:rPr>
          <w:rFonts w:ascii="Arial" w:hAnsi="Arial"/>
          <w:sz w:val="24"/>
        </w:rPr>
        <w:t>Otros padecimientos clínicos: secuela de lesión renal aguda, infecciones del tracto urinario caudal, urolitiasis, obstrucciones del tracto urinario, diabetes mellitus, insuficiencia cardiaca, etc. (Fernández-del Palacio, 2007).</w:t>
      </w:r>
    </w:p>
    <w:p>
      <w:pPr>
        <w:pStyle w:val="ListParagraph"/>
        <w:numPr>
          <w:ilvl w:val="1"/>
          <w:numId w:val="1"/>
        </w:numPr>
        <w:tabs>
          <w:tab w:pos="1585" w:val="left" w:leader="none"/>
        </w:tabs>
        <w:spacing w:line="460" w:lineRule="auto" w:before="19" w:after="0"/>
        <w:ind w:left="1584" w:right="888" w:hanging="360"/>
        <w:jc w:val="both"/>
        <w:rPr>
          <w:rFonts w:ascii="Arial" w:hAnsi="Arial"/>
          <w:sz w:val="24"/>
        </w:rPr>
      </w:pPr>
      <w:r>
        <w:rPr>
          <w:rFonts w:ascii="Arial" w:hAnsi="Arial"/>
          <w:sz w:val="24"/>
        </w:rPr>
        <w:t>Fármacos: aminoglucósidos, sulfonamidas, polimixina B, anfotericina, quimioterapéuticos (Fernández-del Palacio,</w:t>
      </w:r>
      <w:r>
        <w:rPr>
          <w:rFonts w:ascii="Arial" w:hAnsi="Arial"/>
          <w:spacing w:val="-3"/>
          <w:sz w:val="24"/>
        </w:rPr>
        <w:t> </w:t>
      </w:r>
      <w:r>
        <w:rPr>
          <w:rFonts w:ascii="Arial" w:hAnsi="Arial"/>
          <w:sz w:val="24"/>
        </w:rPr>
        <w:t>2007).</w:t>
      </w:r>
    </w:p>
    <w:p>
      <w:pPr>
        <w:pStyle w:val="ListParagraph"/>
        <w:numPr>
          <w:ilvl w:val="0"/>
          <w:numId w:val="1"/>
        </w:numPr>
        <w:tabs>
          <w:tab w:pos="505" w:val="left" w:leader="none"/>
        </w:tabs>
        <w:spacing w:line="240" w:lineRule="auto" w:before="29" w:after="0"/>
        <w:ind w:left="504" w:right="0" w:hanging="360"/>
        <w:jc w:val="left"/>
        <w:rPr>
          <w:rFonts w:ascii="Arial" w:hAnsi="Arial"/>
          <w:sz w:val="24"/>
        </w:rPr>
      </w:pPr>
      <w:r>
        <w:rPr>
          <w:rFonts w:ascii="Arial" w:hAnsi="Arial"/>
          <w:sz w:val="24"/>
        </w:rPr>
        <w:t>Factores de progresión:</w:t>
      </w:r>
    </w:p>
    <w:p>
      <w:pPr>
        <w:pStyle w:val="BodyText"/>
        <w:spacing w:before="3"/>
      </w:pPr>
    </w:p>
    <w:p>
      <w:pPr>
        <w:pStyle w:val="ListParagraph"/>
        <w:numPr>
          <w:ilvl w:val="1"/>
          <w:numId w:val="1"/>
        </w:numPr>
        <w:tabs>
          <w:tab w:pos="1585" w:val="left" w:leader="none"/>
        </w:tabs>
        <w:spacing w:line="463" w:lineRule="auto" w:before="0" w:after="0"/>
        <w:ind w:left="1584" w:right="888" w:hanging="360"/>
        <w:jc w:val="both"/>
        <w:rPr>
          <w:rFonts w:ascii="Arial" w:hAnsi="Arial"/>
          <w:sz w:val="24"/>
        </w:rPr>
      </w:pPr>
      <w:r>
        <w:rPr>
          <w:rFonts w:ascii="Arial" w:hAnsi="Arial"/>
          <w:sz w:val="24"/>
        </w:rPr>
        <w:t>Hipertensión, proteinuria elevada, diabetes mellitus no controlada (Fernández-del Palacio,</w:t>
      </w:r>
      <w:r>
        <w:rPr>
          <w:rFonts w:ascii="Arial" w:hAnsi="Arial"/>
          <w:spacing w:val="-1"/>
          <w:sz w:val="24"/>
        </w:rPr>
        <w:t> </w:t>
      </w:r>
      <w:r>
        <w:rPr>
          <w:rFonts w:ascii="Arial" w:hAnsi="Arial"/>
          <w:sz w:val="24"/>
        </w:rPr>
        <w:t>2007).</w:t>
      </w:r>
    </w:p>
    <w:p>
      <w:pPr>
        <w:spacing w:after="0" w:line="463" w:lineRule="auto"/>
        <w:jc w:val="both"/>
        <w:rPr>
          <w:rFonts w:ascii="Arial" w:hAnsi="Arial"/>
          <w:sz w:val="24"/>
        </w:rPr>
        <w:sectPr>
          <w:pgSz w:w="12240" w:h="15840"/>
          <w:pgMar w:header="742" w:footer="748" w:top="980" w:bottom="940" w:left="1620" w:right="18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6"/>
        <w:rPr>
          <w:sz w:val="25"/>
        </w:rPr>
      </w:pPr>
    </w:p>
    <w:p>
      <w:pPr>
        <w:pStyle w:val="BodyText"/>
        <w:spacing w:before="70"/>
        <w:ind w:left="144"/>
        <w:jc w:val="both"/>
      </w:pPr>
      <w:r>
        <w:rPr/>
        <w:t>Procesos inflamatorios crónicos</w:t>
      </w:r>
    </w:p>
    <w:p>
      <w:pPr>
        <w:pStyle w:val="BodyText"/>
      </w:pPr>
    </w:p>
    <w:p>
      <w:pPr>
        <w:pStyle w:val="BodyText"/>
      </w:pPr>
    </w:p>
    <w:p>
      <w:pPr>
        <w:pStyle w:val="BodyText"/>
      </w:pPr>
    </w:p>
    <w:p>
      <w:pPr>
        <w:pStyle w:val="BodyText"/>
        <w:spacing w:line="480" w:lineRule="auto" w:before="168"/>
        <w:ind w:left="144" w:right="888"/>
        <w:jc w:val="both"/>
      </w:pPr>
      <w:r>
        <w:rPr/>
        <w:t>La evidencia epidemiológica demuestra que la inflamación sistémica crónica contribuye a</w:t>
      </w:r>
      <w:r>
        <w:rPr>
          <w:spacing w:val="56"/>
        </w:rPr>
        <w:t> </w:t>
      </w:r>
      <w:r>
        <w:rPr/>
        <w:t>la</w:t>
      </w:r>
      <w:r>
        <w:rPr>
          <w:spacing w:val="56"/>
        </w:rPr>
        <w:t> </w:t>
      </w:r>
      <w:r>
        <w:rPr/>
        <w:t>lesión</w:t>
      </w:r>
      <w:r>
        <w:rPr>
          <w:spacing w:val="56"/>
        </w:rPr>
        <w:t> </w:t>
      </w:r>
      <w:r>
        <w:rPr/>
        <w:t>endotelial</w:t>
      </w:r>
      <w:r>
        <w:rPr>
          <w:spacing w:val="56"/>
        </w:rPr>
        <w:t> </w:t>
      </w:r>
      <w:r>
        <w:rPr/>
        <w:t>y</w:t>
      </w:r>
      <w:r>
        <w:rPr>
          <w:spacing w:val="56"/>
        </w:rPr>
        <w:t> </w:t>
      </w:r>
      <w:r>
        <w:rPr/>
        <w:t>arterosclerosis</w:t>
      </w:r>
      <w:r>
        <w:rPr>
          <w:spacing w:val="56"/>
        </w:rPr>
        <w:t> </w:t>
      </w:r>
      <w:r>
        <w:rPr/>
        <w:t>(Mehta,</w:t>
      </w:r>
      <w:r>
        <w:rPr>
          <w:spacing w:val="56"/>
        </w:rPr>
        <w:t> </w:t>
      </w:r>
      <w:r>
        <w:rPr/>
        <w:t>1998;</w:t>
      </w:r>
      <w:r>
        <w:rPr>
          <w:spacing w:val="56"/>
        </w:rPr>
        <w:t> </w:t>
      </w:r>
      <w:r>
        <w:rPr/>
        <w:t>Herzberg,</w:t>
      </w:r>
      <w:r>
        <w:rPr>
          <w:spacing w:val="56"/>
        </w:rPr>
        <w:t> </w:t>
      </w:r>
      <w:r>
        <w:rPr/>
        <w:t>2001;</w:t>
      </w:r>
      <w:r>
        <w:rPr>
          <w:spacing w:val="56"/>
        </w:rPr>
        <w:t> </w:t>
      </w:r>
      <w:r>
        <w:rPr/>
        <w:t>Libby,</w:t>
      </w:r>
      <w:r>
        <w:rPr>
          <w:spacing w:val="56"/>
        </w:rPr>
        <w:t> </w:t>
      </w:r>
      <w:r>
        <w:rPr/>
        <w:t>2002).</w:t>
      </w:r>
    </w:p>
    <w:p>
      <w:pPr>
        <w:pStyle w:val="BodyText"/>
      </w:pPr>
    </w:p>
    <w:p>
      <w:pPr>
        <w:pStyle w:val="BodyText"/>
      </w:pPr>
    </w:p>
    <w:p>
      <w:pPr>
        <w:pStyle w:val="BodyText"/>
      </w:pPr>
    </w:p>
    <w:p>
      <w:pPr>
        <w:pStyle w:val="BodyText"/>
        <w:spacing w:before="8"/>
      </w:pPr>
    </w:p>
    <w:p>
      <w:pPr>
        <w:pStyle w:val="BodyText"/>
        <w:spacing w:line="480" w:lineRule="auto"/>
        <w:ind w:left="144" w:right="888" w:firstLine="66"/>
        <w:jc w:val="both"/>
      </w:pPr>
      <w:r>
        <w:rPr/>
        <w:t>Las enfermedades subyacentes por sí solas pueden resultar en un proceso inflamatorio crónico, como en el caso de enfermedades autoinmunes y la amiloidosis sistémica. Además, la alta incidencia de comorbilidad con condiciones como enfermedades cardiovasculares, diabetes mellitus y edad avanzada en pacientes con enfermedad  renal crónica, refuerza el desarrollo de un estado inflamatorio (Filiopoulos,</w:t>
      </w:r>
      <w:r>
        <w:rPr>
          <w:spacing w:val="-2"/>
        </w:rPr>
        <w:t> </w:t>
      </w:r>
      <w:r>
        <w:rPr/>
        <w:t>2009).</w:t>
      </w:r>
    </w:p>
    <w:p>
      <w:pPr>
        <w:pStyle w:val="BodyText"/>
      </w:pPr>
    </w:p>
    <w:p>
      <w:pPr>
        <w:pStyle w:val="BodyText"/>
      </w:pPr>
    </w:p>
    <w:p>
      <w:pPr>
        <w:pStyle w:val="BodyText"/>
        <w:spacing w:line="480" w:lineRule="auto" w:before="176"/>
        <w:ind w:left="144" w:right="888"/>
        <w:jc w:val="both"/>
      </w:pPr>
      <w:r>
        <w:rPr/>
        <w:t>En un estudio realizado en el 2012, se identificaron zonas positivas a COX-2 en distintos sitios de la mácula densa de riñones de perros diagnosticados con ERC, aunque no se encontró correlación entre la cantidad de sitios COX-2 positivos y la severidad de la enfermedad (Yabuki,</w:t>
      </w:r>
      <w:r>
        <w:rPr>
          <w:spacing w:val="-2"/>
        </w:rPr>
        <w:t> </w:t>
      </w:r>
      <w:r>
        <w:rPr/>
        <w:t>2012).</w:t>
      </w:r>
    </w:p>
    <w:p>
      <w:pPr>
        <w:spacing w:after="0" w:line="480" w:lineRule="auto"/>
        <w:jc w:val="both"/>
        <w:sectPr>
          <w:pgSz w:w="12240" w:h="15840"/>
          <w:pgMar w:header="742" w:footer="748" w:top="980" w:bottom="940" w:left="1620" w:right="18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6"/>
        <w:rPr>
          <w:sz w:val="25"/>
        </w:rPr>
      </w:pPr>
    </w:p>
    <w:p>
      <w:pPr>
        <w:pStyle w:val="BodyText"/>
        <w:spacing w:line="480" w:lineRule="auto" w:before="70"/>
        <w:ind w:left="144" w:right="888"/>
        <w:jc w:val="both"/>
      </w:pPr>
      <w:r>
        <w:rPr/>
        <w:t>Desde los estadios tempranos de enfermedad renal crónica se ha documentado ampliamente un estado de inflamación crónica y se observa de manera más pronunciada en pacientes con enfermedad renal avanzada. En conjunto con el estrés oxidativo y la disfunción endoltelial, la inflamación contribuye de manera importante en el desarrollo y progresión de arterosclerosis (Locatelli y cols., 2003). También se han asociado enfermedades autoinmunes, como la artritis reumatoide, con la enfermedad renal crónica (Levey,</w:t>
      </w:r>
      <w:r>
        <w:rPr>
          <w:spacing w:val="-4"/>
        </w:rPr>
        <w:t> </w:t>
      </w:r>
      <w:r>
        <w:rPr/>
        <w:t>2003).</w:t>
      </w:r>
    </w:p>
    <w:p>
      <w:pPr>
        <w:pStyle w:val="BodyText"/>
      </w:pPr>
    </w:p>
    <w:p>
      <w:pPr>
        <w:pStyle w:val="BodyText"/>
      </w:pPr>
    </w:p>
    <w:p>
      <w:pPr>
        <w:pStyle w:val="BodyText"/>
        <w:spacing w:before="176"/>
        <w:ind w:left="144"/>
        <w:jc w:val="both"/>
      </w:pPr>
      <w:r>
        <w:rPr/>
        <w:t>Neoplasias</w:t>
      </w:r>
    </w:p>
    <w:p>
      <w:pPr>
        <w:pStyle w:val="BodyText"/>
      </w:pPr>
    </w:p>
    <w:p>
      <w:pPr>
        <w:pStyle w:val="BodyText"/>
      </w:pPr>
    </w:p>
    <w:p>
      <w:pPr>
        <w:pStyle w:val="BodyText"/>
      </w:pPr>
    </w:p>
    <w:p>
      <w:pPr>
        <w:pStyle w:val="BodyText"/>
        <w:spacing w:line="480" w:lineRule="auto" w:before="168"/>
        <w:ind w:left="144" w:right="888"/>
        <w:jc w:val="both"/>
      </w:pPr>
      <w:r>
        <w:rPr/>
        <w:t>La nefropatía membranosa es la glomerulopatía más asociada con tumores sólidos, sin embargo, también se han reportado glomerulonefritis membranoproliferativas, glomerulonefritis extracapilar y nefropatía ligada a IgA (Ronco, 1999; Birkeland y Storm, 2003).</w:t>
      </w:r>
    </w:p>
    <w:p>
      <w:pPr>
        <w:pStyle w:val="BodyText"/>
      </w:pPr>
    </w:p>
    <w:p>
      <w:pPr>
        <w:pStyle w:val="BodyText"/>
      </w:pPr>
    </w:p>
    <w:p>
      <w:pPr>
        <w:pStyle w:val="BodyText"/>
        <w:spacing w:line="480" w:lineRule="auto" w:before="176"/>
        <w:ind w:left="144" w:right="888"/>
        <w:jc w:val="both"/>
      </w:pPr>
      <w:r>
        <w:rPr/>
        <w:t>En un estudio, el 92% de las biopsias renales de pacientes con cáncer asociado a nefropatía membranosa, tuvo más de 8 tipos de células inflamatorias en el glomérulo,  en  comparación  con  25%  de  los  pacientes  con  nefropatía  membranosa </w:t>
      </w:r>
      <w:r>
        <w:rPr>
          <w:spacing w:val="8"/>
        </w:rPr>
        <w:t> </w:t>
      </w:r>
      <w:r>
        <w:rPr/>
        <w:t>idiopática.</w:t>
      </w:r>
    </w:p>
    <w:p>
      <w:pPr>
        <w:spacing w:after="0" w:line="480" w:lineRule="auto"/>
        <w:jc w:val="both"/>
        <w:sectPr>
          <w:pgSz w:w="12240" w:h="15840"/>
          <w:pgMar w:header="742" w:footer="748" w:top="980" w:bottom="940" w:left="1620" w:right="18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1"/>
        <w:rPr>
          <w:sz w:val="22"/>
        </w:rPr>
      </w:pPr>
    </w:p>
    <w:p>
      <w:pPr>
        <w:pStyle w:val="BodyText"/>
        <w:spacing w:line="480" w:lineRule="auto" w:before="69"/>
        <w:ind w:left="144" w:right="888"/>
        <w:jc w:val="both"/>
      </w:pPr>
      <w:r>
        <w:rPr/>
        <w:t>Ronco, demostró claramente que a pesar de que no se tiene esclarecida la relación entre los tumores sólidos y las glomerulopatías, se puede demostrar una vinculación molecular para el desarrollo de anormalidades linfoplasmáticas (Ronco, 1999).</w:t>
      </w:r>
    </w:p>
    <w:p>
      <w:pPr>
        <w:pStyle w:val="BodyText"/>
      </w:pPr>
    </w:p>
    <w:p>
      <w:pPr>
        <w:pStyle w:val="BodyText"/>
      </w:pPr>
    </w:p>
    <w:p>
      <w:pPr>
        <w:pStyle w:val="BodyText"/>
        <w:spacing w:line="480" w:lineRule="auto" w:before="176"/>
        <w:ind w:left="144" w:right="888"/>
        <w:jc w:val="both"/>
      </w:pPr>
      <w:r>
        <w:rPr/>
        <w:t>De manera frecuente, los pacientes con cáncer tienen comorbilidades preexistentes u otros factores de riesgo que incrementan la posibilidad de daño renal previo a la administración de terapias nefrotóxicas. La edad del paciente, enfermedad renal preexistente y comorbilidades crónicas (diabetes, hipertensión, insuficiencia cardiaca) contribuyen al riesgo de padecer enfermedad renal crónica (KDOQI, 2002).</w:t>
      </w:r>
    </w:p>
    <w:p>
      <w:pPr>
        <w:pStyle w:val="BodyText"/>
      </w:pPr>
    </w:p>
    <w:p>
      <w:pPr>
        <w:pStyle w:val="BodyText"/>
      </w:pPr>
    </w:p>
    <w:p>
      <w:pPr>
        <w:pStyle w:val="BodyText"/>
        <w:spacing w:line="480" w:lineRule="auto" w:before="176"/>
        <w:ind w:left="144" w:right="888"/>
        <w:jc w:val="both"/>
      </w:pPr>
      <w:r>
        <w:rPr/>
        <w:t>Los síndromes paraneoplásicos son un grupo de enfermedades que compromenten de manera indirecta la función renal al causar imbalance electrolítico, secreción ectópica  de hormonas o deposición de complejos antígeno-anticuerpo en el glomérulo, algunas veces al mismo tiempo (Cameron,</w:t>
      </w:r>
      <w:r>
        <w:rPr>
          <w:spacing w:val="-2"/>
        </w:rPr>
        <w:t> </w:t>
      </w:r>
      <w:r>
        <w:rPr/>
        <w:t>1998).</w:t>
      </w:r>
    </w:p>
    <w:p>
      <w:pPr>
        <w:pStyle w:val="BodyText"/>
      </w:pPr>
    </w:p>
    <w:p>
      <w:pPr>
        <w:pStyle w:val="BodyText"/>
      </w:pPr>
    </w:p>
    <w:p>
      <w:pPr>
        <w:pStyle w:val="BodyText"/>
        <w:spacing w:line="480" w:lineRule="auto" w:before="176"/>
        <w:ind w:left="144" w:right="888"/>
        <w:jc w:val="both"/>
      </w:pPr>
      <w:r>
        <w:rPr/>
        <w:t>Dentro de los síndromes paraneoplásicos que afectan la función renal tubular encontramos: hipercalcemia por malignidad, síndrome de secreción inapropiada de hormona antidiurética, síndrome de lisis de tumor por deposición de cristales de ácido úrico (Filgueria y cols., 2010; Thariat y cols., 2012; Bacchetta y cols., 2009).</w:t>
      </w:r>
    </w:p>
    <w:p>
      <w:pPr>
        <w:spacing w:after="0" w:line="480" w:lineRule="auto"/>
        <w:jc w:val="both"/>
        <w:sectPr>
          <w:pgSz w:w="12240" w:h="15840"/>
          <w:pgMar w:header="742" w:footer="748" w:top="980" w:bottom="940" w:left="1620" w:right="18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6"/>
        <w:rPr>
          <w:sz w:val="25"/>
        </w:rPr>
      </w:pPr>
    </w:p>
    <w:p>
      <w:pPr>
        <w:pStyle w:val="BodyText"/>
        <w:spacing w:line="480" w:lineRule="auto" w:before="70"/>
        <w:ind w:left="144" w:right="888"/>
        <w:jc w:val="both"/>
      </w:pPr>
      <w:r>
        <w:rPr/>
        <w:t>Dentro de las glomerulopatías paraneoplásicas encontramos la  nefropatía  membranosa, enfermedad con cambios mínimos, nefropatía por IgA, glomeruloesclerosis focal y segmental, glomerulopatía membranoproliferativa, glomerulonefritis    rápidamente    progresiva    y    la    microangiopatía     </w:t>
      </w:r>
      <w:r>
        <w:rPr>
          <w:spacing w:val="63"/>
        </w:rPr>
        <w:t> </w:t>
      </w:r>
      <w:r>
        <w:rPr/>
        <w:t>trombocítica.</w:t>
      </w:r>
    </w:p>
    <w:p>
      <w:pPr>
        <w:pStyle w:val="BodyText"/>
      </w:pPr>
    </w:p>
    <w:p>
      <w:pPr>
        <w:pStyle w:val="BodyText"/>
        <w:spacing w:before="7"/>
      </w:pPr>
    </w:p>
    <w:p>
      <w:pPr>
        <w:pStyle w:val="BodyText"/>
        <w:spacing w:line="480" w:lineRule="auto" w:before="1"/>
        <w:ind w:left="144" w:right="888"/>
        <w:jc w:val="both"/>
      </w:pPr>
      <w:r>
        <w:rPr/>
        <w:t>El mecanismo fisiopatológico de estas patologías no está del todo esclarecido, sin embargo, se cree que la nefropatía membranosa se desencadena a partir de una reacción inmune intensa y se caracteriza por depósitos subepiteliales de complejos inmunes (Filgueria, 2010).</w:t>
      </w:r>
    </w:p>
    <w:p>
      <w:pPr>
        <w:pStyle w:val="BodyText"/>
      </w:pPr>
    </w:p>
    <w:p>
      <w:pPr>
        <w:pStyle w:val="BodyText"/>
      </w:pPr>
    </w:p>
    <w:p>
      <w:pPr>
        <w:pStyle w:val="BodyText"/>
        <w:spacing w:line="480" w:lineRule="auto" w:before="176"/>
        <w:ind w:left="144" w:right="888"/>
        <w:jc w:val="both"/>
      </w:pPr>
      <w:r>
        <w:rPr/>
        <w:t>Las glomerulopatías paraneoplásicas se pueden desarrollar por diferentes caminos: el inmuológico (especialmente la alteración de las células T), el vascular (incluyendo la proliferación vascular y la alteración de la permeabilidad glomerular mediada por el factor de crecimiento vascular y su receptor), el de anticuerpos (con la presencia de anticuerpos contra antígenos glomerulares), y el de depósitos (con la deposición de antígenos cancerígenos en el glomérulo). Debido a la ausencia de modelos experimentales, parece que la fisiopatología de las glomerulopatías paraneoplásicas no pueden ser claramente demostrada (Bacchetta y cols., 2009).</w:t>
      </w:r>
    </w:p>
    <w:p>
      <w:pPr>
        <w:spacing w:after="0" w:line="480" w:lineRule="auto"/>
        <w:jc w:val="both"/>
        <w:sectPr>
          <w:footerReference w:type="default" r:id="rId15"/>
          <w:pgSz w:w="12240" w:h="15840"/>
          <w:pgMar w:footer="748" w:header="742" w:top="980" w:bottom="940" w:left="1620" w:right="18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6"/>
        <w:rPr>
          <w:sz w:val="25"/>
        </w:rPr>
      </w:pPr>
    </w:p>
    <w:p>
      <w:pPr>
        <w:pStyle w:val="BodyText"/>
        <w:spacing w:before="70"/>
        <w:ind w:left="144"/>
        <w:jc w:val="both"/>
      </w:pPr>
      <w:r>
        <w:rPr/>
        <w:t>Cardiopatías</w:t>
      </w:r>
    </w:p>
    <w:p>
      <w:pPr>
        <w:pStyle w:val="BodyText"/>
      </w:pPr>
    </w:p>
    <w:p>
      <w:pPr>
        <w:pStyle w:val="BodyText"/>
      </w:pPr>
    </w:p>
    <w:p>
      <w:pPr>
        <w:pStyle w:val="BodyText"/>
      </w:pPr>
    </w:p>
    <w:p>
      <w:pPr>
        <w:pStyle w:val="BodyText"/>
        <w:spacing w:line="480" w:lineRule="auto" w:before="168"/>
        <w:ind w:left="144" w:right="888"/>
        <w:jc w:val="both"/>
      </w:pPr>
      <w:r>
        <w:rPr/>
        <w:t>En humanos se conocen otras enfermedades de origen no renal, como algunas enfermedades cardiovasculares que producen inflamación sistémica y dislipidemias y  se han asociado como factores de riesgo para la enfermedad renal crónica en estudios epidemiológicos (Weiner y col 2004).</w:t>
      </w:r>
    </w:p>
    <w:p>
      <w:pPr>
        <w:pStyle w:val="BodyText"/>
      </w:pPr>
    </w:p>
    <w:p>
      <w:pPr>
        <w:pStyle w:val="BodyText"/>
      </w:pPr>
    </w:p>
    <w:p>
      <w:pPr>
        <w:pStyle w:val="BodyText"/>
        <w:spacing w:line="480" w:lineRule="auto" w:before="176"/>
        <w:ind w:left="144" w:right="888"/>
        <w:jc w:val="both"/>
      </w:pPr>
      <w:r>
        <w:rPr/>
        <w:t>La fisiopatología de la disfunción renal en las enfermedades cardiovasculares es multifactorial y se asocia con hipoperfusión renal, arterioesclerosis e inflamación endotelial, y activación neurohormonal (Ljungman y cols., 1990; Stam y cols. 2003: Zoccali y cols., 2003).</w:t>
      </w:r>
    </w:p>
    <w:p>
      <w:pPr>
        <w:pStyle w:val="BodyText"/>
      </w:pPr>
    </w:p>
    <w:p>
      <w:pPr>
        <w:pStyle w:val="BodyText"/>
      </w:pPr>
    </w:p>
    <w:p>
      <w:pPr>
        <w:pStyle w:val="BodyText"/>
        <w:spacing w:before="176"/>
        <w:ind w:left="144"/>
        <w:jc w:val="both"/>
      </w:pPr>
      <w:r>
        <w:rPr/>
        <w:t>Fármacos nefrotóxicos</w:t>
      </w:r>
    </w:p>
    <w:p>
      <w:pPr>
        <w:pStyle w:val="BodyText"/>
      </w:pPr>
    </w:p>
    <w:p>
      <w:pPr>
        <w:pStyle w:val="BodyText"/>
      </w:pPr>
    </w:p>
    <w:p>
      <w:pPr>
        <w:pStyle w:val="BodyText"/>
      </w:pPr>
    </w:p>
    <w:p>
      <w:pPr>
        <w:pStyle w:val="BodyText"/>
        <w:spacing w:line="480" w:lineRule="auto" w:before="168"/>
        <w:ind w:left="144" w:right="888"/>
        <w:jc w:val="both"/>
      </w:pPr>
      <w:r>
        <w:rPr/>
        <w:t>Existen varios fármacos que se han declarado como nefrotóxicos, entre estos podemos encontrar antibióticos (como los aminoglucósidos y sulfonamidas) y los antiinflamatorios no esteroidales (AINE’s). Los aminoglucósidos causan daño renal al concentrarse en la corteza renal y túbulo proximal, donde alteran los mecanismos normales lisosomales.</w:t>
      </w:r>
    </w:p>
    <w:p>
      <w:pPr>
        <w:spacing w:after="0" w:line="480" w:lineRule="auto"/>
        <w:jc w:val="both"/>
        <w:sectPr>
          <w:footerReference w:type="default" r:id="rId16"/>
          <w:pgSz w:w="12240" w:h="15840"/>
          <w:pgMar w:footer="748" w:header="742" w:top="980" w:bottom="940" w:left="1620" w:right="180"/>
          <w:pgNumType w:start="31"/>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7"/>
        <w:rPr>
          <w:sz w:val="19"/>
        </w:rPr>
      </w:pPr>
    </w:p>
    <w:p>
      <w:pPr>
        <w:pStyle w:val="BodyText"/>
        <w:spacing w:line="480" w:lineRule="auto"/>
        <w:ind w:left="144" w:right="888"/>
        <w:jc w:val="both"/>
      </w:pPr>
      <w:r>
        <w:rPr/>
        <w:t>Dentro del espectro nefrotóxico de las sulfonamidas se encuentran: nefritis intersticial aguda, arteritis necrosante, anemia hemolítica, Cristaluria que causa daño tubular.</w:t>
      </w:r>
    </w:p>
    <w:p>
      <w:pPr>
        <w:pStyle w:val="BodyText"/>
      </w:pPr>
    </w:p>
    <w:p>
      <w:pPr>
        <w:pStyle w:val="BodyText"/>
      </w:pPr>
    </w:p>
    <w:p>
      <w:pPr>
        <w:pStyle w:val="BodyText"/>
        <w:spacing w:line="480" w:lineRule="auto" w:before="176"/>
        <w:ind w:left="144" w:right="888"/>
        <w:jc w:val="both"/>
      </w:pPr>
      <w:r>
        <w:rPr/>
        <w:t>La ERC asociada a consumo prolongado de AINE’s se da por una nefritis intersticial crónica con esclerosis capilar de los vasos renales, seguida de necrosis y calcificación, está mediada por isquemia medular inducida por los efectos vasodilatadores de las prostaglandinas sobre la vasa recta (Singh y cols., 2003;. Papich y cols., 2008).</w:t>
      </w:r>
    </w:p>
    <w:p>
      <w:pPr>
        <w:pStyle w:val="BodyText"/>
      </w:pPr>
    </w:p>
    <w:p>
      <w:pPr>
        <w:pStyle w:val="BodyText"/>
      </w:pPr>
    </w:p>
    <w:p>
      <w:pPr>
        <w:pStyle w:val="BodyText"/>
        <w:spacing w:before="176"/>
        <w:ind w:left="144"/>
        <w:jc w:val="both"/>
      </w:pPr>
      <w:r>
        <w:rPr/>
        <w:t>Cirugías previas</w:t>
      </w:r>
    </w:p>
    <w:p>
      <w:pPr>
        <w:pStyle w:val="BodyText"/>
      </w:pPr>
    </w:p>
    <w:p>
      <w:pPr>
        <w:pStyle w:val="BodyText"/>
      </w:pPr>
    </w:p>
    <w:p>
      <w:pPr>
        <w:pStyle w:val="BodyText"/>
      </w:pPr>
    </w:p>
    <w:p>
      <w:pPr>
        <w:pStyle w:val="BodyText"/>
        <w:spacing w:line="480" w:lineRule="auto" w:before="168"/>
        <w:ind w:left="144" w:right="888"/>
        <w:jc w:val="both"/>
      </w:pPr>
      <w:r>
        <w:rPr/>
        <w:t>Fisiopatológicamente, las lesiones renales perianestésicas se pueden desarrollar por isquemia tubular debido a disminución del flujo sanguíneo renal por fármacos que alteran la distribución sanguínea intrarrenal y/o a enfermedades preexistentes que provocan anomalías hemodinámicas, trombosis renales, embolismos renales, nefrotoxinas, hemólisis y agentes nefrotóxicos utilizados antes, durante o después de la anestesia (Aronson, 1998; Ackland, 2011; Strom, 2011).</w:t>
      </w:r>
    </w:p>
    <w:p>
      <w:pPr>
        <w:spacing w:after="0" w:line="480" w:lineRule="auto"/>
        <w:jc w:val="both"/>
        <w:sectPr>
          <w:pgSz w:w="12240" w:h="15840"/>
          <w:pgMar w:header="742" w:footer="748" w:top="980" w:bottom="940" w:left="1620" w:right="18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6"/>
        <w:rPr>
          <w:sz w:val="25"/>
        </w:rPr>
      </w:pPr>
    </w:p>
    <w:p>
      <w:pPr>
        <w:pStyle w:val="BodyText"/>
        <w:spacing w:before="70"/>
        <w:ind w:left="144"/>
        <w:jc w:val="both"/>
      </w:pPr>
      <w:r>
        <w:rPr/>
        <w:t>Endocrinopatías (Diabetes mellitus, hiperadrenocorticismo, hipotiroidismo)</w:t>
      </w:r>
    </w:p>
    <w:p>
      <w:pPr>
        <w:pStyle w:val="BodyText"/>
      </w:pPr>
    </w:p>
    <w:p>
      <w:pPr>
        <w:pStyle w:val="BodyText"/>
      </w:pPr>
    </w:p>
    <w:p>
      <w:pPr>
        <w:pStyle w:val="BodyText"/>
      </w:pPr>
    </w:p>
    <w:p>
      <w:pPr>
        <w:pStyle w:val="BodyText"/>
        <w:spacing w:line="480" w:lineRule="auto" w:before="168"/>
        <w:ind w:left="144" w:right="888"/>
        <w:jc w:val="both"/>
      </w:pPr>
      <w:r>
        <w:rPr/>
        <w:t>En un paciente diagnosticado con diabetes mellitus se pueden encontrar diferentes mecanismos que pueden afectar la función renal, incluida la hiperglucemia que lleva a vasoconstricción y aumento de la permeabilidad vascular generalizada (Bloom y col., 2013); la proteinuria debida al incremento de la tasa de filtración glomerular y nefroesclerosis diabética e hipertensiva (Chaiken, 1998; Stehouwer, 2004); y vasodilatación, inflamación y estrés oxidativo, sugiriendo un vínculo entre las anormalidades vasculares y metabólicas (Coresh, 2003).</w:t>
      </w:r>
    </w:p>
    <w:p>
      <w:pPr>
        <w:pStyle w:val="BodyText"/>
      </w:pPr>
    </w:p>
    <w:p>
      <w:pPr>
        <w:pStyle w:val="BodyText"/>
      </w:pPr>
    </w:p>
    <w:p>
      <w:pPr>
        <w:pStyle w:val="BodyText"/>
        <w:spacing w:line="480" w:lineRule="auto" w:before="176"/>
        <w:ind w:left="144" w:right="888"/>
        <w:jc w:val="both"/>
      </w:pPr>
      <w:r>
        <w:rPr/>
        <w:t>El exceso de glucocorticoides tiene muchos efectos detrimentales en la función renal, pero el hecho de si los perros con síndrome de Cushing están en riesgo de padecer ERC no está del todo definido y necesita investigaciones más profundas. Se ha observado que los pacientes con Cushing tienen un aumento de la tasa de filtración glomerular, aumento de excreción de proteína en orina, hipertensión y activación de factores de inflamación a nivel glomerular, todos siendo factores de riesgo para la ERC (Smets y cols., 2010).</w:t>
      </w:r>
    </w:p>
    <w:p>
      <w:pPr>
        <w:spacing w:after="0" w:line="480" w:lineRule="auto"/>
        <w:jc w:val="both"/>
        <w:sectPr>
          <w:pgSz w:w="12240" w:h="15840"/>
          <w:pgMar w:header="742" w:footer="748" w:top="980" w:bottom="940" w:left="1620" w:right="18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6"/>
        <w:rPr>
          <w:sz w:val="25"/>
        </w:rPr>
      </w:pPr>
    </w:p>
    <w:p>
      <w:pPr>
        <w:pStyle w:val="BodyText"/>
        <w:spacing w:line="480" w:lineRule="auto" w:before="70"/>
        <w:ind w:left="144" w:right="888"/>
        <w:jc w:val="both"/>
      </w:pPr>
      <w:r>
        <w:rPr/>
        <w:t>En diversos estudios se ha documentado la presencia de glomeruloesclerosis, la existencia de una relación entre la presión sanguínea y la severidad de proteinuria, glomerulonefritis y amiloidosis en perros con síndrome de Cushing (Ortega y cols.,  1996; Walters y cols., 1997; Schellenberg y cols.,</w:t>
      </w:r>
      <w:r>
        <w:rPr>
          <w:spacing w:val="-4"/>
        </w:rPr>
        <w:t> </w:t>
      </w:r>
      <w:r>
        <w:rPr/>
        <w:t>2008).</w:t>
      </w:r>
    </w:p>
    <w:p>
      <w:pPr>
        <w:pStyle w:val="BodyText"/>
      </w:pPr>
    </w:p>
    <w:p>
      <w:pPr>
        <w:pStyle w:val="BodyText"/>
      </w:pPr>
    </w:p>
    <w:p>
      <w:pPr>
        <w:pStyle w:val="BodyText"/>
        <w:spacing w:line="480" w:lineRule="auto" w:before="176"/>
        <w:ind w:left="144" w:right="888"/>
        <w:jc w:val="both"/>
      </w:pPr>
      <w:r>
        <w:rPr/>
        <w:t>Los marcadores glomerulares (relación proteinuria creatinuria, albúmina urinaria e inmunoglobulinas urinarias) y los marcadores tubulares (proteína urinaria unida a retinol y N-acetil-β-D-glucosaminidasa urinaria) se encontraron significativamente elevados en perros con síndrome de Cushing, en comparación con perros controles, lo que indica una disfunción glomerulas y tubular (Smets y cols., 2009).</w:t>
      </w:r>
    </w:p>
    <w:p>
      <w:pPr>
        <w:pStyle w:val="BodyText"/>
      </w:pPr>
    </w:p>
    <w:p>
      <w:pPr>
        <w:pStyle w:val="BodyText"/>
      </w:pPr>
    </w:p>
    <w:p>
      <w:pPr>
        <w:pStyle w:val="BodyText"/>
        <w:spacing w:line="480" w:lineRule="auto" w:before="176"/>
        <w:ind w:left="144" w:right="888"/>
        <w:jc w:val="both"/>
      </w:pPr>
      <w:r>
        <w:rPr/>
        <w:t>El estado tiroideo influye en la función renal indirectamente al afectar el sistema circulatorio por su influencia en el flujo sanguíneo renal, y directamente al afectar la función glomerular, la capacidad excretora y de absorción tubular, las bombas de electrolitos y la estructura del riñón (den Hollander y cols., 2005).</w:t>
      </w:r>
    </w:p>
    <w:p>
      <w:pPr>
        <w:pStyle w:val="BodyText"/>
      </w:pPr>
    </w:p>
    <w:p>
      <w:pPr>
        <w:pStyle w:val="BodyText"/>
      </w:pPr>
    </w:p>
    <w:p>
      <w:pPr>
        <w:pStyle w:val="BodyText"/>
        <w:spacing w:line="480" w:lineRule="auto" w:before="176"/>
        <w:ind w:left="144" w:right="888"/>
        <w:jc w:val="both"/>
      </w:pPr>
      <w:r>
        <w:rPr/>
        <w:t>La disminución del flujo sanguíneo renal en el hipotiroidismo se debe a una reducción  en el gasto cardiaco como consecuencia de bradicardia, disminución del llenado ventricular y de la contractibilidad cardiaca (Diekman y cols.,</w:t>
      </w:r>
      <w:r>
        <w:rPr>
          <w:spacing w:val="-1"/>
        </w:rPr>
        <w:t> </w:t>
      </w:r>
      <w:r>
        <w:rPr/>
        <w:t>2001).</w:t>
      </w:r>
    </w:p>
    <w:p>
      <w:pPr>
        <w:spacing w:after="0" w:line="480" w:lineRule="auto"/>
        <w:jc w:val="both"/>
        <w:sectPr>
          <w:pgSz w:w="12240" w:h="15840"/>
          <w:pgMar w:header="742" w:footer="748" w:top="980" w:bottom="940" w:left="1620" w:right="18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6"/>
        <w:rPr>
          <w:sz w:val="25"/>
        </w:rPr>
      </w:pPr>
    </w:p>
    <w:p>
      <w:pPr>
        <w:pStyle w:val="BodyText"/>
        <w:spacing w:line="480" w:lineRule="auto" w:before="70"/>
        <w:ind w:left="144" w:right="888"/>
        <w:jc w:val="both"/>
      </w:pPr>
      <w:r>
        <w:rPr/>
        <w:t>La disminución de la tasa de filtración glomerular en el hipotiroidismo se debe a varios factores: disminución del gasto cardiaco y volumen circulante, por disminución del parénquima glomerular y vasoconstricción preglomerular (Zimmerman y cols., 1988).</w:t>
      </w:r>
    </w:p>
    <w:p>
      <w:pPr>
        <w:pStyle w:val="BodyText"/>
      </w:pPr>
    </w:p>
    <w:p>
      <w:pPr>
        <w:pStyle w:val="BodyText"/>
      </w:pPr>
    </w:p>
    <w:p>
      <w:pPr>
        <w:pStyle w:val="BodyText"/>
        <w:spacing w:before="176"/>
        <w:ind w:left="144"/>
        <w:jc w:val="both"/>
      </w:pPr>
      <w:r>
        <w:rPr/>
        <w:t>Enfermedades infecciosas</w:t>
      </w:r>
    </w:p>
    <w:p>
      <w:pPr>
        <w:pStyle w:val="BodyText"/>
      </w:pPr>
    </w:p>
    <w:p>
      <w:pPr>
        <w:pStyle w:val="BodyText"/>
      </w:pPr>
    </w:p>
    <w:p>
      <w:pPr>
        <w:pStyle w:val="BodyText"/>
      </w:pPr>
    </w:p>
    <w:p>
      <w:pPr>
        <w:pStyle w:val="BodyText"/>
        <w:spacing w:line="480" w:lineRule="auto" w:before="168"/>
        <w:ind w:left="144" w:right="888"/>
        <w:jc w:val="both"/>
      </w:pPr>
      <w:r>
        <w:rPr/>
        <w:t>El daño glomerular desarrollado en las enfermedades infecciosas se puede deber a la respuesta inflamatoria sistémica resultante, así como por daño directo a la membrana glomerular provocado por la interacción entre esta y los compuestos antígeno- anticuerpo (Ardalan, 2011; Greene, 2006).</w:t>
      </w:r>
    </w:p>
    <w:p>
      <w:pPr>
        <w:pStyle w:val="BodyText"/>
      </w:pPr>
    </w:p>
    <w:p>
      <w:pPr>
        <w:pStyle w:val="BodyText"/>
      </w:pPr>
    </w:p>
    <w:p>
      <w:pPr>
        <w:pStyle w:val="BodyText"/>
        <w:spacing w:before="176"/>
        <w:ind w:left="144"/>
        <w:jc w:val="both"/>
      </w:pPr>
      <w:r>
        <w:rPr/>
        <w:t>Hepatopatías</w:t>
      </w:r>
    </w:p>
    <w:p>
      <w:pPr>
        <w:pStyle w:val="BodyText"/>
      </w:pPr>
    </w:p>
    <w:p>
      <w:pPr>
        <w:pStyle w:val="BodyText"/>
      </w:pPr>
    </w:p>
    <w:p>
      <w:pPr>
        <w:pStyle w:val="BodyText"/>
      </w:pPr>
    </w:p>
    <w:p>
      <w:pPr>
        <w:pStyle w:val="BodyText"/>
        <w:spacing w:line="480" w:lineRule="auto" w:before="168"/>
        <w:ind w:left="144" w:right="888"/>
        <w:jc w:val="both"/>
      </w:pPr>
      <w:r>
        <w:rPr/>
        <w:t>La explicación más convincente sobre la relación entre las hepatopatías y la ERC es  que comparten factores de riesgo cardio-metabólicos similares. Las hepatopatías no sólo pueden ser marcadores de enfermedad renal, sino que pueden contribuir a su patogénesis,  posiblemente  a  través  de  la  liberación  sistémica  de  mediadores    </w:t>
      </w:r>
      <w:r>
        <w:rPr>
          <w:spacing w:val="19"/>
        </w:rPr>
        <w:t> </w:t>
      </w:r>
      <w:r>
        <w:rPr/>
        <w:t>de</w:t>
      </w:r>
    </w:p>
    <w:p>
      <w:pPr>
        <w:spacing w:after="0" w:line="480" w:lineRule="auto"/>
        <w:jc w:val="both"/>
        <w:sectPr>
          <w:pgSz w:w="12240" w:h="15840"/>
          <w:pgMar w:header="742" w:footer="748" w:top="980" w:bottom="940" w:left="1620" w:right="18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1"/>
        <w:rPr>
          <w:sz w:val="22"/>
        </w:rPr>
      </w:pPr>
    </w:p>
    <w:p>
      <w:pPr>
        <w:pStyle w:val="BodyText"/>
        <w:spacing w:line="480" w:lineRule="auto" w:before="69"/>
        <w:ind w:left="144" w:right="888"/>
        <w:jc w:val="both"/>
      </w:pPr>
      <w:r>
        <w:rPr/>
        <w:t>inflamación del hígado inflamado o esteatótico, o mediante la contribución de la hepatopatía misma para la resistencia a la insulina y para las dislipidemias aterogénicas (Targher y cols., 2011).</w:t>
      </w:r>
    </w:p>
    <w:p>
      <w:pPr>
        <w:pStyle w:val="BodyText"/>
      </w:pPr>
    </w:p>
    <w:p>
      <w:pPr>
        <w:pStyle w:val="BodyText"/>
      </w:pPr>
    </w:p>
    <w:p>
      <w:pPr>
        <w:pStyle w:val="BodyText"/>
        <w:spacing w:line="480" w:lineRule="auto" w:before="176"/>
        <w:ind w:left="144" w:right="888"/>
        <w:jc w:val="both"/>
      </w:pPr>
      <w:r>
        <w:rPr/>
        <w:t>El mecanismo detrás del síndrome heptaorrenal no está completamente definido, pero puede incluir factores vasodilatadores y vasoconstrictores que afectan el flujo  sanguíneo renal. Se proponen cuatro caminos: 1)vasodilatación arterial periférica con circulación hiperdinámica y la subsecuente vasoconstricción renal, 2) estimulación del sistema nervioso simpático renal, 3) anomalías en la función cardiaca que contribuye a la hipoperfusión renal, y 4) la acción de diferentes citocinas y mediadores vasoactivos  en la circulación renal y otros lechos vasculares (Wadei y cols.,</w:t>
      </w:r>
      <w:r>
        <w:rPr>
          <w:spacing w:val="-2"/>
        </w:rPr>
        <w:t> </w:t>
      </w:r>
      <w:r>
        <w:rPr/>
        <w:t>2006).</w:t>
      </w:r>
    </w:p>
    <w:p>
      <w:pPr>
        <w:pStyle w:val="BodyText"/>
      </w:pPr>
    </w:p>
    <w:p>
      <w:pPr>
        <w:pStyle w:val="BodyText"/>
      </w:pPr>
    </w:p>
    <w:p>
      <w:pPr>
        <w:pStyle w:val="BodyText"/>
        <w:spacing w:line="480" w:lineRule="auto" w:before="176"/>
        <w:ind w:left="144" w:right="888"/>
        <w:jc w:val="both"/>
      </w:pPr>
      <w:r>
        <w:rPr/>
        <w:t>Existe evidencia considerable de que la insuficiencia renal en pacientes con cirrosis se debe a disturbios circulatorios, principalmente, a una reducción de la resistencia vascular sistémica debida a una vasodilatación arterial primaria en la circulación esplénica, desencadenada por hipertensión portal. En los estadíos avanzados de enfermedad hepática se activan los sistemas renina-angiotensina, el sistema nervioso simpático y la hormona antidiurética para mantener la presión arterial sistémica, sin embargo,</w:t>
      </w:r>
      <w:r>
        <w:rPr>
          <w:spacing w:val="53"/>
        </w:rPr>
        <w:t> </w:t>
      </w:r>
      <w:r>
        <w:rPr/>
        <w:t>tienen</w:t>
      </w:r>
      <w:r>
        <w:rPr>
          <w:spacing w:val="53"/>
        </w:rPr>
        <w:t> </w:t>
      </w:r>
      <w:r>
        <w:rPr/>
        <w:t>efectos</w:t>
      </w:r>
      <w:r>
        <w:rPr>
          <w:spacing w:val="53"/>
        </w:rPr>
        <w:t> </w:t>
      </w:r>
      <w:r>
        <w:rPr/>
        <w:t>sobre</w:t>
      </w:r>
      <w:r>
        <w:rPr>
          <w:spacing w:val="53"/>
        </w:rPr>
        <w:t> </w:t>
      </w:r>
      <w:r>
        <w:rPr/>
        <w:t>la</w:t>
      </w:r>
      <w:r>
        <w:rPr>
          <w:spacing w:val="53"/>
        </w:rPr>
        <w:t> </w:t>
      </w:r>
      <w:r>
        <w:rPr/>
        <w:t>función</w:t>
      </w:r>
      <w:r>
        <w:rPr>
          <w:spacing w:val="53"/>
        </w:rPr>
        <w:t> </w:t>
      </w:r>
      <w:r>
        <w:rPr/>
        <w:t>renal</w:t>
      </w:r>
      <w:r>
        <w:rPr>
          <w:spacing w:val="53"/>
        </w:rPr>
        <w:t> </w:t>
      </w:r>
      <w:r>
        <w:rPr/>
        <w:t>a</w:t>
      </w:r>
      <w:r>
        <w:rPr>
          <w:spacing w:val="53"/>
        </w:rPr>
        <w:t> </w:t>
      </w:r>
      <w:r>
        <w:rPr/>
        <w:t>largo</w:t>
      </w:r>
      <w:r>
        <w:rPr>
          <w:spacing w:val="53"/>
        </w:rPr>
        <w:t> </w:t>
      </w:r>
      <w:r>
        <w:rPr/>
        <w:t>plazo,</w:t>
      </w:r>
      <w:r>
        <w:rPr>
          <w:spacing w:val="53"/>
        </w:rPr>
        <w:t> </w:t>
      </w:r>
      <w:r>
        <w:rPr/>
        <w:t>particularmente</w:t>
      </w:r>
      <w:r>
        <w:rPr>
          <w:spacing w:val="53"/>
        </w:rPr>
        <w:t> </w:t>
      </w:r>
      <w:r>
        <w:rPr/>
        <w:t>en</w:t>
      </w:r>
      <w:r>
        <w:rPr>
          <w:spacing w:val="53"/>
        </w:rPr>
        <w:t> </w:t>
      </w:r>
      <w:r>
        <w:rPr/>
        <w:t>la</w:t>
      </w:r>
    </w:p>
    <w:p>
      <w:pPr>
        <w:spacing w:after="0" w:line="480" w:lineRule="auto"/>
        <w:jc w:val="both"/>
        <w:sectPr>
          <w:pgSz w:w="12240" w:h="15840"/>
          <w:pgMar w:header="742" w:footer="748" w:top="980" w:bottom="940" w:left="1620" w:right="18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1"/>
        <w:rPr>
          <w:sz w:val="22"/>
        </w:rPr>
      </w:pPr>
    </w:p>
    <w:p>
      <w:pPr>
        <w:pStyle w:val="BodyText"/>
        <w:spacing w:line="480" w:lineRule="auto" w:before="69"/>
        <w:ind w:left="144" w:right="888"/>
        <w:jc w:val="both"/>
      </w:pPr>
      <w:r>
        <w:rPr/>
        <w:t>retención de sodio y agua, que puede terminar en ascitis y edema, así como en falla renal por vasoconstricción intrarrenal e hipoperfusión. La traslocación bacteriana provoca una respuesta inflamatoria, con producción de citocinas proinflamatorias, que pueden predisponer a falla renal (Ginés y cols., 2009; Nadim y cols., 2012).</w:t>
      </w:r>
    </w:p>
    <w:p>
      <w:pPr>
        <w:pStyle w:val="BodyText"/>
      </w:pPr>
    </w:p>
    <w:p>
      <w:pPr>
        <w:pStyle w:val="BodyText"/>
      </w:pPr>
    </w:p>
    <w:p>
      <w:pPr>
        <w:pStyle w:val="BodyText"/>
        <w:spacing w:before="176"/>
        <w:ind w:left="144"/>
        <w:jc w:val="both"/>
      </w:pPr>
      <w:r>
        <w:rPr/>
        <w:t>Enfermedades del tracto urinario caudal</w:t>
      </w:r>
    </w:p>
    <w:p>
      <w:pPr>
        <w:pStyle w:val="BodyText"/>
      </w:pPr>
    </w:p>
    <w:p>
      <w:pPr>
        <w:pStyle w:val="BodyText"/>
      </w:pPr>
    </w:p>
    <w:p>
      <w:pPr>
        <w:pStyle w:val="BodyText"/>
      </w:pPr>
    </w:p>
    <w:p>
      <w:pPr>
        <w:pStyle w:val="BodyText"/>
        <w:spacing w:line="480" w:lineRule="auto" w:before="168"/>
        <w:ind w:left="144" w:right="888"/>
        <w:jc w:val="both"/>
      </w:pPr>
      <w:r>
        <w:rPr/>
        <w:t>Las patologías que se presentan en el tracto urinario caudal de los perros y los gatos se pueden relacionar con la ERC de diferentes maneras, por ejemplo, en el caso de las infecciones del tracto urinario las células sufren cambios tóxicos provocados por el pH alcalino urinario y la liberación de iones amonio (Vupputuri S 2004). Por parte de las infecciones del tracto urinario, estas se han asociado con el desarrollo de pielonefritis (Saucier, 2010).</w:t>
      </w:r>
    </w:p>
    <w:p>
      <w:pPr>
        <w:pStyle w:val="BodyText"/>
      </w:pPr>
    </w:p>
    <w:p>
      <w:pPr>
        <w:pStyle w:val="BodyText"/>
      </w:pPr>
    </w:p>
    <w:p>
      <w:pPr>
        <w:pStyle w:val="BodyText"/>
        <w:spacing w:line="480" w:lineRule="auto" w:before="176"/>
        <w:ind w:left="144" w:right="888"/>
        <w:jc w:val="both"/>
      </w:pPr>
      <w:r>
        <w:rPr/>
        <w:t>La  ERC asociada a los cálculos urinarios se da debido a una nefropatía obstructiva,  que desemboca un aumento de la presión uretral, y esto se transmite al espacio de la cápsula de Bowman, lo que resulta en una disminución del flujo sanguíneo renal y de la tasa de filtración glomerular provocando azotemia e hiperfosfatemia, inicialmente causan un daño renal leve pero gradualmente evolucionar a un mayor grado de lesión (Bartges,</w:t>
      </w:r>
      <w:r>
        <w:rPr>
          <w:spacing w:val="-1"/>
        </w:rPr>
        <w:t> </w:t>
      </w:r>
      <w:r>
        <w:rPr/>
        <w:t>2011).</w:t>
      </w:r>
    </w:p>
    <w:p>
      <w:pPr>
        <w:spacing w:after="0" w:line="480" w:lineRule="auto"/>
        <w:jc w:val="both"/>
        <w:sectPr>
          <w:pgSz w:w="12240" w:h="15840"/>
          <w:pgMar w:header="742" w:footer="748" w:top="980" w:bottom="940" w:left="1620" w:right="18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6"/>
        <w:rPr>
          <w:sz w:val="25"/>
        </w:rPr>
      </w:pPr>
    </w:p>
    <w:p>
      <w:pPr>
        <w:pStyle w:val="Heading1"/>
      </w:pPr>
      <w:bookmarkStart w:name="_TOC_250016" w:id="11"/>
      <w:bookmarkEnd w:id="11"/>
      <w:r>
        <w:rPr/>
        <w:t>CAPÍTULO II</w:t>
      </w:r>
    </w:p>
    <w:p>
      <w:pPr>
        <w:pStyle w:val="BodyText"/>
        <w:rPr>
          <w:b/>
        </w:rPr>
      </w:pPr>
    </w:p>
    <w:p>
      <w:pPr>
        <w:pStyle w:val="BodyText"/>
        <w:rPr>
          <w:b/>
        </w:rPr>
      </w:pPr>
    </w:p>
    <w:p>
      <w:pPr>
        <w:pStyle w:val="BodyText"/>
        <w:rPr>
          <w:b/>
        </w:rPr>
      </w:pPr>
    </w:p>
    <w:p>
      <w:pPr>
        <w:pStyle w:val="Heading1"/>
        <w:spacing w:before="168"/>
      </w:pPr>
      <w:bookmarkStart w:name="_TOC_250015" w:id="12"/>
      <w:bookmarkEnd w:id="12"/>
      <w:r>
        <w:rPr/>
        <w:t>Justificación</w:t>
      </w:r>
    </w:p>
    <w:p>
      <w:pPr>
        <w:pStyle w:val="BodyText"/>
        <w:rPr>
          <w:b/>
        </w:rPr>
      </w:pPr>
    </w:p>
    <w:p>
      <w:pPr>
        <w:pStyle w:val="BodyText"/>
        <w:rPr>
          <w:b/>
        </w:rPr>
      </w:pPr>
    </w:p>
    <w:p>
      <w:pPr>
        <w:pStyle w:val="BodyText"/>
        <w:rPr>
          <w:b/>
        </w:rPr>
      </w:pPr>
    </w:p>
    <w:p>
      <w:pPr>
        <w:pStyle w:val="BodyText"/>
        <w:spacing w:line="480" w:lineRule="auto" w:before="168"/>
        <w:ind w:left="144" w:right="888"/>
        <w:jc w:val="both"/>
      </w:pPr>
      <w:r>
        <w:rPr/>
        <w:t>El uso de protocolos diagnósticos actuales de consenso internacional permite el diagnóstico integral de la ERC en los perros y estadificar la enfermedad de acuerdo a  su etapa de</w:t>
      </w:r>
      <w:r>
        <w:rPr>
          <w:spacing w:val="-1"/>
        </w:rPr>
        <w:t> </w:t>
      </w:r>
      <w:r>
        <w:rPr/>
        <w:t>evolución.</w:t>
      </w:r>
    </w:p>
    <w:p>
      <w:pPr>
        <w:pStyle w:val="BodyText"/>
      </w:pPr>
    </w:p>
    <w:p>
      <w:pPr>
        <w:pStyle w:val="BodyText"/>
      </w:pPr>
    </w:p>
    <w:p>
      <w:pPr>
        <w:pStyle w:val="BodyText"/>
        <w:spacing w:line="480" w:lineRule="auto" w:before="176"/>
        <w:ind w:left="144" w:right="888"/>
        <w:jc w:val="both"/>
      </w:pPr>
      <w:r>
        <w:rPr/>
        <w:t>En la clínica diaria se observan diferentes factores de riesgo para la enfermedad renal crónica, encontrando entre estos a los procesos inflamatorios crónicos, neoplasias, cardiopatías, fármacos nefrotóxicos, cirugías previas, endocrinopatías, enfermedades infecciosas, hepatopatía, enfermedades del tracto urinario.</w:t>
      </w:r>
    </w:p>
    <w:p>
      <w:pPr>
        <w:pStyle w:val="BodyText"/>
      </w:pPr>
    </w:p>
    <w:p>
      <w:pPr>
        <w:pStyle w:val="BodyText"/>
      </w:pPr>
    </w:p>
    <w:p>
      <w:pPr>
        <w:pStyle w:val="BodyText"/>
        <w:spacing w:line="480" w:lineRule="auto" w:before="176"/>
        <w:ind w:left="144" w:right="888"/>
        <w:jc w:val="both"/>
      </w:pPr>
      <w:r>
        <w:rPr/>
        <w:t>En los estudios epidemiológicos analizados se observan francas discrepancias en la frecuencia de la ERC en las poblaciones relacionadas a sus factores de riesgo que pueden estar influenciadas por diferencias culturales y geográficas. En nuestro conocimiento, en México, se desconoce la morbilidad de la enfermedad renal crónica en los perros  y la relación epidemiológica de sus factores de riesgo asociados.</w:t>
      </w:r>
    </w:p>
    <w:p>
      <w:pPr>
        <w:spacing w:after="0" w:line="480" w:lineRule="auto"/>
        <w:jc w:val="both"/>
        <w:sectPr>
          <w:pgSz w:w="12240" w:h="15840"/>
          <w:pgMar w:header="742" w:footer="748" w:top="980" w:bottom="940" w:left="1620" w:right="18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6"/>
        <w:rPr>
          <w:sz w:val="25"/>
        </w:rPr>
      </w:pPr>
    </w:p>
    <w:p>
      <w:pPr>
        <w:pStyle w:val="Heading1"/>
        <w:jc w:val="left"/>
      </w:pPr>
      <w:bookmarkStart w:name="_TOC_250014" w:id="13"/>
      <w:bookmarkEnd w:id="13"/>
      <w:r>
        <w:rPr/>
        <w:t>CAPÍTULO III</w:t>
      </w:r>
    </w:p>
    <w:p>
      <w:pPr>
        <w:pStyle w:val="BodyText"/>
        <w:rPr>
          <w:b/>
        </w:rPr>
      </w:pPr>
    </w:p>
    <w:p>
      <w:pPr>
        <w:pStyle w:val="BodyText"/>
        <w:rPr>
          <w:b/>
        </w:rPr>
      </w:pPr>
    </w:p>
    <w:p>
      <w:pPr>
        <w:pStyle w:val="BodyText"/>
        <w:rPr>
          <w:b/>
        </w:rPr>
      </w:pPr>
    </w:p>
    <w:p>
      <w:pPr>
        <w:pStyle w:val="Heading1"/>
        <w:spacing w:before="168"/>
        <w:jc w:val="left"/>
      </w:pPr>
      <w:bookmarkStart w:name="_TOC_250013" w:id="14"/>
      <w:bookmarkEnd w:id="14"/>
      <w:r>
        <w:rPr/>
        <w:t>Objetivo general</w:t>
      </w:r>
    </w:p>
    <w:p>
      <w:pPr>
        <w:pStyle w:val="BodyText"/>
        <w:rPr>
          <w:b/>
        </w:rPr>
      </w:pPr>
    </w:p>
    <w:p>
      <w:pPr>
        <w:pStyle w:val="BodyText"/>
        <w:rPr>
          <w:b/>
        </w:rPr>
      </w:pPr>
    </w:p>
    <w:p>
      <w:pPr>
        <w:pStyle w:val="BodyText"/>
        <w:rPr>
          <w:b/>
        </w:rPr>
      </w:pPr>
    </w:p>
    <w:p>
      <w:pPr>
        <w:pStyle w:val="BodyText"/>
        <w:spacing w:line="480" w:lineRule="auto" w:before="168"/>
        <w:ind w:left="144" w:right="888"/>
        <w:jc w:val="both"/>
      </w:pPr>
      <w:r>
        <w:rPr/>
        <w:t>Determinar la morbilidad de enfermedad renal crónica y su relación epidemiológica con los factores de riesgo asociados en perros domiciliados remitidos al HVPE-FMVZ- UAEM en los años 2010-2012.</w:t>
      </w:r>
    </w:p>
    <w:p>
      <w:pPr>
        <w:pStyle w:val="BodyText"/>
      </w:pPr>
    </w:p>
    <w:p>
      <w:pPr>
        <w:pStyle w:val="BodyText"/>
      </w:pPr>
    </w:p>
    <w:p>
      <w:pPr>
        <w:pStyle w:val="Heading1"/>
        <w:spacing w:before="176"/>
        <w:jc w:val="left"/>
      </w:pPr>
      <w:bookmarkStart w:name="_TOC_250012" w:id="15"/>
      <w:bookmarkEnd w:id="15"/>
      <w:r>
        <w:rPr/>
        <w:t>Objetivos particulares</w:t>
      </w:r>
    </w:p>
    <w:p>
      <w:pPr>
        <w:pStyle w:val="BodyText"/>
        <w:rPr>
          <w:b/>
        </w:rPr>
      </w:pPr>
    </w:p>
    <w:p>
      <w:pPr>
        <w:pStyle w:val="BodyText"/>
        <w:rPr>
          <w:b/>
        </w:rPr>
      </w:pPr>
    </w:p>
    <w:p>
      <w:pPr>
        <w:pStyle w:val="BodyText"/>
        <w:rPr>
          <w:b/>
        </w:rPr>
      </w:pPr>
    </w:p>
    <w:p>
      <w:pPr>
        <w:pStyle w:val="ListParagraph"/>
        <w:numPr>
          <w:ilvl w:val="0"/>
          <w:numId w:val="2"/>
        </w:numPr>
        <w:tabs>
          <w:tab w:pos="505" w:val="left" w:leader="none"/>
        </w:tabs>
        <w:spacing w:line="480" w:lineRule="auto" w:before="168" w:after="0"/>
        <w:ind w:left="504" w:right="888" w:hanging="360"/>
        <w:jc w:val="left"/>
        <w:rPr>
          <w:rFonts w:ascii="Arial" w:hAnsi="Arial"/>
          <w:sz w:val="24"/>
        </w:rPr>
      </w:pPr>
      <w:r>
        <w:rPr>
          <w:rFonts w:ascii="Arial" w:hAnsi="Arial"/>
          <w:sz w:val="24"/>
        </w:rPr>
        <w:t>Determinar la frecuencia de la enfermedad renal crónica en los perros atendidos en nuestro centro hospitalario.</w:t>
      </w:r>
    </w:p>
    <w:p>
      <w:pPr>
        <w:pStyle w:val="ListParagraph"/>
        <w:numPr>
          <w:ilvl w:val="0"/>
          <w:numId w:val="2"/>
        </w:numPr>
        <w:tabs>
          <w:tab w:pos="505" w:val="left" w:leader="none"/>
        </w:tabs>
        <w:spacing w:line="480" w:lineRule="auto" w:before="8" w:after="0"/>
        <w:ind w:left="504" w:right="888" w:hanging="360"/>
        <w:jc w:val="left"/>
        <w:rPr>
          <w:rFonts w:ascii="Arial" w:hAnsi="Arial"/>
          <w:sz w:val="24"/>
        </w:rPr>
      </w:pPr>
      <w:r>
        <w:rPr>
          <w:rFonts w:ascii="Arial" w:hAnsi="Arial"/>
          <w:sz w:val="24"/>
        </w:rPr>
        <w:t>Determinar la frecuencia de los diferentes estadios de ERC de acuerdo la clasificación propuesta por Cortadellas</w:t>
      </w:r>
      <w:r>
        <w:rPr>
          <w:rFonts w:ascii="Arial" w:hAnsi="Arial"/>
          <w:spacing w:val="-1"/>
          <w:sz w:val="24"/>
        </w:rPr>
        <w:t> </w:t>
      </w:r>
      <w:r>
        <w:rPr>
          <w:rFonts w:ascii="Arial" w:hAnsi="Arial"/>
          <w:sz w:val="24"/>
        </w:rPr>
        <w:t>2009.</w:t>
      </w:r>
    </w:p>
    <w:p>
      <w:pPr>
        <w:pStyle w:val="ListParagraph"/>
        <w:numPr>
          <w:ilvl w:val="0"/>
          <w:numId w:val="2"/>
        </w:numPr>
        <w:tabs>
          <w:tab w:pos="505" w:val="left" w:leader="none"/>
        </w:tabs>
        <w:spacing w:line="480" w:lineRule="auto" w:before="8" w:after="0"/>
        <w:ind w:left="504" w:right="888" w:hanging="360"/>
        <w:jc w:val="left"/>
        <w:rPr>
          <w:rFonts w:ascii="Arial" w:hAnsi="Arial"/>
          <w:sz w:val="24"/>
        </w:rPr>
      </w:pPr>
      <w:r>
        <w:rPr>
          <w:rFonts w:ascii="Arial" w:hAnsi="Arial"/>
          <w:sz w:val="24"/>
        </w:rPr>
        <w:t>Determinar los factores de riesgo asociados a la enfermedad renal crónica en perros.</w:t>
      </w:r>
    </w:p>
    <w:p>
      <w:pPr>
        <w:spacing w:after="0" w:line="480" w:lineRule="auto"/>
        <w:jc w:val="left"/>
        <w:rPr>
          <w:rFonts w:ascii="Arial" w:hAnsi="Arial"/>
          <w:sz w:val="24"/>
        </w:rPr>
        <w:sectPr>
          <w:pgSz w:w="12240" w:h="15840"/>
          <w:pgMar w:header="742" w:footer="748" w:top="980" w:bottom="940" w:left="1620" w:right="18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6"/>
        <w:rPr>
          <w:sz w:val="25"/>
        </w:rPr>
      </w:pPr>
    </w:p>
    <w:p>
      <w:pPr>
        <w:pStyle w:val="Heading1"/>
        <w:jc w:val="left"/>
      </w:pPr>
      <w:bookmarkStart w:name="_TOC_250011" w:id="16"/>
      <w:bookmarkEnd w:id="16"/>
      <w:r>
        <w:rPr/>
        <w:t>CAPÍTULO IV</w:t>
      </w:r>
    </w:p>
    <w:p>
      <w:pPr>
        <w:pStyle w:val="BodyText"/>
        <w:rPr>
          <w:b/>
        </w:rPr>
      </w:pPr>
    </w:p>
    <w:p>
      <w:pPr>
        <w:pStyle w:val="BodyText"/>
        <w:rPr>
          <w:b/>
        </w:rPr>
      </w:pPr>
    </w:p>
    <w:p>
      <w:pPr>
        <w:pStyle w:val="BodyText"/>
        <w:rPr>
          <w:b/>
        </w:rPr>
      </w:pPr>
    </w:p>
    <w:p>
      <w:pPr>
        <w:pStyle w:val="Heading1"/>
        <w:spacing w:before="168"/>
        <w:jc w:val="left"/>
      </w:pPr>
      <w:bookmarkStart w:name="_TOC_250010" w:id="17"/>
      <w:bookmarkEnd w:id="17"/>
      <w:r>
        <w:rPr/>
        <w:t>Material y método</w:t>
      </w:r>
    </w:p>
    <w:p>
      <w:pPr>
        <w:pStyle w:val="BodyText"/>
        <w:rPr>
          <w:b/>
        </w:rPr>
      </w:pPr>
    </w:p>
    <w:p>
      <w:pPr>
        <w:pStyle w:val="BodyText"/>
        <w:rPr>
          <w:b/>
        </w:rPr>
      </w:pPr>
    </w:p>
    <w:p>
      <w:pPr>
        <w:pStyle w:val="BodyText"/>
        <w:rPr>
          <w:b/>
        </w:rPr>
      </w:pPr>
    </w:p>
    <w:p>
      <w:pPr>
        <w:pStyle w:val="BodyText"/>
        <w:spacing w:before="168"/>
        <w:ind w:left="144"/>
      </w:pPr>
      <w:r>
        <w:rPr>
          <w:u w:val="single"/>
        </w:rPr>
        <w:t>Tipo de estudio: </w:t>
      </w:r>
      <w:r>
        <w:rPr/>
        <w:t>Se realizó un estudio de tipo observacional descriptivo prospectivo.</w:t>
      </w:r>
    </w:p>
    <w:p>
      <w:pPr>
        <w:pStyle w:val="BodyText"/>
        <w:rPr>
          <w:sz w:val="20"/>
        </w:rPr>
      </w:pPr>
    </w:p>
    <w:p>
      <w:pPr>
        <w:pStyle w:val="BodyText"/>
        <w:rPr>
          <w:sz w:val="20"/>
        </w:rPr>
      </w:pPr>
    </w:p>
    <w:p>
      <w:pPr>
        <w:pStyle w:val="BodyText"/>
        <w:rPr>
          <w:sz w:val="20"/>
        </w:rPr>
      </w:pPr>
    </w:p>
    <w:p>
      <w:pPr>
        <w:pStyle w:val="BodyText"/>
        <w:spacing w:before="6"/>
        <w:rPr>
          <w:sz w:val="20"/>
        </w:rPr>
      </w:pPr>
    </w:p>
    <w:p>
      <w:pPr>
        <w:pStyle w:val="BodyText"/>
        <w:spacing w:before="70"/>
        <w:ind w:left="144"/>
      </w:pPr>
      <w:r>
        <w:rPr>
          <w:u w:val="single"/>
        </w:rPr>
        <w:t>Periodo de estudio: </w:t>
      </w:r>
      <w:r>
        <w:rPr/>
        <w:t>Enero de 2010-Junio 2012.</w:t>
      </w:r>
    </w:p>
    <w:p>
      <w:pPr>
        <w:pStyle w:val="BodyText"/>
        <w:rPr>
          <w:sz w:val="20"/>
        </w:rPr>
      </w:pPr>
    </w:p>
    <w:p>
      <w:pPr>
        <w:pStyle w:val="BodyText"/>
        <w:rPr>
          <w:sz w:val="20"/>
        </w:rPr>
      </w:pPr>
    </w:p>
    <w:p>
      <w:pPr>
        <w:pStyle w:val="BodyText"/>
        <w:rPr>
          <w:sz w:val="20"/>
        </w:rPr>
      </w:pPr>
    </w:p>
    <w:p>
      <w:pPr>
        <w:pStyle w:val="BodyText"/>
        <w:spacing w:before="6"/>
        <w:rPr>
          <w:sz w:val="20"/>
        </w:rPr>
      </w:pPr>
    </w:p>
    <w:p>
      <w:pPr>
        <w:pStyle w:val="BodyText"/>
        <w:spacing w:before="70"/>
        <w:ind w:left="144"/>
      </w:pPr>
      <w:r>
        <w:rPr>
          <w:u w:val="single"/>
        </w:rPr>
        <w:t>Universo  de  trabajo:  </w:t>
      </w:r>
      <w:r>
        <w:rPr/>
        <w:t>El  presente  trabajo  se  realizó  en  el  Hospital  Veterinario para</w:t>
      </w:r>
    </w:p>
    <w:p>
      <w:pPr>
        <w:pStyle w:val="BodyText"/>
        <w:spacing w:before="11"/>
        <w:rPr>
          <w:sz w:val="17"/>
        </w:rPr>
      </w:pPr>
    </w:p>
    <w:p>
      <w:pPr>
        <w:pStyle w:val="BodyText"/>
        <w:spacing w:line="480" w:lineRule="auto" w:before="69"/>
        <w:ind w:left="144" w:right="888"/>
        <w:jc w:val="both"/>
      </w:pPr>
      <w:r>
        <w:rPr/>
        <w:t>Pequeñas Especies de la Facultad de Medicina Veterinaria y Zootecnia de la Universidad Autónoma del Estado de México, en la ciudad de Toluca, Estado de México, México. La ciudad de Toluca ( Latitud 19</w:t>
      </w:r>
      <w:r>
        <w:rPr>
          <w:position w:val="8"/>
        </w:rPr>
        <w:t>◦</w:t>
      </w:r>
      <w:r>
        <w:rPr/>
        <w:t>37</w:t>
      </w:r>
      <w:r>
        <w:rPr>
          <w:position w:val="8"/>
        </w:rPr>
        <w:t>′</w:t>
      </w:r>
      <w:r>
        <w:rPr/>
        <w:t>32</w:t>
      </w:r>
      <w:r>
        <w:rPr>
          <w:position w:val="8"/>
        </w:rPr>
        <w:t>′′</w:t>
      </w:r>
      <w:r>
        <w:rPr/>
        <w:t>N y longitud de 99</w:t>
      </w:r>
      <w:r>
        <w:rPr>
          <w:position w:val="8"/>
        </w:rPr>
        <w:t>◦</w:t>
      </w:r>
      <w:r>
        <w:rPr/>
        <w:t>39</w:t>
      </w:r>
      <w:r>
        <w:rPr>
          <w:position w:val="8"/>
        </w:rPr>
        <w:t>′</w:t>
      </w:r>
      <w:r>
        <w:rPr/>
        <w:t>14</w:t>
      </w:r>
      <w:r>
        <w:rPr>
          <w:position w:val="8"/>
        </w:rPr>
        <w:t>′′</w:t>
      </w:r>
      <w:r>
        <w:rPr/>
        <w:t>W longitud con una altitud de 2640 metros sobre el nivel del mar), que cuenta con un  clima subtropical con una época de lluvia en verano de Junio a Septiembre (INEGI 1999). Debido a sus características climáticas no es considerada un área endémica para las enfermedades transmitidas por vectores como erlichiosis, dirofilariasis ó tripanosomiasis (Quijano y cols</w:t>
      </w:r>
      <w:r>
        <w:rPr>
          <w:spacing w:val="-2"/>
        </w:rPr>
        <w:t> </w:t>
      </w:r>
      <w:r>
        <w:rPr/>
        <w:t>2012).</w:t>
      </w:r>
    </w:p>
    <w:p>
      <w:pPr>
        <w:spacing w:after="0" w:line="480" w:lineRule="auto"/>
        <w:jc w:val="both"/>
        <w:sectPr>
          <w:footerReference w:type="default" r:id="rId17"/>
          <w:pgSz w:w="12240" w:h="15840"/>
          <w:pgMar w:footer="748" w:header="742" w:top="980" w:bottom="940" w:left="1620" w:right="18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6"/>
        <w:rPr>
          <w:sz w:val="25"/>
        </w:rPr>
      </w:pPr>
    </w:p>
    <w:p>
      <w:pPr>
        <w:pStyle w:val="BodyText"/>
        <w:spacing w:before="70"/>
        <w:ind w:left="144"/>
      </w:pPr>
      <w:r>
        <w:rPr>
          <w:u w:val="single"/>
        </w:rPr>
        <w:t>Criterios de inclusión: </w:t>
      </w:r>
      <w:r>
        <w:rPr/>
        <w:t>La población de estudio fueron perros domiciliados remitidos a</w:t>
      </w:r>
    </w:p>
    <w:p>
      <w:pPr>
        <w:pStyle w:val="BodyText"/>
        <w:spacing w:before="11"/>
        <w:rPr>
          <w:sz w:val="17"/>
        </w:rPr>
      </w:pPr>
    </w:p>
    <w:p>
      <w:pPr>
        <w:pStyle w:val="BodyText"/>
        <w:spacing w:line="480" w:lineRule="auto" w:before="69"/>
        <w:ind w:left="144" w:right="888"/>
        <w:jc w:val="both"/>
      </w:pPr>
      <w:r>
        <w:rPr/>
        <w:t>consulta en la sección de medicina interna del HVPE-FMVZ-UAEM, con un diagnostico de ERC.</w:t>
      </w:r>
    </w:p>
    <w:p>
      <w:pPr>
        <w:pStyle w:val="BodyText"/>
      </w:pPr>
    </w:p>
    <w:p>
      <w:pPr>
        <w:pStyle w:val="BodyText"/>
      </w:pPr>
    </w:p>
    <w:p>
      <w:pPr>
        <w:pStyle w:val="BodyText"/>
        <w:spacing w:line="480" w:lineRule="auto" w:before="176"/>
        <w:ind w:left="144" w:right="888"/>
        <w:jc w:val="both"/>
      </w:pPr>
      <w:r>
        <w:rPr/>
        <w:t>Se consideraron para el estudio de forma rutinaria los pacientes mayores de 6 años clínicamente sanos y de razas predispuestas a la enfermedad renal familiar entre 1 y 3 años; o bien, animales con signos clínicos relacionados a ERC de cualquier edad, con  la previa autorización del propietario en todos los casos.</w:t>
      </w:r>
    </w:p>
    <w:p>
      <w:pPr>
        <w:pStyle w:val="BodyText"/>
      </w:pPr>
    </w:p>
    <w:p>
      <w:pPr>
        <w:pStyle w:val="BodyText"/>
      </w:pPr>
    </w:p>
    <w:p>
      <w:pPr>
        <w:pStyle w:val="BodyText"/>
        <w:spacing w:before="176"/>
        <w:ind w:left="144"/>
        <w:jc w:val="both"/>
      </w:pPr>
      <w:r>
        <w:rPr>
          <w:u w:val="single"/>
        </w:rPr>
        <w:t>Criterios  de  exclusión:  </w:t>
      </w:r>
      <w:r>
        <w:rPr/>
        <w:t>los  animales  que  presentaban  historia  o  signos        clínicos</w:t>
      </w:r>
    </w:p>
    <w:p>
      <w:pPr>
        <w:pStyle w:val="BodyText"/>
        <w:spacing w:before="11"/>
        <w:rPr>
          <w:sz w:val="17"/>
        </w:rPr>
      </w:pPr>
    </w:p>
    <w:p>
      <w:pPr>
        <w:pStyle w:val="BodyText"/>
        <w:spacing w:line="480" w:lineRule="auto" w:before="69"/>
        <w:ind w:left="144" w:right="888"/>
      </w:pPr>
      <w:r>
        <w:rPr/>
        <w:t>compatibles con lesión nefrítica de origen prerrenal o postirenal fueron excluidos del estudio.</w:t>
      </w:r>
    </w:p>
    <w:p>
      <w:pPr>
        <w:pStyle w:val="BodyText"/>
      </w:pPr>
    </w:p>
    <w:p>
      <w:pPr>
        <w:pStyle w:val="BodyText"/>
      </w:pPr>
    </w:p>
    <w:p>
      <w:pPr>
        <w:pStyle w:val="BodyText"/>
        <w:spacing w:line="480" w:lineRule="auto" w:before="176"/>
        <w:ind w:left="144" w:right="888"/>
      </w:pPr>
      <w:r>
        <w:rPr/>
        <w:t>Se tomó la historia clínica, se llevó a cabo el examen físico general y se tomaron muestras para estudios de laboratorio.</w:t>
      </w:r>
    </w:p>
    <w:p>
      <w:pPr>
        <w:spacing w:after="0" w:line="480" w:lineRule="auto"/>
        <w:sectPr>
          <w:footerReference w:type="default" r:id="rId18"/>
          <w:pgSz w:w="12240" w:h="15840"/>
          <w:pgMar w:footer="748" w:header="742" w:top="980" w:bottom="940" w:left="1620" w:right="180"/>
          <w:pgNumType w:start="41"/>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6"/>
        <w:rPr>
          <w:sz w:val="25"/>
        </w:rPr>
      </w:pPr>
    </w:p>
    <w:p>
      <w:pPr>
        <w:pStyle w:val="BodyText"/>
        <w:spacing w:before="70"/>
        <w:ind w:left="210"/>
      </w:pPr>
      <w:r>
        <w:rPr>
          <w:u w:val="single"/>
        </w:rPr>
        <w:t>Protocolo diagnóstico:</w:t>
      </w:r>
    </w:p>
    <w:p>
      <w:pPr>
        <w:pStyle w:val="BodyText"/>
        <w:rPr>
          <w:sz w:val="20"/>
        </w:rPr>
      </w:pPr>
    </w:p>
    <w:p>
      <w:pPr>
        <w:pStyle w:val="BodyText"/>
        <w:rPr>
          <w:sz w:val="20"/>
        </w:rPr>
      </w:pPr>
    </w:p>
    <w:p>
      <w:pPr>
        <w:pStyle w:val="BodyText"/>
        <w:rPr>
          <w:sz w:val="20"/>
        </w:rPr>
      </w:pPr>
    </w:p>
    <w:p>
      <w:pPr>
        <w:pStyle w:val="BodyText"/>
        <w:spacing w:before="6"/>
        <w:rPr>
          <w:sz w:val="20"/>
        </w:rPr>
      </w:pPr>
    </w:p>
    <w:p>
      <w:pPr>
        <w:pStyle w:val="BodyText"/>
        <w:spacing w:line="480" w:lineRule="auto" w:before="70"/>
        <w:ind w:left="144" w:right="888"/>
        <w:jc w:val="both"/>
      </w:pPr>
      <w:r>
        <w:rPr/>
        <w:t>Las muestras de sangre necesarias para perfil bioquímico se obtuvieron de la vena yugular con un ayuno previo de 12 hrs; una vez coaguladas, se centrifugaron durante 5 minutos a 5000 rpm. Las muestras de orina se obtuvieron por cistocentesis con los pacientes estables y sin evidencia de deshidratación, estas se centrifugaron por 3 minutos a 1500 rpm.</w:t>
      </w:r>
    </w:p>
    <w:p>
      <w:pPr>
        <w:pStyle w:val="BodyText"/>
      </w:pPr>
    </w:p>
    <w:p>
      <w:pPr>
        <w:pStyle w:val="BodyText"/>
      </w:pPr>
    </w:p>
    <w:p>
      <w:pPr>
        <w:pStyle w:val="BodyText"/>
        <w:spacing w:line="480" w:lineRule="auto" w:before="176"/>
        <w:ind w:left="144" w:right="888"/>
        <w:jc w:val="both"/>
      </w:pPr>
      <w:r>
        <w:rPr/>
        <w:t>La determinación de los valores de creatinina sérica, fósforo sérico, proteína urinaria, creatinina urinaria, albúmina urinaria se llevaron a cabo en un equipo para química clínica Biosystem BTS 330, por medio de los siguientes análisis y métodos (basados en las especificaciones del fabricante):</w:t>
      </w:r>
    </w:p>
    <w:p>
      <w:pPr>
        <w:pStyle w:val="BodyText"/>
      </w:pPr>
    </w:p>
    <w:p>
      <w:pPr>
        <w:pStyle w:val="BodyText"/>
      </w:pPr>
    </w:p>
    <w:p>
      <w:pPr>
        <w:pStyle w:val="ListParagraph"/>
        <w:numPr>
          <w:ilvl w:val="1"/>
          <w:numId w:val="2"/>
        </w:numPr>
        <w:tabs>
          <w:tab w:pos="864" w:val="left" w:leader="none"/>
          <w:tab w:pos="865" w:val="left" w:leader="none"/>
        </w:tabs>
        <w:spacing w:line="240" w:lineRule="auto" w:before="179" w:after="0"/>
        <w:ind w:left="864" w:right="0" w:hanging="360"/>
        <w:jc w:val="left"/>
        <w:rPr>
          <w:rFonts w:ascii="Arial" w:hAnsi="Arial"/>
          <w:sz w:val="24"/>
        </w:rPr>
      </w:pPr>
      <w:r>
        <w:rPr>
          <w:rFonts w:ascii="Arial" w:hAnsi="Arial"/>
          <w:sz w:val="24"/>
        </w:rPr>
        <w:t>Creatinina sérica: análisis cinético por método colorimétrico.</w:t>
      </w:r>
    </w:p>
    <w:p>
      <w:pPr>
        <w:pStyle w:val="BodyText"/>
        <w:spacing w:before="1"/>
      </w:pPr>
    </w:p>
    <w:p>
      <w:pPr>
        <w:pStyle w:val="ListParagraph"/>
        <w:numPr>
          <w:ilvl w:val="1"/>
          <w:numId w:val="2"/>
        </w:numPr>
        <w:tabs>
          <w:tab w:pos="864" w:val="left" w:leader="none"/>
          <w:tab w:pos="865" w:val="left" w:leader="none"/>
        </w:tabs>
        <w:spacing w:line="240" w:lineRule="auto" w:before="0" w:after="0"/>
        <w:ind w:left="864" w:right="0" w:hanging="360"/>
        <w:jc w:val="left"/>
        <w:rPr>
          <w:rFonts w:ascii="Arial" w:hAnsi="Arial"/>
          <w:sz w:val="24"/>
        </w:rPr>
      </w:pPr>
      <w:r>
        <w:rPr>
          <w:rFonts w:ascii="Arial" w:hAnsi="Arial"/>
          <w:sz w:val="24"/>
        </w:rPr>
        <w:t>Proteína (urinaria): análisis de punto final por método biuret</w:t>
      </w:r>
      <w:r>
        <w:rPr>
          <w:rFonts w:ascii="Arial" w:hAnsi="Arial"/>
          <w:spacing w:val="-2"/>
          <w:sz w:val="24"/>
        </w:rPr>
        <w:t> </w:t>
      </w:r>
      <w:r>
        <w:rPr>
          <w:rFonts w:ascii="Arial" w:hAnsi="Arial"/>
          <w:sz w:val="24"/>
        </w:rPr>
        <w:t>modificado.</w:t>
      </w:r>
    </w:p>
    <w:p>
      <w:pPr>
        <w:pStyle w:val="BodyText"/>
        <w:spacing w:before="7"/>
        <w:rPr>
          <w:sz w:val="23"/>
        </w:rPr>
      </w:pPr>
    </w:p>
    <w:p>
      <w:pPr>
        <w:pStyle w:val="ListParagraph"/>
        <w:numPr>
          <w:ilvl w:val="1"/>
          <w:numId w:val="2"/>
        </w:numPr>
        <w:tabs>
          <w:tab w:pos="864" w:val="left" w:leader="none"/>
          <w:tab w:pos="865" w:val="left" w:leader="none"/>
        </w:tabs>
        <w:spacing w:line="240" w:lineRule="auto" w:before="1" w:after="0"/>
        <w:ind w:left="864" w:right="0" w:hanging="360"/>
        <w:jc w:val="left"/>
        <w:rPr>
          <w:rFonts w:ascii="Arial"/>
          <w:sz w:val="24"/>
        </w:rPr>
      </w:pPr>
      <w:r>
        <w:rPr>
          <w:rFonts w:ascii="Arial"/>
          <w:sz w:val="24"/>
        </w:rPr>
        <w:t>Creatinina urinaria:</w:t>
      </w:r>
    </w:p>
    <w:p>
      <w:pPr>
        <w:pStyle w:val="BodyText"/>
        <w:spacing w:before="7"/>
        <w:rPr>
          <w:sz w:val="23"/>
        </w:rPr>
      </w:pPr>
    </w:p>
    <w:p>
      <w:pPr>
        <w:pStyle w:val="ListParagraph"/>
        <w:numPr>
          <w:ilvl w:val="1"/>
          <w:numId w:val="2"/>
        </w:numPr>
        <w:tabs>
          <w:tab w:pos="864" w:val="left" w:leader="none"/>
          <w:tab w:pos="865" w:val="left" w:leader="none"/>
        </w:tabs>
        <w:spacing w:line="240" w:lineRule="auto" w:before="1" w:after="0"/>
        <w:ind w:left="864" w:right="0" w:hanging="360"/>
        <w:jc w:val="left"/>
        <w:rPr>
          <w:rFonts w:ascii="Arial" w:hAnsi="Arial"/>
          <w:sz w:val="24"/>
        </w:rPr>
      </w:pPr>
      <w:r>
        <w:rPr>
          <w:rFonts w:ascii="Arial" w:hAnsi="Arial"/>
          <w:sz w:val="24"/>
        </w:rPr>
        <w:t>Albumina en orina: análisis de punto final por reacción con verde de bromocresol.</w:t>
      </w:r>
    </w:p>
    <w:p>
      <w:pPr>
        <w:spacing w:after="0" w:line="240" w:lineRule="auto"/>
        <w:jc w:val="left"/>
        <w:rPr>
          <w:rFonts w:ascii="Arial" w:hAnsi="Arial"/>
          <w:sz w:val="24"/>
        </w:rPr>
        <w:sectPr>
          <w:pgSz w:w="12240" w:h="15840"/>
          <w:pgMar w:header="742" w:footer="748" w:top="980" w:bottom="940" w:left="1620" w:right="18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6"/>
        <w:rPr>
          <w:sz w:val="25"/>
        </w:rPr>
      </w:pPr>
    </w:p>
    <w:p>
      <w:pPr>
        <w:pStyle w:val="BodyText"/>
        <w:spacing w:line="480" w:lineRule="auto" w:before="70"/>
        <w:ind w:left="144" w:right="888"/>
        <w:jc w:val="both"/>
      </w:pPr>
      <w:r>
        <w:rPr/>
        <w:t>Se estableció la densidad urinaria y la proteína en orina por medio de refractómetro de luz y por tiras reactivas por medio de método colorimétrico respectivamente.</w:t>
      </w:r>
    </w:p>
    <w:p>
      <w:pPr>
        <w:pStyle w:val="BodyText"/>
      </w:pPr>
    </w:p>
    <w:p>
      <w:pPr>
        <w:pStyle w:val="BodyText"/>
      </w:pPr>
    </w:p>
    <w:p>
      <w:pPr>
        <w:pStyle w:val="BodyText"/>
        <w:spacing w:line="480" w:lineRule="auto" w:before="176"/>
        <w:ind w:left="144" w:right="888"/>
        <w:jc w:val="both"/>
      </w:pPr>
      <w:r>
        <w:rPr/>
        <w:t>La determinación de la presión arterial se realizó con un monitor oscilométrico no invasivo en base a los protocolos establecidos (Brown y cols., 2007b).</w:t>
      </w:r>
    </w:p>
    <w:p>
      <w:pPr>
        <w:pStyle w:val="BodyText"/>
      </w:pPr>
    </w:p>
    <w:p>
      <w:pPr>
        <w:pStyle w:val="BodyText"/>
      </w:pPr>
    </w:p>
    <w:p>
      <w:pPr>
        <w:pStyle w:val="BodyText"/>
        <w:spacing w:before="176"/>
        <w:ind w:left="144"/>
        <w:jc w:val="both"/>
      </w:pPr>
      <w:r>
        <w:rPr/>
        <w:t>La relación proteinuria:creatinuria se obtuvo por métodos aritméticos.</w:t>
      </w:r>
    </w:p>
    <w:p>
      <w:pPr>
        <w:pStyle w:val="BodyText"/>
      </w:pPr>
    </w:p>
    <w:p>
      <w:pPr>
        <w:pStyle w:val="BodyText"/>
      </w:pPr>
    </w:p>
    <w:p>
      <w:pPr>
        <w:pStyle w:val="BodyText"/>
      </w:pPr>
    </w:p>
    <w:p>
      <w:pPr>
        <w:pStyle w:val="BodyText"/>
        <w:spacing w:line="480" w:lineRule="auto" w:before="168"/>
        <w:ind w:left="144" w:right="888"/>
        <w:jc w:val="both"/>
      </w:pPr>
      <w:r>
        <w:rPr/>
        <w:t>Los animales con ERC fueron clasificados con base en las recomendaciones de la IRIS a partir de los niveles de creatinina sérica, la relación proteinuria:creatinuria y el riesgo de sufrir daños a órganos diana por hipertensión (IRIS 2009; Elliot y Watson, 2008; Polzin, 2011a ).</w:t>
      </w:r>
    </w:p>
    <w:p>
      <w:pPr>
        <w:pStyle w:val="BodyText"/>
      </w:pPr>
    </w:p>
    <w:p>
      <w:pPr>
        <w:pStyle w:val="BodyText"/>
      </w:pPr>
    </w:p>
    <w:p>
      <w:pPr>
        <w:pStyle w:val="BodyText"/>
        <w:spacing w:line="480" w:lineRule="auto" w:before="176"/>
        <w:ind w:left="144" w:right="888"/>
        <w:jc w:val="both"/>
      </w:pPr>
      <w:r>
        <w:rPr/>
        <w:t>Una vez que se obtuvieron todos los datos de cada paciente, se construyó una base de datos en la cual se capturaron: edad, sexo, raza, historial clínico (factores de riesgo), hallazgos al examen físico general, creatinina sérica, fósforo sérico, densidad urinaria, proteína urinaria, creatinina urinaria, albúmina en orina, relación proteinuria:creatinuria, presión sistólica y presión diastólica.</w:t>
      </w:r>
    </w:p>
    <w:p>
      <w:pPr>
        <w:spacing w:after="0" w:line="480" w:lineRule="auto"/>
        <w:jc w:val="both"/>
        <w:sectPr>
          <w:pgSz w:w="12240" w:h="15840"/>
          <w:pgMar w:header="742" w:footer="748" w:top="980" w:bottom="940" w:left="1620" w:right="18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6"/>
        <w:rPr>
          <w:sz w:val="25"/>
        </w:rPr>
      </w:pPr>
    </w:p>
    <w:p>
      <w:pPr>
        <w:pStyle w:val="BodyText"/>
        <w:spacing w:before="70"/>
        <w:ind w:left="144"/>
      </w:pPr>
      <w:r>
        <w:rPr>
          <w:u w:val="single"/>
        </w:rPr>
        <w:t>Análisis estadístico:</w:t>
      </w:r>
    </w:p>
    <w:p>
      <w:pPr>
        <w:pStyle w:val="BodyText"/>
        <w:rPr>
          <w:sz w:val="20"/>
        </w:rPr>
      </w:pPr>
    </w:p>
    <w:p>
      <w:pPr>
        <w:pStyle w:val="BodyText"/>
        <w:rPr>
          <w:sz w:val="20"/>
        </w:rPr>
      </w:pPr>
    </w:p>
    <w:p>
      <w:pPr>
        <w:pStyle w:val="BodyText"/>
        <w:rPr>
          <w:sz w:val="20"/>
        </w:rPr>
      </w:pPr>
    </w:p>
    <w:p>
      <w:pPr>
        <w:pStyle w:val="BodyText"/>
        <w:spacing w:before="6"/>
        <w:rPr>
          <w:sz w:val="20"/>
        </w:rPr>
      </w:pPr>
    </w:p>
    <w:p>
      <w:pPr>
        <w:pStyle w:val="BodyText"/>
        <w:spacing w:line="480" w:lineRule="auto" w:before="70"/>
        <w:ind w:left="144" w:right="888"/>
        <w:jc w:val="both"/>
      </w:pPr>
      <w:r>
        <w:rPr/>
        <w:t>Una vez concluida nuestra base de datos, se llevaron a cabo análisis descriptivos, así como inferenciales utilizando χ² y regresión logística, esto con el fin de determinar riesgos y la relación entre estos.</w:t>
      </w:r>
    </w:p>
    <w:p>
      <w:pPr>
        <w:pStyle w:val="BodyText"/>
      </w:pPr>
    </w:p>
    <w:p>
      <w:pPr>
        <w:pStyle w:val="BodyText"/>
      </w:pPr>
    </w:p>
    <w:p>
      <w:pPr>
        <w:pStyle w:val="BodyText"/>
        <w:spacing w:line="480" w:lineRule="auto" w:before="176"/>
        <w:ind w:left="144" w:right="888"/>
        <w:jc w:val="both"/>
      </w:pPr>
      <w:r>
        <w:rPr/>
        <w:t>El análisis de datos se llevará a cabo con el software estadístico del programa SSPS Statics para Windows versión 17.0.</w:t>
      </w:r>
    </w:p>
    <w:p>
      <w:pPr>
        <w:pStyle w:val="BodyText"/>
      </w:pPr>
    </w:p>
    <w:p>
      <w:pPr>
        <w:pStyle w:val="BodyText"/>
      </w:pPr>
    </w:p>
    <w:p>
      <w:pPr>
        <w:pStyle w:val="BodyText"/>
        <w:spacing w:line="480" w:lineRule="auto" w:before="176"/>
        <w:ind w:left="144" w:right="888"/>
        <w:jc w:val="both"/>
      </w:pPr>
      <w:r>
        <w:rPr/>
        <w:t>La descripción de la población se representa por medio de tablas y gráficas de frecuencia y porcentaje.</w:t>
      </w:r>
    </w:p>
    <w:p>
      <w:pPr>
        <w:spacing w:after="0" w:line="480" w:lineRule="auto"/>
        <w:jc w:val="both"/>
        <w:sectPr>
          <w:pgSz w:w="12240" w:h="15840"/>
          <w:pgMar w:header="742" w:footer="748" w:top="980" w:bottom="940" w:left="1620" w:right="18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6"/>
        <w:rPr>
          <w:sz w:val="25"/>
        </w:rPr>
      </w:pPr>
    </w:p>
    <w:p>
      <w:pPr>
        <w:pStyle w:val="Heading1"/>
      </w:pPr>
      <w:bookmarkStart w:name="_TOC_250009" w:id="18"/>
      <w:bookmarkEnd w:id="18"/>
      <w:r>
        <w:rPr/>
        <w:t>CAPÍTULO V</w:t>
      </w:r>
    </w:p>
    <w:p>
      <w:pPr>
        <w:pStyle w:val="BodyText"/>
        <w:rPr>
          <w:b/>
        </w:rPr>
      </w:pPr>
    </w:p>
    <w:p>
      <w:pPr>
        <w:pStyle w:val="BodyText"/>
        <w:rPr>
          <w:b/>
        </w:rPr>
      </w:pPr>
    </w:p>
    <w:p>
      <w:pPr>
        <w:pStyle w:val="BodyText"/>
        <w:rPr>
          <w:b/>
        </w:rPr>
      </w:pPr>
    </w:p>
    <w:p>
      <w:pPr>
        <w:pStyle w:val="Heading1"/>
        <w:spacing w:before="168"/>
      </w:pPr>
      <w:bookmarkStart w:name="_TOC_250008" w:id="19"/>
      <w:bookmarkEnd w:id="19"/>
      <w:r>
        <w:rPr/>
        <w:t>Resultados</w:t>
      </w:r>
    </w:p>
    <w:p>
      <w:pPr>
        <w:pStyle w:val="BodyText"/>
        <w:rPr>
          <w:b/>
        </w:rPr>
      </w:pPr>
    </w:p>
    <w:p>
      <w:pPr>
        <w:pStyle w:val="BodyText"/>
        <w:rPr>
          <w:b/>
        </w:rPr>
      </w:pPr>
    </w:p>
    <w:p>
      <w:pPr>
        <w:pStyle w:val="BodyText"/>
        <w:rPr>
          <w:b/>
        </w:rPr>
      </w:pPr>
    </w:p>
    <w:p>
      <w:pPr>
        <w:pStyle w:val="BodyText"/>
        <w:spacing w:line="480" w:lineRule="auto" w:before="168"/>
        <w:ind w:left="144" w:right="888"/>
        <w:jc w:val="both"/>
      </w:pPr>
      <w:r>
        <w:rPr/>
        <w:t>Se estudiaron un total de 288 perros, de los cuales 150 (52.08%) fueron hembras y 138 (47.91%) machos. se presentaron perros desde los 8 meses a 17 años, con una mediana de 9 años, tres animales fueron &lt; 1 año (1.04%), 41 &gt;1 a 5 años (14.23%)  y &gt;</w:t>
      </w:r>
    </w:p>
    <w:p>
      <w:pPr>
        <w:pStyle w:val="BodyText"/>
        <w:spacing w:before="8"/>
        <w:ind w:left="144"/>
        <w:jc w:val="both"/>
      </w:pPr>
      <w:r>
        <w:rPr/>
        <w:t>6 años 244 (84.72%).</w:t>
      </w:r>
    </w:p>
    <w:p>
      <w:pPr>
        <w:pStyle w:val="BodyText"/>
      </w:pPr>
    </w:p>
    <w:p>
      <w:pPr>
        <w:pStyle w:val="BodyText"/>
      </w:pPr>
    </w:p>
    <w:p>
      <w:pPr>
        <w:pStyle w:val="BodyText"/>
      </w:pPr>
    </w:p>
    <w:p>
      <w:pPr>
        <w:pStyle w:val="BodyText"/>
        <w:spacing w:line="480" w:lineRule="auto" w:before="168"/>
        <w:ind w:left="144" w:right="888"/>
      </w:pPr>
      <w:r>
        <w:rPr/>
        <w:t>Se presentaron un total de 40 diferentes razas, siendo los más frecuentes los poodle con</w:t>
      </w:r>
      <w:r>
        <w:rPr>
          <w:spacing w:val="38"/>
        </w:rPr>
        <w:t> </w:t>
      </w:r>
      <w:r>
        <w:rPr/>
        <w:t>62</w:t>
      </w:r>
      <w:r>
        <w:rPr>
          <w:spacing w:val="38"/>
        </w:rPr>
        <w:t> </w:t>
      </w:r>
      <w:r>
        <w:rPr/>
        <w:t>(21.52%)</w:t>
      </w:r>
      <w:r>
        <w:rPr>
          <w:spacing w:val="38"/>
        </w:rPr>
        <w:t> </w:t>
      </w:r>
      <w:r>
        <w:rPr/>
        <w:t>ejemplares,</w:t>
      </w:r>
      <w:r>
        <w:rPr>
          <w:spacing w:val="38"/>
        </w:rPr>
        <w:t> </w:t>
      </w:r>
      <w:r>
        <w:rPr/>
        <w:t>labrador</w:t>
      </w:r>
      <w:r>
        <w:rPr>
          <w:spacing w:val="38"/>
        </w:rPr>
        <w:t> </w:t>
      </w:r>
      <w:r>
        <w:rPr/>
        <w:t>con</w:t>
      </w:r>
      <w:r>
        <w:rPr>
          <w:spacing w:val="38"/>
        </w:rPr>
        <w:t> </w:t>
      </w:r>
      <w:r>
        <w:rPr/>
        <w:t>38</w:t>
      </w:r>
      <w:r>
        <w:rPr>
          <w:spacing w:val="38"/>
        </w:rPr>
        <w:t> </w:t>
      </w:r>
      <w:r>
        <w:rPr/>
        <w:t>(13.19%),</w:t>
      </w:r>
      <w:r>
        <w:rPr>
          <w:spacing w:val="38"/>
        </w:rPr>
        <w:t> </w:t>
      </w:r>
      <w:r>
        <w:rPr/>
        <w:t>schnauzer</w:t>
      </w:r>
      <w:r>
        <w:rPr>
          <w:spacing w:val="38"/>
        </w:rPr>
        <w:t> </w:t>
      </w:r>
      <w:r>
        <w:rPr/>
        <w:t>con</w:t>
      </w:r>
      <w:r>
        <w:rPr>
          <w:spacing w:val="38"/>
        </w:rPr>
        <w:t> </w:t>
      </w:r>
      <w:r>
        <w:rPr/>
        <w:t>36</w:t>
      </w:r>
      <w:r>
        <w:rPr>
          <w:spacing w:val="38"/>
        </w:rPr>
        <w:t> </w:t>
      </w:r>
      <w:r>
        <w:rPr/>
        <w:t>(12.50%),</w:t>
      </w:r>
    </w:p>
    <w:p>
      <w:pPr>
        <w:pStyle w:val="BodyText"/>
        <w:spacing w:before="8"/>
        <w:ind w:left="144"/>
        <w:jc w:val="both"/>
      </w:pPr>
      <w:r>
        <w:rPr/>
        <w:t>cocker spaniel con 26 (9.02%), golden retriever con 18 (6.25%) y chihuahueño con 12</w:t>
      </w:r>
    </w:p>
    <w:p>
      <w:pPr>
        <w:pStyle w:val="BodyText"/>
      </w:pPr>
    </w:p>
    <w:p>
      <w:pPr>
        <w:pStyle w:val="BodyText"/>
        <w:ind w:left="144"/>
        <w:jc w:val="both"/>
      </w:pPr>
      <w:r>
        <w:rPr/>
        <w:t>(4.16%), además de los mestizos con 23 (7.98%).</w:t>
      </w:r>
    </w:p>
    <w:p>
      <w:pPr>
        <w:pStyle w:val="BodyText"/>
      </w:pPr>
    </w:p>
    <w:p>
      <w:pPr>
        <w:pStyle w:val="BodyText"/>
      </w:pPr>
    </w:p>
    <w:p>
      <w:pPr>
        <w:pStyle w:val="BodyText"/>
      </w:pPr>
    </w:p>
    <w:p>
      <w:pPr>
        <w:pStyle w:val="BodyText"/>
        <w:spacing w:line="480" w:lineRule="auto" w:before="168"/>
        <w:ind w:left="144" w:right="888"/>
      </w:pPr>
      <w:r>
        <w:rPr/>
        <w:t>La distribución de pacientes en los diferentes estadios de enfermedad en base a la clasificación de Cortadellas 2009 y el riesgo de hipertensión,  se presenta en la tabla 4.</w:t>
      </w:r>
    </w:p>
    <w:p>
      <w:pPr>
        <w:spacing w:after="0" w:line="480" w:lineRule="auto"/>
        <w:sectPr>
          <w:pgSz w:w="12240" w:h="15840"/>
          <w:pgMar w:header="742" w:footer="748" w:top="980" w:bottom="940" w:left="1620" w:right="18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6"/>
        <w:rPr>
          <w:sz w:val="25"/>
        </w:rPr>
      </w:pPr>
    </w:p>
    <w:p>
      <w:pPr>
        <w:pStyle w:val="BodyText"/>
        <w:spacing w:line="480" w:lineRule="auto" w:before="70"/>
        <w:ind w:left="144" w:right="888"/>
        <w:jc w:val="both"/>
      </w:pPr>
      <w:r>
        <w:rPr/>
        <w:t>En la población total del estudio, los factores de riesgo se distribuyeron de la siguiente manera con base en su frecuencia, pudiendo presentar cada paciente una o más al mismo tiempo: 148 con un proceso inflamatorio crónico, 103 con neoplasias, 47 con cardiopatías, 33 con historia de uso de fármacos nefrotóxicos, 16 con historia de cirugía previa, 16 con un diagnóstico de enfermedades endocrinas, 14 con un diagnóstico de enfermedad infecciosa, 9 con un diagnóstico de hepatopatía y 8 con diagnóstico de una enfermedad del tracto urinario caudal. La distribución de los factores de riesgo asociadas en los pacientes con ERC y sin ERC se presenta en la tabla 5.</w:t>
      </w:r>
    </w:p>
    <w:p>
      <w:pPr>
        <w:spacing w:after="0" w:line="480" w:lineRule="auto"/>
        <w:jc w:val="both"/>
        <w:sectPr>
          <w:pgSz w:w="12240" w:h="15840"/>
          <w:pgMar w:header="742" w:footer="748" w:top="980" w:bottom="940" w:left="1620" w:right="18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5"/>
        <w:rPr>
          <w:sz w:val="23"/>
        </w:rPr>
      </w:pPr>
    </w:p>
    <w:p>
      <w:pPr>
        <w:spacing w:before="78"/>
        <w:ind w:left="201" w:right="0" w:firstLine="0"/>
        <w:jc w:val="left"/>
        <w:rPr>
          <w:b/>
          <w:sz w:val="21"/>
        </w:rPr>
      </w:pPr>
      <w:r>
        <w:rPr>
          <w:b/>
          <w:w w:val="105"/>
          <w:sz w:val="21"/>
        </w:rPr>
        <w:t>Tabla 4. Distribución de pacientes de acuerdo a la clasificación de Cortadellas 2009</w:t>
      </w:r>
    </w:p>
    <w:p>
      <w:pPr>
        <w:pStyle w:val="BodyText"/>
        <w:spacing w:before="9"/>
        <w:rPr>
          <w:b/>
          <w:sz w:val="22"/>
        </w:rPr>
      </w:pPr>
    </w:p>
    <w:tbl>
      <w:tblPr>
        <w:tblW w:w="0" w:type="auto"/>
        <w:jc w:val="left"/>
        <w:tblInd w:w="11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652"/>
        <w:gridCol w:w="901"/>
        <w:gridCol w:w="459"/>
        <w:gridCol w:w="444"/>
        <w:gridCol w:w="418"/>
        <w:gridCol w:w="1134"/>
        <w:gridCol w:w="1011"/>
        <w:gridCol w:w="794"/>
        <w:gridCol w:w="1503"/>
        <w:gridCol w:w="944"/>
      </w:tblGrid>
      <w:tr>
        <w:trPr>
          <w:trHeight w:val="744" w:hRule="exact"/>
        </w:trPr>
        <w:tc>
          <w:tcPr>
            <w:tcW w:w="2554" w:type="dxa"/>
            <w:gridSpan w:val="2"/>
            <w:tcBorders>
              <w:left w:val="nil"/>
            </w:tcBorders>
          </w:tcPr>
          <w:p>
            <w:pPr>
              <w:pStyle w:val="TableParagraph"/>
              <w:spacing w:before="120"/>
              <w:ind w:left="71"/>
              <w:rPr>
                <w:b/>
                <w:sz w:val="21"/>
              </w:rPr>
            </w:pPr>
            <w:r>
              <w:rPr>
                <w:b/>
                <w:w w:val="105"/>
                <w:sz w:val="21"/>
              </w:rPr>
              <w:t>Estadio de ERC</w:t>
            </w:r>
          </w:p>
        </w:tc>
        <w:tc>
          <w:tcPr>
            <w:tcW w:w="1320" w:type="dxa"/>
            <w:gridSpan w:val="3"/>
          </w:tcPr>
          <w:p>
            <w:pPr>
              <w:pStyle w:val="TableParagraph"/>
              <w:spacing w:before="120"/>
              <w:ind w:left="67"/>
              <w:rPr>
                <w:b/>
                <w:sz w:val="21"/>
              </w:rPr>
            </w:pPr>
            <w:r>
              <w:rPr>
                <w:b/>
                <w:w w:val="105"/>
                <w:sz w:val="21"/>
              </w:rPr>
              <w:t>PU:CU</w:t>
            </w:r>
          </w:p>
        </w:tc>
        <w:tc>
          <w:tcPr>
            <w:tcW w:w="5386" w:type="dxa"/>
            <w:gridSpan w:val="5"/>
            <w:tcBorders>
              <w:right w:val="nil"/>
            </w:tcBorders>
          </w:tcPr>
          <w:p>
            <w:pPr>
              <w:pStyle w:val="TableParagraph"/>
              <w:spacing w:before="120"/>
              <w:ind w:left="67"/>
              <w:rPr>
                <w:b/>
                <w:sz w:val="21"/>
              </w:rPr>
            </w:pPr>
            <w:r>
              <w:rPr>
                <w:b/>
                <w:w w:val="105"/>
                <w:sz w:val="21"/>
              </w:rPr>
              <w:t>RIESGO DE HIPERTENSIÓN</w:t>
            </w:r>
          </w:p>
        </w:tc>
      </w:tr>
      <w:tr>
        <w:trPr>
          <w:trHeight w:val="770" w:hRule="exact"/>
        </w:trPr>
        <w:tc>
          <w:tcPr>
            <w:tcW w:w="2554" w:type="dxa"/>
            <w:gridSpan w:val="2"/>
            <w:tcBorders>
              <w:left w:val="nil"/>
              <w:bottom w:val="single" w:sz="8" w:space="0" w:color="000000"/>
            </w:tcBorders>
          </w:tcPr>
          <w:p>
            <w:pPr/>
          </w:p>
        </w:tc>
        <w:tc>
          <w:tcPr>
            <w:tcW w:w="459" w:type="dxa"/>
            <w:tcBorders>
              <w:bottom w:val="single" w:sz="8" w:space="0" w:color="000000"/>
              <w:right w:val="nil"/>
            </w:tcBorders>
          </w:tcPr>
          <w:p>
            <w:pPr>
              <w:pStyle w:val="TableParagraph"/>
              <w:spacing w:before="120"/>
              <w:ind w:left="67"/>
              <w:rPr>
                <w:b/>
                <w:sz w:val="21"/>
              </w:rPr>
            </w:pPr>
            <w:r>
              <w:rPr>
                <w:b/>
                <w:w w:val="105"/>
                <w:sz w:val="21"/>
              </w:rPr>
              <w:t>NP</w:t>
            </w:r>
          </w:p>
        </w:tc>
        <w:tc>
          <w:tcPr>
            <w:tcW w:w="444" w:type="dxa"/>
            <w:tcBorders>
              <w:left w:val="nil"/>
              <w:bottom w:val="single" w:sz="8" w:space="0" w:color="000000"/>
              <w:right w:val="nil"/>
            </w:tcBorders>
          </w:tcPr>
          <w:p>
            <w:pPr>
              <w:pStyle w:val="TableParagraph"/>
              <w:spacing w:before="120"/>
              <w:ind w:left="83"/>
              <w:rPr>
                <w:b/>
                <w:sz w:val="21"/>
              </w:rPr>
            </w:pPr>
            <w:r>
              <w:rPr>
                <w:b/>
                <w:w w:val="105"/>
                <w:sz w:val="21"/>
              </w:rPr>
              <w:t>LP</w:t>
            </w:r>
          </w:p>
        </w:tc>
        <w:tc>
          <w:tcPr>
            <w:tcW w:w="418" w:type="dxa"/>
            <w:tcBorders>
              <w:left w:val="nil"/>
              <w:bottom w:val="single" w:sz="8" w:space="0" w:color="000000"/>
            </w:tcBorders>
          </w:tcPr>
          <w:p>
            <w:pPr>
              <w:pStyle w:val="TableParagraph"/>
              <w:spacing w:before="120"/>
              <w:ind w:left="81"/>
              <w:rPr>
                <w:b/>
                <w:sz w:val="21"/>
              </w:rPr>
            </w:pPr>
            <w:r>
              <w:rPr>
                <w:b/>
                <w:w w:val="102"/>
                <w:sz w:val="21"/>
              </w:rPr>
              <w:t>P</w:t>
            </w:r>
          </w:p>
        </w:tc>
        <w:tc>
          <w:tcPr>
            <w:tcW w:w="1134" w:type="dxa"/>
            <w:tcBorders>
              <w:bottom w:val="single" w:sz="8" w:space="0" w:color="000000"/>
              <w:right w:val="nil"/>
            </w:tcBorders>
          </w:tcPr>
          <w:p>
            <w:pPr>
              <w:pStyle w:val="TableParagraph"/>
              <w:spacing w:before="120"/>
              <w:ind w:left="67"/>
              <w:rPr>
                <w:b/>
                <w:sz w:val="21"/>
              </w:rPr>
            </w:pPr>
            <w:r>
              <w:rPr>
                <w:b/>
                <w:w w:val="105"/>
                <w:sz w:val="21"/>
              </w:rPr>
              <w:t>NORMAL</w:t>
            </w:r>
          </w:p>
        </w:tc>
        <w:tc>
          <w:tcPr>
            <w:tcW w:w="1011" w:type="dxa"/>
            <w:tcBorders>
              <w:left w:val="nil"/>
              <w:bottom w:val="single" w:sz="8" w:space="0" w:color="000000"/>
              <w:right w:val="nil"/>
            </w:tcBorders>
          </w:tcPr>
          <w:p>
            <w:pPr>
              <w:pStyle w:val="TableParagraph"/>
              <w:spacing w:before="120"/>
              <w:ind w:left="99"/>
              <w:rPr>
                <w:b/>
                <w:sz w:val="21"/>
              </w:rPr>
            </w:pPr>
            <w:r>
              <w:rPr>
                <w:b/>
                <w:w w:val="105"/>
                <w:sz w:val="21"/>
              </w:rPr>
              <w:t>MÍNIMO</w:t>
            </w:r>
          </w:p>
        </w:tc>
        <w:tc>
          <w:tcPr>
            <w:tcW w:w="794" w:type="dxa"/>
            <w:tcBorders>
              <w:left w:val="nil"/>
              <w:bottom w:val="single" w:sz="8" w:space="0" w:color="000000"/>
              <w:right w:val="nil"/>
            </w:tcBorders>
          </w:tcPr>
          <w:p>
            <w:pPr>
              <w:pStyle w:val="TableParagraph"/>
              <w:spacing w:before="120"/>
              <w:ind w:left="96"/>
              <w:rPr>
                <w:b/>
                <w:sz w:val="21"/>
              </w:rPr>
            </w:pPr>
            <w:r>
              <w:rPr>
                <w:b/>
                <w:w w:val="105"/>
                <w:sz w:val="21"/>
              </w:rPr>
              <w:t>BAJO</w:t>
            </w:r>
          </w:p>
        </w:tc>
        <w:tc>
          <w:tcPr>
            <w:tcW w:w="1503" w:type="dxa"/>
            <w:tcBorders>
              <w:left w:val="nil"/>
              <w:bottom w:val="single" w:sz="8" w:space="0" w:color="000000"/>
              <w:right w:val="nil"/>
            </w:tcBorders>
          </w:tcPr>
          <w:p>
            <w:pPr>
              <w:pStyle w:val="TableParagraph"/>
              <w:spacing w:before="120"/>
              <w:ind w:left="89"/>
              <w:rPr>
                <w:b/>
                <w:sz w:val="21"/>
              </w:rPr>
            </w:pPr>
            <w:r>
              <w:rPr>
                <w:b/>
                <w:w w:val="105"/>
                <w:sz w:val="21"/>
              </w:rPr>
              <w:t>MODERADO</w:t>
            </w:r>
          </w:p>
        </w:tc>
        <w:tc>
          <w:tcPr>
            <w:tcW w:w="944" w:type="dxa"/>
            <w:tcBorders>
              <w:left w:val="nil"/>
              <w:bottom w:val="single" w:sz="8" w:space="0" w:color="000000"/>
              <w:right w:val="nil"/>
            </w:tcBorders>
          </w:tcPr>
          <w:p>
            <w:pPr>
              <w:pStyle w:val="TableParagraph"/>
              <w:spacing w:before="120"/>
              <w:ind w:left="108"/>
              <w:rPr>
                <w:b/>
                <w:sz w:val="21"/>
              </w:rPr>
            </w:pPr>
            <w:r>
              <w:rPr>
                <w:b/>
                <w:w w:val="105"/>
                <w:sz w:val="21"/>
              </w:rPr>
              <w:t>ALTO</w:t>
            </w:r>
          </w:p>
        </w:tc>
      </w:tr>
      <w:tr>
        <w:trPr>
          <w:trHeight w:val="727" w:hRule="exact"/>
        </w:trPr>
        <w:tc>
          <w:tcPr>
            <w:tcW w:w="1652" w:type="dxa"/>
            <w:tcBorders>
              <w:top w:val="single" w:sz="8" w:space="0" w:color="000000"/>
              <w:left w:val="nil"/>
              <w:bottom w:val="nil"/>
              <w:right w:val="nil"/>
            </w:tcBorders>
          </w:tcPr>
          <w:p>
            <w:pPr>
              <w:pStyle w:val="TableParagraph"/>
              <w:spacing w:before="11"/>
              <w:rPr>
                <w:b/>
                <w:sz w:val="18"/>
              </w:rPr>
            </w:pPr>
          </w:p>
          <w:p>
            <w:pPr>
              <w:pStyle w:val="TableParagraph"/>
              <w:ind w:left="71"/>
              <w:rPr>
                <w:b/>
                <w:sz w:val="21"/>
              </w:rPr>
            </w:pPr>
            <w:r>
              <w:rPr>
                <w:b/>
                <w:w w:val="105"/>
                <w:sz w:val="21"/>
              </w:rPr>
              <w:t>ESTADIO 0</w:t>
            </w:r>
          </w:p>
        </w:tc>
        <w:tc>
          <w:tcPr>
            <w:tcW w:w="901" w:type="dxa"/>
            <w:tcBorders>
              <w:top w:val="single" w:sz="8" w:space="0" w:color="000000"/>
              <w:left w:val="nil"/>
              <w:bottom w:val="nil"/>
            </w:tcBorders>
          </w:tcPr>
          <w:p>
            <w:pPr>
              <w:pStyle w:val="TableParagraph"/>
              <w:spacing w:before="11"/>
              <w:rPr>
                <w:b/>
                <w:sz w:val="18"/>
              </w:rPr>
            </w:pPr>
          </w:p>
          <w:p>
            <w:pPr>
              <w:pStyle w:val="TableParagraph"/>
              <w:ind w:left="286"/>
              <w:rPr>
                <w:sz w:val="21"/>
              </w:rPr>
            </w:pPr>
            <w:r>
              <w:rPr>
                <w:w w:val="105"/>
                <w:sz w:val="21"/>
              </w:rPr>
              <w:t>21</w:t>
            </w:r>
          </w:p>
        </w:tc>
        <w:tc>
          <w:tcPr>
            <w:tcW w:w="459" w:type="dxa"/>
            <w:tcBorders>
              <w:top w:val="single" w:sz="8" w:space="0" w:color="000000"/>
              <w:bottom w:val="nil"/>
              <w:right w:val="nil"/>
            </w:tcBorders>
          </w:tcPr>
          <w:p>
            <w:pPr>
              <w:pStyle w:val="TableParagraph"/>
              <w:spacing w:before="11"/>
              <w:rPr>
                <w:b/>
                <w:sz w:val="18"/>
              </w:rPr>
            </w:pPr>
          </w:p>
          <w:p>
            <w:pPr>
              <w:pStyle w:val="TableParagraph"/>
              <w:ind w:left="67"/>
              <w:rPr>
                <w:sz w:val="21"/>
              </w:rPr>
            </w:pPr>
            <w:r>
              <w:rPr>
                <w:w w:val="105"/>
                <w:sz w:val="21"/>
              </w:rPr>
              <w:t>21</w:t>
            </w:r>
          </w:p>
        </w:tc>
        <w:tc>
          <w:tcPr>
            <w:tcW w:w="444" w:type="dxa"/>
            <w:tcBorders>
              <w:top w:val="single" w:sz="8" w:space="0" w:color="000000"/>
              <w:left w:val="nil"/>
              <w:bottom w:val="nil"/>
              <w:right w:val="nil"/>
            </w:tcBorders>
          </w:tcPr>
          <w:p>
            <w:pPr/>
          </w:p>
        </w:tc>
        <w:tc>
          <w:tcPr>
            <w:tcW w:w="418" w:type="dxa"/>
            <w:tcBorders>
              <w:top w:val="single" w:sz="8" w:space="0" w:color="000000"/>
              <w:left w:val="nil"/>
              <w:bottom w:val="nil"/>
            </w:tcBorders>
          </w:tcPr>
          <w:p>
            <w:pPr/>
          </w:p>
        </w:tc>
        <w:tc>
          <w:tcPr>
            <w:tcW w:w="1134" w:type="dxa"/>
            <w:tcBorders>
              <w:top w:val="single" w:sz="8" w:space="0" w:color="000000"/>
              <w:bottom w:val="nil"/>
              <w:right w:val="nil"/>
            </w:tcBorders>
          </w:tcPr>
          <w:p>
            <w:pPr>
              <w:pStyle w:val="TableParagraph"/>
              <w:spacing w:before="11"/>
              <w:rPr>
                <w:b/>
                <w:sz w:val="18"/>
              </w:rPr>
            </w:pPr>
          </w:p>
          <w:p>
            <w:pPr>
              <w:pStyle w:val="TableParagraph"/>
              <w:ind w:left="67"/>
              <w:rPr>
                <w:sz w:val="21"/>
              </w:rPr>
            </w:pPr>
            <w:r>
              <w:rPr>
                <w:w w:val="102"/>
                <w:sz w:val="21"/>
              </w:rPr>
              <w:t>2</w:t>
            </w:r>
          </w:p>
        </w:tc>
        <w:tc>
          <w:tcPr>
            <w:tcW w:w="1011" w:type="dxa"/>
            <w:tcBorders>
              <w:top w:val="single" w:sz="8" w:space="0" w:color="000000"/>
              <w:left w:val="nil"/>
              <w:bottom w:val="nil"/>
              <w:right w:val="nil"/>
            </w:tcBorders>
          </w:tcPr>
          <w:p>
            <w:pPr>
              <w:pStyle w:val="TableParagraph"/>
              <w:spacing w:before="11"/>
              <w:rPr>
                <w:b/>
                <w:sz w:val="18"/>
              </w:rPr>
            </w:pPr>
          </w:p>
          <w:p>
            <w:pPr>
              <w:pStyle w:val="TableParagraph"/>
              <w:ind w:left="99"/>
              <w:rPr>
                <w:sz w:val="21"/>
              </w:rPr>
            </w:pPr>
            <w:r>
              <w:rPr>
                <w:w w:val="102"/>
                <w:sz w:val="21"/>
              </w:rPr>
              <w:t>6</w:t>
            </w:r>
          </w:p>
        </w:tc>
        <w:tc>
          <w:tcPr>
            <w:tcW w:w="794" w:type="dxa"/>
            <w:tcBorders>
              <w:top w:val="single" w:sz="8" w:space="0" w:color="000000"/>
              <w:left w:val="nil"/>
              <w:bottom w:val="nil"/>
              <w:right w:val="nil"/>
            </w:tcBorders>
          </w:tcPr>
          <w:p>
            <w:pPr>
              <w:pStyle w:val="TableParagraph"/>
              <w:spacing w:before="11"/>
              <w:rPr>
                <w:b/>
                <w:sz w:val="18"/>
              </w:rPr>
            </w:pPr>
          </w:p>
          <w:p>
            <w:pPr>
              <w:pStyle w:val="TableParagraph"/>
              <w:ind w:left="96"/>
              <w:rPr>
                <w:sz w:val="21"/>
              </w:rPr>
            </w:pPr>
            <w:r>
              <w:rPr>
                <w:w w:val="102"/>
                <w:sz w:val="21"/>
              </w:rPr>
              <w:t>6</w:t>
            </w:r>
          </w:p>
        </w:tc>
        <w:tc>
          <w:tcPr>
            <w:tcW w:w="1503" w:type="dxa"/>
            <w:tcBorders>
              <w:top w:val="single" w:sz="8" w:space="0" w:color="000000"/>
              <w:left w:val="nil"/>
              <w:bottom w:val="nil"/>
              <w:right w:val="nil"/>
            </w:tcBorders>
          </w:tcPr>
          <w:p>
            <w:pPr>
              <w:pStyle w:val="TableParagraph"/>
              <w:spacing w:before="11"/>
              <w:rPr>
                <w:b/>
                <w:sz w:val="18"/>
              </w:rPr>
            </w:pPr>
          </w:p>
          <w:p>
            <w:pPr>
              <w:pStyle w:val="TableParagraph"/>
              <w:ind w:left="89"/>
              <w:rPr>
                <w:sz w:val="21"/>
              </w:rPr>
            </w:pPr>
            <w:r>
              <w:rPr>
                <w:w w:val="102"/>
                <w:sz w:val="21"/>
              </w:rPr>
              <w:t>5</w:t>
            </w:r>
          </w:p>
        </w:tc>
        <w:tc>
          <w:tcPr>
            <w:tcW w:w="944" w:type="dxa"/>
            <w:tcBorders>
              <w:top w:val="single" w:sz="8" w:space="0" w:color="000000"/>
              <w:left w:val="nil"/>
              <w:bottom w:val="nil"/>
              <w:right w:val="nil"/>
            </w:tcBorders>
          </w:tcPr>
          <w:p>
            <w:pPr>
              <w:pStyle w:val="TableParagraph"/>
              <w:spacing w:before="11"/>
              <w:rPr>
                <w:b/>
                <w:sz w:val="18"/>
              </w:rPr>
            </w:pPr>
          </w:p>
          <w:p>
            <w:pPr>
              <w:pStyle w:val="TableParagraph"/>
              <w:ind w:left="108"/>
              <w:rPr>
                <w:sz w:val="21"/>
              </w:rPr>
            </w:pPr>
            <w:r>
              <w:rPr>
                <w:w w:val="102"/>
                <w:sz w:val="21"/>
              </w:rPr>
              <w:t>2</w:t>
            </w:r>
          </w:p>
        </w:tc>
      </w:tr>
      <w:tr>
        <w:trPr>
          <w:trHeight w:val="737" w:hRule="exact"/>
        </w:trPr>
        <w:tc>
          <w:tcPr>
            <w:tcW w:w="1652" w:type="dxa"/>
            <w:tcBorders>
              <w:top w:val="nil"/>
              <w:left w:val="nil"/>
              <w:bottom w:val="nil"/>
              <w:right w:val="nil"/>
            </w:tcBorders>
          </w:tcPr>
          <w:p>
            <w:pPr>
              <w:pStyle w:val="TableParagraph"/>
              <w:spacing w:before="9"/>
              <w:rPr>
                <w:b/>
                <w:sz w:val="20"/>
              </w:rPr>
            </w:pPr>
          </w:p>
          <w:p>
            <w:pPr>
              <w:pStyle w:val="TableParagraph"/>
              <w:ind w:left="71"/>
              <w:rPr>
                <w:b/>
                <w:sz w:val="21"/>
              </w:rPr>
            </w:pPr>
            <w:r>
              <w:rPr>
                <w:b/>
                <w:w w:val="105"/>
                <w:sz w:val="21"/>
              </w:rPr>
              <w:t>ESTADIO 1a</w:t>
            </w:r>
          </w:p>
        </w:tc>
        <w:tc>
          <w:tcPr>
            <w:tcW w:w="901" w:type="dxa"/>
            <w:tcBorders>
              <w:top w:val="nil"/>
              <w:left w:val="nil"/>
              <w:bottom w:val="nil"/>
            </w:tcBorders>
          </w:tcPr>
          <w:p>
            <w:pPr>
              <w:pStyle w:val="TableParagraph"/>
              <w:spacing w:before="9"/>
              <w:rPr>
                <w:b/>
                <w:sz w:val="20"/>
              </w:rPr>
            </w:pPr>
          </w:p>
          <w:p>
            <w:pPr>
              <w:pStyle w:val="TableParagraph"/>
              <w:ind w:left="286"/>
              <w:rPr>
                <w:sz w:val="21"/>
              </w:rPr>
            </w:pPr>
            <w:r>
              <w:rPr>
                <w:w w:val="105"/>
                <w:sz w:val="21"/>
              </w:rPr>
              <w:t>36</w:t>
            </w:r>
          </w:p>
        </w:tc>
        <w:tc>
          <w:tcPr>
            <w:tcW w:w="459" w:type="dxa"/>
            <w:tcBorders>
              <w:top w:val="nil"/>
              <w:bottom w:val="nil"/>
              <w:right w:val="nil"/>
            </w:tcBorders>
          </w:tcPr>
          <w:p>
            <w:pPr/>
          </w:p>
        </w:tc>
        <w:tc>
          <w:tcPr>
            <w:tcW w:w="444" w:type="dxa"/>
            <w:tcBorders>
              <w:top w:val="nil"/>
              <w:left w:val="nil"/>
              <w:bottom w:val="nil"/>
              <w:right w:val="nil"/>
            </w:tcBorders>
          </w:tcPr>
          <w:p>
            <w:pPr>
              <w:pStyle w:val="TableParagraph"/>
              <w:spacing w:before="9"/>
              <w:rPr>
                <w:b/>
                <w:sz w:val="20"/>
              </w:rPr>
            </w:pPr>
          </w:p>
          <w:p>
            <w:pPr>
              <w:pStyle w:val="TableParagraph"/>
              <w:ind w:left="83"/>
              <w:rPr>
                <w:sz w:val="21"/>
              </w:rPr>
            </w:pPr>
            <w:r>
              <w:rPr>
                <w:w w:val="105"/>
                <w:sz w:val="21"/>
              </w:rPr>
              <w:t>36</w:t>
            </w:r>
          </w:p>
        </w:tc>
        <w:tc>
          <w:tcPr>
            <w:tcW w:w="418" w:type="dxa"/>
            <w:tcBorders>
              <w:top w:val="nil"/>
              <w:left w:val="nil"/>
              <w:bottom w:val="nil"/>
            </w:tcBorders>
          </w:tcPr>
          <w:p>
            <w:pPr/>
          </w:p>
        </w:tc>
        <w:tc>
          <w:tcPr>
            <w:tcW w:w="1134" w:type="dxa"/>
            <w:tcBorders>
              <w:top w:val="nil"/>
              <w:bottom w:val="nil"/>
              <w:right w:val="nil"/>
            </w:tcBorders>
          </w:tcPr>
          <w:p>
            <w:pPr>
              <w:pStyle w:val="TableParagraph"/>
              <w:spacing w:before="9"/>
              <w:rPr>
                <w:b/>
                <w:sz w:val="20"/>
              </w:rPr>
            </w:pPr>
          </w:p>
          <w:p>
            <w:pPr>
              <w:pStyle w:val="TableParagraph"/>
              <w:ind w:left="67"/>
              <w:rPr>
                <w:sz w:val="21"/>
              </w:rPr>
            </w:pPr>
            <w:r>
              <w:rPr>
                <w:w w:val="102"/>
                <w:sz w:val="21"/>
              </w:rPr>
              <w:t>9</w:t>
            </w:r>
          </w:p>
        </w:tc>
        <w:tc>
          <w:tcPr>
            <w:tcW w:w="1011" w:type="dxa"/>
            <w:tcBorders>
              <w:top w:val="nil"/>
              <w:left w:val="nil"/>
              <w:bottom w:val="nil"/>
              <w:right w:val="nil"/>
            </w:tcBorders>
          </w:tcPr>
          <w:p>
            <w:pPr>
              <w:pStyle w:val="TableParagraph"/>
              <w:spacing w:before="9"/>
              <w:rPr>
                <w:b/>
                <w:sz w:val="20"/>
              </w:rPr>
            </w:pPr>
          </w:p>
          <w:p>
            <w:pPr>
              <w:pStyle w:val="TableParagraph"/>
              <w:ind w:left="99"/>
              <w:rPr>
                <w:sz w:val="21"/>
              </w:rPr>
            </w:pPr>
            <w:r>
              <w:rPr>
                <w:w w:val="105"/>
                <w:sz w:val="21"/>
              </w:rPr>
              <w:t>17</w:t>
            </w:r>
          </w:p>
        </w:tc>
        <w:tc>
          <w:tcPr>
            <w:tcW w:w="794" w:type="dxa"/>
            <w:tcBorders>
              <w:top w:val="nil"/>
              <w:left w:val="nil"/>
              <w:bottom w:val="nil"/>
              <w:right w:val="nil"/>
            </w:tcBorders>
          </w:tcPr>
          <w:p>
            <w:pPr>
              <w:pStyle w:val="TableParagraph"/>
              <w:spacing w:before="9"/>
              <w:rPr>
                <w:b/>
                <w:sz w:val="20"/>
              </w:rPr>
            </w:pPr>
          </w:p>
          <w:p>
            <w:pPr>
              <w:pStyle w:val="TableParagraph"/>
              <w:ind w:left="96"/>
              <w:rPr>
                <w:sz w:val="21"/>
              </w:rPr>
            </w:pPr>
            <w:r>
              <w:rPr>
                <w:w w:val="102"/>
                <w:sz w:val="21"/>
              </w:rPr>
              <w:t>4</w:t>
            </w:r>
          </w:p>
        </w:tc>
        <w:tc>
          <w:tcPr>
            <w:tcW w:w="1503" w:type="dxa"/>
            <w:tcBorders>
              <w:top w:val="nil"/>
              <w:left w:val="nil"/>
              <w:bottom w:val="nil"/>
              <w:right w:val="nil"/>
            </w:tcBorders>
          </w:tcPr>
          <w:p>
            <w:pPr>
              <w:pStyle w:val="TableParagraph"/>
              <w:spacing w:before="9"/>
              <w:rPr>
                <w:b/>
                <w:sz w:val="20"/>
              </w:rPr>
            </w:pPr>
          </w:p>
          <w:p>
            <w:pPr>
              <w:pStyle w:val="TableParagraph"/>
              <w:ind w:left="89"/>
              <w:rPr>
                <w:sz w:val="21"/>
              </w:rPr>
            </w:pPr>
            <w:r>
              <w:rPr>
                <w:w w:val="102"/>
                <w:sz w:val="21"/>
              </w:rPr>
              <w:t>4</w:t>
            </w:r>
          </w:p>
        </w:tc>
        <w:tc>
          <w:tcPr>
            <w:tcW w:w="944" w:type="dxa"/>
            <w:tcBorders>
              <w:top w:val="nil"/>
              <w:left w:val="nil"/>
              <w:bottom w:val="nil"/>
              <w:right w:val="nil"/>
            </w:tcBorders>
          </w:tcPr>
          <w:p>
            <w:pPr>
              <w:pStyle w:val="TableParagraph"/>
              <w:spacing w:before="9"/>
              <w:rPr>
                <w:b/>
                <w:sz w:val="20"/>
              </w:rPr>
            </w:pPr>
          </w:p>
          <w:p>
            <w:pPr>
              <w:pStyle w:val="TableParagraph"/>
              <w:ind w:left="108"/>
              <w:rPr>
                <w:sz w:val="21"/>
              </w:rPr>
            </w:pPr>
            <w:r>
              <w:rPr>
                <w:w w:val="102"/>
                <w:sz w:val="21"/>
              </w:rPr>
              <w:t>2</w:t>
            </w:r>
          </w:p>
        </w:tc>
      </w:tr>
      <w:tr>
        <w:trPr>
          <w:trHeight w:val="737" w:hRule="exact"/>
        </w:trPr>
        <w:tc>
          <w:tcPr>
            <w:tcW w:w="1652" w:type="dxa"/>
            <w:tcBorders>
              <w:top w:val="nil"/>
              <w:left w:val="nil"/>
              <w:bottom w:val="nil"/>
              <w:right w:val="nil"/>
            </w:tcBorders>
          </w:tcPr>
          <w:p>
            <w:pPr>
              <w:pStyle w:val="TableParagraph"/>
              <w:spacing w:before="7"/>
              <w:rPr>
                <w:b/>
                <w:sz w:val="20"/>
              </w:rPr>
            </w:pPr>
          </w:p>
          <w:p>
            <w:pPr>
              <w:pStyle w:val="TableParagraph"/>
              <w:ind w:left="71"/>
              <w:rPr>
                <w:b/>
                <w:sz w:val="21"/>
              </w:rPr>
            </w:pPr>
            <w:r>
              <w:rPr>
                <w:b/>
                <w:w w:val="105"/>
                <w:sz w:val="21"/>
              </w:rPr>
              <w:t>ESTADIO 1b</w:t>
            </w:r>
          </w:p>
        </w:tc>
        <w:tc>
          <w:tcPr>
            <w:tcW w:w="901" w:type="dxa"/>
            <w:tcBorders>
              <w:top w:val="nil"/>
              <w:left w:val="nil"/>
              <w:bottom w:val="nil"/>
            </w:tcBorders>
          </w:tcPr>
          <w:p>
            <w:pPr>
              <w:pStyle w:val="TableParagraph"/>
              <w:spacing w:before="7"/>
              <w:rPr>
                <w:b/>
                <w:sz w:val="20"/>
              </w:rPr>
            </w:pPr>
          </w:p>
          <w:p>
            <w:pPr>
              <w:pStyle w:val="TableParagraph"/>
              <w:ind w:left="286"/>
              <w:rPr>
                <w:sz w:val="21"/>
              </w:rPr>
            </w:pPr>
            <w:r>
              <w:rPr>
                <w:w w:val="105"/>
                <w:sz w:val="21"/>
              </w:rPr>
              <w:t>47</w:t>
            </w:r>
          </w:p>
        </w:tc>
        <w:tc>
          <w:tcPr>
            <w:tcW w:w="459" w:type="dxa"/>
            <w:tcBorders>
              <w:top w:val="nil"/>
              <w:bottom w:val="nil"/>
              <w:right w:val="nil"/>
            </w:tcBorders>
          </w:tcPr>
          <w:p>
            <w:pPr/>
          </w:p>
        </w:tc>
        <w:tc>
          <w:tcPr>
            <w:tcW w:w="444" w:type="dxa"/>
            <w:tcBorders>
              <w:top w:val="nil"/>
              <w:left w:val="nil"/>
              <w:bottom w:val="nil"/>
              <w:right w:val="nil"/>
            </w:tcBorders>
          </w:tcPr>
          <w:p>
            <w:pPr/>
          </w:p>
        </w:tc>
        <w:tc>
          <w:tcPr>
            <w:tcW w:w="418" w:type="dxa"/>
            <w:tcBorders>
              <w:top w:val="nil"/>
              <w:left w:val="nil"/>
              <w:bottom w:val="nil"/>
            </w:tcBorders>
          </w:tcPr>
          <w:p>
            <w:pPr>
              <w:pStyle w:val="TableParagraph"/>
              <w:spacing w:before="7"/>
              <w:rPr>
                <w:b/>
                <w:sz w:val="20"/>
              </w:rPr>
            </w:pPr>
          </w:p>
          <w:p>
            <w:pPr>
              <w:pStyle w:val="TableParagraph"/>
              <w:ind w:left="81"/>
              <w:rPr>
                <w:sz w:val="21"/>
              </w:rPr>
            </w:pPr>
            <w:r>
              <w:rPr>
                <w:w w:val="105"/>
                <w:sz w:val="21"/>
              </w:rPr>
              <w:t>47</w:t>
            </w:r>
          </w:p>
        </w:tc>
        <w:tc>
          <w:tcPr>
            <w:tcW w:w="1134" w:type="dxa"/>
            <w:tcBorders>
              <w:top w:val="nil"/>
              <w:bottom w:val="nil"/>
              <w:right w:val="nil"/>
            </w:tcBorders>
          </w:tcPr>
          <w:p>
            <w:pPr>
              <w:pStyle w:val="TableParagraph"/>
              <w:spacing w:before="7"/>
              <w:rPr>
                <w:b/>
                <w:sz w:val="20"/>
              </w:rPr>
            </w:pPr>
          </w:p>
          <w:p>
            <w:pPr>
              <w:pStyle w:val="TableParagraph"/>
              <w:ind w:left="67"/>
              <w:rPr>
                <w:sz w:val="21"/>
              </w:rPr>
            </w:pPr>
            <w:r>
              <w:rPr>
                <w:w w:val="105"/>
                <w:sz w:val="21"/>
              </w:rPr>
              <w:t>13</w:t>
            </w:r>
          </w:p>
        </w:tc>
        <w:tc>
          <w:tcPr>
            <w:tcW w:w="1011" w:type="dxa"/>
            <w:tcBorders>
              <w:top w:val="nil"/>
              <w:left w:val="nil"/>
              <w:bottom w:val="nil"/>
              <w:right w:val="nil"/>
            </w:tcBorders>
          </w:tcPr>
          <w:p>
            <w:pPr>
              <w:pStyle w:val="TableParagraph"/>
              <w:spacing w:before="7"/>
              <w:rPr>
                <w:b/>
                <w:sz w:val="20"/>
              </w:rPr>
            </w:pPr>
          </w:p>
          <w:p>
            <w:pPr>
              <w:pStyle w:val="TableParagraph"/>
              <w:ind w:left="99"/>
              <w:rPr>
                <w:sz w:val="21"/>
              </w:rPr>
            </w:pPr>
            <w:r>
              <w:rPr>
                <w:w w:val="105"/>
                <w:sz w:val="21"/>
              </w:rPr>
              <w:t>13</w:t>
            </w:r>
          </w:p>
        </w:tc>
        <w:tc>
          <w:tcPr>
            <w:tcW w:w="794" w:type="dxa"/>
            <w:tcBorders>
              <w:top w:val="nil"/>
              <w:left w:val="nil"/>
              <w:bottom w:val="nil"/>
              <w:right w:val="nil"/>
            </w:tcBorders>
          </w:tcPr>
          <w:p>
            <w:pPr>
              <w:pStyle w:val="TableParagraph"/>
              <w:spacing w:before="7"/>
              <w:rPr>
                <w:b/>
                <w:sz w:val="20"/>
              </w:rPr>
            </w:pPr>
          </w:p>
          <w:p>
            <w:pPr>
              <w:pStyle w:val="TableParagraph"/>
              <w:ind w:left="96"/>
              <w:rPr>
                <w:sz w:val="21"/>
              </w:rPr>
            </w:pPr>
            <w:r>
              <w:rPr>
                <w:w w:val="102"/>
                <w:sz w:val="21"/>
              </w:rPr>
              <w:t>8</w:t>
            </w:r>
          </w:p>
        </w:tc>
        <w:tc>
          <w:tcPr>
            <w:tcW w:w="1503" w:type="dxa"/>
            <w:tcBorders>
              <w:top w:val="nil"/>
              <w:left w:val="nil"/>
              <w:bottom w:val="nil"/>
              <w:right w:val="nil"/>
            </w:tcBorders>
          </w:tcPr>
          <w:p>
            <w:pPr>
              <w:pStyle w:val="TableParagraph"/>
              <w:spacing w:before="7"/>
              <w:rPr>
                <w:b/>
                <w:sz w:val="20"/>
              </w:rPr>
            </w:pPr>
          </w:p>
          <w:p>
            <w:pPr>
              <w:pStyle w:val="TableParagraph"/>
              <w:ind w:left="89"/>
              <w:rPr>
                <w:sz w:val="21"/>
              </w:rPr>
            </w:pPr>
            <w:r>
              <w:rPr>
                <w:w w:val="102"/>
                <w:sz w:val="21"/>
              </w:rPr>
              <w:t>6</w:t>
            </w:r>
          </w:p>
        </w:tc>
        <w:tc>
          <w:tcPr>
            <w:tcW w:w="944" w:type="dxa"/>
            <w:tcBorders>
              <w:top w:val="nil"/>
              <w:left w:val="nil"/>
              <w:bottom w:val="nil"/>
              <w:right w:val="nil"/>
            </w:tcBorders>
          </w:tcPr>
          <w:p>
            <w:pPr>
              <w:pStyle w:val="TableParagraph"/>
              <w:spacing w:before="7"/>
              <w:rPr>
                <w:b/>
                <w:sz w:val="20"/>
              </w:rPr>
            </w:pPr>
          </w:p>
          <w:p>
            <w:pPr>
              <w:pStyle w:val="TableParagraph"/>
              <w:ind w:left="108"/>
              <w:rPr>
                <w:sz w:val="21"/>
              </w:rPr>
            </w:pPr>
            <w:r>
              <w:rPr>
                <w:w w:val="102"/>
                <w:sz w:val="21"/>
              </w:rPr>
              <w:t>7</w:t>
            </w:r>
          </w:p>
        </w:tc>
      </w:tr>
      <w:tr>
        <w:trPr>
          <w:trHeight w:val="737" w:hRule="exact"/>
        </w:trPr>
        <w:tc>
          <w:tcPr>
            <w:tcW w:w="1652" w:type="dxa"/>
            <w:tcBorders>
              <w:top w:val="nil"/>
              <w:left w:val="nil"/>
              <w:bottom w:val="nil"/>
              <w:right w:val="nil"/>
            </w:tcBorders>
          </w:tcPr>
          <w:p>
            <w:pPr>
              <w:pStyle w:val="TableParagraph"/>
              <w:spacing w:before="9"/>
              <w:rPr>
                <w:b/>
                <w:sz w:val="20"/>
              </w:rPr>
            </w:pPr>
          </w:p>
          <w:p>
            <w:pPr>
              <w:pStyle w:val="TableParagraph"/>
              <w:ind w:left="71"/>
              <w:rPr>
                <w:b/>
                <w:sz w:val="21"/>
              </w:rPr>
            </w:pPr>
            <w:r>
              <w:rPr>
                <w:b/>
                <w:w w:val="105"/>
                <w:sz w:val="21"/>
              </w:rPr>
              <w:t>ESTADIO 2</w:t>
            </w:r>
          </w:p>
        </w:tc>
        <w:tc>
          <w:tcPr>
            <w:tcW w:w="901" w:type="dxa"/>
            <w:tcBorders>
              <w:top w:val="nil"/>
              <w:left w:val="nil"/>
              <w:bottom w:val="nil"/>
            </w:tcBorders>
          </w:tcPr>
          <w:p>
            <w:pPr>
              <w:pStyle w:val="TableParagraph"/>
              <w:spacing w:before="9"/>
              <w:rPr>
                <w:b/>
                <w:sz w:val="20"/>
              </w:rPr>
            </w:pPr>
          </w:p>
          <w:p>
            <w:pPr>
              <w:pStyle w:val="TableParagraph"/>
              <w:ind w:left="286"/>
              <w:rPr>
                <w:sz w:val="21"/>
              </w:rPr>
            </w:pPr>
            <w:r>
              <w:rPr>
                <w:w w:val="105"/>
                <w:sz w:val="21"/>
              </w:rPr>
              <w:t>18</w:t>
            </w:r>
          </w:p>
        </w:tc>
        <w:tc>
          <w:tcPr>
            <w:tcW w:w="459" w:type="dxa"/>
            <w:tcBorders>
              <w:top w:val="nil"/>
              <w:bottom w:val="nil"/>
              <w:right w:val="nil"/>
            </w:tcBorders>
          </w:tcPr>
          <w:p>
            <w:pPr>
              <w:pStyle w:val="TableParagraph"/>
              <w:spacing w:before="9"/>
              <w:rPr>
                <w:b/>
                <w:sz w:val="20"/>
              </w:rPr>
            </w:pPr>
          </w:p>
          <w:p>
            <w:pPr>
              <w:pStyle w:val="TableParagraph"/>
              <w:ind w:left="67"/>
              <w:rPr>
                <w:sz w:val="21"/>
              </w:rPr>
            </w:pPr>
            <w:r>
              <w:rPr>
                <w:w w:val="102"/>
                <w:sz w:val="21"/>
              </w:rPr>
              <w:t>3</w:t>
            </w:r>
          </w:p>
        </w:tc>
        <w:tc>
          <w:tcPr>
            <w:tcW w:w="444" w:type="dxa"/>
            <w:tcBorders>
              <w:top w:val="nil"/>
              <w:left w:val="nil"/>
              <w:bottom w:val="nil"/>
              <w:right w:val="nil"/>
            </w:tcBorders>
          </w:tcPr>
          <w:p>
            <w:pPr>
              <w:pStyle w:val="TableParagraph"/>
              <w:spacing w:before="9"/>
              <w:rPr>
                <w:b/>
                <w:sz w:val="20"/>
              </w:rPr>
            </w:pPr>
          </w:p>
          <w:p>
            <w:pPr>
              <w:pStyle w:val="TableParagraph"/>
              <w:ind w:left="83"/>
              <w:rPr>
                <w:sz w:val="21"/>
              </w:rPr>
            </w:pPr>
            <w:r>
              <w:rPr>
                <w:w w:val="102"/>
                <w:sz w:val="21"/>
              </w:rPr>
              <w:t>6</w:t>
            </w:r>
          </w:p>
        </w:tc>
        <w:tc>
          <w:tcPr>
            <w:tcW w:w="418" w:type="dxa"/>
            <w:tcBorders>
              <w:top w:val="nil"/>
              <w:left w:val="nil"/>
              <w:bottom w:val="nil"/>
            </w:tcBorders>
          </w:tcPr>
          <w:p>
            <w:pPr>
              <w:pStyle w:val="TableParagraph"/>
              <w:spacing w:before="9"/>
              <w:rPr>
                <w:b/>
                <w:sz w:val="20"/>
              </w:rPr>
            </w:pPr>
          </w:p>
          <w:p>
            <w:pPr>
              <w:pStyle w:val="TableParagraph"/>
              <w:ind w:left="81"/>
              <w:rPr>
                <w:sz w:val="21"/>
              </w:rPr>
            </w:pPr>
            <w:r>
              <w:rPr>
                <w:w w:val="102"/>
                <w:sz w:val="21"/>
              </w:rPr>
              <w:t>9</w:t>
            </w:r>
          </w:p>
        </w:tc>
        <w:tc>
          <w:tcPr>
            <w:tcW w:w="1134" w:type="dxa"/>
            <w:tcBorders>
              <w:top w:val="nil"/>
              <w:bottom w:val="nil"/>
              <w:right w:val="nil"/>
            </w:tcBorders>
          </w:tcPr>
          <w:p>
            <w:pPr>
              <w:pStyle w:val="TableParagraph"/>
              <w:spacing w:before="9"/>
              <w:rPr>
                <w:b/>
                <w:sz w:val="20"/>
              </w:rPr>
            </w:pPr>
          </w:p>
          <w:p>
            <w:pPr>
              <w:pStyle w:val="TableParagraph"/>
              <w:ind w:left="67"/>
              <w:rPr>
                <w:sz w:val="21"/>
              </w:rPr>
            </w:pPr>
            <w:r>
              <w:rPr>
                <w:w w:val="102"/>
                <w:sz w:val="21"/>
              </w:rPr>
              <w:t>4</w:t>
            </w:r>
          </w:p>
        </w:tc>
        <w:tc>
          <w:tcPr>
            <w:tcW w:w="1011" w:type="dxa"/>
            <w:tcBorders>
              <w:top w:val="nil"/>
              <w:left w:val="nil"/>
              <w:bottom w:val="nil"/>
              <w:right w:val="nil"/>
            </w:tcBorders>
          </w:tcPr>
          <w:p>
            <w:pPr>
              <w:pStyle w:val="TableParagraph"/>
              <w:spacing w:before="9"/>
              <w:rPr>
                <w:b/>
                <w:sz w:val="20"/>
              </w:rPr>
            </w:pPr>
          </w:p>
          <w:p>
            <w:pPr>
              <w:pStyle w:val="TableParagraph"/>
              <w:ind w:left="99"/>
              <w:rPr>
                <w:sz w:val="21"/>
              </w:rPr>
            </w:pPr>
            <w:r>
              <w:rPr>
                <w:w w:val="105"/>
                <w:sz w:val="21"/>
              </w:rPr>
              <w:t>10</w:t>
            </w:r>
          </w:p>
        </w:tc>
        <w:tc>
          <w:tcPr>
            <w:tcW w:w="794" w:type="dxa"/>
            <w:tcBorders>
              <w:top w:val="nil"/>
              <w:left w:val="nil"/>
              <w:bottom w:val="nil"/>
              <w:right w:val="nil"/>
            </w:tcBorders>
          </w:tcPr>
          <w:p>
            <w:pPr>
              <w:pStyle w:val="TableParagraph"/>
              <w:spacing w:before="9"/>
              <w:rPr>
                <w:b/>
                <w:sz w:val="20"/>
              </w:rPr>
            </w:pPr>
          </w:p>
          <w:p>
            <w:pPr>
              <w:pStyle w:val="TableParagraph"/>
              <w:ind w:left="96"/>
              <w:rPr>
                <w:sz w:val="21"/>
              </w:rPr>
            </w:pPr>
            <w:r>
              <w:rPr>
                <w:w w:val="102"/>
                <w:sz w:val="21"/>
              </w:rPr>
              <w:t>1</w:t>
            </w:r>
          </w:p>
        </w:tc>
        <w:tc>
          <w:tcPr>
            <w:tcW w:w="1503" w:type="dxa"/>
            <w:tcBorders>
              <w:top w:val="nil"/>
              <w:left w:val="nil"/>
              <w:bottom w:val="nil"/>
              <w:right w:val="nil"/>
            </w:tcBorders>
          </w:tcPr>
          <w:p>
            <w:pPr>
              <w:pStyle w:val="TableParagraph"/>
              <w:spacing w:before="9"/>
              <w:rPr>
                <w:b/>
                <w:sz w:val="20"/>
              </w:rPr>
            </w:pPr>
          </w:p>
          <w:p>
            <w:pPr>
              <w:pStyle w:val="TableParagraph"/>
              <w:ind w:left="89"/>
              <w:rPr>
                <w:sz w:val="21"/>
              </w:rPr>
            </w:pPr>
            <w:r>
              <w:rPr>
                <w:w w:val="102"/>
                <w:sz w:val="21"/>
              </w:rPr>
              <w:t>3</w:t>
            </w:r>
          </w:p>
        </w:tc>
        <w:tc>
          <w:tcPr>
            <w:tcW w:w="944" w:type="dxa"/>
            <w:tcBorders>
              <w:top w:val="nil"/>
              <w:left w:val="nil"/>
              <w:bottom w:val="nil"/>
              <w:right w:val="nil"/>
            </w:tcBorders>
          </w:tcPr>
          <w:p>
            <w:pPr>
              <w:pStyle w:val="TableParagraph"/>
              <w:spacing w:before="9"/>
              <w:rPr>
                <w:b/>
                <w:sz w:val="20"/>
              </w:rPr>
            </w:pPr>
          </w:p>
          <w:p>
            <w:pPr>
              <w:pStyle w:val="TableParagraph"/>
              <w:ind w:left="108"/>
              <w:rPr>
                <w:sz w:val="21"/>
              </w:rPr>
            </w:pPr>
            <w:r>
              <w:rPr>
                <w:w w:val="102"/>
                <w:sz w:val="21"/>
              </w:rPr>
              <w:t>0</w:t>
            </w:r>
          </w:p>
        </w:tc>
      </w:tr>
      <w:tr>
        <w:trPr>
          <w:trHeight w:val="737" w:hRule="exact"/>
        </w:trPr>
        <w:tc>
          <w:tcPr>
            <w:tcW w:w="1652" w:type="dxa"/>
            <w:tcBorders>
              <w:top w:val="nil"/>
              <w:left w:val="nil"/>
              <w:bottom w:val="nil"/>
              <w:right w:val="nil"/>
            </w:tcBorders>
          </w:tcPr>
          <w:p>
            <w:pPr>
              <w:pStyle w:val="TableParagraph"/>
              <w:spacing w:before="7"/>
              <w:rPr>
                <w:b/>
                <w:sz w:val="20"/>
              </w:rPr>
            </w:pPr>
          </w:p>
          <w:p>
            <w:pPr>
              <w:pStyle w:val="TableParagraph"/>
              <w:ind w:left="71"/>
              <w:rPr>
                <w:b/>
                <w:sz w:val="21"/>
              </w:rPr>
            </w:pPr>
            <w:r>
              <w:rPr>
                <w:b/>
                <w:w w:val="105"/>
                <w:sz w:val="21"/>
              </w:rPr>
              <w:t>ESTADIO 3</w:t>
            </w:r>
          </w:p>
        </w:tc>
        <w:tc>
          <w:tcPr>
            <w:tcW w:w="901" w:type="dxa"/>
            <w:tcBorders>
              <w:top w:val="nil"/>
              <w:left w:val="nil"/>
              <w:bottom w:val="nil"/>
            </w:tcBorders>
          </w:tcPr>
          <w:p>
            <w:pPr>
              <w:pStyle w:val="TableParagraph"/>
              <w:spacing w:before="7"/>
              <w:rPr>
                <w:b/>
                <w:sz w:val="20"/>
              </w:rPr>
            </w:pPr>
          </w:p>
          <w:p>
            <w:pPr>
              <w:pStyle w:val="TableParagraph"/>
              <w:ind w:left="286"/>
              <w:rPr>
                <w:sz w:val="21"/>
              </w:rPr>
            </w:pPr>
            <w:r>
              <w:rPr>
                <w:w w:val="102"/>
                <w:sz w:val="21"/>
              </w:rPr>
              <w:t>8</w:t>
            </w:r>
          </w:p>
        </w:tc>
        <w:tc>
          <w:tcPr>
            <w:tcW w:w="459" w:type="dxa"/>
            <w:tcBorders>
              <w:top w:val="nil"/>
              <w:bottom w:val="nil"/>
              <w:right w:val="nil"/>
            </w:tcBorders>
          </w:tcPr>
          <w:p>
            <w:pPr>
              <w:pStyle w:val="TableParagraph"/>
              <w:spacing w:before="7"/>
              <w:rPr>
                <w:b/>
                <w:sz w:val="20"/>
              </w:rPr>
            </w:pPr>
          </w:p>
          <w:p>
            <w:pPr>
              <w:pStyle w:val="TableParagraph"/>
              <w:ind w:left="67"/>
              <w:rPr>
                <w:sz w:val="21"/>
              </w:rPr>
            </w:pPr>
            <w:r>
              <w:rPr>
                <w:w w:val="102"/>
                <w:sz w:val="21"/>
              </w:rPr>
              <w:t>1</w:t>
            </w:r>
          </w:p>
        </w:tc>
        <w:tc>
          <w:tcPr>
            <w:tcW w:w="444" w:type="dxa"/>
            <w:tcBorders>
              <w:top w:val="nil"/>
              <w:left w:val="nil"/>
              <w:bottom w:val="nil"/>
              <w:right w:val="nil"/>
            </w:tcBorders>
          </w:tcPr>
          <w:p>
            <w:pPr>
              <w:pStyle w:val="TableParagraph"/>
              <w:spacing w:before="7"/>
              <w:rPr>
                <w:b/>
                <w:sz w:val="20"/>
              </w:rPr>
            </w:pPr>
          </w:p>
          <w:p>
            <w:pPr>
              <w:pStyle w:val="TableParagraph"/>
              <w:ind w:left="83"/>
              <w:rPr>
                <w:sz w:val="21"/>
              </w:rPr>
            </w:pPr>
            <w:r>
              <w:rPr>
                <w:w w:val="102"/>
                <w:sz w:val="21"/>
              </w:rPr>
              <w:t>2</w:t>
            </w:r>
          </w:p>
        </w:tc>
        <w:tc>
          <w:tcPr>
            <w:tcW w:w="418" w:type="dxa"/>
            <w:tcBorders>
              <w:top w:val="nil"/>
              <w:left w:val="nil"/>
              <w:bottom w:val="nil"/>
            </w:tcBorders>
          </w:tcPr>
          <w:p>
            <w:pPr>
              <w:pStyle w:val="TableParagraph"/>
              <w:spacing w:before="7"/>
              <w:rPr>
                <w:b/>
                <w:sz w:val="20"/>
              </w:rPr>
            </w:pPr>
          </w:p>
          <w:p>
            <w:pPr>
              <w:pStyle w:val="TableParagraph"/>
              <w:ind w:left="81"/>
              <w:rPr>
                <w:sz w:val="21"/>
              </w:rPr>
            </w:pPr>
            <w:r>
              <w:rPr>
                <w:w w:val="102"/>
                <w:sz w:val="21"/>
              </w:rPr>
              <w:t>5</w:t>
            </w:r>
          </w:p>
        </w:tc>
        <w:tc>
          <w:tcPr>
            <w:tcW w:w="1134" w:type="dxa"/>
            <w:tcBorders>
              <w:top w:val="nil"/>
              <w:bottom w:val="nil"/>
              <w:right w:val="nil"/>
            </w:tcBorders>
          </w:tcPr>
          <w:p>
            <w:pPr>
              <w:pStyle w:val="TableParagraph"/>
              <w:spacing w:before="7"/>
              <w:rPr>
                <w:b/>
                <w:sz w:val="20"/>
              </w:rPr>
            </w:pPr>
          </w:p>
          <w:p>
            <w:pPr>
              <w:pStyle w:val="TableParagraph"/>
              <w:ind w:left="67"/>
              <w:rPr>
                <w:sz w:val="21"/>
              </w:rPr>
            </w:pPr>
            <w:r>
              <w:rPr>
                <w:w w:val="102"/>
                <w:sz w:val="21"/>
              </w:rPr>
              <w:t>3</w:t>
            </w:r>
          </w:p>
        </w:tc>
        <w:tc>
          <w:tcPr>
            <w:tcW w:w="1011" w:type="dxa"/>
            <w:tcBorders>
              <w:top w:val="nil"/>
              <w:left w:val="nil"/>
              <w:bottom w:val="nil"/>
              <w:right w:val="nil"/>
            </w:tcBorders>
          </w:tcPr>
          <w:p>
            <w:pPr>
              <w:pStyle w:val="TableParagraph"/>
              <w:spacing w:before="7"/>
              <w:rPr>
                <w:b/>
                <w:sz w:val="20"/>
              </w:rPr>
            </w:pPr>
          </w:p>
          <w:p>
            <w:pPr>
              <w:pStyle w:val="TableParagraph"/>
              <w:ind w:left="99"/>
              <w:rPr>
                <w:sz w:val="21"/>
              </w:rPr>
            </w:pPr>
            <w:r>
              <w:rPr>
                <w:w w:val="102"/>
                <w:sz w:val="21"/>
              </w:rPr>
              <w:t>1</w:t>
            </w:r>
          </w:p>
        </w:tc>
        <w:tc>
          <w:tcPr>
            <w:tcW w:w="794" w:type="dxa"/>
            <w:tcBorders>
              <w:top w:val="nil"/>
              <w:left w:val="nil"/>
              <w:bottom w:val="nil"/>
              <w:right w:val="nil"/>
            </w:tcBorders>
          </w:tcPr>
          <w:p>
            <w:pPr>
              <w:pStyle w:val="TableParagraph"/>
              <w:spacing w:before="7"/>
              <w:rPr>
                <w:b/>
                <w:sz w:val="20"/>
              </w:rPr>
            </w:pPr>
          </w:p>
          <w:p>
            <w:pPr>
              <w:pStyle w:val="TableParagraph"/>
              <w:ind w:left="96"/>
              <w:rPr>
                <w:sz w:val="21"/>
              </w:rPr>
            </w:pPr>
            <w:r>
              <w:rPr>
                <w:w w:val="102"/>
                <w:sz w:val="21"/>
              </w:rPr>
              <w:t>1</w:t>
            </w:r>
          </w:p>
        </w:tc>
        <w:tc>
          <w:tcPr>
            <w:tcW w:w="1503" w:type="dxa"/>
            <w:tcBorders>
              <w:top w:val="nil"/>
              <w:left w:val="nil"/>
              <w:bottom w:val="nil"/>
              <w:right w:val="nil"/>
            </w:tcBorders>
          </w:tcPr>
          <w:p>
            <w:pPr>
              <w:pStyle w:val="TableParagraph"/>
              <w:spacing w:before="7"/>
              <w:rPr>
                <w:b/>
                <w:sz w:val="20"/>
              </w:rPr>
            </w:pPr>
          </w:p>
          <w:p>
            <w:pPr>
              <w:pStyle w:val="TableParagraph"/>
              <w:ind w:left="89"/>
              <w:rPr>
                <w:sz w:val="21"/>
              </w:rPr>
            </w:pPr>
            <w:r>
              <w:rPr>
                <w:w w:val="102"/>
                <w:sz w:val="21"/>
              </w:rPr>
              <w:t>1</w:t>
            </w:r>
          </w:p>
        </w:tc>
        <w:tc>
          <w:tcPr>
            <w:tcW w:w="944" w:type="dxa"/>
            <w:tcBorders>
              <w:top w:val="nil"/>
              <w:left w:val="nil"/>
              <w:bottom w:val="nil"/>
              <w:right w:val="nil"/>
            </w:tcBorders>
          </w:tcPr>
          <w:p>
            <w:pPr>
              <w:pStyle w:val="TableParagraph"/>
              <w:spacing w:before="7"/>
              <w:rPr>
                <w:b/>
                <w:sz w:val="20"/>
              </w:rPr>
            </w:pPr>
          </w:p>
          <w:p>
            <w:pPr>
              <w:pStyle w:val="TableParagraph"/>
              <w:ind w:left="108"/>
              <w:rPr>
                <w:sz w:val="21"/>
              </w:rPr>
            </w:pPr>
            <w:r>
              <w:rPr>
                <w:w w:val="102"/>
                <w:sz w:val="21"/>
              </w:rPr>
              <w:t>2</w:t>
            </w:r>
          </w:p>
        </w:tc>
      </w:tr>
      <w:tr>
        <w:trPr>
          <w:trHeight w:val="1106" w:hRule="exact"/>
        </w:trPr>
        <w:tc>
          <w:tcPr>
            <w:tcW w:w="1652" w:type="dxa"/>
            <w:tcBorders>
              <w:top w:val="nil"/>
              <w:left w:val="nil"/>
              <w:bottom w:val="nil"/>
              <w:right w:val="nil"/>
            </w:tcBorders>
          </w:tcPr>
          <w:p>
            <w:pPr>
              <w:pStyle w:val="TableParagraph"/>
              <w:spacing w:before="9"/>
              <w:rPr>
                <w:b/>
                <w:sz w:val="20"/>
              </w:rPr>
            </w:pPr>
          </w:p>
          <w:p>
            <w:pPr>
              <w:pStyle w:val="TableParagraph"/>
              <w:ind w:left="71"/>
              <w:rPr>
                <w:b/>
                <w:sz w:val="21"/>
              </w:rPr>
            </w:pPr>
            <w:r>
              <w:rPr>
                <w:b/>
                <w:w w:val="105"/>
                <w:sz w:val="21"/>
              </w:rPr>
              <w:t>ESTADIO 4</w:t>
            </w:r>
          </w:p>
        </w:tc>
        <w:tc>
          <w:tcPr>
            <w:tcW w:w="901" w:type="dxa"/>
            <w:tcBorders>
              <w:top w:val="nil"/>
              <w:left w:val="nil"/>
              <w:bottom w:val="nil"/>
            </w:tcBorders>
          </w:tcPr>
          <w:p>
            <w:pPr>
              <w:pStyle w:val="TableParagraph"/>
              <w:spacing w:before="9"/>
              <w:rPr>
                <w:b/>
                <w:sz w:val="20"/>
              </w:rPr>
            </w:pPr>
          </w:p>
          <w:p>
            <w:pPr>
              <w:pStyle w:val="TableParagraph"/>
              <w:ind w:left="286"/>
              <w:rPr>
                <w:sz w:val="21"/>
              </w:rPr>
            </w:pPr>
            <w:r>
              <w:rPr>
                <w:w w:val="102"/>
                <w:sz w:val="21"/>
              </w:rPr>
              <w:t>6</w:t>
            </w:r>
          </w:p>
        </w:tc>
        <w:tc>
          <w:tcPr>
            <w:tcW w:w="459" w:type="dxa"/>
            <w:tcBorders>
              <w:top w:val="nil"/>
              <w:bottom w:val="nil"/>
              <w:right w:val="nil"/>
            </w:tcBorders>
          </w:tcPr>
          <w:p>
            <w:pPr>
              <w:pStyle w:val="TableParagraph"/>
              <w:spacing w:before="9"/>
              <w:rPr>
                <w:b/>
                <w:sz w:val="20"/>
              </w:rPr>
            </w:pPr>
          </w:p>
          <w:p>
            <w:pPr>
              <w:pStyle w:val="TableParagraph"/>
              <w:ind w:left="67"/>
              <w:rPr>
                <w:sz w:val="21"/>
              </w:rPr>
            </w:pPr>
            <w:r>
              <w:rPr>
                <w:w w:val="102"/>
                <w:sz w:val="21"/>
              </w:rPr>
              <w:t>0</w:t>
            </w:r>
          </w:p>
        </w:tc>
        <w:tc>
          <w:tcPr>
            <w:tcW w:w="444" w:type="dxa"/>
            <w:tcBorders>
              <w:top w:val="nil"/>
              <w:left w:val="nil"/>
              <w:bottom w:val="nil"/>
              <w:right w:val="nil"/>
            </w:tcBorders>
          </w:tcPr>
          <w:p>
            <w:pPr>
              <w:pStyle w:val="TableParagraph"/>
              <w:spacing w:before="9"/>
              <w:rPr>
                <w:b/>
                <w:sz w:val="20"/>
              </w:rPr>
            </w:pPr>
          </w:p>
          <w:p>
            <w:pPr>
              <w:pStyle w:val="TableParagraph"/>
              <w:ind w:left="83"/>
              <w:rPr>
                <w:sz w:val="21"/>
              </w:rPr>
            </w:pPr>
            <w:r>
              <w:rPr>
                <w:w w:val="102"/>
                <w:sz w:val="21"/>
              </w:rPr>
              <w:t>0</w:t>
            </w:r>
          </w:p>
        </w:tc>
        <w:tc>
          <w:tcPr>
            <w:tcW w:w="418" w:type="dxa"/>
            <w:tcBorders>
              <w:top w:val="nil"/>
              <w:left w:val="nil"/>
              <w:bottom w:val="nil"/>
            </w:tcBorders>
          </w:tcPr>
          <w:p>
            <w:pPr>
              <w:pStyle w:val="TableParagraph"/>
              <w:spacing w:before="9"/>
              <w:rPr>
                <w:b/>
                <w:sz w:val="20"/>
              </w:rPr>
            </w:pPr>
          </w:p>
          <w:p>
            <w:pPr>
              <w:pStyle w:val="TableParagraph"/>
              <w:ind w:left="81"/>
              <w:rPr>
                <w:sz w:val="21"/>
              </w:rPr>
            </w:pPr>
            <w:r>
              <w:rPr>
                <w:w w:val="102"/>
                <w:sz w:val="21"/>
              </w:rPr>
              <w:t>6</w:t>
            </w:r>
          </w:p>
        </w:tc>
        <w:tc>
          <w:tcPr>
            <w:tcW w:w="1134" w:type="dxa"/>
            <w:tcBorders>
              <w:top w:val="nil"/>
              <w:bottom w:val="nil"/>
              <w:right w:val="nil"/>
            </w:tcBorders>
          </w:tcPr>
          <w:p>
            <w:pPr>
              <w:pStyle w:val="TableParagraph"/>
              <w:spacing w:before="9"/>
              <w:rPr>
                <w:b/>
                <w:sz w:val="20"/>
              </w:rPr>
            </w:pPr>
          </w:p>
          <w:p>
            <w:pPr>
              <w:pStyle w:val="TableParagraph"/>
              <w:ind w:left="67"/>
              <w:rPr>
                <w:sz w:val="21"/>
              </w:rPr>
            </w:pPr>
            <w:r>
              <w:rPr>
                <w:w w:val="102"/>
                <w:sz w:val="21"/>
              </w:rPr>
              <w:t>0</w:t>
            </w:r>
          </w:p>
        </w:tc>
        <w:tc>
          <w:tcPr>
            <w:tcW w:w="1011" w:type="dxa"/>
            <w:tcBorders>
              <w:top w:val="nil"/>
              <w:left w:val="nil"/>
              <w:bottom w:val="nil"/>
              <w:right w:val="nil"/>
            </w:tcBorders>
          </w:tcPr>
          <w:p>
            <w:pPr>
              <w:pStyle w:val="TableParagraph"/>
              <w:spacing w:before="9"/>
              <w:rPr>
                <w:b/>
                <w:sz w:val="20"/>
              </w:rPr>
            </w:pPr>
          </w:p>
          <w:p>
            <w:pPr>
              <w:pStyle w:val="TableParagraph"/>
              <w:ind w:left="99"/>
              <w:rPr>
                <w:sz w:val="21"/>
              </w:rPr>
            </w:pPr>
            <w:r>
              <w:rPr>
                <w:w w:val="102"/>
                <w:sz w:val="21"/>
              </w:rPr>
              <w:t>3</w:t>
            </w:r>
          </w:p>
        </w:tc>
        <w:tc>
          <w:tcPr>
            <w:tcW w:w="794" w:type="dxa"/>
            <w:tcBorders>
              <w:top w:val="nil"/>
              <w:left w:val="nil"/>
              <w:bottom w:val="nil"/>
              <w:right w:val="nil"/>
            </w:tcBorders>
          </w:tcPr>
          <w:p>
            <w:pPr>
              <w:pStyle w:val="TableParagraph"/>
              <w:spacing w:before="9"/>
              <w:rPr>
                <w:b/>
                <w:sz w:val="20"/>
              </w:rPr>
            </w:pPr>
          </w:p>
          <w:p>
            <w:pPr>
              <w:pStyle w:val="TableParagraph"/>
              <w:ind w:left="96"/>
              <w:rPr>
                <w:sz w:val="21"/>
              </w:rPr>
            </w:pPr>
            <w:r>
              <w:rPr>
                <w:w w:val="102"/>
                <w:sz w:val="21"/>
              </w:rPr>
              <w:t>1</w:t>
            </w:r>
          </w:p>
        </w:tc>
        <w:tc>
          <w:tcPr>
            <w:tcW w:w="1503" w:type="dxa"/>
            <w:tcBorders>
              <w:top w:val="nil"/>
              <w:left w:val="nil"/>
              <w:bottom w:val="nil"/>
              <w:right w:val="nil"/>
            </w:tcBorders>
          </w:tcPr>
          <w:p>
            <w:pPr>
              <w:pStyle w:val="TableParagraph"/>
              <w:spacing w:before="9"/>
              <w:rPr>
                <w:b/>
                <w:sz w:val="20"/>
              </w:rPr>
            </w:pPr>
          </w:p>
          <w:p>
            <w:pPr>
              <w:pStyle w:val="TableParagraph"/>
              <w:ind w:left="89"/>
              <w:rPr>
                <w:sz w:val="21"/>
              </w:rPr>
            </w:pPr>
            <w:r>
              <w:rPr>
                <w:w w:val="102"/>
                <w:sz w:val="21"/>
              </w:rPr>
              <w:t>1</w:t>
            </w:r>
          </w:p>
        </w:tc>
        <w:tc>
          <w:tcPr>
            <w:tcW w:w="944" w:type="dxa"/>
            <w:tcBorders>
              <w:top w:val="nil"/>
              <w:left w:val="nil"/>
              <w:bottom w:val="nil"/>
              <w:right w:val="nil"/>
            </w:tcBorders>
          </w:tcPr>
          <w:p>
            <w:pPr>
              <w:pStyle w:val="TableParagraph"/>
              <w:spacing w:before="9"/>
              <w:rPr>
                <w:b/>
                <w:sz w:val="20"/>
              </w:rPr>
            </w:pPr>
          </w:p>
          <w:p>
            <w:pPr>
              <w:pStyle w:val="TableParagraph"/>
              <w:ind w:left="108"/>
              <w:rPr>
                <w:sz w:val="21"/>
              </w:rPr>
            </w:pPr>
            <w:r>
              <w:rPr>
                <w:w w:val="102"/>
                <w:sz w:val="21"/>
              </w:rPr>
              <w:t>1</w:t>
            </w:r>
          </w:p>
        </w:tc>
      </w:tr>
      <w:tr>
        <w:trPr>
          <w:trHeight w:val="1121" w:hRule="exact"/>
        </w:trPr>
        <w:tc>
          <w:tcPr>
            <w:tcW w:w="1652" w:type="dxa"/>
            <w:tcBorders>
              <w:top w:val="nil"/>
              <w:left w:val="nil"/>
              <w:bottom w:val="single" w:sz="12" w:space="0" w:color="000000"/>
              <w:right w:val="nil"/>
            </w:tcBorders>
          </w:tcPr>
          <w:p>
            <w:pPr>
              <w:pStyle w:val="TableParagraph"/>
              <w:rPr>
                <w:b/>
                <w:sz w:val="22"/>
              </w:rPr>
            </w:pPr>
          </w:p>
          <w:p>
            <w:pPr>
              <w:pStyle w:val="TableParagraph"/>
              <w:spacing w:before="8"/>
              <w:rPr>
                <w:b/>
                <w:sz w:val="30"/>
              </w:rPr>
            </w:pPr>
          </w:p>
          <w:p>
            <w:pPr>
              <w:pStyle w:val="TableParagraph"/>
              <w:spacing w:before="1"/>
              <w:ind w:left="71"/>
              <w:rPr>
                <w:sz w:val="21"/>
              </w:rPr>
            </w:pPr>
            <w:r>
              <w:rPr>
                <w:w w:val="105"/>
                <w:sz w:val="21"/>
              </w:rPr>
              <w:t>TOTAL</w:t>
            </w:r>
          </w:p>
        </w:tc>
        <w:tc>
          <w:tcPr>
            <w:tcW w:w="901" w:type="dxa"/>
            <w:tcBorders>
              <w:top w:val="nil"/>
              <w:left w:val="nil"/>
              <w:bottom w:val="single" w:sz="12" w:space="0" w:color="000000"/>
            </w:tcBorders>
          </w:tcPr>
          <w:p>
            <w:pPr>
              <w:pStyle w:val="TableParagraph"/>
              <w:rPr>
                <w:b/>
                <w:sz w:val="22"/>
              </w:rPr>
            </w:pPr>
          </w:p>
          <w:p>
            <w:pPr>
              <w:pStyle w:val="TableParagraph"/>
              <w:spacing w:before="8"/>
              <w:rPr>
                <w:b/>
                <w:sz w:val="30"/>
              </w:rPr>
            </w:pPr>
          </w:p>
          <w:p>
            <w:pPr>
              <w:pStyle w:val="TableParagraph"/>
              <w:spacing w:before="1"/>
              <w:ind w:left="286"/>
              <w:rPr>
                <w:sz w:val="21"/>
              </w:rPr>
            </w:pPr>
            <w:r>
              <w:rPr>
                <w:w w:val="105"/>
                <w:sz w:val="21"/>
              </w:rPr>
              <w:t>136</w:t>
            </w:r>
          </w:p>
        </w:tc>
        <w:tc>
          <w:tcPr>
            <w:tcW w:w="459" w:type="dxa"/>
            <w:tcBorders>
              <w:top w:val="nil"/>
              <w:bottom w:val="single" w:sz="12" w:space="0" w:color="000000"/>
              <w:right w:val="nil"/>
            </w:tcBorders>
          </w:tcPr>
          <w:p>
            <w:pPr>
              <w:pStyle w:val="TableParagraph"/>
              <w:rPr>
                <w:b/>
                <w:sz w:val="22"/>
              </w:rPr>
            </w:pPr>
          </w:p>
          <w:p>
            <w:pPr>
              <w:pStyle w:val="TableParagraph"/>
              <w:spacing w:before="8"/>
              <w:rPr>
                <w:b/>
                <w:sz w:val="30"/>
              </w:rPr>
            </w:pPr>
          </w:p>
          <w:p>
            <w:pPr>
              <w:pStyle w:val="TableParagraph"/>
              <w:spacing w:before="1"/>
              <w:ind w:left="67"/>
              <w:rPr>
                <w:sz w:val="21"/>
              </w:rPr>
            </w:pPr>
            <w:r>
              <w:rPr>
                <w:w w:val="105"/>
                <w:sz w:val="21"/>
              </w:rPr>
              <w:t>25</w:t>
            </w:r>
          </w:p>
        </w:tc>
        <w:tc>
          <w:tcPr>
            <w:tcW w:w="444" w:type="dxa"/>
            <w:tcBorders>
              <w:top w:val="nil"/>
              <w:left w:val="nil"/>
              <w:bottom w:val="single" w:sz="12" w:space="0" w:color="000000"/>
              <w:right w:val="nil"/>
            </w:tcBorders>
          </w:tcPr>
          <w:p>
            <w:pPr>
              <w:pStyle w:val="TableParagraph"/>
              <w:rPr>
                <w:b/>
                <w:sz w:val="22"/>
              </w:rPr>
            </w:pPr>
          </w:p>
          <w:p>
            <w:pPr>
              <w:pStyle w:val="TableParagraph"/>
              <w:spacing w:before="8"/>
              <w:rPr>
                <w:b/>
                <w:sz w:val="30"/>
              </w:rPr>
            </w:pPr>
          </w:p>
          <w:p>
            <w:pPr>
              <w:pStyle w:val="TableParagraph"/>
              <w:spacing w:before="1"/>
              <w:ind w:left="83"/>
              <w:rPr>
                <w:sz w:val="21"/>
              </w:rPr>
            </w:pPr>
            <w:r>
              <w:rPr>
                <w:w w:val="105"/>
                <w:sz w:val="21"/>
              </w:rPr>
              <w:t>44</w:t>
            </w:r>
          </w:p>
        </w:tc>
        <w:tc>
          <w:tcPr>
            <w:tcW w:w="418" w:type="dxa"/>
            <w:tcBorders>
              <w:top w:val="nil"/>
              <w:left w:val="nil"/>
              <w:bottom w:val="single" w:sz="12" w:space="0" w:color="000000"/>
            </w:tcBorders>
          </w:tcPr>
          <w:p>
            <w:pPr>
              <w:pStyle w:val="TableParagraph"/>
              <w:rPr>
                <w:b/>
                <w:sz w:val="22"/>
              </w:rPr>
            </w:pPr>
          </w:p>
          <w:p>
            <w:pPr>
              <w:pStyle w:val="TableParagraph"/>
              <w:spacing w:before="8"/>
              <w:rPr>
                <w:b/>
                <w:sz w:val="30"/>
              </w:rPr>
            </w:pPr>
          </w:p>
          <w:p>
            <w:pPr>
              <w:pStyle w:val="TableParagraph"/>
              <w:spacing w:before="1"/>
              <w:ind w:left="81"/>
              <w:rPr>
                <w:sz w:val="21"/>
              </w:rPr>
            </w:pPr>
            <w:r>
              <w:rPr>
                <w:w w:val="105"/>
                <w:sz w:val="21"/>
              </w:rPr>
              <w:t>67</w:t>
            </w:r>
          </w:p>
        </w:tc>
        <w:tc>
          <w:tcPr>
            <w:tcW w:w="1134" w:type="dxa"/>
            <w:tcBorders>
              <w:top w:val="nil"/>
              <w:bottom w:val="single" w:sz="12" w:space="0" w:color="000000"/>
              <w:right w:val="nil"/>
            </w:tcBorders>
          </w:tcPr>
          <w:p>
            <w:pPr>
              <w:pStyle w:val="TableParagraph"/>
              <w:rPr>
                <w:b/>
                <w:sz w:val="22"/>
              </w:rPr>
            </w:pPr>
          </w:p>
          <w:p>
            <w:pPr>
              <w:pStyle w:val="TableParagraph"/>
              <w:spacing w:before="8"/>
              <w:rPr>
                <w:b/>
                <w:sz w:val="30"/>
              </w:rPr>
            </w:pPr>
          </w:p>
          <w:p>
            <w:pPr>
              <w:pStyle w:val="TableParagraph"/>
              <w:spacing w:before="1"/>
              <w:ind w:left="67"/>
              <w:rPr>
                <w:sz w:val="21"/>
              </w:rPr>
            </w:pPr>
            <w:r>
              <w:rPr>
                <w:w w:val="105"/>
                <w:sz w:val="21"/>
              </w:rPr>
              <w:t>31</w:t>
            </w:r>
          </w:p>
        </w:tc>
        <w:tc>
          <w:tcPr>
            <w:tcW w:w="1011" w:type="dxa"/>
            <w:tcBorders>
              <w:top w:val="nil"/>
              <w:left w:val="nil"/>
              <w:bottom w:val="single" w:sz="12" w:space="0" w:color="000000"/>
              <w:right w:val="nil"/>
            </w:tcBorders>
          </w:tcPr>
          <w:p>
            <w:pPr>
              <w:pStyle w:val="TableParagraph"/>
              <w:rPr>
                <w:b/>
                <w:sz w:val="22"/>
              </w:rPr>
            </w:pPr>
          </w:p>
          <w:p>
            <w:pPr>
              <w:pStyle w:val="TableParagraph"/>
              <w:spacing w:before="8"/>
              <w:rPr>
                <w:b/>
                <w:sz w:val="30"/>
              </w:rPr>
            </w:pPr>
          </w:p>
          <w:p>
            <w:pPr>
              <w:pStyle w:val="TableParagraph"/>
              <w:spacing w:before="1"/>
              <w:ind w:left="99"/>
              <w:rPr>
                <w:sz w:val="21"/>
              </w:rPr>
            </w:pPr>
            <w:r>
              <w:rPr>
                <w:w w:val="105"/>
                <w:sz w:val="21"/>
              </w:rPr>
              <w:t>50</w:t>
            </w:r>
          </w:p>
        </w:tc>
        <w:tc>
          <w:tcPr>
            <w:tcW w:w="794" w:type="dxa"/>
            <w:tcBorders>
              <w:top w:val="nil"/>
              <w:left w:val="nil"/>
              <w:bottom w:val="single" w:sz="12" w:space="0" w:color="000000"/>
              <w:right w:val="nil"/>
            </w:tcBorders>
          </w:tcPr>
          <w:p>
            <w:pPr>
              <w:pStyle w:val="TableParagraph"/>
              <w:rPr>
                <w:b/>
                <w:sz w:val="22"/>
              </w:rPr>
            </w:pPr>
          </w:p>
          <w:p>
            <w:pPr>
              <w:pStyle w:val="TableParagraph"/>
              <w:spacing w:before="8"/>
              <w:rPr>
                <w:b/>
                <w:sz w:val="30"/>
              </w:rPr>
            </w:pPr>
          </w:p>
          <w:p>
            <w:pPr>
              <w:pStyle w:val="TableParagraph"/>
              <w:spacing w:before="1"/>
              <w:ind w:left="96"/>
              <w:rPr>
                <w:sz w:val="21"/>
              </w:rPr>
            </w:pPr>
            <w:r>
              <w:rPr>
                <w:w w:val="105"/>
                <w:sz w:val="21"/>
              </w:rPr>
              <w:t>21</w:t>
            </w:r>
          </w:p>
        </w:tc>
        <w:tc>
          <w:tcPr>
            <w:tcW w:w="1503" w:type="dxa"/>
            <w:tcBorders>
              <w:top w:val="nil"/>
              <w:left w:val="nil"/>
              <w:bottom w:val="single" w:sz="12" w:space="0" w:color="000000"/>
              <w:right w:val="nil"/>
            </w:tcBorders>
          </w:tcPr>
          <w:p>
            <w:pPr>
              <w:pStyle w:val="TableParagraph"/>
              <w:rPr>
                <w:b/>
                <w:sz w:val="22"/>
              </w:rPr>
            </w:pPr>
          </w:p>
          <w:p>
            <w:pPr>
              <w:pStyle w:val="TableParagraph"/>
              <w:spacing w:before="8"/>
              <w:rPr>
                <w:b/>
                <w:sz w:val="30"/>
              </w:rPr>
            </w:pPr>
          </w:p>
          <w:p>
            <w:pPr>
              <w:pStyle w:val="TableParagraph"/>
              <w:spacing w:before="1"/>
              <w:ind w:left="89"/>
              <w:rPr>
                <w:sz w:val="21"/>
              </w:rPr>
            </w:pPr>
            <w:r>
              <w:rPr>
                <w:w w:val="105"/>
                <w:sz w:val="21"/>
              </w:rPr>
              <w:t>20</w:t>
            </w:r>
          </w:p>
        </w:tc>
        <w:tc>
          <w:tcPr>
            <w:tcW w:w="944" w:type="dxa"/>
            <w:tcBorders>
              <w:top w:val="nil"/>
              <w:left w:val="nil"/>
              <w:bottom w:val="single" w:sz="12" w:space="0" w:color="000000"/>
              <w:right w:val="nil"/>
            </w:tcBorders>
          </w:tcPr>
          <w:p>
            <w:pPr>
              <w:pStyle w:val="TableParagraph"/>
              <w:rPr>
                <w:b/>
                <w:sz w:val="22"/>
              </w:rPr>
            </w:pPr>
          </w:p>
          <w:p>
            <w:pPr>
              <w:pStyle w:val="TableParagraph"/>
              <w:spacing w:before="8"/>
              <w:rPr>
                <w:b/>
                <w:sz w:val="30"/>
              </w:rPr>
            </w:pPr>
          </w:p>
          <w:p>
            <w:pPr>
              <w:pStyle w:val="TableParagraph"/>
              <w:spacing w:before="1"/>
              <w:ind w:left="108"/>
              <w:rPr>
                <w:sz w:val="21"/>
              </w:rPr>
            </w:pPr>
            <w:r>
              <w:rPr>
                <w:w w:val="105"/>
                <w:sz w:val="21"/>
              </w:rPr>
              <w:t>14</w:t>
            </w:r>
          </w:p>
        </w:tc>
      </w:tr>
    </w:tbl>
    <w:p>
      <w:pPr>
        <w:tabs>
          <w:tab w:pos="3681" w:val="left" w:leader="none"/>
          <w:tab w:pos="7193" w:val="left" w:leader="none"/>
        </w:tabs>
        <w:spacing w:before="9"/>
        <w:ind w:left="201" w:right="0" w:firstLine="0"/>
        <w:jc w:val="left"/>
        <w:rPr>
          <w:sz w:val="21"/>
        </w:rPr>
      </w:pPr>
      <w:r>
        <w:rPr>
          <w:b/>
          <w:w w:val="105"/>
          <w:sz w:val="21"/>
        </w:rPr>
        <w:t>PU:CU=</w:t>
        <w:tab/>
      </w:r>
      <w:r>
        <w:rPr>
          <w:w w:val="105"/>
          <w:sz w:val="21"/>
        </w:rPr>
        <w:t>Relación</w:t>
        <w:tab/>
        <w:t>proteinuria:creatinuria</w:t>
      </w:r>
    </w:p>
    <w:p>
      <w:pPr>
        <w:pStyle w:val="BodyText"/>
        <w:spacing w:before="9"/>
        <w:rPr>
          <w:sz w:val="22"/>
        </w:rPr>
      </w:pPr>
    </w:p>
    <w:p>
      <w:pPr>
        <w:spacing w:before="0"/>
        <w:ind w:left="201" w:right="0" w:firstLine="0"/>
        <w:jc w:val="left"/>
        <w:rPr>
          <w:sz w:val="21"/>
        </w:rPr>
      </w:pPr>
      <w:r>
        <w:rPr>
          <w:b/>
          <w:w w:val="105"/>
          <w:sz w:val="21"/>
        </w:rPr>
        <w:t>NP= </w:t>
      </w:r>
      <w:r>
        <w:rPr>
          <w:w w:val="105"/>
          <w:sz w:val="21"/>
        </w:rPr>
        <w:t>No proteinúrico </w:t>
      </w:r>
      <w:r>
        <w:rPr>
          <w:b/>
          <w:w w:val="105"/>
          <w:sz w:val="21"/>
        </w:rPr>
        <w:t>LP= </w:t>
      </w:r>
      <w:r>
        <w:rPr>
          <w:w w:val="105"/>
          <w:sz w:val="21"/>
        </w:rPr>
        <w:t>Límite proteinúrico P= Proteinúrico</w:t>
      </w:r>
    </w:p>
    <w:p>
      <w:pPr>
        <w:pStyle w:val="BodyText"/>
        <w:spacing w:before="5"/>
        <w:rPr>
          <w:sz w:val="19"/>
        </w:rPr>
      </w:pPr>
      <w:r>
        <w:rPr/>
        <w:pict>
          <v:line style="position:absolute;mso-position-horizontal-relative:page;mso-position-vertical-relative:paragraph;z-index:1312;mso-wrap-distance-left:0;mso-wrap-distance-right:0" from="86.772987pt,13.854903pt" to="550.452997pt,13.854903pt" stroked="true" strokeweight="1.44pt" strokecolor="#000000">
            <w10:wrap type="topAndBottom"/>
          </v:line>
        </w:pict>
      </w:r>
    </w:p>
    <w:p>
      <w:pPr>
        <w:spacing w:after="0"/>
        <w:rPr>
          <w:sz w:val="19"/>
        </w:rPr>
        <w:sectPr>
          <w:pgSz w:w="12240" w:h="15840"/>
          <w:pgMar w:header="742" w:footer="748" w:top="980" w:bottom="940" w:left="1620" w:right="18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7"/>
      </w:pPr>
    </w:p>
    <w:p>
      <w:pPr>
        <w:spacing w:before="78"/>
        <w:ind w:left="184" w:right="0" w:firstLine="0"/>
        <w:jc w:val="left"/>
        <w:rPr>
          <w:b/>
          <w:sz w:val="21"/>
        </w:rPr>
      </w:pPr>
      <w:r>
        <w:rPr>
          <w:b/>
          <w:w w:val="105"/>
          <w:sz w:val="21"/>
        </w:rPr>
        <w:t>Tabla 5. Distribución de los factores de riesgo en la población estudiada.</w:t>
      </w:r>
    </w:p>
    <w:p>
      <w:pPr>
        <w:pStyle w:val="BodyText"/>
        <w:spacing w:before="3"/>
        <w:rPr>
          <w:b/>
          <w:sz w:val="23"/>
        </w:rPr>
      </w:pPr>
    </w:p>
    <w:tbl>
      <w:tblPr>
        <w:tblW w:w="0" w:type="auto"/>
        <w:jc w:val="left"/>
        <w:tblInd w:w="11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665"/>
        <w:gridCol w:w="1857"/>
        <w:gridCol w:w="1858"/>
        <w:gridCol w:w="967"/>
        <w:gridCol w:w="1703"/>
        <w:gridCol w:w="619"/>
        <w:gridCol w:w="772"/>
      </w:tblGrid>
      <w:tr>
        <w:trPr>
          <w:trHeight w:val="715" w:hRule="exact"/>
        </w:trPr>
        <w:tc>
          <w:tcPr>
            <w:tcW w:w="1665" w:type="dxa"/>
            <w:tcBorders>
              <w:left w:val="nil"/>
              <w:right w:val="nil"/>
            </w:tcBorders>
          </w:tcPr>
          <w:p>
            <w:pPr/>
          </w:p>
        </w:tc>
        <w:tc>
          <w:tcPr>
            <w:tcW w:w="1857" w:type="dxa"/>
            <w:tcBorders>
              <w:left w:val="nil"/>
              <w:right w:val="nil"/>
            </w:tcBorders>
          </w:tcPr>
          <w:p>
            <w:pPr>
              <w:pStyle w:val="TableParagraph"/>
              <w:spacing w:before="105"/>
              <w:ind w:left="115"/>
              <w:rPr>
                <w:b/>
                <w:sz w:val="21"/>
              </w:rPr>
            </w:pPr>
            <w:r>
              <w:rPr>
                <w:b/>
                <w:w w:val="105"/>
                <w:sz w:val="21"/>
              </w:rPr>
              <w:t>ERC</w:t>
            </w:r>
          </w:p>
        </w:tc>
        <w:tc>
          <w:tcPr>
            <w:tcW w:w="1858" w:type="dxa"/>
            <w:tcBorders>
              <w:left w:val="nil"/>
              <w:right w:val="nil"/>
            </w:tcBorders>
          </w:tcPr>
          <w:p>
            <w:pPr>
              <w:pStyle w:val="TableParagraph"/>
              <w:spacing w:before="105"/>
              <w:ind w:left="116"/>
              <w:rPr>
                <w:b/>
                <w:sz w:val="21"/>
              </w:rPr>
            </w:pPr>
            <w:r>
              <w:rPr>
                <w:b/>
                <w:w w:val="105"/>
                <w:sz w:val="21"/>
              </w:rPr>
              <w:t>NO ERC</w:t>
            </w:r>
          </w:p>
        </w:tc>
        <w:tc>
          <w:tcPr>
            <w:tcW w:w="967" w:type="dxa"/>
            <w:tcBorders>
              <w:left w:val="nil"/>
              <w:right w:val="nil"/>
            </w:tcBorders>
          </w:tcPr>
          <w:p>
            <w:pPr>
              <w:pStyle w:val="TableParagraph"/>
              <w:spacing w:before="105"/>
              <w:ind w:left="116"/>
              <w:rPr>
                <w:b/>
                <w:sz w:val="21"/>
              </w:rPr>
            </w:pPr>
            <w:r>
              <w:rPr>
                <w:b/>
                <w:w w:val="105"/>
                <w:sz w:val="21"/>
              </w:rPr>
              <w:t>OR</w:t>
            </w:r>
          </w:p>
        </w:tc>
        <w:tc>
          <w:tcPr>
            <w:tcW w:w="1703" w:type="dxa"/>
            <w:tcBorders>
              <w:left w:val="nil"/>
              <w:right w:val="nil"/>
            </w:tcBorders>
          </w:tcPr>
          <w:p>
            <w:pPr>
              <w:pStyle w:val="TableParagraph"/>
              <w:spacing w:before="105"/>
              <w:ind w:left="300"/>
              <w:rPr>
                <w:b/>
                <w:sz w:val="21"/>
              </w:rPr>
            </w:pPr>
            <w:r>
              <w:rPr>
                <w:b/>
                <w:w w:val="105"/>
                <w:sz w:val="21"/>
              </w:rPr>
              <w:t>Intervalo</w:t>
            </w:r>
          </w:p>
        </w:tc>
        <w:tc>
          <w:tcPr>
            <w:tcW w:w="619" w:type="dxa"/>
            <w:tcBorders>
              <w:left w:val="nil"/>
              <w:right w:val="nil"/>
            </w:tcBorders>
          </w:tcPr>
          <w:p>
            <w:pPr>
              <w:pStyle w:val="TableParagraph"/>
              <w:spacing w:before="105"/>
              <w:ind w:left="105"/>
              <w:rPr>
                <w:b/>
                <w:sz w:val="21"/>
              </w:rPr>
            </w:pPr>
            <w:r>
              <w:rPr>
                <w:b/>
                <w:w w:val="105"/>
                <w:sz w:val="21"/>
              </w:rPr>
              <w:t>x2</w:t>
            </w:r>
          </w:p>
        </w:tc>
        <w:tc>
          <w:tcPr>
            <w:tcW w:w="772" w:type="dxa"/>
            <w:tcBorders>
              <w:left w:val="nil"/>
              <w:right w:val="nil"/>
            </w:tcBorders>
          </w:tcPr>
          <w:p>
            <w:pPr>
              <w:pStyle w:val="TableParagraph"/>
              <w:spacing w:before="105"/>
              <w:ind w:left="85"/>
              <w:rPr>
                <w:b/>
                <w:sz w:val="21"/>
              </w:rPr>
            </w:pPr>
            <w:r>
              <w:rPr>
                <w:b/>
                <w:w w:val="102"/>
                <w:sz w:val="21"/>
              </w:rPr>
              <w:t>P</w:t>
            </w:r>
          </w:p>
        </w:tc>
      </w:tr>
      <w:tr>
        <w:trPr>
          <w:trHeight w:val="391" w:hRule="exact"/>
        </w:trPr>
        <w:tc>
          <w:tcPr>
            <w:tcW w:w="1665" w:type="dxa"/>
            <w:tcBorders>
              <w:left w:val="nil"/>
              <w:bottom w:val="nil"/>
              <w:right w:val="nil"/>
            </w:tcBorders>
          </w:tcPr>
          <w:p>
            <w:pPr>
              <w:pStyle w:val="TableParagraph"/>
              <w:spacing w:before="4"/>
              <w:ind w:left="72"/>
              <w:rPr>
                <w:sz w:val="21"/>
              </w:rPr>
            </w:pPr>
            <w:r>
              <w:rPr>
                <w:w w:val="105"/>
                <w:sz w:val="21"/>
              </w:rPr>
              <w:t>Proceso</w:t>
            </w:r>
          </w:p>
        </w:tc>
        <w:tc>
          <w:tcPr>
            <w:tcW w:w="1857" w:type="dxa"/>
            <w:tcBorders>
              <w:left w:val="nil"/>
              <w:bottom w:val="nil"/>
              <w:right w:val="nil"/>
            </w:tcBorders>
          </w:tcPr>
          <w:p>
            <w:pPr/>
          </w:p>
        </w:tc>
        <w:tc>
          <w:tcPr>
            <w:tcW w:w="1858" w:type="dxa"/>
            <w:tcBorders>
              <w:left w:val="nil"/>
              <w:bottom w:val="nil"/>
              <w:right w:val="nil"/>
            </w:tcBorders>
          </w:tcPr>
          <w:p>
            <w:pPr/>
          </w:p>
        </w:tc>
        <w:tc>
          <w:tcPr>
            <w:tcW w:w="967" w:type="dxa"/>
            <w:tcBorders>
              <w:left w:val="nil"/>
              <w:bottom w:val="nil"/>
              <w:right w:val="nil"/>
            </w:tcBorders>
          </w:tcPr>
          <w:p>
            <w:pPr/>
          </w:p>
        </w:tc>
        <w:tc>
          <w:tcPr>
            <w:tcW w:w="1703" w:type="dxa"/>
            <w:tcBorders>
              <w:left w:val="nil"/>
              <w:bottom w:val="nil"/>
              <w:right w:val="nil"/>
            </w:tcBorders>
          </w:tcPr>
          <w:p>
            <w:pPr/>
          </w:p>
        </w:tc>
        <w:tc>
          <w:tcPr>
            <w:tcW w:w="619" w:type="dxa"/>
            <w:tcBorders>
              <w:left w:val="nil"/>
              <w:bottom w:val="nil"/>
              <w:right w:val="nil"/>
            </w:tcBorders>
          </w:tcPr>
          <w:p>
            <w:pPr/>
          </w:p>
        </w:tc>
        <w:tc>
          <w:tcPr>
            <w:tcW w:w="772" w:type="dxa"/>
            <w:tcBorders>
              <w:left w:val="nil"/>
              <w:bottom w:val="nil"/>
              <w:right w:val="nil"/>
            </w:tcBorders>
          </w:tcPr>
          <w:p>
            <w:pPr/>
          </w:p>
        </w:tc>
      </w:tr>
      <w:tr>
        <w:trPr>
          <w:trHeight w:val="506" w:hRule="exact"/>
        </w:trPr>
        <w:tc>
          <w:tcPr>
            <w:tcW w:w="1665" w:type="dxa"/>
            <w:tcBorders>
              <w:top w:val="nil"/>
              <w:left w:val="nil"/>
              <w:bottom w:val="nil"/>
              <w:right w:val="nil"/>
            </w:tcBorders>
          </w:tcPr>
          <w:p>
            <w:pPr>
              <w:pStyle w:val="TableParagraph"/>
              <w:spacing w:before="122"/>
              <w:ind w:left="72"/>
              <w:rPr>
                <w:sz w:val="21"/>
              </w:rPr>
            </w:pPr>
            <w:r>
              <w:rPr>
                <w:w w:val="105"/>
                <w:sz w:val="21"/>
              </w:rPr>
              <w:t>inflamatorio</w:t>
            </w:r>
          </w:p>
        </w:tc>
        <w:tc>
          <w:tcPr>
            <w:tcW w:w="1857" w:type="dxa"/>
            <w:tcBorders>
              <w:top w:val="nil"/>
              <w:left w:val="nil"/>
              <w:bottom w:val="nil"/>
              <w:right w:val="nil"/>
            </w:tcBorders>
          </w:tcPr>
          <w:p>
            <w:pPr>
              <w:pStyle w:val="TableParagraph"/>
              <w:spacing w:before="122"/>
              <w:ind w:left="115"/>
              <w:rPr>
                <w:sz w:val="21"/>
              </w:rPr>
            </w:pPr>
            <w:r>
              <w:rPr>
                <w:w w:val="105"/>
                <w:sz w:val="21"/>
              </w:rPr>
              <w:t>76/148 (51.35%)</w:t>
            </w:r>
          </w:p>
        </w:tc>
        <w:tc>
          <w:tcPr>
            <w:tcW w:w="1858" w:type="dxa"/>
            <w:tcBorders>
              <w:top w:val="nil"/>
              <w:left w:val="nil"/>
              <w:bottom w:val="nil"/>
              <w:right w:val="nil"/>
            </w:tcBorders>
          </w:tcPr>
          <w:p>
            <w:pPr>
              <w:pStyle w:val="TableParagraph"/>
              <w:spacing w:before="122"/>
              <w:ind w:left="116"/>
              <w:rPr>
                <w:sz w:val="21"/>
              </w:rPr>
            </w:pPr>
            <w:r>
              <w:rPr>
                <w:w w:val="105"/>
                <w:sz w:val="21"/>
              </w:rPr>
              <w:t>72/148 (48.64%)</w:t>
            </w:r>
          </w:p>
        </w:tc>
        <w:tc>
          <w:tcPr>
            <w:tcW w:w="967" w:type="dxa"/>
            <w:tcBorders>
              <w:top w:val="nil"/>
              <w:left w:val="nil"/>
              <w:bottom w:val="nil"/>
              <w:right w:val="nil"/>
            </w:tcBorders>
          </w:tcPr>
          <w:p>
            <w:pPr>
              <w:pStyle w:val="TableParagraph"/>
              <w:spacing w:before="122"/>
              <w:ind w:left="116"/>
              <w:rPr>
                <w:sz w:val="21"/>
              </w:rPr>
            </w:pPr>
            <w:r>
              <w:rPr>
                <w:w w:val="105"/>
                <w:sz w:val="21"/>
              </w:rPr>
              <w:t>1.29</w:t>
            </w:r>
          </w:p>
        </w:tc>
        <w:tc>
          <w:tcPr>
            <w:tcW w:w="1703" w:type="dxa"/>
            <w:tcBorders>
              <w:top w:val="nil"/>
              <w:left w:val="nil"/>
              <w:bottom w:val="nil"/>
              <w:right w:val="nil"/>
            </w:tcBorders>
          </w:tcPr>
          <w:p>
            <w:pPr>
              <w:pStyle w:val="TableParagraph"/>
              <w:spacing w:before="122"/>
              <w:ind w:left="300"/>
              <w:rPr>
                <w:sz w:val="21"/>
              </w:rPr>
            </w:pPr>
            <w:r>
              <w:rPr>
                <w:w w:val="105"/>
                <w:sz w:val="21"/>
              </w:rPr>
              <w:t>0.812-2.051</w:t>
            </w:r>
          </w:p>
        </w:tc>
        <w:tc>
          <w:tcPr>
            <w:tcW w:w="619" w:type="dxa"/>
            <w:tcBorders>
              <w:top w:val="nil"/>
              <w:left w:val="nil"/>
              <w:bottom w:val="nil"/>
              <w:right w:val="nil"/>
            </w:tcBorders>
          </w:tcPr>
          <w:p>
            <w:pPr>
              <w:pStyle w:val="TableParagraph"/>
              <w:spacing w:before="122"/>
              <w:ind w:left="105"/>
              <w:rPr>
                <w:sz w:val="21"/>
              </w:rPr>
            </w:pPr>
            <w:r>
              <w:rPr>
                <w:w w:val="105"/>
                <w:sz w:val="21"/>
              </w:rPr>
              <w:t>1.16</w:t>
            </w:r>
          </w:p>
        </w:tc>
        <w:tc>
          <w:tcPr>
            <w:tcW w:w="772" w:type="dxa"/>
            <w:tcBorders>
              <w:top w:val="nil"/>
              <w:left w:val="nil"/>
              <w:bottom w:val="nil"/>
              <w:right w:val="nil"/>
            </w:tcBorders>
          </w:tcPr>
          <w:p>
            <w:pPr>
              <w:pStyle w:val="TableParagraph"/>
              <w:spacing w:before="122"/>
              <w:ind w:left="85"/>
              <w:rPr>
                <w:sz w:val="21"/>
              </w:rPr>
            </w:pPr>
            <w:r>
              <w:rPr>
                <w:w w:val="105"/>
                <w:sz w:val="21"/>
              </w:rPr>
              <w:t>0.28</w:t>
            </w:r>
          </w:p>
        </w:tc>
      </w:tr>
      <w:tr>
        <w:trPr>
          <w:trHeight w:val="557" w:hRule="exact"/>
        </w:trPr>
        <w:tc>
          <w:tcPr>
            <w:tcW w:w="1665" w:type="dxa"/>
            <w:tcBorders>
              <w:top w:val="nil"/>
              <w:left w:val="nil"/>
              <w:bottom w:val="nil"/>
              <w:right w:val="nil"/>
            </w:tcBorders>
          </w:tcPr>
          <w:p>
            <w:pPr>
              <w:pStyle w:val="TableParagraph"/>
              <w:spacing w:before="124"/>
              <w:ind w:left="72"/>
              <w:rPr>
                <w:sz w:val="21"/>
              </w:rPr>
            </w:pPr>
            <w:r>
              <w:rPr>
                <w:w w:val="105"/>
                <w:sz w:val="21"/>
              </w:rPr>
              <w:t>crónico</w:t>
            </w:r>
          </w:p>
        </w:tc>
        <w:tc>
          <w:tcPr>
            <w:tcW w:w="1857" w:type="dxa"/>
            <w:tcBorders>
              <w:top w:val="nil"/>
              <w:left w:val="nil"/>
              <w:bottom w:val="nil"/>
              <w:right w:val="nil"/>
            </w:tcBorders>
          </w:tcPr>
          <w:p>
            <w:pPr/>
          </w:p>
        </w:tc>
        <w:tc>
          <w:tcPr>
            <w:tcW w:w="1858" w:type="dxa"/>
            <w:tcBorders>
              <w:top w:val="nil"/>
              <w:left w:val="nil"/>
              <w:bottom w:val="nil"/>
              <w:right w:val="nil"/>
            </w:tcBorders>
          </w:tcPr>
          <w:p>
            <w:pPr/>
          </w:p>
        </w:tc>
        <w:tc>
          <w:tcPr>
            <w:tcW w:w="967" w:type="dxa"/>
            <w:tcBorders>
              <w:top w:val="nil"/>
              <w:left w:val="nil"/>
              <w:bottom w:val="nil"/>
              <w:right w:val="nil"/>
            </w:tcBorders>
          </w:tcPr>
          <w:p>
            <w:pPr/>
          </w:p>
        </w:tc>
        <w:tc>
          <w:tcPr>
            <w:tcW w:w="1703" w:type="dxa"/>
            <w:tcBorders>
              <w:top w:val="nil"/>
              <w:left w:val="nil"/>
              <w:bottom w:val="nil"/>
              <w:right w:val="nil"/>
            </w:tcBorders>
          </w:tcPr>
          <w:p>
            <w:pPr/>
          </w:p>
        </w:tc>
        <w:tc>
          <w:tcPr>
            <w:tcW w:w="619" w:type="dxa"/>
            <w:tcBorders>
              <w:top w:val="nil"/>
              <w:left w:val="nil"/>
              <w:bottom w:val="nil"/>
              <w:right w:val="nil"/>
            </w:tcBorders>
          </w:tcPr>
          <w:p>
            <w:pPr/>
          </w:p>
        </w:tc>
        <w:tc>
          <w:tcPr>
            <w:tcW w:w="772" w:type="dxa"/>
            <w:tcBorders>
              <w:top w:val="nil"/>
              <w:left w:val="nil"/>
              <w:bottom w:val="nil"/>
              <w:right w:val="nil"/>
            </w:tcBorders>
          </w:tcPr>
          <w:p>
            <w:pPr/>
          </w:p>
        </w:tc>
      </w:tr>
      <w:tr>
        <w:trPr>
          <w:trHeight w:val="655" w:hRule="exact"/>
        </w:trPr>
        <w:tc>
          <w:tcPr>
            <w:tcW w:w="1665" w:type="dxa"/>
            <w:tcBorders>
              <w:top w:val="nil"/>
              <w:left w:val="nil"/>
              <w:bottom w:val="nil"/>
              <w:right w:val="nil"/>
            </w:tcBorders>
          </w:tcPr>
          <w:p>
            <w:pPr>
              <w:pStyle w:val="TableParagraph"/>
              <w:spacing w:before="172"/>
              <w:ind w:left="72"/>
              <w:rPr>
                <w:sz w:val="21"/>
              </w:rPr>
            </w:pPr>
            <w:r>
              <w:rPr>
                <w:w w:val="105"/>
                <w:sz w:val="21"/>
              </w:rPr>
              <w:t>Neoplasias</w:t>
            </w:r>
          </w:p>
        </w:tc>
        <w:tc>
          <w:tcPr>
            <w:tcW w:w="1857" w:type="dxa"/>
            <w:tcBorders>
              <w:top w:val="nil"/>
              <w:left w:val="nil"/>
              <w:bottom w:val="nil"/>
              <w:right w:val="nil"/>
            </w:tcBorders>
          </w:tcPr>
          <w:p>
            <w:pPr>
              <w:pStyle w:val="TableParagraph"/>
              <w:spacing w:before="172"/>
              <w:ind w:left="115"/>
              <w:rPr>
                <w:sz w:val="21"/>
              </w:rPr>
            </w:pPr>
            <w:r>
              <w:rPr>
                <w:w w:val="105"/>
                <w:sz w:val="21"/>
              </w:rPr>
              <w:t>40/103 (38.83%)</w:t>
            </w:r>
          </w:p>
        </w:tc>
        <w:tc>
          <w:tcPr>
            <w:tcW w:w="1858" w:type="dxa"/>
            <w:tcBorders>
              <w:top w:val="nil"/>
              <w:left w:val="nil"/>
              <w:bottom w:val="nil"/>
              <w:right w:val="nil"/>
            </w:tcBorders>
          </w:tcPr>
          <w:p>
            <w:pPr>
              <w:pStyle w:val="TableParagraph"/>
              <w:spacing w:before="172"/>
              <w:ind w:left="116"/>
              <w:rPr>
                <w:sz w:val="21"/>
              </w:rPr>
            </w:pPr>
            <w:r>
              <w:rPr>
                <w:w w:val="105"/>
                <w:sz w:val="21"/>
              </w:rPr>
              <w:t>63/103 (61.16%)</w:t>
            </w:r>
          </w:p>
        </w:tc>
        <w:tc>
          <w:tcPr>
            <w:tcW w:w="967" w:type="dxa"/>
            <w:tcBorders>
              <w:top w:val="nil"/>
              <w:left w:val="nil"/>
              <w:bottom w:val="nil"/>
              <w:right w:val="nil"/>
            </w:tcBorders>
          </w:tcPr>
          <w:p>
            <w:pPr>
              <w:pStyle w:val="TableParagraph"/>
              <w:spacing w:before="172"/>
              <w:ind w:left="116"/>
              <w:rPr>
                <w:sz w:val="21"/>
              </w:rPr>
            </w:pPr>
            <w:r>
              <w:rPr>
                <w:w w:val="105"/>
                <w:sz w:val="21"/>
              </w:rPr>
              <w:t>0.552</w:t>
            </w:r>
          </w:p>
        </w:tc>
        <w:tc>
          <w:tcPr>
            <w:tcW w:w="1703" w:type="dxa"/>
            <w:tcBorders>
              <w:top w:val="nil"/>
              <w:left w:val="nil"/>
              <w:bottom w:val="nil"/>
              <w:right w:val="nil"/>
            </w:tcBorders>
          </w:tcPr>
          <w:p>
            <w:pPr>
              <w:pStyle w:val="TableParagraph"/>
              <w:spacing w:before="172"/>
              <w:ind w:left="300"/>
              <w:rPr>
                <w:sz w:val="21"/>
              </w:rPr>
            </w:pPr>
            <w:r>
              <w:rPr>
                <w:w w:val="105"/>
                <w:sz w:val="21"/>
              </w:rPr>
              <w:t>0.338-0.901</w:t>
            </w:r>
          </w:p>
        </w:tc>
        <w:tc>
          <w:tcPr>
            <w:tcW w:w="619" w:type="dxa"/>
            <w:tcBorders>
              <w:top w:val="nil"/>
              <w:left w:val="nil"/>
              <w:bottom w:val="nil"/>
              <w:right w:val="nil"/>
            </w:tcBorders>
          </w:tcPr>
          <w:p>
            <w:pPr>
              <w:pStyle w:val="TableParagraph"/>
              <w:spacing w:before="172"/>
              <w:ind w:left="105"/>
              <w:rPr>
                <w:sz w:val="21"/>
              </w:rPr>
            </w:pPr>
            <w:r>
              <w:rPr>
                <w:w w:val="105"/>
                <w:sz w:val="21"/>
              </w:rPr>
              <w:t>5.71</w:t>
            </w:r>
          </w:p>
        </w:tc>
        <w:tc>
          <w:tcPr>
            <w:tcW w:w="772" w:type="dxa"/>
            <w:tcBorders>
              <w:top w:val="nil"/>
              <w:left w:val="nil"/>
              <w:bottom w:val="nil"/>
              <w:right w:val="nil"/>
            </w:tcBorders>
          </w:tcPr>
          <w:p>
            <w:pPr>
              <w:pStyle w:val="TableParagraph"/>
              <w:spacing w:before="172"/>
              <w:ind w:left="85"/>
              <w:rPr>
                <w:sz w:val="21"/>
              </w:rPr>
            </w:pPr>
            <w:r>
              <w:rPr>
                <w:w w:val="105"/>
                <w:sz w:val="21"/>
              </w:rPr>
              <w:t>0.02</w:t>
            </w:r>
          </w:p>
        </w:tc>
      </w:tr>
      <w:tr>
        <w:trPr>
          <w:trHeight w:val="706" w:hRule="exact"/>
        </w:trPr>
        <w:tc>
          <w:tcPr>
            <w:tcW w:w="1665" w:type="dxa"/>
            <w:tcBorders>
              <w:top w:val="nil"/>
              <w:left w:val="nil"/>
              <w:bottom w:val="nil"/>
              <w:right w:val="nil"/>
            </w:tcBorders>
          </w:tcPr>
          <w:p>
            <w:pPr>
              <w:pStyle w:val="TableParagraph"/>
              <w:spacing w:before="4"/>
              <w:rPr>
                <w:b/>
                <w:sz w:val="19"/>
              </w:rPr>
            </w:pPr>
          </w:p>
          <w:p>
            <w:pPr>
              <w:pStyle w:val="TableParagraph"/>
              <w:ind w:left="72"/>
              <w:rPr>
                <w:sz w:val="21"/>
              </w:rPr>
            </w:pPr>
            <w:r>
              <w:rPr>
                <w:w w:val="105"/>
                <w:sz w:val="21"/>
              </w:rPr>
              <w:t>Cardiopatía</w:t>
            </w:r>
          </w:p>
        </w:tc>
        <w:tc>
          <w:tcPr>
            <w:tcW w:w="1857" w:type="dxa"/>
            <w:tcBorders>
              <w:top w:val="nil"/>
              <w:left w:val="nil"/>
              <w:bottom w:val="nil"/>
              <w:right w:val="nil"/>
            </w:tcBorders>
          </w:tcPr>
          <w:p>
            <w:pPr>
              <w:pStyle w:val="TableParagraph"/>
              <w:spacing w:before="4"/>
              <w:rPr>
                <w:b/>
                <w:sz w:val="19"/>
              </w:rPr>
            </w:pPr>
          </w:p>
          <w:p>
            <w:pPr>
              <w:pStyle w:val="TableParagraph"/>
              <w:ind w:left="115"/>
              <w:rPr>
                <w:sz w:val="21"/>
              </w:rPr>
            </w:pPr>
            <w:r>
              <w:rPr>
                <w:w w:val="105"/>
                <w:sz w:val="21"/>
              </w:rPr>
              <w:t>31/47 (65.95%)</w:t>
            </w:r>
          </w:p>
        </w:tc>
        <w:tc>
          <w:tcPr>
            <w:tcW w:w="1858" w:type="dxa"/>
            <w:tcBorders>
              <w:top w:val="nil"/>
              <w:left w:val="nil"/>
              <w:bottom w:val="nil"/>
              <w:right w:val="nil"/>
            </w:tcBorders>
          </w:tcPr>
          <w:p>
            <w:pPr>
              <w:pStyle w:val="TableParagraph"/>
              <w:spacing w:before="4"/>
              <w:rPr>
                <w:b/>
                <w:sz w:val="19"/>
              </w:rPr>
            </w:pPr>
          </w:p>
          <w:p>
            <w:pPr>
              <w:pStyle w:val="TableParagraph"/>
              <w:ind w:left="116"/>
              <w:rPr>
                <w:sz w:val="21"/>
              </w:rPr>
            </w:pPr>
            <w:r>
              <w:rPr>
                <w:w w:val="105"/>
                <w:sz w:val="21"/>
              </w:rPr>
              <w:t>16/47 (34.05%)</w:t>
            </w:r>
          </w:p>
        </w:tc>
        <w:tc>
          <w:tcPr>
            <w:tcW w:w="967" w:type="dxa"/>
            <w:tcBorders>
              <w:top w:val="nil"/>
              <w:left w:val="nil"/>
              <w:bottom w:val="nil"/>
              <w:right w:val="nil"/>
            </w:tcBorders>
          </w:tcPr>
          <w:p>
            <w:pPr>
              <w:pStyle w:val="TableParagraph"/>
              <w:spacing w:before="4"/>
              <w:rPr>
                <w:b/>
                <w:sz w:val="19"/>
              </w:rPr>
            </w:pPr>
          </w:p>
          <w:p>
            <w:pPr>
              <w:pStyle w:val="TableParagraph"/>
              <w:ind w:left="116"/>
              <w:rPr>
                <w:sz w:val="21"/>
              </w:rPr>
            </w:pPr>
            <w:r>
              <w:rPr>
                <w:w w:val="105"/>
                <w:sz w:val="21"/>
              </w:rPr>
              <w:t>2.386</w:t>
            </w:r>
          </w:p>
        </w:tc>
        <w:tc>
          <w:tcPr>
            <w:tcW w:w="1703" w:type="dxa"/>
            <w:tcBorders>
              <w:top w:val="nil"/>
              <w:left w:val="nil"/>
              <w:bottom w:val="nil"/>
              <w:right w:val="nil"/>
            </w:tcBorders>
          </w:tcPr>
          <w:p>
            <w:pPr>
              <w:pStyle w:val="TableParagraph"/>
              <w:spacing w:before="4"/>
              <w:rPr>
                <w:b/>
                <w:sz w:val="19"/>
              </w:rPr>
            </w:pPr>
          </w:p>
          <w:p>
            <w:pPr>
              <w:pStyle w:val="TableParagraph"/>
              <w:ind w:left="300"/>
              <w:rPr>
                <w:sz w:val="21"/>
              </w:rPr>
            </w:pPr>
            <w:r>
              <w:rPr>
                <w:w w:val="105"/>
                <w:sz w:val="21"/>
              </w:rPr>
              <w:t>1.21-4.59</w:t>
            </w:r>
          </w:p>
        </w:tc>
        <w:tc>
          <w:tcPr>
            <w:tcW w:w="619" w:type="dxa"/>
            <w:tcBorders>
              <w:top w:val="nil"/>
              <w:left w:val="nil"/>
              <w:bottom w:val="nil"/>
              <w:right w:val="nil"/>
            </w:tcBorders>
          </w:tcPr>
          <w:p>
            <w:pPr>
              <w:pStyle w:val="TableParagraph"/>
              <w:spacing w:before="4"/>
              <w:rPr>
                <w:b/>
                <w:sz w:val="19"/>
              </w:rPr>
            </w:pPr>
          </w:p>
          <w:p>
            <w:pPr>
              <w:pStyle w:val="TableParagraph"/>
              <w:ind w:left="105"/>
              <w:rPr>
                <w:sz w:val="21"/>
              </w:rPr>
            </w:pPr>
            <w:r>
              <w:rPr>
                <w:w w:val="105"/>
                <w:sz w:val="21"/>
              </w:rPr>
              <w:t>7.04</w:t>
            </w:r>
          </w:p>
        </w:tc>
        <w:tc>
          <w:tcPr>
            <w:tcW w:w="772" w:type="dxa"/>
            <w:tcBorders>
              <w:top w:val="nil"/>
              <w:left w:val="nil"/>
              <w:bottom w:val="nil"/>
              <w:right w:val="nil"/>
            </w:tcBorders>
          </w:tcPr>
          <w:p>
            <w:pPr>
              <w:pStyle w:val="TableParagraph"/>
              <w:spacing w:before="4"/>
              <w:rPr>
                <w:b/>
                <w:sz w:val="19"/>
              </w:rPr>
            </w:pPr>
          </w:p>
          <w:p>
            <w:pPr>
              <w:pStyle w:val="TableParagraph"/>
              <w:ind w:left="85"/>
              <w:rPr>
                <w:sz w:val="21"/>
              </w:rPr>
            </w:pPr>
            <w:r>
              <w:rPr>
                <w:w w:val="105"/>
                <w:sz w:val="21"/>
              </w:rPr>
              <w:t>0.01</w:t>
            </w:r>
          </w:p>
        </w:tc>
      </w:tr>
      <w:tr>
        <w:trPr>
          <w:trHeight w:val="655" w:hRule="exact"/>
        </w:trPr>
        <w:tc>
          <w:tcPr>
            <w:tcW w:w="1665" w:type="dxa"/>
            <w:tcBorders>
              <w:top w:val="nil"/>
              <w:left w:val="nil"/>
              <w:bottom w:val="nil"/>
              <w:right w:val="nil"/>
            </w:tcBorders>
          </w:tcPr>
          <w:p>
            <w:pPr>
              <w:pStyle w:val="TableParagraph"/>
              <w:spacing w:before="4"/>
              <w:rPr>
                <w:b/>
                <w:sz w:val="19"/>
              </w:rPr>
            </w:pPr>
          </w:p>
          <w:p>
            <w:pPr>
              <w:pStyle w:val="TableParagraph"/>
              <w:ind w:left="72"/>
              <w:rPr>
                <w:sz w:val="21"/>
              </w:rPr>
            </w:pPr>
            <w:r>
              <w:rPr>
                <w:w w:val="105"/>
                <w:sz w:val="21"/>
              </w:rPr>
              <w:t>Fármacos</w:t>
            </w:r>
          </w:p>
        </w:tc>
        <w:tc>
          <w:tcPr>
            <w:tcW w:w="1857" w:type="dxa"/>
            <w:tcBorders>
              <w:top w:val="nil"/>
              <w:left w:val="nil"/>
              <w:bottom w:val="nil"/>
              <w:right w:val="nil"/>
            </w:tcBorders>
          </w:tcPr>
          <w:p>
            <w:pPr>
              <w:pStyle w:val="TableParagraph"/>
              <w:spacing w:before="4"/>
              <w:rPr>
                <w:b/>
                <w:sz w:val="19"/>
              </w:rPr>
            </w:pPr>
          </w:p>
          <w:p>
            <w:pPr>
              <w:pStyle w:val="TableParagraph"/>
              <w:ind w:left="115"/>
              <w:rPr>
                <w:sz w:val="21"/>
              </w:rPr>
            </w:pPr>
            <w:r>
              <w:rPr>
                <w:w w:val="105"/>
                <w:sz w:val="21"/>
              </w:rPr>
              <w:t>19/33 (57.57%)</w:t>
            </w:r>
          </w:p>
        </w:tc>
        <w:tc>
          <w:tcPr>
            <w:tcW w:w="1858" w:type="dxa"/>
            <w:tcBorders>
              <w:top w:val="nil"/>
              <w:left w:val="nil"/>
              <w:bottom w:val="nil"/>
              <w:right w:val="nil"/>
            </w:tcBorders>
          </w:tcPr>
          <w:p>
            <w:pPr>
              <w:pStyle w:val="TableParagraph"/>
              <w:spacing w:before="4"/>
              <w:rPr>
                <w:b/>
                <w:sz w:val="19"/>
              </w:rPr>
            </w:pPr>
          </w:p>
          <w:p>
            <w:pPr>
              <w:pStyle w:val="TableParagraph"/>
              <w:ind w:left="116"/>
              <w:rPr>
                <w:sz w:val="21"/>
              </w:rPr>
            </w:pPr>
            <w:r>
              <w:rPr>
                <w:w w:val="105"/>
                <w:sz w:val="21"/>
              </w:rPr>
              <w:t>14/19 (42.42%)</w:t>
            </w:r>
          </w:p>
        </w:tc>
        <w:tc>
          <w:tcPr>
            <w:tcW w:w="967" w:type="dxa"/>
            <w:tcBorders>
              <w:top w:val="nil"/>
              <w:left w:val="nil"/>
              <w:bottom w:val="nil"/>
              <w:right w:val="nil"/>
            </w:tcBorders>
          </w:tcPr>
          <w:p>
            <w:pPr>
              <w:pStyle w:val="TableParagraph"/>
              <w:spacing w:before="4"/>
              <w:rPr>
                <w:b/>
                <w:sz w:val="19"/>
              </w:rPr>
            </w:pPr>
          </w:p>
          <w:p>
            <w:pPr>
              <w:pStyle w:val="TableParagraph"/>
              <w:ind w:left="116"/>
              <w:rPr>
                <w:sz w:val="21"/>
              </w:rPr>
            </w:pPr>
            <w:r>
              <w:rPr>
                <w:w w:val="105"/>
                <w:sz w:val="21"/>
              </w:rPr>
              <w:t>1.52</w:t>
            </w:r>
          </w:p>
        </w:tc>
        <w:tc>
          <w:tcPr>
            <w:tcW w:w="1703" w:type="dxa"/>
            <w:tcBorders>
              <w:top w:val="nil"/>
              <w:left w:val="nil"/>
              <w:bottom w:val="nil"/>
              <w:right w:val="nil"/>
            </w:tcBorders>
          </w:tcPr>
          <w:p>
            <w:pPr>
              <w:pStyle w:val="TableParagraph"/>
              <w:spacing w:before="4"/>
              <w:rPr>
                <w:b/>
                <w:sz w:val="19"/>
              </w:rPr>
            </w:pPr>
          </w:p>
          <w:p>
            <w:pPr>
              <w:pStyle w:val="TableParagraph"/>
              <w:ind w:left="300"/>
              <w:rPr>
                <w:sz w:val="21"/>
              </w:rPr>
            </w:pPr>
            <w:r>
              <w:rPr>
                <w:w w:val="105"/>
                <w:sz w:val="21"/>
              </w:rPr>
              <w:t>0.734-3.177</w:t>
            </w:r>
          </w:p>
        </w:tc>
        <w:tc>
          <w:tcPr>
            <w:tcW w:w="619" w:type="dxa"/>
            <w:tcBorders>
              <w:top w:val="nil"/>
              <w:left w:val="nil"/>
              <w:bottom w:val="nil"/>
              <w:right w:val="nil"/>
            </w:tcBorders>
          </w:tcPr>
          <w:p>
            <w:pPr>
              <w:pStyle w:val="TableParagraph"/>
              <w:spacing w:before="4"/>
              <w:rPr>
                <w:b/>
                <w:sz w:val="19"/>
              </w:rPr>
            </w:pPr>
          </w:p>
          <w:p>
            <w:pPr>
              <w:pStyle w:val="TableParagraph"/>
              <w:ind w:left="105"/>
              <w:rPr>
                <w:sz w:val="21"/>
              </w:rPr>
            </w:pPr>
            <w:r>
              <w:rPr>
                <w:w w:val="105"/>
                <w:sz w:val="21"/>
              </w:rPr>
              <w:t>1.29</w:t>
            </w:r>
          </w:p>
        </w:tc>
        <w:tc>
          <w:tcPr>
            <w:tcW w:w="772" w:type="dxa"/>
            <w:tcBorders>
              <w:top w:val="nil"/>
              <w:left w:val="nil"/>
              <w:bottom w:val="nil"/>
              <w:right w:val="nil"/>
            </w:tcBorders>
          </w:tcPr>
          <w:p>
            <w:pPr>
              <w:pStyle w:val="TableParagraph"/>
              <w:spacing w:before="4"/>
              <w:rPr>
                <w:b/>
                <w:sz w:val="19"/>
              </w:rPr>
            </w:pPr>
          </w:p>
          <w:p>
            <w:pPr>
              <w:pStyle w:val="TableParagraph"/>
              <w:ind w:left="85"/>
              <w:rPr>
                <w:sz w:val="21"/>
              </w:rPr>
            </w:pPr>
            <w:r>
              <w:rPr>
                <w:w w:val="105"/>
                <w:sz w:val="21"/>
              </w:rPr>
              <w:t>0.26</w:t>
            </w:r>
          </w:p>
        </w:tc>
      </w:tr>
      <w:tr>
        <w:trPr>
          <w:trHeight w:val="499" w:hRule="exact"/>
        </w:trPr>
        <w:tc>
          <w:tcPr>
            <w:tcW w:w="1665" w:type="dxa"/>
            <w:tcBorders>
              <w:top w:val="nil"/>
              <w:left w:val="nil"/>
              <w:bottom w:val="nil"/>
              <w:right w:val="nil"/>
            </w:tcBorders>
          </w:tcPr>
          <w:p>
            <w:pPr/>
          </w:p>
        </w:tc>
        <w:tc>
          <w:tcPr>
            <w:tcW w:w="1857" w:type="dxa"/>
            <w:tcBorders>
              <w:top w:val="nil"/>
              <w:left w:val="nil"/>
              <w:bottom w:val="nil"/>
              <w:right w:val="nil"/>
            </w:tcBorders>
          </w:tcPr>
          <w:p>
            <w:pPr>
              <w:pStyle w:val="TableParagraph"/>
              <w:spacing w:before="172"/>
              <w:ind w:left="115"/>
              <w:rPr>
                <w:sz w:val="21"/>
              </w:rPr>
            </w:pPr>
            <w:r>
              <w:rPr>
                <w:w w:val="105"/>
                <w:sz w:val="21"/>
              </w:rPr>
              <w:t>8/16</w:t>
            </w:r>
          </w:p>
        </w:tc>
        <w:tc>
          <w:tcPr>
            <w:tcW w:w="1858" w:type="dxa"/>
            <w:tcBorders>
              <w:top w:val="nil"/>
              <w:left w:val="nil"/>
              <w:bottom w:val="nil"/>
              <w:right w:val="nil"/>
            </w:tcBorders>
          </w:tcPr>
          <w:p>
            <w:pPr>
              <w:pStyle w:val="TableParagraph"/>
              <w:spacing w:before="172"/>
              <w:ind w:left="116"/>
              <w:rPr>
                <w:sz w:val="21"/>
              </w:rPr>
            </w:pPr>
            <w:r>
              <w:rPr>
                <w:w w:val="105"/>
                <w:sz w:val="21"/>
              </w:rPr>
              <w:t>8/16</w:t>
            </w:r>
          </w:p>
        </w:tc>
        <w:tc>
          <w:tcPr>
            <w:tcW w:w="967" w:type="dxa"/>
            <w:tcBorders>
              <w:top w:val="nil"/>
              <w:left w:val="nil"/>
              <w:bottom w:val="nil"/>
              <w:right w:val="nil"/>
            </w:tcBorders>
          </w:tcPr>
          <w:p>
            <w:pPr/>
          </w:p>
        </w:tc>
        <w:tc>
          <w:tcPr>
            <w:tcW w:w="1703" w:type="dxa"/>
            <w:tcBorders>
              <w:top w:val="nil"/>
              <w:left w:val="nil"/>
              <w:bottom w:val="nil"/>
              <w:right w:val="nil"/>
            </w:tcBorders>
          </w:tcPr>
          <w:p>
            <w:pPr/>
          </w:p>
        </w:tc>
        <w:tc>
          <w:tcPr>
            <w:tcW w:w="619" w:type="dxa"/>
            <w:tcBorders>
              <w:top w:val="nil"/>
              <w:left w:val="nil"/>
              <w:bottom w:val="nil"/>
              <w:right w:val="nil"/>
            </w:tcBorders>
          </w:tcPr>
          <w:p>
            <w:pPr/>
          </w:p>
        </w:tc>
        <w:tc>
          <w:tcPr>
            <w:tcW w:w="772" w:type="dxa"/>
            <w:tcBorders>
              <w:top w:val="nil"/>
              <w:left w:val="nil"/>
              <w:bottom w:val="nil"/>
              <w:right w:val="nil"/>
            </w:tcBorders>
          </w:tcPr>
          <w:p>
            <w:pPr/>
          </w:p>
        </w:tc>
      </w:tr>
      <w:tr>
        <w:trPr>
          <w:trHeight w:val="394" w:hRule="exact"/>
        </w:trPr>
        <w:tc>
          <w:tcPr>
            <w:tcW w:w="1665" w:type="dxa"/>
            <w:tcBorders>
              <w:top w:val="nil"/>
              <w:left w:val="nil"/>
              <w:bottom w:val="nil"/>
              <w:right w:val="nil"/>
            </w:tcBorders>
          </w:tcPr>
          <w:p>
            <w:pPr>
              <w:pStyle w:val="TableParagraph"/>
              <w:spacing w:before="67"/>
              <w:ind w:left="72"/>
              <w:rPr>
                <w:sz w:val="21"/>
              </w:rPr>
            </w:pPr>
            <w:r>
              <w:rPr>
                <w:w w:val="105"/>
                <w:sz w:val="21"/>
              </w:rPr>
              <w:t>Cirugía previa</w:t>
            </w:r>
          </w:p>
        </w:tc>
        <w:tc>
          <w:tcPr>
            <w:tcW w:w="1857" w:type="dxa"/>
            <w:tcBorders>
              <w:top w:val="nil"/>
              <w:left w:val="nil"/>
              <w:bottom w:val="nil"/>
              <w:right w:val="nil"/>
            </w:tcBorders>
          </w:tcPr>
          <w:p>
            <w:pPr/>
          </w:p>
        </w:tc>
        <w:tc>
          <w:tcPr>
            <w:tcW w:w="1858" w:type="dxa"/>
            <w:tcBorders>
              <w:top w:val="nil"/>
              <w:left w:val="nil"/>
              <w:bottom w:val="nil"/>
              <w:right w:val="nil"/>
            </w:tcBorders>
          </w:tcPr>
          <w:p>
            <w:pPr/>
          </w:p>
        </w:tc>
        <w:tc>
          <w:tcPr>
            <w:tcW w:w="967" w:type="dxa"/>
            <w:tcBorders>
              <w:top w:val="nil"/>
              <w:left w:val="nil"/>
              <w:bottom w:val="nil"/>
              <w:right w:val="nil"/>
            </w:tcBorders>
          </w:tcPr>
          <w:p>
            <w:pPr>
              <w:pStyle w:val="TableParagraph"/>
              <w:spacing w:before="67"/>
              <w:ind w:left="116"/>
              <w:rPr>
                <w:sz w:val="21"/>
              </w:rPr>
            </w:pPr>
            <w:r>
              <w:rPr>
                <w:w w:val="105"/>
                <w:sz w:val="21"/>
              </w:rPr>
              <w:t>1.076</w:t>
            </w:r>
          </w:p>
        </w:tc>
        <w:tc>
          <w:tcPr>
            <w:tcW w:w="1703" w:type="dxa"/>
            <w:tcBorders>
              <w:top w:val="nil"/>
              <w:left w:val="nil"/>
              <w:bottom w:val="nil"/>
              <w:right w:val="nil"/>
            </w:tcBorders>
          </w:tcPr>
          <w:p>
            <w:pPr>
              <w:pStyle w:val="TableParagraph"/>
              <w:spacing w:before="67"/>
              <w:ind w:left="300"/>
              <w:rPr>
                <w:sz w:val="21"/>
              </w:rPr>
            </w:pPr>
            <w:r>
              <w:rPr>
                <w:w w:val="105"/>
                <w:sz w:val="21"/>
              </w:rPr>
              <w:t>0.393-2.951</w:t>
            </w:r>
          </w:p>
        </w:tc>
        <w:tc>
          <w:tcPr>
            <w:tcW w:w="619" w:type="dxa"/>
            <w:tcBorders>
              <w:top w:val="nil"/>
              <w:left w:val="nil"/>
              <w:bottom w:val="nil"/>
              <w:right w:val="nil"/>
            </w:tcBorders>
          </w:tcPr>
          <w:p>
            <w:pPr>
              <w:pStyle w:val="TableParagraph"/>
              <w:spacing w:before="67"/>
              <w:ind w:left="105"/>
              <w:rPr>
                <w:sz w:val="21"/>
              </w:rPr>
            </w:pPr>
            <w:r>
              <w:rPr>
                <w:w w:val="105"/>
                <w:sz w:val="21"/>
              </w:rPr>
              <w:t>0.02</w:t>
            </w:r>
          </w:p>
        </w:tc>
        <w:tc>
          <w:tcPr>
            <w:tcW w:w="772" w:type="dxa"/>
            <w:tcBorders>
              <w:top w:val="nil"/>
              <w:left w:val="nil"/>
              <w:bottom w:val="nil"/>
              <w:right w:val="nil"/>
            </w:tcBorders>
          </w:tcPr>
          <w:p>
            <w:pPr>
              <w:pStyle w:val="TableParagraph"/>
              <w:spacing w:before="67"/>
              <w:ind w:left="85"/>
              <w:rPr>
                <w:sz w:val="21"/>
              </w:rPr>
            </w:pPr>
            <w:r>
              <w:rPr>
                <w:w w:val="105"/>
                <w:sz w:val="21"/>
              </w:rPr>
              <w:t>0.89</w:t>
            </w:r>
          </w:p>
        </w:tc>
      </w:tr>
      <w:tr>
        <w:trPr>
          <w:trHeight w:val="499" w:hRule="exact"/>
        </w:trPr>
        <w:tc>
          <w:tcPr>
            <w:tcW w:w="1665" w:type="dxa"/>
            <w:tcBorders>
              <w:top w:val="nil"/>
              <w:left w:val="nil"/>
              <w:bottom w:val="nil"/>
              <w:right w:val="nil"/>
            </w:tcBorders>
          </w:tcPr>
          <w:p>
            <w:pPr/>
          </w:p>
        </w:tc>
        <w:tc>
          <w:tcPr>
            <w:tcW w:w="1857" w:type="dxa"/>
            <w:tcBorders>
              <w:top w:val="nil"/>
              <w:left w:val="nil"/>
              <w:bottom w:val="nil"/>
              <w:right w:val="nil"/>
            </w:tcBorders>
          </w:tcPr>
          <w:p>
            <w:pPr>
              <w:pStyle w:val="TableParagraph"/>
              <w:spacing w:before="67"/>
              <w:ind w:left="115"/>
              <w:rPr>
                <w:sz w:val="21"/>
              </w:rPr>
            </w:pPr>
            <w:r>
              <w:rPr>
                <w:w w:val="105"/>
                <w:sz w:val="21"/>
              </w:rPr>
              <w:t>(50%)</w:t>
            </w:r>
          </w:p>
        </w:tc>
        <w:tc>
          <w:tcPr>
            <w:tcW w:w="1858" w:type="dxa"/>
            <w:tcBorders>
              <w:top w:val="nil"/>
              <w:left w:val="nil"/>
              <w:bottom w:val="nil"/>
              <w:right w:val="nil"/>
            </w:tcBorders>
          </w:tcPr>
          <w:p>
            <w:pPr>
              <w:pStyle w:val="TableParagraph"/>
              <w:spacing w:before="67"/>
              <w:ind w:left="116"/>
              <w:rPr>
                <w:sz w:val="21"/>
              </w:rPr>
            </w:pPr>
            <w:r>
              <w:rPr>
                <w:w w:val="105"/>
                <w:sz w:val="21"/>
              </w:rPr>
              <w:t>(50%)</w:t>
            </w:r>
          </w:p>
        </w:tc>
        <w:tc>
          <w:tcPr>
            <w:tcW w:w="967" w:type="dxa"/>
            <w:tcBorders>
              <w:top w:val="nil"/>
              <w:left w:val="nil"/>
              <w:bottom w:val="nil"/>
              <w:right w:val="nil"/>
            </w:tcBorders>
          </w:tcPr>
          <w:p>
            <w:pPr/>
          </w:p>
        </w:tc>
        <w:tc>
          <w:tcPr>
            <w:tcW w:w="1703" w:type="dxa"/>
            <w:tcBorders>
              <w:top w:val="nil"/>
              <w:left w:val="nil"/>
              <w:bottom w:val="nil"/>
              <w:right w:val="nil"/>
            </w:tcBorders>
          </w:tcPr>
          <w:p>
            <w:pPr/>
          </w:p>
        </w:tc>
        <w:tc>
          <w:tcPr>
            <w:tcW w:w="619" w:type="dxa"/>
            <w:tcBorders>
              <w:top w:val="nil"/>
              <w:left w:val="nil"/>
              <w:bottom w:val="nil"/>
              <w:right w:val="nil"/>
            </w:tcBorders>
          </w:tcPr>
          <w:p>
            <w:pPr/>
          </w:p>
        </w:tc>
        <w:tc>
          <w:tcPr>
            <w:tcW w:w="772" w:type="dxa"/>
            <w:tcBorders>
              <w:top w:val="nil"/>
              <w:left w:val="nil"/>
              <w:bottom w:val="nil"/>
              <w:right w:val="nil"/>
            </w:tcBorders>
          </w:tcPr>
          <w:p>
            <w:pPr/>
          </w:p>
        </w:tc>
      </w:tr>
      <w:tr>
        <w:trPr>
          <w:trHeight w:val="410" w:hRule="exact"/>
        </w:trPr>
        <w:tc>
          <w:tcPr>
            <w:tcW w:w="1665" w:type="dxa"/>
            <w:tcBorders>
              <w:top w:val="nil"/>
              <w:left w:val="nil"/>
              <w:bottom w:val="nil"/>
              <w:right w:val="nil"/>
            </w:tcBorders>
          </w:tcPr>
          <w:p>
            <w:pPr>
              <w:pStyle w:val="TableParagraph"/>
              <w:spacing w:before="172"/>
              <w:ind w:left="72"/>
              <w:rPr>
                <w:sz w:val="21"/>
              </w:rPr>
            </w:pPr>
            <w:r>
              <w:rPr>
                <w:w w:val="105"/>
                <w:sz w:val="21"/>
              </w:rPr>
              <w:t>Endocrinopatía</w:t>
            </w:r>
          </w:p>
        </w:tc>
        <w:tc>
          <w:tcPr>
            <w:tcW w:w="1857" w:type="dxa"/>
            <w:tcBorders>
              <w:top w:val="nil"/>
              <w:left w:val="nil"/>
              <w:bottom w:val="nil"/>
              <w:right w:val="nil"/>
            </w:tcBorders>
          </w:tcPr>
          <w:p>
            <w:pPr>
              <w:pStyle w:val="TableParagraph"/>
              <w:spacing w:before="172"/>
              <w:ind w:left="115"/>
              <w:rPr>
                <w:sz w:val="21"/>
              </w:rPr>
            </w:pPr>
            <w:r>
              <w:rPr>
                <w:w w:val="105"/>
                <w:sz w:val="21"/>
              </w:rPr>
              <w:t>13/16 (81.25%)</w:t>
            </w:r>
          </w:p>
        </w:tc>
        <w:tc>
          <w:tcPr>
            <w:tcW w:w="1858" w:type="dxa"/>
            <w:tcBorders>
              <w:top w:val="nil"/>
              <w:left w:val="nil"/>
              <w:bottom w:val="nil"/>
              <w:right w:val="nil"/>
            </w:tcBorders>
          </w:tcPr>
          <w:p>
            <w:pPr>
              <w:pStyle w:val="TableParagraph"/>
              <w:spacing w:before="172"/>
              <w:ind w:left="116"/>
              <w:rPr>
                <w:sz w:val="21"/>
              </w:rPr>
            </w:pPr>
            <w:r>
              <w:rPr>
                <w:w w:val="105"/>
                <w:sz w:val="21"/>
              </w:rPr>
              <w:t>3/16 (18.75%)</w:t>
            </w:r>
          </w:p>
        </w:tc>
        <w:tc>
          <w:tcPr>
            <w:tcW w:w="967" w:type="dxa"/>
            <w:tcBorders>
              <w:top w:val="nil"/>
              <w:left w:val="nil"/>
              <w:bottom w:val="nil"/>
              <w:right w:val="nil"/>
            </w:tcBorders>
          </w:tcPr>
          <w:p>
            <w:pPr>
              <w:pStyle w:val="TableParagraph"/>
              <w:spacing w:before="172"/>
              <w:ind w:left="116"/>
              <w:rPr>
                <w:sz w:val="21"/>
              </w:rPr>
            </w:pPr>
            <w:r>
              <w:rPr>
                <w:w w:val="105"/>
                <w:sz w:val="21"/>
              </w:rPr>
              <w:t>5.021</w:t>
            </w:r>
          </w:p>
        </w:tc>
        <w:tc>
          <w:tcPr>
            <w:tcW w:w="1703" w:type="dxa"/>
            <w:tcBorders>
              <w:top w:val="nil"/>
              <w:left w:val="nil"/>
              <w:bottom w:val="nil"/>
              <w:right w:val="nil"/>
            </w:tcBorders>
          </w:tcPr>
          <w:p>
            <w:pPr>
              <w:pStyle w:val="TableParagraph"/>
              <w:spacing w:before="172"/>
              <w:ind w:left="300"/>
              <w:rPr>
                <w:sz w:val="21"/>
              </w:rPr>
            </w:pPr>
            <w:r>
              <w:rPr>
                <w:w w:val="105"/>
                <w:sz w:val="21"/>
              </w:rPr>
              <w:t>1.399-18.020</w:t>
            </w:r>
          </w:p>
        </w:tc>
        <w:tc>
          <w:tcPr>
            <w:tcW w:w="619" w:type="dxa"/>
            <w:tcBorders>
              <w:top w:val="nil"/>
              <w:left w:val="nil"/>
              <w:bottom w:val="nil"/>
              <w:right w:val="nil"/>
            </w:tcBorders>
          </w:tcPr>
          <w:p>
            <w:pPr>
              <w:pStyle w:val="TableParagraph"/>
              <w:spacing w:before="172"/>
              <w:ind w:left="105"/>
              <w:rPr>
                <w:sz w:val="21"/>
              </w:rPr>
            </w:pPr>
            <w:r>
              <w:rPr>
                <w:w w:val="105"/>
                <w:sz w:val="21"/>
              </w:rPr>
              <w:t>7.38</w:t>
            </w:r>
          </w:p>
        </w:tc>
        <w:tc>
          <w:tcPr>
            <w:tcW w:w="772" w:type="dxa"/>
            <w:tcBorders>
              <w:top w:val="nil"/>
              <w:left w:val="nil"/>
              <w:bottom w:val="nil"/>
              <w:right w:val="nil"/>
            </w:tcBorders>
          </w:tcPr>
          <w:p>
            <w:pPr>
              <w:pStyle w:val="TableParagraph"/>
              <w:spacing w:before="172"/>
              <w:ind w:left="85"/>
              <w:rPr>
                <w:sz w:val="21"/>
              </w:rPr>
            </w:pPr>
            <w:r>
              <w:rPr>
                <w:w w:val="105"/>
                <w:sz w:val="21"/>
              </w:rPr>
              <w:t>0.01</w:t>
            </w:r>
          </w:p>
        </w:tc>
      </w:tr>
      <w:tr>
        <w:trPr>
          <w:trHeight w:val="768" w:hRule="exact"/>
        </w:trPr>
        <w:tc>
          <w:tcPr>
            <w:tcW w:w="9442" w:type="dxa"/>
            <w:gridSpan w:val="7"/>
            <w:tcBorders>
              <w:top w:val="nil"/>
              <w:left w:val="nil"/>
              <w:bottom w:val="nil"/>
              <w:right w:val="nil"/>
            </w:tcBorders>
          </w:tcPr>
          <w:p>
            <w:pPr>
              <w:pStyle w:val="TableParagraph"/>
              <w:spacing w:before="2"/>
              <w:rPr>
                <w:b/>
                <w:sz w:val="32"/>
              </w:rPr>
            </w:pPr>
          </w:p>
          <w:p>
            <w:pPr>
              <w:pStyle w:val="TableParagraph"/>
              <w:tabs>
                <w:tab w:pos="1780" w:val="left" w:leader="none"/>
                <w:tab w:pos="3638" w:val="left" w:leader="none"/>
              </w:tabs>
              <w:spacing w:before="1"/>
              <w:ind w:left="72"/>
              <w:rPr>
                <w:sz w:val="21"/>
              </w:rPr>
            </w:pPr>
            <w:r>
              <w:rPr>
                <w:w w:val="105"/>
                <w:sz w:val="21"/>
              </w:rPr>
              <w:t>Enfermedades</w:t>
              <w:tab/>
            </w:r>
            <w:r>
              <w:rPr>
                <w:w w:val="105"/>
                <w:position w:val="14"/>
                <w:sz w:val="21"/>
              </w:rPr>
              <w:t>8/14</w:t>
              <w:tab/>
              <w:t>6/14</w:t>
            </w:r>
          </w:p>
        </w:tc>
      </w:tr>
      <w:tr>
        <w:trPr>
          <w:trHeight w:val="322" w:hRule="exact"/>
        </w:trPr>
        <w:tc>
          <w:tcPr>
            <w:tcW w:w="1665" w:type="dxa"/>
            <w:tcBorders>
              <w:top w:val="nil"/>
              <w:left w:val="nil"/>
              <w:bottom w:val="nil"/>
              <w:right w:val="nil"/>
            </w:tcBorders>
          </w:tcPr>
          <w:p>
            <w:pPr/>
          </w:p>
        </w:tc>
        <w:tc>
          <w:tcPr>
            <w:tcW w:w="1857" w:type="dxa"/>
            <w:tcBorders>
              <w:top w:val="nil"/>
              <w:left w:val="nil"/>
              <w:bottom w:val="nil"/>
              <w:right w:val="nil"/>
            </w:tcBorders>
          </w:tcPr>
          <w:p>
            <w:pPr/>
          </w:p>
        </w:tc>
        <w:tc>
          <w:tcPr>
            <w:tcW w:w="1858" w:type="dxa"/>
            <w:tcBorders>
              <w:top w:val="nil"/>
              <w:left w:val="nil"/>
              <w:bottom w:val="nil"/>
              <w:right w:val="nil"/>
            </w:tcBorders>
          </w:tcPr>
          <w:p>
            <w:pPr/>
          </w:p>
        </w:tc>
        <w:tc>
          <w:tcPr>
            <w:tcW w:w="967" w:type="dxa"/>
            <w:tcBorders>
              <w:top w:val="nil"/>
              <w:left w:val="nil"/>
              <w:bottom w:val="nil"/>
              <w:right w:val="nil"/>
            </w:tcBorders>
          </w:tcPr>
          <w:p>
            <w:pPr>
              <w:pStyle w:val="TableParagraph"/>
              <w:spacing w:line="220" w:lineRule="exact"/>
              <w:ind w:left="116"/>
              <w:rPr>
                <w:sz w:val="21"/>
              </w:rPr>
            </w:pPr>
            <w:r>
              <w:rPr>
                <w:w w:val="105"/>
                <w:sz w:val="21"/>
              </w:rPr>
              <w:t>1.455</w:t>
            </w:r>
          </w:p>
        </w:tc>
        <w:tc>
          <w:tcPr>
            <w:tcW w:w="1703" w:type="dxa"/>
            <w:tcBorders>
              <w:top w:val="nil"/>
              <w:left w:val="nil"/>
              <w:bottom w:val="nil"/>
              <w:right w:val="nil"/>
            </w:tcBorders>
          </w:tcPr>
          <w:p>
            <w:pPr>
              <w:pStyle w:val="TableParagraph"/>
              <w:spacing w:line="220" w:lineRule="exact"/>
              <w:ind w:left="300"/>
              <w:rPr>
                <w:sz w:val="21"/>
              </w:rPr>
            </w:pPr>
            <w:r>
              <w:rPr>
                <w:w w:val="105"/>
                <w:sz w:val="21"/>
              </w:rPr>
              <w:t>0.492-4.306</w:t>
            </w:r>
          </w:p>
        </w:tc>
        <w:tc>
          <w:tcPr>
            <w:tcW w:w="619" w:type="dxa"/>
            <w:tcBorders>
              <w:top w:val="nil"/>
              <w:left w:val="nil"/>
              <w:bottom w:val="nil"/>
              <w:right w:val="nil"/>
            </w:tcBorders>
          </w:tcPr>
          <w:p>
            <w:pPr>
              <w:pStyle w:val="TableParagraph"/>
              <w:spacing w:line="220" w:lineRule="exact"/>
              <w:ind w:left="105"/>
              <w:rPr>
                <w:sz w:val="21"/>
              </w:rPr>
            </w:pPr>
            <w:r>
              <w:rPr>
                <w:w w:val="105"/>
                <w:sz w:val="21"/>
              </w:rPr>
              <w:t>0.46</w:t>
            </w:r>
          </w:p>
        </w:tc>
        <w:tc>
          <w:tcPr>
            <w:tcW w:w="772" w:type="dxa"/>
            <w:tcBorders>
              <w:top w:val="nil"/>
              <w:left w:val="nil"/>
              <w:bottom w:val="nil"/>
              <w:right w:val="nil"/>
            </w:tcBorders>
          </w:tcPr>
          <w:p>
            <w:pPr>
              <w:pStyle w:val="TableParagraph"/>
              <w:spacing w:line="220" w:lineRule="exact"/>
              <w:ind w:left="85"/>
              <w:rPr>
                <w:sz w:val="21"/>
              </w:rPr>
            </w:pPr>
            <w:r>
              <w:rPr>
                <w:w w:val="105"/>
                <w:sz w:val="21"/>
              </w:rPr>
              <w:t>0.5</w:t>
            </w:r>
          </w:p>
        </w:tc>
      </w:tr>
      <w:tr>
        <w:trPr>
          <w:trHeight w:val="449" w:hRule="exact"/>
        </w:trPr>
        <w:tc>
          <w:tcPr>
            <w:tcW w:w="1665" w:type="dxa"/>
            <w:tcBorders>
              <w:top w:val="nil"/>
              <w:left w:val="nil"/>
              <w:bottom w:val="nil"/>
              <w:right w:val="nil"/>
            </w:tcBorders>
          </w:tcPr>
          <w:p>
            <w:pPr>
              <w:pStyle w:val="TableParagraph"/>
              <w:spacing w:line="167" w:lineRule="exact"/>
              <w:ind w:left="72"/>
              <w:rPr>
                <w:sz w:val="21"/>
              </w:rPr>
            </w:pPr>
            <w:r>
              <w:rPr>
                <w:w w:val="105"/>
                <w:sz w:val="21"/>
              </w:rPr>
              <w:t>infecciosas</w:t>
            </w:r>
          </w:p>
        </w:tc>
        <w:tc>
          <w:tcPr>
            <w:tcW w:w="1857" w:type="dxa"/>
            <w:tcBorders>
              <w:top w:val="nil"/>
              <w:left w:val="nil"/>
              <w:bottom w:val="nil"/>
              <w:right w:val="nil"/>
            </w:tcBorders>
          </w:tcPr>
          <w:p>
            <w:pPr>
              <w:pStyle w:val="TableParagraph"/>
              <w:spacing w:before="64"/>
              <w:ind w:left="115"/>
              <w:rPr>
                <w:sz w:val="21"/>
              </w:rPr>
            </w:pPr>
            <w:r>
              <w:rPr>
                <w:w w:val="105"/>
                <w:sz w:val="21"/>
              </w:rPr>
              <w:t>(57.14%)</w:t>
            </w:r>
          </w:p>
        </w:tc>
        <w:tc>
          <w:tcPr>
            <w:tcW w:w="1858" w:type="dxa"/>
            <w:tcBorders>
              <w:top w:val="nil"/>
              <w:left w:val="nil"/>
              <w:bottom w:val="nil"/>
              <w:right w:val="nil"/>
            </w:tcBorders>
          </w:tcPr>
          <w:p>
            <w:pPr>
              <w:pStyle w:val="TableParagraph"/>
              <w:spacing w:before="64"/>
              <w:ind w:left="116"/>
              <w:rPr>
                <w:sz w:val="21"/>
              </w:rPr>
            </w:pPr>
            <w:r>
              <w:rPr>
                <w:w w:val="105"/>
                <w:sz w:val="21"/>
              </w:rPr>
              <w:t>(42.85%)</w:t>
            </w:r>
          </w:p>
        </w:tc>
        <w:tc>
          <w:tcPr>
            <w:tcW w:w="967" w:type="dxa"/>
            <w:tcBorders>
              <w:top w:val="nil"/>
              <w:left w:val="nil"/>
              <w:bottom w:val="nil"/>
              <w:right w:val="nil"/>
            </w:tcBorders>
          </w:tcPr>
          <w:p>
            <w:pPr/>
          </w:p>
        </w:tc>
        <w:tc>
          <w:tcPr>
            <w:tcW w:w="1703" w:type="dxa"/>
            <w:tcBorders>
              <w:top w:val="nil"/>
              <w:left w:val="nil"/>
              <w:bottom w:val="nil"/>
              <w:right w:val="nil"/>
            </w:tcBorders>
          </w:tcPr>
          <w:p>
            <w:pPr/>
          </w:p>
        </w:tc>
        <w:tc>
          <w:tcPr>
            <w:tcW w:w="619" w:type="dxa"/>
            <w:tcBorders>
              <w:top w:val="nil"/>
              <w:left w:val="nil"/>
              <w:bottom w:val="nil"/>
              <w:right w:val="nil"/>
            </w:tcBorders>
          </w:tcPr>
          <w:p>
            <w:pPr/>
          </w:p>
        </w:tc>
        <w:tc>
          <w:tcPr>
            <w:tcW w:w="772" w:type="dxa"/>
            <w:tcBorders>
              <w:top w:val="nil"/>
              <w:left w:val="nil"/>
              <w:bottom w:val="nil"/>
              <w:right w:val="nil"/>
            </w:tcBorders>
          </w:tcPr>
          <w:p>
            <w:pPr/>
          </w:p>
        </w:tc>
      </w:tr>
      <w:tr>
        <w:trPr>
          <w:trHeight w:val="451" w:hRule="exact"/>
        </w:trPr>
        <w:tc>
          <w:tcPr>
            <w:tcW w:w="1665" w:type="dxa"/>
            <w:tcBorders>
              <w:top w:val="nil"/>
              <w:left w:val="nil"/>
              <w:bottom w:val="nil"/>
              <w:right w:val="nil"/>
            </w:tcBorders>
          </w:tcPr>
          <w:p>
            <w:pPr/>
          </w:p>
        </w:tc>
        <w:tc>
          <w:tcPr>
            <w:tcW w:w="1857" w:type="dxa"/>
            <w:tcBorders>
              <w:top w:val="nil"/>
              <w:left w:val="nil"/>
              <w:bottom w:val="nil"/>
              <w:right w:val="nil"/>
            </w:tcBorders>
          </w:tcPr>
          <w:p>
            <w:pPr>
              <w:pStyle w:val="TableParagraph"/>
              <w:spacing w:before="124"/>
              <w:ind w:left="115"/>
              <w:rPr>
                <w:sz w:val="21"/>
              </w:rPr>
            </w:pPr>
            <w:r>
              <w:rPr>
                <w:w w:val="105"/>
                <w:sz w:val="21"/>
              </w:rPr>
              <w:t>7/9</w:t>
            </w:r>
          </w:p>
        </w:tc>
        <w:tc>
          <w:tcPr>
            <w:tcW w:w="1858" w:type="dxa"/>
            <w:tcBorders>
              <w:top w:val="nil"/>
              <w:left w:val="nil"/>
              <w:bottom w:val="nil"/>
              <w:right w:val="nil"/>
            </w:tcBorders>
          </w:tcPr>
          <w:p>
            <w:pPr>
              <w:pStyle w:val="TableParagraph"/>
              <w:spacing w:before="124"/>
              <w:ind w:left="116"/>
              <w:rPr>
                <w:sz w:val="21"/>
              </w:rPr>
            </w:pPr>
            <w:r>
              <w:rPr>
                <w:w w:val="105"/>
                <w:sz w:val="21"/>
              </w:rPr>
              <w:t>2/9</w:t>
            </w:r>
          </w:p>
        </w:tc>
        <w:tc>
          <w:tcPr>
            <w:tcW w:w="967" w:type="dxa"/>
            <w:tcBorders>
              <w:top w:val="nil"/>
              <w:left w:val="nil"/>
              <w:bottom w:val="nil"/>
              <w:right w:val="nil"/>
            </w:tcBorders>
          </w:tcPr>
          <w:p>
            <w:pPr/>
          </w:p>
        </w:tc>
        <w:tc>
          <w:tcPr>
            <w:tcW w:w="1703" w:type="dxa"/>
            <w:tcBorders>
              <w:top w:val="nil"/>
              <w:left w:val="nil"/>
              <w:bottom w:val="nil"/>
              <w:right w:val="nil"/>
            </w:tcBorders>
          </w:tcPr>
          <w:p>
            <w:pPr/>
          </w:p>
        </w:tc>
        <w:tc>
          <w:tcPr>
            <w:tcW w:w="619" w:type="dxa"/>
            <w:tcBorders>
              <w:top w:val="nil"/>
              <w:left w:val="nil"/>
              <w:bottom w:val="nil"/>
              <w:right w:val="nil"/>
            </w:tcBorders>
          </w:tcPr>
          <w:p>
            <w:pPr/>
          </w:p>
        </w:tc>
        <w:tc>
          <w:tcPr>
            <w:tcW w:w="772" w:type="dxa"/>
            <w:tcBorders>
              <w:top w:val="nil"/>
              <w:left w:val="nil"/>
              <w:bottom w:val="nil"/>
              <w:right w:val="nil"/>
            </w:tcBorders>
          </w:tcPr>
          <w:p>
            <w:pPr/>
          </w:p>
        </w:tc>
      </w:tr>
      <w:tr>
        <w:trPr>
          <w:trHeight w:val="394" w:hRule="exact"/>
        </w:trPr>
        <w:tc>
          <w:tcPr>
            <w:tcW w:w="1665" w:type="dxa"/>
            <w:tcBorders>
              <w:top w:val="nil"/>
              <w:left w:val="nil"/>
              <w:bottom w:val="nil"/>
              <w:right w:val="nil"/>
            </w:tcBorders>
          </w:tcPr>
          <w:p>
            <w:pPr>
              <w:pStyle w:val="TableParagraph"/>
              <w:spacing w:before="67"/>
              <w:ind w:left="72"/>
              <w:rPr>
                <w:sz w:val="21"/>
              </w:rPr>
            </w:pPr>
            <w:r>
              <w:rPr>
                <w:w w:val="105"/>
                <w:sz w:val="21"/>
              </w:rPr>
              <w:t>Hepatopatía</w:t>
            </w:r>
          </w:p>
        </w:tc>
        <w:tc>
          <w:tcPr>
            <w:tcW w:w="1857" w:type="dxa"/>
            <w:tcBorders>
              <w:top w:val="nil"/>
              <w:left w:val="nil"/>
              <w:bottom w:val="nil"/>
              <w:right w:val="nil"/>
            </w:tcBorders>
          </w:tcPr>
          <w:p>
            <w:pPr/>
          </w:p>
        </w:tc>
        <w:tc>
          <w:tcPr>
            <w:tcW w:w="1858" w:type="dxa"/>
            <w:tcBorders>
              <w:top w:val="nil"/>
              <w:left w:val="nil"/>
              <w:bottom w:val="nil"/>
              <w:right w:val="nil"/>
            </w:tcBorders>
          </w:tcPr>
          <w:p>
            <w:pPr/>
          </w:p>
        </w:tc>
        <w:tc>
          <w:tcPr>
            <w:tcW w:w="967" w:type="dxa"/>
            <w:tcBorders>
              <w:top w:val="nil"/>
              <w:left w:val="nil"/>
              <w:bottom w:val="nil"/>
              <w:right w:val="nil"/>
            </w:tcBorders>
          </w:tcPr>
          <w:p>
            <w:pPr>
              <w:pStyle w:val="TableParagraph"/>
              <w:spacing w:before="67"/>
              <w:ind w:left="116"/>
              <w:rPr>
                <w:sz w:val="21"/>
              </w:rPr>
            </w:pPr>
            <w:r>
              <w:rPr>
                <w:w w:val="105"/>
                <w:sz w:val="21"/>
              </w:rPr>
              <w:t>3.89</w:t>
            </w:r>
          </w:p>
        </w:tc>
        <w:tc>
          <w:tcPr>
            <w:tcW w:w="1703" w:type="dxa"/>
            <w:tcBorders>
              <w:top w:val="nil"/>
              <w:left w:val="nil"/>
              <w:bottom w:val="nil"/>
              <w:right w:val="nil"/>
            </w:tcBorders>
          </w:tcPr>
          <w:p>
            <w:pPr>
              <w:pStyle w:val="TableParagraph"/>
              <w:spacing w:before="67"/>
              <w:ind w:left="300"/>
              <w:rPr>
                <w:sz w:val="21"/>
              </w:rPr>
            </w:pPr>
            <w:r>
              <w:rPr>
                <w:w w:val="105"/>
                <w:sz w:val="21"/>
              </w:rPr>
              <w:t>0.796-19.091</w:t>
            </w:r>
          </w:p>
        </w:tc>
        <w:tc>
          <w:tcPr>
            <w:tcW w:w="619" w:type="dxa"/>
            <w:tcBorders>
              <w:top w:val="nil"/>
              <w:left w:val="nil"/>
              <w:bottom w:val="nil"/>
              <w:right w:val="nil"/>
            </w:tcBorders>
          </w:tcPr>
          <w:p>
            <w:pPr>
              <w:pStyle w:val="TableParagraph"/>
              <w:spacing w:before="67"/>
              <w:ind w:left="105"/>
              <w:rPr>
                <w:sz w:val="21"/>
              </w:rPr>
            </w:pPr>
            <w:r>
              <w:rPr>
                <w:w w:val="105"/>
                <w:sz w:val="21"/>
              </w:rPr>
              <w:t>3.24</w:t>
            </w:r>
          </w:p>
        </w:tc>
        <w:tc>
          <w:tcPr>
            <w:tcW w:w="772" w:type="dxa"/>
            <w:tcBorders>
              <w:top w:val="nil"/>
              <w:left w:val="nil"/>
              <w:bottom w:val="nil"/>
              <w:right w:val="nil"/>
            </w:tcBorders>
          </w:tcPr>
          <w:p>
            <w:pPr>
              <w:pStyle w:val="TableParagraph"/>
              <w:spacing w:before="67"/>
              <w:ind w:left="85"/>
              <w:rPr>
                <w:sz w:val="21"/>
              </w:rPr>
            </w:pPr>
            <w:r>
              <w:rPr>
                <w:w w:val="105"/>
                <w:sz w:val="21"/>
              </w:rPr>
              <w:t>0.07</w:t>
            </w:r>
          </w:p>
        </w:tc>
      </w:tr>
      <w:tr>
        <w:trPr>
          <w:trHeight w:val="449" w:hRule="exact"/>
        </w:trPr>
        <w:tc>
          <w:tcPr>
            <w:tcW w:w="1665" w:type="dxa"/>
            <w:tcBorders>
              <w:top w:val="nil"/>
              <w:left w:val="nil"/>
              <w:bottom w:val="nil"/>
              <w:right w:val="nil"/>
            </w:tcBorders>
          </w:tcPr>
          <w:p>
            <w:pPr/>
          </w:p>
        </w:tc>
        <w:tc>
          <w:tcPr>
            <w:tcW w:w="1857" w:type="dxa"/>
            <w:tcBorders>
              <w:top w:val="nil"/>
              <w:left w:val="nil"/>
              <w:bottom w:val="nil"/>
              <w:right w:val="nil"/>
            </w:tcBorders>
          </w:tcPr>
          <w:p>
            <w:pPr>
              <w:pStyle w:val="TableParagraph"/>
              <w:spacing w:before="67"/>
              <w:ind w:left="115"/>
              <w:rPr>
                <w:sz w:val="21"/>
              </w:rPr>
            </w:pPr>
            <w:r>
              <w:rPr>
                <w:w w:val="105"/>
                <w:sz w:val="21"/>
              </w:rPr>
              <w:t>(77.77%)</w:t>
            </w:r>
          </w:p>
        </w:tc>
        <w:tc>
          <w:tcPr>
            <w:tcW w:w="1858" w:type="dxa"/>
            <w:tcBorders>
              <w:top w:val="nil"/>
              <w:left w:val="nil"/>
              <w:bottom w:val="nil"/>
              <w:right w:val="nil"/>
            </w:tcBorders>
          </w:tcPr>
          <w:p>
            <w:pPr>
              <w:pStyle w:val="TableParagraph"/>
              <w:spacing w:before="67"/>
              <w:ind w:left="116"/>
              <w:rPr>
                <w:sz w:val="21"/>
              </w:rPr>
            </w:pPr>
            <w:r>
              <w:rPr>
                <w:w w:val="105"/>
                <w:sz w:val="21"/>
              </w:rPr>
              <w:t>(22.22%)</w:t>
            </w:r>
          </w:p>
        </w:tc>
        <w:tc>
          <w:tcPr>
            <w:tcW w:w="967" w:type="dxa"/>
            <w:tcBorders>
              <w:top w:val="nil"/>
              <w:left w:val="nil"/>
              <w:bottom w:val="nil"/>
              <w:right w:val="nil"/>
            </w:tcBorders>
          </w:tcPr>
          <w:p>
            <w:pPr/>
          </w:p>
        </w:tc>
        <w:tc>
          <w:tcPr>
            <w:tcW w:w="1703" w:type="dxa"/>
            <w:tcBorders>
              <w:top w:val="nil"/>
              <w:left w:val="nil"/>
              <w:bottom w:val="nil"/>
              <w:right w:val="nil"/>
            </w:tcBorders>
          </w:tcPr>
          <w:p>
            <w:pPr/>
          </w:p>
        </w:tc>
        <w:tc>
          <w:tcPr>
            <w:tcW w:w="619" w:type="dxa"/>
            <w:tcBorders>
              <w:top w:val="nil"/>
              <w:left w:val="nil"/>
              <w:bottom w:val="nil"/>
              <w:right w:val="nil"/>
            </w:tcBorders>
          </w:tcPr>
          <w:p>
            <w:pPr/>
          </w:p>
        </w:tc>
        <w:tc>
          <w:tcPr>
            <w:tcW w:w="772" w:type="dxa"/>
            <w:tcBorders>
              <w:top w:val="nil"/>
              <w:left w:val="nil"/>
              <w:bottom w:val="nil"/>
              <w:right w:val="nil"/>
            </w:tcBorders>
          </w:tcPr>
          <w:p>
            <w:pPr/>
          </w:p>
        </w:tc>
      </w:tr>
      <w:tr>
        <w:trPr>
          <w:trHeight w:val="449" w:hRule="exact"/>
        </w:trPr>
        <w:tc>
          <w:tcPr>
            <w:tcW w:w="1665" w:type="dxa"/>
            <w:tcBorders>
              <w:top w:val="nil"/>
              <w:left w:val="nil"/>
              <w:bottom w:val="nil"/>
              <w:right w:val="nil"/>
            </w:tcBorders>
          </w:tcPr>
          <w:p>
            <w:pPr/>
          </w:p>
        </w:tc>
        <w:tc>
          <w:tcPr>
            <w:tcW w:w="1857" w:type="dxa"/>
            <w:tcBorders>
              <w:top w:val="nil"/>
              <w:left w:val="nil"/>
              <w:bottom w:val="nil"/>
              <w:right w:val="nil"/>
            </w:tcBorders>
          </w:tcPr>
          <w:p>
            <w:pPr>
              <w:pStyle w:val="TableParagraph"/>
              <w:spacing w:before="122"/>
              <w:ind w:left="115"/>
              <w:rPr>
                <w:sz w:val="21"/>
              </w:rPr>
            </w:pPr>
            <w:r>
              <w:rPr>
                <w:w w:val="105"/>
                <w:sz w:val="21"/>
              </w:rPr>
              <w:t>5/8</w:t>
            </w:r>
          </w:p>
        </w:tc>
        <w:tc>
          <w:tcPr>
            <w:tcW w:w="1858" w:type="dxa"/>
            <w:tcBorders>
              <w:top w:val="nil"/>
              <w:left w:val="nil"/>
              <w:bottom w:val="nil"/>
              <w:right w:val="nil"/>
            </w:tcBorders>
          </w:tcPr>
          <w:p>
            <w:pPr>
              <w:pStyle w:val="TableParagraph"/>
              <w:spacing w:before="122"/>
              <w:ind w:left="116"/>
              <w:rPr>
                <w:sz w:val="21"/>
              </w:rPr>
            </w:pPr>
            <w:r>
              <w:rPr>
                <w:w w:val="105"/>
                <w:sz w:val="21"/>
              </w:rPr>
              <w:t>3/8</w:t>
            </w:r>
          </w:p>
        </w:tc>
        <w:tc>
          <w:tcPr>
            <w:tcW w:w="967" w:type="dxa"/>
            <w:tcBorders>
              <w:top w:val="nil"/>
              <w:left w:val="nil"/>
              <w:bottom w:val="nil"/>
              <w:right w:val="nil"/>
            </w:tcBorders>
          </w:tcPr>
          <w:p>
            <w:pPr/>
          </w:p>
        </w:tc>
        <w:tc>
          <w:tcPr>
            <w:tcW w:w="1703" w:type="dxa"/>
            <w:tcBorders>
              <w:top w:val="nil"/>
              <w:left w:val="nil"/>
              <w:bottom w:val="nil"/>
              <w:right w:val="nil"/>
            </w:tcBorders>
          </w:tcPr>
          <w:p>
            <w:pPr/>
          </w:p>
        </w:tc>
        <w:tc>
          <w:tcPr>
            <w:tcW w:w="619" w:type="dxa"/>
            <w:tcBorders>
              <w:top w:val="nil"/>
              <w:left w:val="nil"/>
              <w:bottom w:val="nil"/>
              <w:right w:val="nil"/>
            </w:tcBorders>
          </w:tcPr>
          <w:p>
            <w:pPr/>
          </w:p>
        </w:tc>
        <w:tc>
          <w:tcPr>
            <w:tcW w:w="772" w:type="dxa"/>
            <w:tcBorders>
              <w:top w:val="nil"/>
              <w:left w:val="nil"/>
              <w:bottom w:val="nil"/>
              <w:right w:val="nil"/>
            </w:tcBorders>
          </w:tcPr>
          <w:p>
            <w:pPr/>
          </w:p>
        </w:tc>
      </w:tr>
      <w:tr>
        <w:trPr>
          <w:trHeight w:val="394" w:hRule="exact"/>
        </w:trPr>
        <w:tc>
          <w:tcPr>
            <w:tcW w:w="1665" w:type="dxa"/>
            <w:tcBorders>
              <w:top w:val="nil"/>
              <w:left w:val="nil"/>
              <w:bottom w:val="nil"/>
              <w:right w:val="nil"/>
            </w:tcBorders>
          </w:tcPr>
          <w:p>
            <w:pPr>
              <w:pStyle w:val="TableParagraph"/>
              <w:spacing w:before="67"/>
              <w:ind w:left="72"/>
              <w:rPr>
                <w:sz w:val="21"/>
              </w:rPr>
            </w:pPr>
            <w:r>
              <w:rPr>
                <w:w w:val="105"/>
                <w:sz w:val="21"/>
              </w:rPr>
              <w:t>ETUC</w:t>
            </w:r>
          </w:p>
        </w:tc>
        <w:tc>
          <w:tcPr>
            <w:tcW w:w="1857" w:type="dxa"/>
            <w:tcBorders>
              <w:top w:val="nil"/>
              <w:left w:val="nil"/>
              <w:bottom w:val="nil"/>
              <w:right w:val="nil"/>
            </w:tcBorders>
          </w:tcPr>
          <w:p>
            <w:pPr/>
          </w:p>
        </w:tc>
        <w:tc>
          <w:tcPr>
            <w:tcW w:w="1858" w:type="dxa"/>
            <w:tcBorders>
              <w:top w:val="nil"/>
              <w:left w:val="nil"/>
              <w:bottom w:val="nil"/>
              <w:right w:val="nil"/>
            </w:tcBorders>
          </w:tcPr>
          <w:p>
            <w:pPr/>
          </w:p>
        </w:tc>
        <w:tc>
          <w:tcPr>
            <w:tcW w:w="967" w:type="dxa"/>
            <w:tcBorders>
              <w:top w:val="nil"/>
              <w:left w:val="nil"/>
              <w:bottom w:val="nil"/>
              <w:right w:val="nil"/>
            </w:tcBorders>
          </w:tcPr>
          <w:p>
            <w:pPr>
              <w:pStyle w:val="TableParagraph"/>
              <w:spacing w:before="67"/>
              <w:ind w:left="116"/>
              <w:rPr>
                <w:sz w:val="21"/>
              </w:rPr>
            </w:pPr>
            <w:r>
              <w:rPr>
                <w:w w:val="105"/>
                <w:sz w:val="21"/>
              </w:rPr>
              <w:t>1.818</w:t>
            </w:r>
          </w:p>
        </w:tc>
        <w:tc>
          <w:tcPr>
            <w:tcW w:w="1703" w:type="dxa"/>
            <w:tcBorders>
              <w:top w:val="nil"/>
              <w:left w:val="nil"/>
              <w:bottom w:val="nil"/>
              <w:right w:val="nil"/>
            </w:tcBorders>
          </w:tcPr>
          <w:p>
            <w:pPr>
              <w:pStyle w:val="TableParagraph"/>
              <w:spacing w:before="67"/>
              <w:ind w:left="300"/>
              <w:rPr>
                <w:sz w:val="21"/>
              </w:rPr>
            </w:pPr>
            <w:r>
              <w:rPr>
                <w:w w:val="105"/>
                <w:sz w:val="21"/>
              </w:rPr>
              <w:t>0.426-7.745</w:t>
            </w:r>
          </w:p>
        </w:tc>
        <w:tc>
          <w:tcPr>
            <w:tcW w:w="619" w:type="dxa"/>
            <w:tcBorders>
              <w:top w:val="nil"/>
              <w:left w:val="nil"/>
              <w:bottom w:val="nil"/>
              <w:right w:val="nil"/>
            </w:tcBorders>
          </w:tcPr>
          <w:p>
            <w:pPr>
              <w:pStyle w:val="TableParagraph"/>
              <w:spacing w:before="67"/>
              <w:ind w:left="105"/>
              <w:rPr>
                <w:sz w:val="21"/>
              </w:rPr>
            </w:pPr>
            <w:r>
              <w:rPr>
                <w:w w:val="105"/>
                <w:sz w:val="21"/>
              </w:rPr>
              <w:t>0.67</w:t>
            </w:r>
          </w:p>
        </w:tc>
        <w:tc>
          <w:tcPr>
            <w:tcW w:w="772" w:type="dxa"/>
            <w:tcBorders>
              <w:top w:val="nil"/>
              <w:left w:val="nil"/>
              <w:bottom w:val="nil"/>
              <w:right w:val="nil"/>
            </w:tcBorders>
          </w:tcPr>
          <w:p>
            <w:pPr>
              <w:pStyle w:val="TableParagraph"/>
              <w:spacing w:before="67"/>
              <w:ind w:left="85"/>
              <w:rPr>
                <w:sz w:val="21"/>
              </w:rPr>
            </w:pPr>
            <w:r>
              <w:rPr>
                <w:w w:val="105"/>
                <w:sz w:val="21"/>
              </w:rPr>
              <w:t>0.41</w:t>
            </w:r>
          </w:p>
        </w:tc>
      </w:tr>
      <w:tr>
        <w:trPr>
          <w:trHeight w:val="405" w:hRule="exact"/>
        </w:trPr>
        <w:tc>
          <w:tcPr>
            <w:tcW w:w="1665" w:type="dxa"/>
            <w:tcBorders>
              <w:top w:val="nil"/>
              <w:left w:val="nil"/>
              <w:bottom w:val="nil"/>
              <w:right w:val="nil"/>
            </w:tcBorders>
          </w:tcPr>
          <w:p>
            <w:pPr/>
          </w:p>
        </w:tc>
        <w:tc>
          <w:tcPr>
            <w:tcW w:w="1857" w:type="dxa"/>
            <w:tcBorders>
              <w:top w:val="nil"/>
              <w:left w:val="nil"/>
              <w:bottom w:val="nil"/>
              <w:right w:val="nil"/>
            </w:tcBorders>
          </w:tcPr>
          <w:p>
            <w:pPr>
              <w:pStyle w:val="TableParagraph"/>
              <w:spacing w:before="67"/>
              <w:ind w:left="115"/>
              <w:rPr>
                <w:sz w:val="21"/>
              </w:rPr>
            </w:pPr>
            <w:r>
              <w:rPr>
                <w:w w:val="105"/>
                <w:sz w:val="21"/>
              </w:rPr>
              <w:t>(62.5%)</w:t>
            </w:r>
          </w:p>
        </w:tc>
        <w:tc>
          <w:tcPr>
            <w:tcW w:w="1858" w:type="dxa"/>
            <w:tcBorders>
              <w:top w:val="nil"/>
              <w:left w:val="nil"/>
              <w:bottom w:val="nil"/>
              <w:right w:val="nil"/>
            </w:tcBorders>
          </w:tcPr>
          <w:p>
            <w:pPr>
              <w:pStyle w:val="TableParagraph"/>
              <w:spacing w:before="67"/>
              <w:ind w:left="116"/>
              <w:rPr>
                <w:sz w:val="21"/>
              </w:rPr>
            </w:pPr>
            <w:r>
              <w:rPr>
                <w:w w:val="105"/>
                <w:sz w:val="21"/>
              </w:rPr>
              <w:t>(37.5%)</w:t>
            </w:r>
          </w:p>
        </w:tc>
        <w:tc>
          <w:tcPr>
            <w:tcW w:w="967" w:type="dxa"/>
            <w:tcBorders>
              <w:top w:val="nil"/>
              <w:left w:val="nil"/>
              <w:bottom w:val="nil"/>
              <w:right w:val="nil"/>
            </w:tcBorders>
          </w:tcPr>
          <w:p>
            <w:pPr/>
          </w:p>
        </w:tc>
        <w:tc>
          <w:tcPr>
            <w:tcW w:w="1703" w:type="dxa"/>
            <w:tcBorders>
              <w:top w:val="nil"/>
              <w:left w:val="nil"/>
              <w:bottom w:val="nil"/>
              <w:right w:val="nil"/>
            </w:tcBorders>
          </w:tcPr>
          <w:p>
            <w:pPr/>
          </w:p>
        </w:tc>
        <w:tc>
          <w:tcPr>
            <w:tcW w:w="619" w:type="dxa"/>
            <w:tcBorders>
              <w:top w:val="nil"/>
              <w:left w:val="nil"/>
              <w:bottom w:val="nil"/>
              <w:right w:val="nil"/>
            </w:tcBorders>
          </w:tcPr>
          <w:p>
            <w:pPr/>
          </w:p>
        </w:tc>
        <w:tc>
          <w:tcPr>
            <w:tcW w:w="772" w:type="dxa"/>
            <w:tcBorders>
              <w:top w:val="nil"/>
              <w:left w:val="nil"/>
              <w:bottom w:val="nil"/>
              <w:right w:val="nil"/>
            </w:tcBorders>
          </w:tcPr>
          <w:p>
            <w:pPr/>
          </w:p>
        </w:tc>
      </w:tr>
    </w:tbl>
    <w:p>
      <w:pPr>
        <w:pStyle w:val="BodyText"/>
        <w:spacing w:before="7"/>
        <w:rPr>
          <w:b/>
          <w:sz w:val="10"/>
        </w:rPr>
      </w:pPr>
      <w:r>
        <w:rPr/>
        <w:pict>
          <v:group style="position:absolute;margin-left:84.362999pt;margin-top:8.061399pt;width:472.6pt;height:.5pt;mso-position-horizontal-relative:page;mso-position-vertical-relative:paragraph;z-index:1336;mso-wrap-distance-left:0;mso-wrap-distance-right:0" coordorigin="1687,161" coordsize="9452,10">
            <v:line style="position:absolute" from="1692,166" to="3401,166" stroked="true" strokeweight=".48pt" strokecolor="#000000"/>
            <v:line style="position:absolute" from="3401,166" to="3411,166" stroked="true" strokeweight=".48pt" strokecolor="#000000"/>
            <v:line style="position:absolute" from="3411,166" to="5259,166" stroked="true" strokeweight=".48pt" strokecolor="#000000"/>
            <v:line style="position:absolute" from="5259,166" to="5268,166" stroked="true" strokeweight=".48pt" strokecolor="#000000"/>
            <v:line style="position:absolute" from="5268,166" to="7116,166" stroked="true" strokeweight=".48pt" strokecolor="#000000"/>
            <v:line style="position:absolute" from="7116,166" to="7126,166" stroked="true" strokeweight=".48pt" strokecolor="#000000"/>
            <v:line style="position:absolute" from="7126,166" to="8268,166" stroked="true" strokeweight=".48pt" strokecolor="#000000"/>
            <v:line style="position:absolute" from="8268,166" to="8278,166" stroked="true" strokeweight=".48pt" strokecolor="#000000"/>
            <v:line style="position:absolute" from="8278,166" to="9775,166" stroked="true" strokeweight=".48pt" strokecolor="#000000"/>
            <v:line style="position:absolute" from="9775,166" to="9785,166" stroked="true" strokeweight=".48pt" strokecolor="#000000"/>
            <v:line style="position:absolute" from="9785,166" to="10375,166" stroked="true" strokeweight=".48pt" strokecolor="#000000"/>
            <v:line style="position:absolute" from="10375,166" to="10385,166" stroked="true" strokeweight=".48pt" strokecolor="#000000"/>
            <v:line style="position:absolute" from="10385,166" to="11134,166" stroked="true" strokeweight=".48pt" strokecolor="#000000"/>
            <w10:wrap type="topAndBottom"/>
          </v:group>
        </w:pict>
      </w:r>
    </w:p>
    <w:p>
      <w:pPr>
        <w:pStyle w:val="BodyText"/>
        <w:spacing w:before="7"/>
        <w:rPr>
          <w:b/>
          <w:sz w:val="11"/>
        </w:rPr>
      </w:pPr>
    </w:p>
    <w:p>
      <w:pPr>
        <w:spacing w:before="81"/>
        <w:ind w:left="184" w:right="0" w:firstLine="0"/>
        <w:jc w:val="left"/>
        <w:rPr>
          <w:sz w:val="19"/>
        </w:rPr>
      </w:pPr>
      <w:r>
        <w:rPr>
          <w:w w:val="105"/>
          <w:sz w:val="19"/>
        </w:rPr>
        <w:t>ETUC: Enfermedades del tracto urinario caudal.</w:t>
      </w:r>
    </w:p>
    <w:p>
      <w:pPr>
        <w:spacing w:after="0"/>
        <w:jc w:val="left"/>
        <w:rPr>
          <w:sz w:val="19"/>
        </w:rPr>
        <w:sectPr>
          <w:pgSz w:w="12240" w:h="15840"/>
          <w:pgMar w:header="742" w:footer="748" w:top="980" w:bottom="940" w:left="1580" w:right="18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2"/>
        <w:rPr>
          <w:sz w:val="22"/>
        </w:rPr>
      </w:pPr>
    </w:p>
    <w:p>
      <w:pPr>
        <w:pStyle w:val="BodyText"/>
        <w:spacing w:line="480" w:lineRule="auto" w:before="79"/>
        <w:ind w:left="144" w:right="888"/>
        <w:jc w:val="both"/>
      </w:pPr>
      <w:r>
        <w:rPr/>
        <w:t>De acuerdo a los valores obtenidos con el análisis de </w:t>
      </w:r>
      <w:r>
        <w:rPr>
          <w:rFonts w:ascii="Times New Roman" w:hAnsi="Times New Roman"/>
          <w:i/>
        </w:rPr>
        <w:t>Xi</w:t>
      </w:r>
      <w:r>
        <w:rPr>
          <w:rFonts w:ascii="Times New Roman" w:hAnsi="Times New Roman"/>
          <w:i/>
          <w:position w:val="11"/>
          <w:sz w:val="16"/>
        </w:rPr>
        <w:t>2 </w:t>
      </w:r>
      <w:r>
        <w:rPr/>
        <w:t>las cardiopatías, endocrinopatías, hepatopatías y neoplasia son candidatas a considerarse como  factores de riesgo (p&lt; 0.20), por lo que se llevó a cabo un análisis de regresión logística, mostrándose los resultados en la tabla</w:t>
      </w:r>
      <w:r>
        <w:rPr>
          <w:spacing w:val="-1"/>
        </w:rPr>
        <w:t> </w:t>
      </w:r>
      <w:r>
        <w:rPr/>
        <w:t>6.</w:t>
      </w:r>
    </w:p>
    <w:p>
      <w:pPr>
        <w:pStyle w:val="BodyText"/>
      </w:pPr>
    </w:p>
    <w:p>
      <w:pPr>
        <w:pStyle w:val="BodyText"/>
      </w:pPr>
    </w:p>
    <w:p>
      <w:pPr>
        <w:pStyle w:val="BodyText"/>
        <w:spacing w:line="480" w:lineRule="auto" w:before="176"/>
        <w:ind w:left="144" w:right="888"/>
        <w:jc w:val="both"/>
      </w:pPr>
      <w:r>
        <w:rPr/>
        <w:t>Los datos arrojados por el estudio de regresión logística muestran que las cardiopatías, endocrinopatías tienen una mayor probabilidad de desarrollar ERC y pueden ser consideradas como factores de riesgo.</w:t>
      </w:r>
    </w:p>
    <w:p>
      <w:pPr>
        <w:spacing w:after="0" w:line="480" w:lineRule="auto"/>
        <w:jc w:val="both"/>
        <w:sectPr>
          <w:pgSz w:w="12240" w:h="15840"/>
          <w:pgMar w:header="742" w:footer="748" w:top="980" w:bottom="940" w:left="1620" w:right="18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6"/>
        <w:rPr>
          <w:sz w:val="25"/>
        </w:rPr>
      </w:pPr>
    </w:p>
    <w:p>
      <w:pPr>
        <w:spacing w:before="79"/>
        <w:ind w:left="244" w:right="2029" w:firstLine="0"/>
        <w:jc w:val="left"/>
        <w:rPr>
          <w:b/>
          <w:sz w:val="21"/>
        </w:rPr>
      </w:pPr>
      <w:r>
        <w:rPr>
          <w:b/>
          <w:w w:val="105"/>
          <w:sz w:val="21"/>
        </w:rPr>
        <w:t>Tabla 6. Regresión logística para los factores de riesgo relacionados.</w:t>
      </w:r>
    </w:p>
    <w:p>
      <w:pPr>
        <w:pStyle w:val="BodyText"/>
        <w:rPr>
          <w:b/>
          <w:sz w:val="20"/>
        </w:rPr>
      </w:pPr>
    </w:p>
    <w:p>
      <w:pPr>
        <w:pStyle w:val="BodyText"/>
        <w:spacing w:before="5"/>
        <w:rPr>
          <w:b/>
          <w:sz w:val="19"/>
        </w:rPr>
      </w:pPr>
      <w:r>
        <w:rPr/>
        <w:pict>
          <v:group style="position:absolute;margin-left:82.443001pt;margin-top:13.145946pt;width:445.5pt;height:.5pt;mso-position-horizontal-relative:page;mso-position-vertical-relative:paragraph;z-index:1360;mso-wrap-distance-left:0;mso-wrap-distance-right:0" coordorigin="1649,263" coordsize="8910,10">
            <v:line style="position:absolute" from="1654,268" to="2580,268" stroked="true" strokeweight=".4801pt" strokecolor="#000000"/>
            <v:line style="position:absolute" from="2580,268" to="2590,268" stroked="true" strokeweight=".4801pt" strokecolor="#000000"/>
            <v:line style="position:absolute" from="2590,268" to="4817,268" stroked="true" strokeweight=".4801pt" strokecolor="#000000"/>
            <v:line style="position:absolute" from="4817,268" to="4827,268" stroked="true" strokeweight=".4801pt" strokecolor="#000000"/>
            <v:line style="position:absolute" from="4827,268" to="5907,268" stroked="true" strokeweight=".4801pt" strokecolor="#000000"/>
            <v:line style="position:absolute" from="5907,268" to="5916,268" stroked="true" strokeweight=".4801pt" strokecolor="#000000"/>
            <v:line style="position:absolute" from="5916,268" to="6895,268" stroked="true" strokeweight=".4801pt" strokecolor="#000000"/>
            <v:line style="position:absolute" from="6895,268" to="6905,268" stroked="true" strokeweight=".4801pt" strokecolor="#000000"/>
            <v:line style="position:absolute" from="6905,268" to="7889,268" stroked="true" strokeweight=".4801pt" strokecolor="#000000"/>
            <v:line style="position:absolute" from="7889,268" to="7899,268" stroked="true" strokeweight=".4801pt" strokecolor="#000000"/>
            <v:line style="position:absolute" from="7899,268" to="10553,268" stroked="true" strokeweight=".4801pt" strokecolor="#000000"/>
            <w10:wrap type="topAndBottom"/>
          </v:group>
        </w:pict>
      </w:r>
    </w:p>
    <w:p>
      <w:pPr>
        <w:tabs>
          <w:tab w:pos="7336" w:val="left" w:leader="none"/>
          <w:tab w:pos="8670" w:val="left" w:leader="none"/>
        </w:tabs>
        <w:spacing w:line="501" w:lineRule="auto" w:before="0" w:after="9"/>
        <w:ind w:left="6479" w:right="1612" w:firstLine="0"/>
        <w:jc w:val="left"/>
        <w:rPr>
          <w:b/>
          <w:sz w:val="21"/>
        </w:rPr>
      </w:pPr>
      <w:r>
        <w:rPr>
          <w:b/>
          <w:w w:val="105"/>
          <w:sz w:val="21"/>
        </w:rPr>
        <w:t>95%</w:t>
        <w:tab/>
        <w:t>Intervalo</w:t>
        <w:tab/>
      </w:r>
      <w:r>
        <w:rPr>
          <w:b/>
          <w:sz w:val="21"/>
        </w:rPr>
        <w:t>de </w:t>
      </w:r>
      <w:r>
        <w:rPr>
          <w:b/>
          <w:w w:val="105"/>
          <w:sz w:val="21"/>
        </w:rPr>
        <w:t>confianza para</w:t>
      </w:r>
      <w:r>
        <w:rPr>
          <w:b/>
          <w:spacing w:val="-13"/>
          <w:w w:val="105"/>
          <w:sz w:val="21"/>
        </w:rPr>
        <w:t> </w:t>
      </w:r>
      <w:r>
        <w:rPr>
          <w:b/>
          <w:w w:val="105"/>
          <w:sz w:val="21"/>
        </w:rPr>
        <w:t>OR</w:t>
      </w:r>
    </w:p>
    <w:tbl>
      <w:tblPr>
        <w:tblW w:w="0" w:type="auto"/>
        <w:jc w:val="left"/>
        <w:tblInd w:w="133"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CellMar>
          <w:top w:w="0" w:type="dxa"/>
          <w:left w:w="0" w:type="dxa"/>
          <w:bottom w:w="0" w:type="dxa"/>
          <w:right w:w="0" w:type="dxa"/>
        </w:tblCellMar>
        <w:tblLook w:val="01E0"/>
      </w:tblPr>
      <w:tblGrid>
        <w:gridCol w:w="804"/>
        <w:gridCol w:w="2276"/>
        <w:gridCol w:w="1134"/>
        <w:gridCol w:w="918"/>
        <w:gridCol w:w="991"/>
        <w:gridCol w:w="1060"/>
        <w:gridCol w:w="1715"/>
      </w:tblGrid>
      <w:tr>
        <w:trPr>
          <w:trHeight w:val="1020" w:hRule="exact"/>
        </w:trPr>
        <w:tc>
          <w:tcPr>
            <w:tcW w:w="804" w:type="dxa"/>
            <w:tcBorders>
              <w:left w:val="nil"/>
              <w:bottom w:val="single" w:sz="4" w:space="0" w:color="000000"/>
              <w:right w:val="nil"/>
            </w:tcBorders>
          </w:tcPr>
          <w:p>
            <w:pPr>
              <w:pStyle w:val="TableParagraph"/>
              <w:spacing w:before="4"/>
              <w:ind w:left="110"/>
              <w:rPr>
                <w:b/>
                <w:sz w:val="21"/>
              </w:rPr>
            </w:pPr>
            <w:r>
              <w:rPr>
                <w:b/>
                <w:w w:val="105"/>
                <w:sz w:val="21"/>
              </w:rPr>
              <w:t>ERC</w:t>
            </w:r>
          </w:p>
        </w:tc>
        <w:tc>
          <w:tcPr>
            <w:tcW w:w="2276" w:type="dxa"/>
            <w:tcBorders>
              <w:left w:val="nil"/>
              <w:bottom w:val="single" w:sz="4" w:space="0" w:color="000000"/>
              <w:right w:val="nil"/>
            </w:tcBorders>
          </w:tcPr>
          <w:p>
            <w:pPr/>
          </w:p>
        </w:tc>
        <w:tc>
          <w:tcPr>
            <w:tcW w:w="1134" w:type="dxa"/>
            <w:tcBorders>
              <w:left w:val="nil"/>
              <w:bottom w:val="single" w:sz="4" w:space="0" w:color="000000"/>
              <w:right w:val="nil"/>
            </w:tcBorders>
          </w:tcPr>
          <w:p>
            <w:pPr>
              <w:pStyle w:val="TableParagraph"/>
              <w:spacing w:line="501" w:lineRule="auto" w:before="4"/>
              <w:ind w:left="193"/>
              <w:rPr>
                <w:b/>
                <w:sz w:val="21"/>
              </w:rPr>
            </w:pPr>
            <w:r>
              <w:rPr>
                <w:b/>
                <w:w w:val="105"/>
                <w:sz w:val="21"/>
              </w:rPr>
              <w:t>Grados </w:t>
            </w:r>
            <w:r>
              <w:rPr>
                <w:b/>
                <w:sz w:val="21"/>
              </w:rPr>
              <w:t>libertad</w:t>
            </w:r>
          </w:p>
        </w:tc>
        <w:tc>
          <w:tcPr>
            <w:tcW w:w="918" w:type="dxa"/>
            <w:tcBorders>
              <w:left w:val="nil"/>
              <w:bottom w:val="single" w:sz="4" w:space="0" w:color="000000"/>
              <w:right w:val="nil"/>
            </w:tcBorders>
          </w:tcPr>
          <w:p>
            <w:pPr>
              <w:pStyle w:val="TableParagraph"/>
              <w:spacing w:before="4"/>
              <w:ind w:left="148"/>
              <w:rPr>
                <w:b/>
                <w:sz w:val="21"/>
              </w:rPr>
            </w:pPr>
            <w:r>
              <w:rPr>
                <w:b/>
                <w:w w:val="102"/>
                <w:sz w:val="21"/>
              </w:rPr>
              <w:t>p</w:t>
            </w:r>
          </w:p>
        </w:tc>
        <w:tc>
          <w:tcPr>
            <w:tcW w:w="991" w:type="dxa"/>
            <w:tcBorders>
              <w:left w:val="nil"/>
              <w:bottom w:val="single" w:sz="4" w:space="0" w:color="000000"/>
              <w:right w:val="nil"/>
            </w:tcBorders>
          </w:tcPr>
          <w:p>
            <w:pPr>
              <w:pStyle w:val="TableParagraph"/>
              <w:spacing w:before="4"/>
              <w:ind w:left="219"/>
              <w:rPr>
                <w:b/>
                <w:sz w:val="21"/>
              </w:rPr>
            </w:pPr>
            <w:r>
              <w:rPr>
                <w:b/>
                <w:w w:val="105"/>
                <w:sz w:val="21"/>
              </w:rPr>
              <w:t>OR</w:t>
            </w:r>
          </w:p>
        </w:tc>
        <w:tc>
          <w:tcPr>
            <w:tcW w:w="1060" w:type="dxa"/>
            <w:tcBorders>
              <w:left w:val="nil"/>
              <w:bottom w:val="single" w:sz="4" w:space="0" w:color="000000"/>
              <w:right w:val="nil"/>
            </w:tcBorders>
          </w:tcPr>
          <w:p>
            <w:pPr>
              <w:pStyle w:val="TableParagraph"/>
              <w:spacing w:line="501" w:lineRule="auto" w:before="4"/>
              <w:ind w:left="221"/>
              <w:rPr>
                <w:b/>
                <w:sz w:val="21"/>
              </w:rPr>
            </w:pPr>
            <w:r>
              <w:rPr>
                <w:b/>
                <w:sz w:val="21"/>
              </w:rPr>
              <w:t>Límite </w:t>
            </w:r>
            <w:r>
              <w:rPr>
                <w:b/>
                <w:w w:val="105"/>
                <w:sz w:val="21"/>
              </w:rPr>
              <w:t>Bajo</w:t>
            </w:r>
          </w:p>
        </w:tc>
        <w:tc>
          <w:tcPr>
            <w:tcW w:w="1715" w:type="dxa"/>
            <w:tcBorders>
              <w:left w:val="nil"/>
              <w:bottom w:val="single" w:sz="4" w:space="0" w:color="000000"/>
              <w:right w:val="nil"/>
            </w:tcBorders>
          </w:tcPr>
          <w:p>
            <w:pPr>
              <w:pStyle w:val="TableParagraph"/>
              <w:spacing w:before="4"/>
              <w:ind w:left="193"/>
              <w:rPr>
                <w:b/>
                <w:sz w:val="21"/>
              </w:rPr>
            </w:pPr>
            <w:r>
              <w:rPr>
                <w:b/>
                <w:w w:val="105"/>
                <w:sz w:val="21"/>
              </w:rPr>
              <w:t>Límite Alto</w:t>
            </w:r>
          </w:p>
        </w:tc>
      </w:tr>
      <w:tr>
        <w:trPr>
          <w:trHeight w:val="1519" w:hRule="exact"/>
        </w:trPr>
        <w:tc>
          <w:tcPr>
            <w:tcW w:w="804" w:type="dxa"/>
            <w:tcBorders>
              <w:top w:val="single" w:sz="4" w:space="0" w:color="000000"/>
              <w:left w:val="nil"/>
              <w:bottom w:val="nil"/>
              <w:right w:val="nil"/>
            </w:tcBorders>
          </w:tcPr>
          <w:p>
            <w:pPr>
              <w:pStyle w:val="TableParagraph"/>
              <w:spacing w:line="501" w:lineRule="auto" w:before="4"/>
              <w:ind w:left="110"/>
              <w:rPr>
                <w:sz w:val="21"/>
              </w:rPr>
            </w:pPr>
            <w:r>
              <w:rPr>
                <w:w w:val="105"/>
                <w:sz w:val="21"/>
              </w:rPr>
              <w:t>No </w:t>
            </w:r>
            <w:r>
              <w:rPr>
                <w:sz w:val="21"/>
              </w:rPr>
              <w:t>ERC</w:t>
            </w:r>
          </w:p>
        </w:tc>
        <w:tc>
          <w:tcPr>
            <w:tcW w:w="2276" w:type="dxa"/>
            <w:tcBorders>
              <w:top w:val="single" w:sz="4" w:space="0" w:color="000000"/>
              <w:left w:val="nil"/>
              <w:bottom w:val="nil"/>
              <w:right w:val="nil"/>
            </w:tcBorders>
          </w:tcPr>
          <w:p>
            <w:pPr>
              <w:pStyle w:val="TableParagraph"/>
              <w:spacing w:before="4"/>
              <w:ind w:left="232"/>
              <w:rPr>
                <w:sz w:val="21"/>
              </w:rPr>
            </w:pPr>
            <w:r>
              <w:rPr>
                <w:w w:val="105"/>
                <w:sz w:val="21"/>
              </w:rPr>
              <w:t>Intercepción</w:t>
            </w:r>
          </w:p>
          <w:p>
            <w:pPr>
              <w:pStyle w:val="TableParagraph"/>
              <w:rPr>
                <w:b/>
                <w:sz w:val="22"/>
              </w:rPr>
            </w:pPr>
          </w:p>
          <w:p>
            <w:pPr>
              <w:pStyle w:val="TableParagraph"/>
              <w:rPr>
                <w:b/>
                <w:sz w:val="22"/>
              </w:rPr>
            </w:pPr>
          </w:p>
          <w:p>
            <w:pPr>
              <w:pStyle w:val="TableParagraph"/>
              <w:rPr>
                <w:b/>
                <w:sz w:val="23"/>
              </w:rPr>
            </w:pPr>
          </w:p>
          <w:p>
            <w:pPr>
              <w:pStyle w:val="TableParagraph"/>
              <w:spacing w:before="1"/>
              <w:ind w:left="232"/>
              <w:rPr>
                <w:sz w:val="21"/>
              </w:rPr>
            </w:pPr>
            <w:r>
              <w:rPr>
                <w:w w:val="105"/>
                <w:sz w:val="21"/>
              </w:rPr>
              <w:t>Cardiopatía=0</w:t>
            </w:r>
          </w:p>
        </w:tc>
        <w:tc>
          <w:tcPr>
            <w:tcW w:w="1134" w:type="dxa"/>
            <w:tcBorders>
              <w:top w:val="single" w:sz="4" w:space="0" w:color="000000"/>
              <w:left w:val="nil"/>
              <w:bottom w:val="nil"/>
              <w:right w:val="nil"/>
            </w:tcBorders>
          </w:tcPr>
          <w:p>
            <w:pPr>
              <w:pStyle w:val="TableParagraph"/>
              <w:spacing w:before="4"/>
              <w:ind w:left="193"/>
              <w:rPr>
                <w:sz w:val="21"/>
              </w:rPr>
            </w:pPr>
            <w:r>
              <w:rPr>
                <w:w w:val="102"/>
                <w:sz w:val="21"/>
              </w:rPr>
              <w:t>1</w:t>
            </w:r>
          </w:p>
          <w:p>
            <w:pPr>
              <w:pStyle w:val="TableParagraph"/>
              <w:rPr>
                <w:b/>
                <w:sz w:val="22"/>
              </w:rPr>
            </w:pPr>
          </w:p>
          <w:p>
            <w:pPr>
              <w:pStyle w:val="TableParagraph"/>
              <w:rPr>
                <w:b/>
                <w:sz w:val="22"/>
              </w:rPr>
            </w:pPr>
          </w:p>
          <w:p>
            <w:pPr>
              <w:pStyle w:val="TableParagraph"/>
              <w:rPr>
                <w:b/>
                <w:sz w:val="23"/>
              </w:rPr>
            </w:pPr>
          </w:p>
          <w:p>
            <w:pPr>
              <w:pStyle w:val="TableParagraph"/>
              <w:spacing w:before="1"/>
              <w:ind w:left="193"/>
              <w:rPr>
                <w:sz w:val="21"/>
              </w:rPr>
            </w:pPr>
            <w:r>
              <w:rPr>
                <w:w w:val="102"/>
                <w:sz w:val="21"/>
              </w:rPr>
              <w:t>1</w:t>
            </w:r>
          </w:p>
        </w:tc>
        <w:tc>
          <w:tcPr>
            <w:tcW w:w="918" w:type="dxa"/>
            <w:tcBorders>
              <w:top w:val="single" w:sz="4" w:space="0" w:color="000000"/>
              <w:left w:val="nil"/>
              <w:bottom w:val="nil"/>
              <w:right w:val="nil"/>
            </w:tcBorders>
          </w:tcPr>
          <w:p>
            <w:pPr>
              <w:pStyle w:val="TableParagraph"/>
              <w:spacing w:before="4"/>
              <w:ind w:left="148"/>
              <w:rPr>
                <w:sz w:val="21"/>
              </w:rPr>
            </w:pPr>
            <w:r>
              <w:rPr>
                <w:w w:val="105"/>
                <w:sz w:val="21"/>
              </w:rPr>
              <w:t>0.006</w:t>
            </w:r>
          </w:p>
          <w:p>
            <w:pPr>
              <w:pStyle w:val="TableParagraph"/>
              <w:rPr>
                <w:b/>
                <w:sz w:val="22"/>
              </w:rPr>
            </w:pPr>
          </w:p>
          <w:p>
            <w:pPr>
              <w:pStyle w:val="TableParagraph"/>
              <w:rPr>
                <w:b/>
                <w:sz w:val="22"/>
              </w:rPr>
            </w:pPr>
          </w:p>
          <w:p>
            <w:pPr>
              <w:pStyle w:val="TableParagraph"/>
              <w:rPr>
                <w:b/>
                <w:sz w:val="23"/>
              </w:rPr>
            </w:pPr>
          </w:p>
          <w:p>
            <w:pPr>
              <w:pStyle w:val="TableParagraph"/>
              <w:spacing w:before="1"/>
              <w:ind w:left="148"/>
              <w:rPr>
                <w:sz w:val="21"/>
              </w:rPr>
            </w:pPr>
            <w:r>
              <w:rPr>
                <w:w w:val="105"/>
                <w:sz w:val="21"/>
              </w:rPr>
              <w:t>0.009</w:t>
            </w:r>
          </w:p>
        </w:tc>
        <w:tc>
          <w:tcPr>
            <w:tcW w:w="991" w:type="dxa"/>
            <w:tcBorders>
              <w:top w:val="single" w:sz="4" w:space="0" w:color="000000"/>
              <w:left w:val="nil"/>
              <w:bottom w:val="nil"/>
              <w:right w:val="nil"/>
            </w:tcBorders>
          </w:tcPr>
          <w:p>
            <w:pPr>
              <w:pStyle w:val="TableParagraph"/>
              <w:rPr>
                <w:b/>
                <w:sz w:val="22"/>
              </w:rPr>
            </w:pPr>
          </w:p>
          <w:p>
            <w:pPr>
              <w:pStyle w:val="TableParagraph"/>
              <w:rPr>
                <w:b/>
                <w:sz w:val="22"/>
              </w:rPr>
            </w:pPr>
          </w:p>
          <w:p>
            <w:pPr>
              <w:pStyle w:val="TableParagraph"/>
              <w:rPr>
                <w:b/>
                <w:sz w:val="22"/>
              </w:rPr>
            </w:pPr>
          </w:p>
          <w:p>
            <w:pPr>
              <w:pStyle w:val="TableParagraph"/>
              <w:spacing w:before="5"/>
              <w:rPr>
                <w:b/>
                <w:sz w:val="22"/>
              </w:rPr>
            </w:pPr>
          </w:p>
          <w:p>
            <w:pPr>
              <w:pStyle w:val="TableParagraph"/>
              <w:ind w:left="219"/>
              <w:rPr>
                <w:sz w:val="21"/>
              </w:rPr>
            </w:pPr>
            <w:r>
              <w:rPr>
                <w:w w:val="105"/>
                <w:sz w:val="21"/>
              </w:rPr>
              <w:t>2.439</w:t>
            </w:r>
          </w:p>
        </w:tc>
        <w:tc>
          <w:tcPr>
            <w:tcW w:w="1060" w:type="dxa"/>
            <w:tcBorders>
              <w:top w:val="single" w:sz="4" w:space="0" w:color="000000"/>
              <w:left w:val="nil"/>
              <w:bottom w:val="nil"/>
              <w:right w:val="nil"/>
            </w:tcBorders>
          </w:tcPr>
          <w:p>
            <w:pPr>
              <w:pStyle w:val="TableParagraph"/>
              <w:rPr>
                <w:b/>
                <w:sz w:val="22"/>
              </w:rPr>
            </w:pPr>
          </w:p>
          <w:p>
            <w:pPr>
              <w:pStyle w:val="TableParagraph"/>
              <w:rPr>
                <w:b/>
                <w:sz w:val="22"/>
              </w:rPr>
            </w:pPr>
          </w:p>
          <w:p>
            <w:pPr>
              <w:pStyle w:val="TableParagraph"/>
              <w:rPr>
                <w:b/>
                <w:sz w:val="22"/>
              </w:rPr>
            </w:pPr>
          </w:p>
          <w:p>
            <w:pPr>
              <w:pStyle w:val="TableParagraph"/>
              <w:spacing w:before="5"/>
              <w:rPr>
                <w:b/>
                <w:sz w:val="22"/>
              </w:rPr>
            </w:pPr>
          </w:p>
          <w:p>
            <w:pPr>
              <w:pStyle w:val="TableParagraph"/>
              <w:ind w:left="202" w:right="266"/>
              <w:jc w:val="center"/>
              <w:rPr>
                <w:sz w:val="21"/>
              </w:rPr>
            </w:pPr>
            <w:r>
              <w:rPr>
                <w:w w:val="105"/>
                <w:sz w:val="21"/>
              </w:rPr>
              <w:t>1.250</w:t>
            </w:r>
          </w:p>
        </w:tc>
        <w:tc>
          <w:tcPr>
            <w:tcW w:w="1715" w:type="dxa"/>
            <w:tcBorders>
              <w:top w:val="single" w:sz="4" w:space="0" w:color="000000"/>
              <w:left w:val="nil"/>
              <w:bottom w:val="nil"/>
              <w:right w:val="nil"/>
            </w:tcBorders>
          </w:tcPr>
          <w:p>
            <w:pPr>
              <w:pStyle w:val="TableParagraph"/>
              <w:rPr>
                <w:b/>
                <w:sz w:val="22"/>
              </w:rPr>
            </w:pPr>
          </w:p>
          <w:p>
            <w:pPr>
              <w:pStyle w:val="TableParagraph"/>
              <w:rPr>
                <w:b/>
                <w:sz w:val="22"/>
              </w:rPr>
            </w:pPr>
          </w:p>
          <w:p>
            <w:pPr>
              <w:pStyle w:val="TableParagraph"/>
              <w:rPr>
                <w:b/>
                <w:sz w:val="22"/>
              </w:rPr>
            </w:pPr>
          </w:p>
          <w:p>
            <w:pPr>
              <w:pStyle w:val="TableParagraph"/>
              <w:spacing w:before="5"/>
              <w:rPr>
                <w:b/>
                <w:sz w:val="22"/>
              </w:rPr>
            </w:pPr>
          </w:p>
          <w:p>
            <w:pPr>
              <w:pStyle w:val="TableParagraph"/>
              <w:ind w:left="193"/>
              <w:rPr>
                <w:sz w:val="21"/>
              </w:rPr>
            </w:pPr>
            <w:r>
              <w:rPr>
                <w:w w:val="105"/>
                <w:sz w:val="21"/>
              </w:rPr>
              <w:t>4.759</w:t>
            </w:r>
          </w:p>
        </w:tc>
      </w:tr>
      <w:tr>
        <w:trPr>
          <w:trHeight w:val="737" w:hRule="exact"/>
        </w:trPr>
        <w:tc>
          <w:tcPr>
            <w:tcW w:w="804" w:type="dxa"/>
            <w:tcBorders>
              <w:top w:val="nil"/>
              <w:left w:val="nil"/>
              <w:bottom w:val="nil"/>
              <w:right w:val="nil"/>
            </w:tcBorders>
          </w:tcPr>
          <w:p>
            <w:pPr/>
          </w:p>
        </w:tc>
        <w:tc>
          <w:tcPr>
            <w:tcW w:w="2276" w:type="dxa"/>
            <w:tcBorders>
              <w:top w:val="nil"/>
              <w:left w:val="nil"/>
              <w:bottom w:val="nil"/>
              <w:right w:val="nil"/>
            </w:tcBorders>
          </w:tcPr>
          <w:p>
            <w:pPr>
              <w:pStyle w:val="TableParagraph"/>
              <w:spacing w:before="7"/>
              <w:rPr>
                <w:b/>
                <w:sz w:val="20"/>
              </w:rPr>
            </w:pPr>
          </w:p>
          <w:p>
            <w:pPr>
              <w:pStyle w:val="TableParagraph"/>
              <w:ind w:left="232"/>
              <w:rPr>
                <w:sz w:val="21"/>
              </w:rPr>
            </w:pPr>
            <w:r>
              <w:rPr>
                <w:w w:val="105"/>
                <w:sz w:val="21"/>
              </w:rPr>
              <w:t>Cardiopatía=1</w:t>
            </w:r>
          </w:p>
        </w:tc>
        <w:tc>
          <w:tcPr>
            <w:tcW w:w="1134" w:type="dxa"/>
            <w:tcBorders>
              <w:top w:val="nil"/>
              <w:left w:val="nil"/>
              <w:bottom w:val="nil"/>
              <w:right w:val="nil"/>
            </w:tcBorders>
          </w:tcPr>
          <w:p>
            <w:pPr>
              <w:pStyle w:val="TableParagraph"/>
              <w:spacing w:before="7"/>
              <w:rPr>
                <w:b/>
                <w:sz w:val="20"/>
              </w:rPr>
            </w:pPr>
          </w:p>
          <w:p>
            <w:pPr>
              <w:pStyle w:val="TableParagraph"/>
              <w:ind w:left="193"/>
              <w:rPr>
                <w:sz w:val="21"/>
              </w:rPr>
            </w:pPr>
            <w:r>
              <w:rPr>
                <w:w w:val="102"/>
                <w:sz w:val="21"/>
              </w:rPr>
              <w:t>0</w:t>
            </w:r>
          </w:p>
        </w:tc>
        <w:tc>
          <w:tcPr>
            <w:tcW w:w="918" w:type="dxa"/>
            <w:tcBorders>
              <w:top w:val="nil"/>
              <w:left w:val="nil"/>
              <w:bottom w:val="nil"/>
              <w:right w:val="nil"/>
            </w:tcBorders>
          </w:tcPr>
          <w:p>
            <w:pPr/>
          </w:p>
        </w:tc>
        <w:tc>
          <w:tcPr>
            <w:tcW w:w="991" w:type="dxa"/>
            <w:tcBorders>
              <w:top w:val="nil"/>
              <w:left w:val="nil"/>
              <w:bottom w:val="nil"/>
              <w:right w:val="nil"/>
            </w:tcBorders>
          </w:tcPr>
          <w:p>
            <w:pPr/>
          </w:p>
        </w:tc>
        <w:tc>
          <w:tcPr>
            <w:tcW w:w="1060" w:type="dxa"/>
            <w:tcBorders>
              <w:top w:val="nil"/>
              <w:left w:val="nil"/>
              <w:bottom w:val="nil"/>
              <w:right w:val="nil"/>
            </w:tcBorders>
          </w:tcPr>
          <w:p>
            <w:pPr/>
          </w:p>
        </w:tc>
        <w:tc>
          <w:tcPr>
            <w:tcW w:w="1715" w:type="dxa"/>
            <w:tcBorders>
              <w:top w:val="nil"/>
              <w:left w:val="nil"/>
              <w:bottom w:val="nil"/>
              <w:right w:val="nil"/>
            </w:tcBorders>
          </w:tcPr>
          <w:p>
            <w:pPr/>
          </w:p>
        </w:tc>
      </w:tr>
      <w:tr>
        <w:trPr>
          <w:trHeight w:val="737" w:hRule="exact"/>
        </w:trPr>
        <w:tc>
          <w:tcPr>
            <w:tcW w:w="804" w:type="dxa"/>
            <w:tcBorders>
              <w:top w:val="nil"/>
              <w:left w:val="nil"/>
              <w:bottom w:val="nil"/>
              <w:right w:val="nil"/>
            </w:tcBorders>
          </w:tcPr>
          <w:p>
            <w:pPr/>
          </w:p>
        </w:tc>
        <w:tc>
          <w:tcPr>
            <w:tcW w:w="2276" w:type="dxa"/>
            <w:tcBorders>
              <w:top w:val="nil"/>
              <w:left w:val="nil"/>
              <w:bottom w:val="nil"/>
              <w:right w:val="nil"/>
            </w:tcBorders>
          </w:tcPr>
          <w:p>
            <w:pPr>
              <w:pStyle w:val="TableParagraph"/>
              <w:spacing w:before="9"/>
              <w:rPr>
                <w:b/>
                <w:sz w:val="20"/>
              </w:rPr>
            </w:pPr>
          </w:p>
          <w:p>
            <w:pPr>
              <w:pStyle w:val="TableParagraph"/>
              <w:ind w:left="232"/>
              <w:rPr>
                <w:sz w:val="21"/>
              </w:rPr>
            </w:pPr>
            <w:r>
              <w:rPr>
                <w:w w:val="105"/>
                <w:sz w:val="21"/>
              </w:rPr>
              <w:t>Endocrinopatía=0</w:t>
            </w:r>
          </w:p>
        </w:tc>
        <w:tc>
          <w:tcPr>
            <w:tcW w:w="1134" w:type="dxa"/>
            <w:tcBorders>
              <w:top w:val="nil"/>
              <w:left w:val="nil"/>
              <w:bottom w:val="nil"/>
              <w:right w:val="nil"/>
            </w:tcBorders>
          </w:tcPr>
          <w:p>
            <w:pPr>
              <w:pStyle w:val="TableParagraph"/>
              <w:spacing w:before="9"/>
              <w:rPr>
                <w:b/>
                <w:sz w:val="20"/>
              </w:rPr>
            </w:pPr>
          </w:p>
          <w:p>
            <w:pPr>
              <w:pStyle w:val="TableParagraph"/>
              <w:ind w:left="193"/>
              <w:rPr>
                <w:sz w:val="21"/>
              </w:rPr>
            </w:pPr>
            <w:r>
              <w:rPr>
                <w:w w:val="102"/>
                <w:sz w:val="21"/>
              </w:rPr>
              <w:t>1</w:t>
            </w:r>
          </w:p>
        </w:tc>
        <w:tc>
          <w:tcPr>
            <w:tcW w:w="918" w:type="dxa"/>
            <w:tcBorders>
              <w:top w:val="nil"/>
              <w:left w:val="nil"/>
              <w:bottom w:val="nil"/>
              <w:right w:val="nil"/>
            </w:tcBorders>
          </w:tcPr>
          <w:p>
            <w:pPr>
              <w:pStyle w:val="TableParagraph"/>
              <w:spacing w:before="9"/>
              <w:rPr>
                <w:b/>
                <w:sz w:val="20"/>
              </w:rPr>
            </w:pPr>
          </w:p>
          <w:p>
            <w:pPr>
              <w:pStyle w:val="TableParagraph"/>
              <w:ind w:left="148"/>
              <w:rPr>
                <w:sz w:val="21"/>
              </w:rPr>
            </w:pPr>
            <w:r>
              <w:rPr>
                <w:w w:val="105"/>
                <w:sz w:val="21"/>
              </w:rPr>
              <w:t>0.018</w:t>
            </w:r>
          </w:p>
        </w:tc>
        <w:tc>
          <w:tcPr>
            <w:tcW w:w="991" w:type="dxa"/>
            <w:tcBorders>
              <w:top w:val="nil"/>
              <w:left w:val="nil"/>
              <w:bottom w:val="nil"/>
              <w:right w:val="nil"/>
            </w:tcBorders>
          </w:tcPr>
          <w:p>
            <w:pPr>
              <w:pStyle w:val="TableParagraph"/>
              <w:spacing w:before="9"/>
              <w:rPr>
                <w:b/>
                <w:sz w:val="20"/>
              </w:rPr>
            </w:pPr>
          </w:p>
          <w:p>
            <w:pPr>
              <w:pStyle w:val="TableParagraph"/>
              <w:ind w:left="219"/>
              <w:rPr>
                <w:sz w:val="21"/>
              </w:rPr>
            </w:pPr>
            <w:r>
              <w:rPr>
                <w:w w:val="105"/>
                <w:sz w:val="21"/>
              </w:rPr>
              <w:t>4.813</w:t>
            </w:r>
          </w:p>
        </w:tc>
        <w:tc>
          <w:tcPr>
            <w:tcW w:w="1060" w:type="dxa"/>
            <w:tcBorders>
              <w:top w:val="nil"/>
              <w:left w:val="nil"/>
              <w:bottom w:val="nil"/>
              <w:right w:val="nil"/>
            </w:tcBorders>
          </w:tcPr>
          <w:p>
            <w:pPr>
              <w:pStyle w:val="TableParagraph"/>
              <w:spacing w:before="9"/>
              <w:rPr>
                <w:b/>
                <w:sz w:val="20"/>
              </w:rPr>
            </w:pPr>
          </w:p>
          <w:p>
            <w:pPr>
              <w:pStyle w:val="TableParagraph"/>
              <w:ind w:left="202" w:right="266"/>
              <w:jc w:val="center"/>
              <w:rPr>
                <w:sz w:val="21"/>
              </w:rPr>
            </w:pPr>
            <w:r>
              <w:rPr>
                <w:w w:val="105"/>
                <w:sz w:val="21"/>
              </w:rPr>
              <w:t>1.312</w:t>
            </w:r>
          </w:p>
        </w:tc>
        <w:tc>
          <w:tcPr>
            <w:tcW w:w="1715" w:type="dxa"/>
            <w:tcBorders>
              <w:top w:val="nil"/>
              <w:left w:val="nil"/>
              <w:bottom w:val="nil"/>
              <w:right w:val="nil"/>
            </w:tcBorders>
          </w:tcPr>
          <w:p>
            <w:pPr>
              <w:pStyle w:val="TableParagraph"/>
              <w:spacing w:before="9"/>
              <w:rPr>
                <w:b/>
                <w:sz w:val="20"/>
              </w:rPr>
            </w:pPr>
          </w:p>
          <w:p>
            <w:pPr>
              <w:pStyle w:val="TableParagraph"/>
              <w:ind w:left="193"/>
              <w:rPr>
                <w:sz w:val="21"/>
              </w:rPr>
            </w:pPr>
            <w:r>
              <w:rPr>
                <w:w w:val="105"/>
                <w:sz w:val="21"/>
              </w:rPr>
              <w:t>17.653</w:t>
            </w:r>
          </w:p>
        </w:tc>
      </w:tr>
      <w:tr>
        <w:trPr>
          <w:trHeight w:val="737" w:hRule="exact"/>
        </w:trPr>
        <w:tc>
          <w:tcPr>
            <w:tcW w:w="804" w:type="dxa"/>
            <w:tcBorders>
              <w:top w:val="nil"/>
              <w:left w:val="nil"/>
              <w:bottom w:val="nil"/>
              <w:right w:val="nil"/>
            </w:tcBorders>
          </w:tcPr>
          <w:p>
            <w:pPr/>
          </w:p>
        </w:tc>
        <w:tc>
          <w:tcPr>
            <w:tcW w:w="2276" w:type="dxa"/>
            <w:tcBorders>
              <w:top w:val="nil"/>
              <w:left w:val="nil"/>
              <w:bottom w:val="nil"/>
              <w:right w:val="nil"/>
            </w:tcBorders>
          </w:tcPr>
          <w:p>
            <w:pPr>
              <w:pStyle w:val="TableParagraph"/>
              <w:spacing w:before="7"/>
              <w:rPr>
                <w:b/>
                <w:sz w:val="20"/>
              </w:rPr>
            </w:pPr>
          </w:p>
          <w:p>
            <w:pPr>
              <w:pStyle w:val="TableParagraph"/>
              <w:ind w:left="232"/>
              <w:rPr>
                <w:sz w:val="21"/>
              </w:rPr>
            </w:pPr>
            <w:r>
              <w:rPr>
                <w:w w:val="105"/>
                <w:sz w:val="21"/>
              </w:rPr>
              <w:t>Endocrionopatía=1</w:t>
            </w:r>
          </w:p>
        </w:tc>
        <w:tc>
          <w:tcPr>
            <w:tcW w:w="1134" w:type="dxa"/>
            <w:tcBorders>
              <w:top w:val="nil"/>
              <w:left w:val="nil"/>
              <w:bottom w:val="nil"/>
              <w:right w:val="nil"/>
            </w:tcBorders>
          </w:tcPr>
          <w:p>
            <w:pPr>
              <w:pStyle w:val="TableParagraph"/>
              <w:spacing w:before="7"/>
              <w:rPr>
                <w:b/>
                <w:sz w:val="20"/>
              </w:rPr>
            </w:pPr>
          </w:p>
          <w:p>
            <w:pPr>
              <w:pStyle w:val="TableParagraph"/>
              <w:ind w:left="193"/>
              <w:rPr>
                <w:sz w:val="21"/>
              </w:rPr>
            </w:pPr>
            <w:r>
              <w:rPr>
                <w:w w:val="102"/>
                <w:sz w:val="21"/>
              </w:rPr>
              <w:t>0</w:t>
            </w:r>
          </w:p>
        </w:tc>
        <w:tc>
          <w:tcPr>
            <w:tcW w:w="918" w:type="dxa"/>
            <w:tcBorders>
              <w:top w:val="nil"/>
              <w:left w:val="nil"/>
              <w:bottom w:val="nil"/>
              <w:right w:val="nil"/>
            </w:tcBorders>
          </w:tcPr>
          <w:p>
            <w:pPr/>
          </w:p>
        </w:tc>
        <w:tc>
          <w:tcPr>
            <w:tcW w:w="991" w:type="dxa"/>
            <w:tcBorders>
              <w:top w:val="nil"/>
              <w:left w:val="nil"/>
              <w:bottom w:val="nil"/>
              <w:right w:val="nil"/>
            </w:tcBorders>
          </w:tcPr>
          <w:p>
            <w:pPr/>
          </w:p>
        </w:tc>
        <w:tc>
          <w:tcPr>
            <w:tcW w:w="1060" w:type="dxa"/>
            <w:tcBorders>
              <w:top w:val="nil"/>
              <w:left w:val="nil"/>
              <w:bottom w:val="nil"/>
              <w:right w:val="nil"/>
            </w:tcBorders>
          </w:tcPr>
          <w:p>
            <w:pPr/>
          </w:p>
        </w:tc>
        <w:tc>
          <w:tcPr>
            <w:tcW w:w="1715" w:type="dxa"/>
            <w:tcBorders>
              <w:top w:val="nil"/>
              <w:left w:val="nil"/>
              <w:bottom w:val="nil"/>
              <w:right w:val="nil"/>
            </w:tcBorders>
          </w:tcPr>
          <w:p>
            <w:pPr/>
          </w:p>
        </w:tc>
      </w:tr>
      <w:tr>
        <w:trPr>
          <w:trHeight w:val="737" w:hRule="exact"/>
        </w:trPr>
        <w:tc>
          <w:tcPr>
            <w:tcW w:w="804" w:type="dxa"/>
            <w:tcBorders>
              <w:top w:val="nil"/>
              <w:left w:val="nil"/>
              <w:bottom w:val="nil"/>
              <w:right w:val="nil"/>
            </w:tcBorders>
          </w:tcPr>
          <w:p>
            <w:pPr/>
          </w:p>
        </w:tc>
        <w:tc>
          <w:tcPr>
            <w:tcW w:w="2276" w:type="dxa"/>
            <w:tcBorders>
              <w:top w:val="nil"/>
              <w:left w:val="nil"/>
              <w:bottom w:val="nil"/>
              <w:right w:val="nil"/>
            </w:tcBorders>
          </w:tcPr>
          <w:p>
            <w:pPr>
              <w:pStyle w:val="TableParagraph"/>
              <w:spacing w:before="9"/>
              <w:rPr>
                <w:b/>
                <w:sz w:val="20"/>
              </w:rPr>
            </w:pPr>
          </w:p>
          <w:p>
            <w:pPr>
              <w:pStyle w:val="TableParagraph"/>
              <w:ind w:left="232"/>
              <w:rPr>
                <w:sz w:val="21"/>
              </w:rPr>
            </w:pPr>
            <w:r>
              <w:rPr>
                <w:w w:val="105"/>
                <w:sz w:val="21"/>
              </w:rPr>
              <w:t>Hepatopatía=0</w:t>
            </w:r>
          </w:p>
        </w:tc>
        <w:tc>
          <w:tcPr>
            <w:tcW w:w="1134" w:type="dxa"/>
            <w:tcBorders>
              <w:top w:val="nil"/>
              <w:left w:val="nil"/>
              <w:bottom w:val="nil"/>
              <w:right w:val="nil"/>
            </w:tcBorders>
          </w:tcPr>
          <w:p>
            <w:pPr>
              <w:pStyle w:val="TableParagraph"/>
              <w:spacing w:before="9"/>
              <w:rPr>
                <w:b/>
                <w:sz w:val="20"/>
              </w:rPr>
            </w:pPr>
          </w:p>
          <w:p>
            <w:pPr>
              <w:pStyle w:val="TableParagraph"/>
              <w:ind w:left="193"/>
              <w:rPr>
                <w:sz w:val="21"/>
              </w:rPr>
            </w:pPr>
            <w:r>
              <w:rPr>
                <w:w w:val="102"/>
                <w:sz w:val="21"/>
              </w:rPr>
              <w:t>1</w:t>
            </w:r>
          </w:p>
        </w:tc>
        <w:tc>
          <w:tcPr>
            <w:tcW w:w="918" w:type="dxa"/>
            <w:tcBorders>
              <w:top w:val="nil"/>
              <w:left w:val="nil"/>
              <w:bottom w:val="nil"/>
              <w:right w:val="nil"/>
            </w:tcBorders>
          </w:tcPr>
          <w:p>
            <w:pPr>
              <w:pStyle w:val="TableParagraph"/>
              <w:spacing w:before="9"/>
              <w:rPr>
                <w:b/>
                <w:sz w:val="20"/>
              </w:rPr>
            </w:pPr>
          </w:p>
          <w:p>
            <w:pPr>
              <w:pStyle w:val="TableParagraph"/>
              <w:ind w:left="148"/>
              <w:rPr>
                <w:sz w:val="21"/>
              </w:rPr>
            </w:pPr>
            <w:r>
              <w:rPr>
                <w:w w:val="105"/>
                <w:sz w:val="21"/>
              </w:rPr>
              <w:t>0.125</w:t>
            </w:r>
          </w:p>
        </w:tc>
        <w:tc>
          <w:tcPr>
            <w:tcW w:w="991" w:type="dxa"/>
            <w:tcBorders>
              <w:top w:val="nil"/>
              <w:left w:val="nil"/>
              <w:bottom w:val="nil"/>
              <w:right w:val="nil"/>
            </w:tcBorders>
          </w:tcPr>
          <w:p>
            <w:pPr>
              <w:pStyle w:val="TableParagraph"/>
              <w:spacing w:before="9"/>
              <w:rPr>
                <w:b/>
                <w:sz w:val="20"/>
              </w:rPr>
            </w:pPr>
          </w:p>
          <w:p>
            <w:pPr>
              <w:pStyle w:val="TableParagraph"/>
              <w:ind w:left="219"/>
              <w:rPr>
                <w:sz w:val="21"/>
              </w:rPr>
            </w:pPr>
            <w:r>
              <w:rPr>
                <w:w w:val="105"/>
                <w:sz w:val="21"/>
              </w:rPr>
              <w:t>3.565</w:t>
            </w:r>
          </w:p>
        </w:tc>
        <w:tc>
          <w:tcPr>
            <w:tcW w:w="1060" w:type="dxa"/>
            <w:tcBorders>
              <w:top w:val="nil"/>
              <w:left w:val="nil"/>
              <w:bottom w:val="nil"/>
              <w:right w:val="nil"/>
            </w:tcBorders>
          </w:tcPr>
          <w:p>
            <w:pPr>
              <w:pStyle w:val="TableParagraph"/>
              <w:spacing w:before="9"/>
              <w:rPr>
                <w:b/>
                <w:sz w:val="20"/>
              </w:rPr>
            </w:pPr>
          </w:p>
          <w:p>
            <w:pPr>
              <w:pStyle w:val="TableParagraph"/>
              <w:ind w:left="202" w:right="266"/>
              <w:jc w:val="center"/>
              <w:rPr>
                <w:sz w:val="21"/>
              </w:rPr>
            </w:pPr>
            <w:r>
              <w:rPr>
                <w:w w:val="105"/>
                <w:sz w:val="21"/>
              </w:rPr>
              <w:t>0.702</w:t>
            </w:r>
          </w:p>
        </w:tc>
        <w:tc>
          <w:tcPr>
            <w:tcW w:w="1715" w:type="dxa"/>
            <w:tcBorders>
              <w:top w:val="nil"/>
              <w:left w:val="nil"/>
              <w:bottom w:val="nil"/>
              <w:right w:val="nil"/>
            </w:tcBorders>
          </w:tcPr>
          <w:p>
            <w:pPr>
              <w:pStyle w:val="TableParagraph"/>
              <w:spacing w:before="9"/>
              <w:rPr>
                <w:b/>
                <w:sz w:val="20"/>
              </w:rPr>
            </w:pPr>
          </w:p>
          <w:p>
            <w:pPr>
              <w:pStyle w:val="TableParagraph"/>
              <w:ind w:left="193"/>
              <w:rPr>
                <w:sz w:val="21"/>
              </w:rPr>
            </w:pPr>
            <w:r>
              <w:rPr>
                <w:w w:val="105"/>
                <w:sz w:val="21"/>
              </w:rPr>
              <w:t>18.113</w:t>
            </w:r>
          </w:p>
        </w:tc>
      </w:tr>
      <w:tr>
        <w:trPr>
          <w:trHeight w:val="737" w:hRule="exact"/>
        </w:trPr>
        <w:tc>
          <w:tcPr>
            <w:tcW w:w="804" w:type="dxa"/>
            <w:tcBorders>
              <w:top w:val="nil"/>
              <w:left w:val="nil"/>
              <w:bottom w:val="nil"/>
              <w:right w:val="nil"/>
            </w:tcBorders>
          </w:tcPr>
          <w:p>
            <w:pPr/>
          </w:p>
        </w:tc>
        <w:tc>
          <w:tcPr>
            <w:tcW w:w="2276" w:type="dxa"/>
            <w:tcBorders>
              <w:top w:val="nil"/>
              <w:left w:val="nil"/>
              <w:bottom w:val="nil"/>
              <w:right w:val="nil"/>
            </w:tcBorders>
          </w:tcPr>
          <w:p>
            <w:pPr>
              <w:pStyle w:val="TableParagraph"/>
              <w:spacing w:before="7"/>
              <w:rPr>
                <w:b/>
                <w:sz w:val="20"/>
              </w:rPr>
            </w:pPr>
          </w:p>
          <w:p>
            <w:pPr>
              <w:pStyle w:val="TableParagraph"/>
              <w:ind w:left="232"/>
              <w:rPr>
                <w:sz w:val="21"/>
              </w:rPr>
            </w:pPr>
            <w:r>
              <w:rPr>
                <w:w w:val="105"/>
                <w:sz w:val="21"/>
              </w:rPr>
              <w:t>Hepatopatía=1</w:t>
            </w:r>
          </w:p>
        </w:tc>
        <w:tc>
          <w:tcPr>
            <w:tcW w:w="1134" w:type="dxa"/>
            <w:tcBorders>
              <w:top w:val="nil"/>
              <w:left w:val="nil"/>
              <w:bottom w:val="nil"/>
              <w:right w:val="nil"/>
            </w:tcBorders>
          </w:tcPr>
          <w:p>
            <w:pPr>
              <w:pStyle w:val="TableParagraph"/>
              <w:spacing w:before="7"/>
              <w:rPr>
                <w:b/>
                <w:sz w:val="20"/>
              </w:rPr>
            </w:pPr>
          </w:p>
          <w:p>
            <w:pPr>
              <w:pStyle w:val="TableParagraph"/>
              <w:ind w:left="193"/>
              <w:rPr>
                <w:sz w:val="21"/>
              </w:rPr>
            </w:pPr>
            <w:r>
              <w:rPr>
                <w:w w:val="102"/>
                <w:sz w:val="21"/>
              </w:rPr>
              <w:t>0</w:t>
            </w:r>
          </w:p>
        </w:tc>
        <w:tc>
          <w:tcPr>
            <w:tcW w:w="918" w:type="dxa"/>
            <w:tcBorders>
              <w:top w:val="nil"/>
              <w:left w:val="nil"/>
              <w:bottom w:val="nil"/>
              <w:right w:val="nil"/>
            </w:tcBorders>
          </w:tcPr>
          <w:p>
            <w:pPr/>
          </w:p>
        </w:tc>
        <w:tc>
          <w:tcPr>
            <w:tcW w:w="991" w:type="dxa"/>
            <w:tcBorders>
              <w:top w:val="nil"/>
              <w:left w:val="nil"/>
              <w:bottom w:val="nil"/>
              <w:right w:val="nil"/>
            </w:tcBorders>
          </w:tcPr>
          <w:p>
            <w:pPr/>
          </w:p>
        </w:tc>
        <w:tc>
          <w:tcPr>
            <w:tcW w:w="1060" w:type="dxa"/>
            <w:tcBorders>
              <w:top w:val="nil"/>
              <w:left w:val="nil"/>
              <w:bottom w:val="nil"/>
              <w:right w:val="nil"/>
            </w:tcBorders>
          </w:tcPr>
          <w:p>
            <w:pPr/>
          </w:p>
        </w:tc>
        <w:tc>
          <w:tcPr>
            <w:tcW w:w="1715" w:type="dxa"/>
            <w:tcBorders>
              <w:top w:val="nil"/>
              <w:left w:val="nil"/>
              <w:bottom w:val="nil"/>
              <w:right w:val="nil"/>
            </w:tcBorders>
          </w:tcPr>
          <w:p>
            <w:pPr/>
          </w:p>
        </w:tc>
      </w:tr>
      <w:tr>
        <w:trPr>
          <w:trHeight w:val="737" w:hRule="exact"/>
        </w:trPr>
        <w:tc>
          <w:tcPr>
            <w:tcW w:w="804" w:type="dxa"/>
            <w:tcBorders>
              <w:top w:val="nil"/>
              <w:left w:val="nil"/>
              <w:bottom w:val="nil"/>
              <w:right w:val="nil"/>
            </w:tcBorders>
          </w:tcPr>
          <w:p>
            <w:pPr/>
          </w:p>
        </w:tc>
        <w:tc>
          <w:tcPr>
            <w:tcW w:w="2276" w:type="dxa"/>
            <w:tcBorders>
              <w:top w:val="nil"/>
              <w:left w:val="nil"/>
              <w:bottom w:val="nil"/>
              <w:right w:val="nil"/>
            </w:tcBorders>
          </w:tcPr>
          <w:p>
            <w:pPr>
              <w:pStyle w:val="TableParagraph"/>
              <w:spacing w:before="9"/>
              <w:rPr>
                <w:b/>
                <w:sz w:val="20"/>
              </w:rPr>
            </w:pPr>
          </w:p>
          <w:p>
            <w:pPr>
              <w:pStyle w:val="TableParagraph"/>
              <w:ind w:left="232"/>
              <w:rPr>
                <w:sz w:val="21"/>
              </w:rPr>
            </w:pPr>
            <w:r>
              <w:rPr>
                <w:w w:val="105"/>
                <w:sz w:val="21"/>
              </w:rPr>
              <w:t>Neoplasia=0</w:t>
            </w:r>
          </w:p>
        </w:tc>
        <w:tc>
          <w:tcPr>
            <w:tcW w:w="1134" w:type="dxa"/>
            <w:tcBorders>
              <w:top w:val="nil"/>
              <w:left w:val="nil"/>
              <w:bottom w:val="nil"/>
              <w:right w:val="nil"/>
            </w:tcBorders>
          </w:tcPr>
          <w:p>
            <w:pPr>
              <w:pStyle w:val="TableParagraph"/>
              <w:spacing w:before="9"/>
              <w:rPr>
                <w:b/>
                <w:sz w:val="20"/>
              </w:rPr>
            </w:pPr>
          </w:p>
          <w:p>
            <w:pPr>
              <w:pStyle w:val="TableParagraph"/>
              <w:ind w:left="193"/>
              <w:rPr>
                <w:sz w:val="21"/>
              </w:rPr>
            </w:pPr>
            <w:r>
              <w:rPr>
                <w:w w:val="102"/>
                <w:sz w:val="21"/>
              </w:rPr>
              <w:t>1</w:t>
            </w:r>
          </w:p>
        </w:tc>
        <w:tc>
          <w:tcPr>
            <w:tcW w:w="918" w:type="dxa"/>
            <w:tcBorders>
              <w:top w:val="nil"/>
              <w:left w:val="nil"/>
              <w:bottom w:val="nil"/>
              <w:right w:val="nil"/>
            </w:tcBorders>
          </w:tcPr>
          <w:p>
            <w:pPr>
              <w:pStyle w:val="TableParagraph"/>
              <w:spacing w:before="9"/>
              <w:rPr>
                <w:b/>
                <w:sz w:val="20"/>
              </w:rPr>
            </w:pPr>
          </w:p>
          <w:p>
            <w:pPr>
              <w:pStyle w:val="TableParagraph"/>
              <w:ind w:left="148"/>
              <w:rPr>
                <w:sz w:val="21"/>
              </w:rPr>
            </w:pPr>
            <w:r>
              <w:rPr>
                <w:w w:val="105"/>
                <w:sz w:val="21"/>
              </w:rPr>
              <w:t>0.066</w:t>
            </w:r>
          </w:p>
        </w:tc>
        <w:tc>
          <w:tcPr>
            <w:tcW w:w="991" w:type="dxa"/>
            <w:tcBorders>
              <w:top w:val="nil"/>
              <w:left w:val="nil"/>
              <w:bottom w:val="nil"/>
              <w:right w:val="nil"/>
            </w:tcBorders>
          </w:tcPr>
          <w:p>
            <w:pPr>
              <w:pStyle w:val="TableParagraph"/>
              <w:spacing w:before="9"/>
              <w:rPr>
                <w:b/>
                <w:sz w:val="20"/>
              </w:rPr>
            </w:pPr>
          </w:p>
          <w:p>
            <w:pPr>
              <w:pStyle w:val="TableParagraph"/>
              <w:ind w:left="219"/>
              <w:rPr>
                <w:sz w:val="21"/>
              </w:rPr>
            </w:pPr>
            <w:r>
              <w:rPr>
                <w:w w:val="105"/>
                <w:sz w:val="21"/>
              </w:rPr>
              <w:t>0.623</w:t>
            </w:r>
          </w:p>
        </w:tc>
        <w:tc>
          <w:tcPr>
            <w:tcW w:w="1060" w:type="dxa"/>
            <w:tcBorders>
              <w:top w:val="nil"/>
              <w:left w:val="nil"/>
              <w:bottom w:val="nil"/>
              <w:right w:val="nil"/>
            </w:tcBorders>
          </w:tcPr>
          <w:p>
            <w:pPr>
              <w:pStyle w:val="TableParagraph"/>
              <w:spacing w:before="9"/>
              <w:rPr>
                <w:b/>
                <w:sz w:val="20"/>
              </w:rPr>
            </w:pPr>
          </w:p>
          <w:p>
            <w:pPr>
              <w:pStyle w:val="TableParagraph"/>
              <w:ind w:left="202" w:right="266"/>
              <w:jc w:val="center"/>
              <w:rPr>
                <w:sz w:val="21"/>
              </w:rPr>
            </w:pPr>
            <w:r>
              <w:rPr>
                <w:w w:val="105"/>
                <w:sz w:val="21"/>
              </w:rPr>
              <w:t>0.375</w:t>
            </w:r>
          </w:p>
        </w:tc>
        <w:tc>
          <w:tcPr>
            <w:tcW w:w="1715" w:type="dxa"/>
            <w:tcBorders>
              <w:top w:val="nil"/>
              <w:left w:val="nil"/>
              <w:bottom w:val="nil"/>
              <w:right w:val="nil"/>
            </w:tcBorders>
          </w:tcPr>
          <w:p>
            <w:pPr>
              <w:pStyle w:val="TableParagraph"/>
              <w:spacing w:before="9"/>
              <w:rPr>
                <w:b/>
                <w:sz w:val="20"/>
              </w:rPr>
            </w:pPr>
          </w:p>
          <w:p>
            <w:pPr>
              <w:pStyle w:val="TableParagraph"/>
              <w:ind w:left="193"/>
              <w:rPr>
                <w:sz w:val="21"/>
              </w:rPr>
            </w:pPr>
            <w:r>
              <w:rPr>
                <w:w w:val="105"/>
                <w:sz w:val="21"/>
              </w:rPr>
              <w:t>1.033</w:t>
            </w:r>
          </w:p>
        </w:tc>
      </w:tr>
      <w:tr>
        <w:trPr>
          <w:trHeight w:val="575" w:hRule="exact"/>
        </w:trPr>
        <w:tc>
          <w:tcPr>
            <w:tcW w:w="804" w:type="dxa"/>
            <w:tcBorders>
              <w:top w:val="nil"/>
              <w:left w:val="nil"/>
              <w:bottom w:val="nil"/>
              <w:right w:val="nil"/>
            </w:tcBorders>
          </w:tcPr>
          <w:p>
            <w:pPr/>
          </w:p>
        </w:tc>
        <w:tc>
          <w:tcPr>
            <w:tcW w:w="2276" w:type="dxa"/>
            <w:tcBorders>
              <w:top w:val="nil"/>
              <w:left w:val="nil"/>
              <w:bottom w:val="nil"/>
              <w:right w:val="nil"/>
            </w:tcBorders>
          </w:tcPr>
          <w:p>
            <w:pPr>
              <w:pStyle w:val="TableParagraph"/>
              <w:spacing w:before="7"/>
              <w:rPr>
                <w:b/>
                <w:sz w:val="20"/>
              </w:rPr>
            </w:pPr>
          </w:p>
          <w:p>
            <w:pPr>
              <w:pStyle w:val="TableParagraph"/>
              <w:ind w:left="232"/>
              <w:rPr>
                <w:sz w:val="21"/>
              </w:rPr>
            </w:pPr>
            <w:r>
              <w:rPr>
                <w:w w:val="105"/>
                <w:sz w:val="21"/>
              </w:rPr>
              <w:t>Neoplasia=1</w:t>
            </w:r>
          </w:p>
        </w:tc>
        <w:tc>
          <w:tcPr>
            <w:tcW w:w="1134" w:type="dxa"/>
            <w:tcBorders>
              <w:top w:val="nil"/>
              <w:left w:val="nil"/>
              <w:bottom w:val="nil"/>
              <w:right w:val="nil"/>
            </w:tcBorders>
          </w:tcPr>
          <w:p>
            <w:pPr>
              <w:pStyle w:val="TableParagraph"/>
              <w:spacing w:before="7"/>
              <w:rPr>
                <w:b/>
                <w:sz w:val="20"/>
              </w:rPr>
            </w:pPr>
          </w:p>
          <w:p>
            <w:pPr>
              <w:pStyle w:val="TableParagraph"/>
              <w:ind w:left="193"/>
              <w:rPr>
                <w:sz w:val="21"/>
              </w:rPr>
            </w:pPr>
            <w:r>
              <w:rPr>
                <w:w w:val="102"/>
                <w:sz w:val="21"/>
              </w:rPr>
              <w:t>0</w:t>
            </w:r>
          </w:p>
        </w:tc>
        <w:tc>
          <w:tcPr>
            <w:tcW w:w="918" w:type="dxa"/>
            <w:tcBorders>
              <w:top w:val="nil"/>
              <w:left w:val="nil"/>
              <w:bottom w:val="nil"/>
              <w:right w:val="nil"/>
            </w:tcBorders>
          </w:tcPr>
          <w:p>
            <w:pPr/>
          </w:p>
        </w:tc>
        <w:tc>
          <w:tcPr>
            <w:tcW w:w="991" w:type="dxa"/>
            <w:tcBorders>
              <w:top w:val="nil"/>
              <w:left w:val="nil"/>
              <w:bottom w:val="nil"/>
              <w:right w:val="nil"/>
            </w:tcBorders>
          </w:tcPr>
          <w:p>
            <w:pPr/>
          </w:p>
        </w:tc>
        <w:tc>
          <w:tcPr>
            <w:tcW w:w="1060" w:type="dxa"/>
            <w:tcBorders>
              <w:top w:val="nil"/>
              <w:left w:val="nil"/>
              <w:bottom w:val="nil"/>
              <w:right w:val="nil"/>
            </w:tcBorders>
          </w:tcPr>
          <w:p>
            <w:pPr/>
          </w:p>
        </w:tc>
        <w:tc>
          <w:tcPr>
            <w:tcW w:w="1715" w:type="dxa"/>
            <w:tcBorders>
              <w:top w:val="nil"/>
              <w:left w:val="nil"/>
              <w:bottom w:val="nil"/>
              <w:right w:val="nil"/>
            </w:tcBorders>
          </w:tcPr>
          <w:p>
            <w:pPr/>
          </w:p>
        </w:tc>
      </w:tr>
    </w:tbl>
    <w:p>
      <w:pPr>
        <w:pStyle w:val="BodyText"/>
        <w:rPr>
          <w:b/>
          <w:sz w:val="20"/>
        </w:rPr>
      </w:pPr>
    </w:p>
    <w:p>
      <w:pPr>
        <w:pStyle w:val="BodyText"/>
        <w:spacing w:before="1"/>
        <w:rPr>
          <w:b/>
          <w:sz w:val="11"/>
        </w:rPr>
      </w:pPr>
      <w:r>
        <w:rPr/>
        <w:pict>
          <v:group style="position:absolute;margin-left:81.248001pt;margin-top:8.327375pt;width:447.15pt;height:1.45pt;mso-position-horizontal-relative:page;mso-position-vertical-relative:paragraph;z-index:1384;mso-wrap-distance-left:0;mso-wrap-distance-right:0" coordorigin="1625,167" coordsize="8943,29">
            <v:line style="position:absolute" from="1639,181" to="2580,181" stroked="true" strokeweight="1.44pt" strokecolor="#000000"/>
            <v:line style="position:absolute" from="2566,181" to="2595,181" stroked="true" strokeweight="1.44pt" strokecolor="#000000"/>
            <v:line style="position:absolute" from="2595,181" to="4817,181" stroked="true" strokeweight="1.44pt" strokecolor="#000000"/>
            <v:line style="position:absolute" from="4803,181" to="4831,181" stroked="true" strokeweight="1.44pt" strokecolor="#000000"/>
            <v:line style="position:absolute" from="4831,181" to="5907,181" stroked="true" strokeweight="1.44pt" strokecolor="#000000"/>
            <v:line style="position:absolute" from="5892,181" to="5921,181" stroked="true" strokeweight="1.44pt" strokecolor="#000000"/>
            <v:line style="position:absolute" from="5921,181" to="6895,181" stroked="true" strokeweight="1.44pt" strokecolor="#000000"/>
            <v:line style="position:absolute" from="6881,181" to="6910,181" stroked="true" strokeweight="1.44pt" strokecolor="#000000"/>
            <v:line style="position:absolute" from="6910,181" to="7889,181" stroked="true" strokeweight="1.44pt" strokecolor="#000000"/>
            <v:line style="position:absolute" from="7875,181" to="7903,181" stroked="true" strokeweight="1.44pt" strokecolor="#000000"/>
            <v:line style="position:absolute" from="7903,181" to="8921,181" stroked="true" strokeweight="1.44pt" strokecolor="#000000"/>
            <v:line style="position:absolute" from="8907,181" to="8935,181" stroked="true" strokeweight="1.44pt" strokecolor="#000000"/>
            <v:line style="position:absolute" from="8935,181" to="10553,181" stroked="true" strokeweight="1.44pt" strokecolor="#000000"/>
            <w10:wrap type="topAndBottom"/>
          </v:group>
        </w:pict>
      </w:r>
    </w:p>
    <w:p>
      <w:pPr>
        <w:spacing w:after="0"/>
        <w:rPr>
          <w:sz w:val="11"/>
        </w:rPr>
        <w:sectPr>
          <w:footerReference w:type="default" r:id="rId19"/>
          <w:pgSz w:w="12240" w:h="15840"/>
          <w:pgMar w:footer="748" w:header="742" w:top="980" w:bottom="940" w:left="1520" w:right="180"/>
        </w:sect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6"/>
        <w:rPr>
          <w:b/>
          <w:sz w:val="25"/>
        </w:rPr>
      </w:pPr>
    </w:p>
    <w:p>
      <w:pPr>
        <w:pStyle w:val="Heading1"/>
      </w:pPr>
      <w:bookmarkStart w:name="_TOC_250007" w:id="20"/>
      <w:bookmarkEnd w:id="20"/>
      <w:r>
        <w:rPr/>
        <w:t>CAPÍTULO VI</w:t>
      </w:r>
    </w:p>
    <w:p>
      <w:pPr>
        <w:pStyle w:val="BodyText"/>
        <w:rPr>
          <w:b/>
        </w:rPr>
      </w:pPr>
    </w:p>
    <w:p>
      <w:pPr>
        <w:pStyle w:val="BodyText"/>
        <w:rPr>
          <w:b/>
        </w:rPr>
      </w:pPr>
    </w:p>
    <w:p>
      <w:pPr>
        <w:pStyle w:val="BodyText"/>
        <w:rPr>
          <w:b/>
        </w:rPr>
      </w:pPr>
    </w:p>
    <w:p>
      <w:pPr>
        <w:pStyle w:val="Heading1"/>
        <w:spacing w:before="168"/>
      </w:pPr>
      <w:bookmarkStart w:name="_TOC_250006" w:id="21"/>
      <w:bookmarkEnd w:id="21"/>
      <w:r>
        <w:rPr/>
        <w:t>Discusión</w:t>
      </w:r>
    </w:p>
    <w:p>
      <w:pPr>
        <w:pStyle w:val="BodyText"/>
        <w:rPr>
          <w:b/>
        </w:rPr>
      </w:pPr>
    </w:p>
    <w:p>
      <w:pPr>
        <w:pStyle w:val="BodyText"/>
        <w:rPr>
          <w:b/>
        </w:rPr>
      </w:pPr>
    </w:p>
    <w:p>
      <w:pPr>
        <w:pStyle w:val="BodyText"/>
        <w:rPr>
          <w:b/>
        </w:rPr>
      </w:pPr>
    </w:p>
    <w:p>
      <w:pPr>
        <w:pStyle w:val="BodyText"/>
        <w:spacing w:line="480" w:lineRule="auto" w:before="168"/>
        <w:ind w:left="144" w:right="888"/>
        <w:jc w:val="both"/>
      </w:pPr>
      <w:r>
        <w:rPr/>
        <w:t>De acuerdo a los resultados obtenidos, la población total de hembras (52.08%) fue ligeramente mayor a la de machos (47.91%), sin embargo no existe evidencia de predisposición para la enfermedad por género. El 84.72% de los casos estudiados fueron animales ≥ 6 años y sólo 14.23% estaban entre 1 y 5 años de edad, lo cual concuerda con la información publicada previamente, considerando que la ERC se presenta principalmente en pacientes gerontes (Lulich y cols., 1992).</w:t>
      </w:r>
    </w:p>
    <w:p>
      <w:pPr>
        <w:pStyle w:val="BodyText"/>
      </w:pPr>
    </w:p>
    <w:p>
      <w:pPr>
        <w:pStyle w:val="BodyText"/>
      </w:pPr>
    </w:p>
    <w:p>
      <w:pPr>
        <w:pStyle w:val="BodyText"/>
        <w:spacing w:line="480" w:lineRule="auto" w:before="176"/>
        <w:ind w:left="144" w:right="888"/>
        <w:jc w:val="both"/>
      </w:pPr>
      <w:r>
        <w:rPr/>
        <w:t>Las razas más frecuentes fueron poodle, labrador, schnauzer, cocker spaniel, golden retriever y chihuahueño. En un estudio realizado en España en 2010, las razas más frecuentes de los pacientes diagnosticados con enfermedad renal crónica fueron boxer, poodle, west highland white terrier (Cortadellas, 2010). Esto puede ser debido a la preferencia de los propietarios por ciertas razas de la población en la que se desarrolló este estudio, sin embargo, se requieren estudios posteriores para descartar la predisposición de estas razas a padecer ERC.</w:t>
      </w:r>
    </w:p>
    <w:p>
      <w:pPr>
        <w:spacing w:after="0" w:line="480" w:lineRule="auto"/>
        <w:jc w:val="both"/>
        <w:sectPr>
          <w:footerReference w:type="default" r:id="rId20"/>
          <w:pgSz w:w="12240" w:h="15840"/>
          <w:pgMar w:footer="748" w:header="742" w:top="980" w:bottom="940" w:left="1620" w:right="180"/>
          <w:pgNumType w:start="51"/>
        </w:sect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1"/>
        <w:rPr>
          <w:sz w:val="22"/>
        </w:rPr>
      </w:pPr>
    </w:p>
    <w:p>
      <w:pPr>
        <w:pStyle w:val="BodyText"/>
        <w:spacing w:line="480" w:lineRule="auto" w:before="69"/>
        <w:ind w:left="144" w:right="888"/>
        <w:jc w:val="both"/>
      </w:pPr>
      <w:r>
        <w:rPr/>
        <w:t>Los pacientes no azotémicos y no proteinúricos ó estadio 0 de acuerdo a la clasificación de Cortadellas fueron 54 (18.75%), se consideraron sin evidencia de ERC franca pero  al tener algún factor de riesgo para presentar enfermedad renal es indispensable  realizar estudios complementarios de imagenología e histopatología para descartar lesiones estructurales asociadas a la ERC (Cortadellas, 2009), además de realizar un seguimiento clínico anual.</w:t>
      </w:r>
    </w:p>
    <w:p>
      <w:pPr>
        <w:pStyle w:val="BodyText"/>
      </w:pPr>
    </w:p>
    <w:p>
      <w:pPr>
        <w:pStyle w:val="BodyText"/>
        <w:spacing w:before="7"/>
      </w:pPr>
    </w:p>
    <w:p>
      <w:pPr>
        <w:pStyle w:val="BodyText"/>
        <w:spacing w:line="480" w:lineRule="auto" w:before="1"/>
        <w:ind w:left="144" w:right="888"/>
        <w:jc w:val="both"/>
      </w:pPr>
      <w:r>
        <w:rPr/>
        <w:t>Los animales no azotémicos, pero con una PU:CU entre 0.21 y 0.49 fueron considerados como proteinúricos limítrofes ó estadio 1a según la clasificación de Cortadellas siendo un total de 95 (32.98%), estos pacientes se consideraron sospechosos y se realizó un monitoreo más estrecho observando que generalmente evolucionaban a presentar una proteinuria franca, coincidiendo con lo descrito anteriormente por Grauer, característica de la evolución de la enfermedad renal (Grauer, 2009). Un continuo aumento en la concentración de proteínas presentes en el filtrado glomerular estimula la liberación de citocinas y transferrina, resultando en el desarrollo de inflamación y toxicidad para las células epiteliales del túbulo, generando inflamación intersticial, fibrosis y muerte celular de las nefronas, provocando enfermedad renal y/o la progresión de la misma (Eddy, 2001); por lo anterior se ha determinado que la proteinuria está altamente relacionada con la evolución de la enfermedad y la sobrevida del paciente (Jacob y cols., 2005; Syme y cols., 2006; Syme, 2009).</w:t>
      </w:r>
    </w:p>
    <w:p>
      <w:pPr>
        <w:spacing w:after="0" w:line="480" w:lineRule="auto"/>
        <w:jc w:val="both"/>
        <w:sectPr>
          <w:pgSz w:w="12240" w:h="15840"/>
          <w:pgMar w:header="742" w:footer="748" w:top="980" w:bottom="940" w:left="1620" w:right="18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1"/>
        <w:rPr>
          <w:sz w:val="22"/>
        </w:rPr>
      </w:pPr>
    </w:p>
    <w:p>
      <w:pPr>
        <w:pStyle w:val="BodyText"/>
        <w:spacing w:line="480" w:lineRule="auto" w:before="69"/>
        <w:ind w:left="144" w:right="888"/>
        <w:jc w:val="both"/>
      </w:pPr>
      <w:r>
        <w:rPr/>
        <w:t>El diagnóstico de ERC se determinó en 139 de 288 (48.2%) perros expuestos a factores de riesgo o con signos clínicos de ERC. Cabe mencionar que del total de los perros diagnosticados como enfermos renales crónicos (139), 114 (82.01%) se encontraban en estadios tempranos de enfermedad (Ib de la clasificación de Cortadellas, I y II de la IRIS), lo que nos demuestra que el uso de protocolos establecidos son útiles en el diagnóstico temprano de la ERC (IRIS, 2009).</w:t>
      </w:r>
    </w:p>
    <w:p>
      <w:pPr>
        <w:pStyle w:val="BodyText"/>
      </w:pPr>
    </w:p>
    <w:p>
      <w:pPr>
        <w:pStyle w:val="BodyText"/>
        <w:spacing w:before="7"/>
      </w:pPr>
    </w:p>
    <w:p>
      <w:pPr>
        <w:pStyle w:val="BodyText"/>
        <w:spacing w:line="480" w:lineRule="auto" w:before="1"/>
        <w:ind w:left="144" w:right="888"/>
        <w:jc w:val="both"/>
      </w:pPr>
      <w:r>
        <w:rPr/>
        <w:t>Es importante resaltar que a pesar de que la mayor parte de la población del estudio fue mayor a 6 años, 20 de los 41 pacientes (48.78%) entre 1 a 5 años tuvieron un diagnóstico de ERC lo que indica que pacientes más jóvenes deberían recibir este protocolo como parte de un panel diagnóstico de rutina en los pacientes que se presentan a consulta por enfermedades que tienen algún mecanismo fisiopatológico  que involucra al funcionamiento renal. Los animales jóvenes presentaron factores de riesgo como procesos inflamatorios crónicos, ETUC, endocrinopatías y el uso de fármacos nefrotóxicos.</w:t>
      </w:r>
    </w:p>
    <w:p>
      <w:pPr>
        <w:pStyle w:val="BodyText"/>
      </w:pPr>
    </w:p>
    <w:p>
      <w:pPr>
        <w:pStyle w:val="BodyText"/>
        <w:spacing w:before="7"/>
      </w:pPr>
    </w:p>
    <w:p>
      <w:pPr>
        <w:pStyle w:val="BodyText"/>
        <w:spacing w:line="480" w:lineRule="auto" w:before="1"/>
        <w:ind w:left="144" w:right="888"/>
        <w:jc w:val="both"/>
      </w:pPr>
      <w:r>
        <w:rPr/>
        <w:t>De acuerdo a nuestros resultados, 74.68% de los pacientes diagnosticados con ERC presentaron hipertensión. Sin embargo, 45.76% de los pacientes presentaron riesgo mínimo de daño a órganos diana bajo, dejando 40.5% con una presión arterial   sistólica</w:t>
      </w:r>
    </w:p>
    <w:p>
      <w:pPr>
        <w:pStyle w:val="BodyText"/>
        <w:spacing w:line="480" w:lineRule="auto" w:before="8"/>
        <w:ind w:left="144" w:right="888"/>
        <w:jc w:val="both"/>
      </w:pPr>
      <w:r>
        <w:rPr/>
        <w:t>≥ 150 mmHg, esto se encuentra por debajo de los reportes internacionales en pacientes con enfermedad renal (Francey y Cowgill, 2004; Cortadellas y cols., 2006).</w:t>
      </w:r>
    </w:p>
    <w:p>
      <w:pPr>
        <w:spacing w:after="0" w:line="480" w:lineRule="auto"/>
        <w:jc w:val="both"/>
        <w:sectPr>
          <w:pgSz w:w="12240" w:h="15840"/>
          <w:pgMar w:header="742" w:footer="748" w:top="980" w:bottom="940" w:left="1620" w:right="18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6"/>
        <w:rPr>
          <w:sz w:val="25"/>
        </w:rPr>
      </w:pPr>
    </w:p>
    <w:p>
      <w:pPr>
        <w:pStyle w:val="BodyText"/>
        <w:spacing w:line="480" w:lineRule="auto" w:before="70"/>
        <w:ind w:left="144" w:right="888"/>
        <w:jc w:val="both"/>
      </w:pPr>
      <w:r>
        <w:rPr/>
        <w:t>Múltiples estudios clínicos han demostrado una correlación entre el grado de proteinuria y la progresiva pérdida de función renal y en base a ello hoy se considera a la proteinuria como el más potente predictor de la progresión de la ERC, por encima incluso de la hipertensión arterial (Garcia de Vinuessa, 2008), en base a esto es que podemos establecer el diagnóstico de ERC en estadíos tempranos de acuerdo a la concentración de creatinina sérica y la relación PU:CU en el 48.2% de nuestros pacientes.</w:t>
      </w:r>
    </w:p>
    <w:p>
      <w:pPr>
        <w:pStyle w:val="BodyText"/>
      </w:pPr>
    </w:p>
    <w:p>
      <w:pPr>
        <w:pStyle w:val="BodyText"/>
      </w:pPr>
    </w:p>
    <w:p>
      <w:pPr>
        <w:pStyle w:val="BodyText"/>
        <w:spacing w:line="480" w:lineRule="auto" w:before="176"/>
        <w:ind w:left="144" w:right="888"/>
        <w:jc w:val="both"/>
      </w:pPr>
      <w:r>
        <w:rPr/>
        <w:t>En el 2005, Jacob F y cols., realizaron un estudio en perros con ERC natural, en el que se observó que los pacientes que presentaban con una PU:CU ≥1.0 presentaban mayor riego de desarrollar crisis urémicas y de mortalidad, ya fuera asociada a la enfermedad renal o no (Jacob y cols., 2005), por lo que es de utilidad mantener un monitoreo cercano de los pacientes que presentan ERC con estadio 1b en adelante.</w:t>
      </w:r>
    </w:p>
    <w:p>
      <w:pPr>
        <w:pStyle w:val="BodyText"/>
        <w:spacing w:line="480" w:lineRule="auto" w:before="8"/>
        <w:ind w:left="144" w:right="888"/>
        <w:jc w:val="both"/>
      </w:pPr>
      <w:r>
        <w:rPr/>
        <w:t>De acuerdo a nuestros resultados, 105 (77.2%) de los 136 pacientes a los que se realizó medición de la presión arterial presentaron un riesgo de daño a órganos diana  de mínimo a alto, los principales mecanismos por los cuales se presenta hipertensión  en pacientes con ERC incluyen: disminución de la capacidad del riñón para llevar a  cabo la natriuresis (Kookmans y cols., 1982), activación del sistema renina- angiotensina-aldosterona con la consecuente retención de sodio (Greene y cols., </w:t>
      </w:r>
      <w:r>
        <w:rPr>
          <w:spacing w:val="32"/>
        </w:rPr>
        <w:t> </w:t>
      </w:r>
      <w:r>
        <w:rPr/>
        <w:t>1996)</w:t>
      </w:r>
    </w:p>
    <w:p>
      <w:pPr>
        <w:spacing w:after="0" w:line="480" w:lineRule="auto"/>
        <w:jc w:val="both"/>
        <w:sectPr>
          <w:pgSz w:w="12240" w:h="15840"/>
          <w:pgMar w:header="742" w:footer="748" w:top="980" w:bottom="940" w:left="1620" w:right="18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1"/>
        <w:rPr>
          <w:sz w:val="22"/>
        </w:rPr>
      </w:pPr>
    </w:p>
    <w:p>
      <w:pPr>
        <w:pStyle w:val="BodyText"/>
        <w:spacing w:line="480" w:lineRule="auto" w:before="69"/>
        <w:ind w:left="144" w:right="888" w:firstLine="66"/>
        <w:jc w:val="both"/>
      </w:pPr>
      <w:r>
        <w:rPr/>
        <w:t>y activación del sistema nervioso simpático mediada por los nervios aferentes somáticos renales, la cual resulta en retención de sodio, estimulación de la renina y disminución de la función renal (Schlaich y cols., 2009).</w:t>
      </w:r>
    </w:p>
    <w:p>
      <w:pPr>
        <w:pStyle w:val="BodyText"/>
        <w:spacing w:line="480" w:lineRule="auto" w:before="8"/>
        <w:ind w:left="144" w:right="888"/>
        <w:jc w:val="both"/>
      </w:pPr>
      <w:r>
        <w:rPr/>
        <w:t>Syme y cols. en el 2006, determinaron que la hipertensión arterial sistólica estaba relacionada de manera independiente con la presencia de proteinuria, lo cual puede desencadenar daño glomerular y fungir como factor desencadenante y de progresión para la ERC (Syme y cols., 2006), por esto en los pacientes con estadio 0 y estadio 1a que presentaron riesgos de hipertensión bajos a altos se debe reevaluar para descartar la presencia de patología renal.</w:t>
      </w:r>
    </w:p>
    <w:p>
      <w:pPr>
        <w:pStyle w:val="BodyText"/>
      </w:pPr>
    </w:p>
    <w:p>
      <w:pPr>
        <w:pStyle w:val="BodyText"/>
      </w:pPr>
    </w:p>
    <w:p>
      <w:pPr>
        <w:pStyle w:val="BodyText"/>
        <w:spacing w:line="480" w:lineRule="auto" w:before="176"/>
        <w:ind w:left="144" w:right="888"/>
        <w:jc w:val="both"/>
      </w:pPr>
      <w:r>
        <w:rPr/>
        <w:t>En toda la población estudiada, los factores de riesgo identificados con mayor frecuencia fueron los procesos inflamatorios crónicos, neoplasias y cardiopatías.  Sosnar y su equipo, describieron como patologías asociadas a la enfermedad renal a las cardiopatías, seguidas de neoplasias, piometra y diabetes mellitus (Sosnar y cols., 2003), sin embargo en su estudio no especifica si los pacientes que se presentaron con piometra mostraban signos de lesión renal aguda o ERC</w:t>
      </w:r>
      <w:r>
        <w:rPr>
          <w:spacing w:val="-3"/>
        </w:rPr>
        <w:t> </w:t>
      </w:r>
      <w:r>
        <w:rPr/>
        <w:t>agudizada.</w:t>
      </w:r>
    </w:p>
    <w:p>
      <w:pPr>
        <w:pStyle w:val="BodyText"/>
      </w:pPr>
    </w:p>
    <w:p>
      <w:pPr>
        <w:pStyle w:val="BodyText"/>
      </w:pPr>
    </w:p>
    <w:p>
      <w:pPr>
        <w:pStyle w:val="BodyText"/>
        <w:spacing w:line="480" w:lineRule="auto" w:before="176"/>
        <w:ind w:left="144" w:right="888"/>
        <w:jc w:val="both"/>
      </w:pPr>
      <w:r>
        <w:rPr/>
        <w:t>Dentro de los procesos inflamatorios crónicos se consideraron a la enfermedad periodontal, enfermedades autoinmunes, dermatitis y enfermedad articular  degenerativa.</w:t>
      </w:r>
      <w:r>
        <w:rPr>
          <w:spacing w:val="35"/>
        </w:rPr>
        <w:t> </w:t>
      </w:r>
      <w:r>
        <w:rPr/>
        <w:t>Estadísticamente,</w:t>
      </w:r>
      <w:r>
        <w:rPr>
          <w:spacing w:val="35"/>
        </w:rPr>
        <w:t> </w:t>
      </w:r>
      <w:r>
        <w:rPr/>
        <w:t>este</w:t>
      </w:r>
      <w:r>
        <w:rPr>
          <w:spacing w:val="35"/>
        </w:rPr>
        <w:t> </w:t>
      </w:r>
      <w:r>
        <w:rPr/>
        <w:t>grupo</w:t>
      </w:r>
      <w:r>
        <w:rPr>
          <w:spacing w:val="35"/>
        </w:rPr>
        <w:t> </w:t>
      </w:r>
      <w:r>
        <w:rPr/>
        <w:t>no</w:t>
      </w:r>
      <w:r>
        <w:rPr>
          <w:spacing w:val="35"/>
        </w:rPr>
        <w:t> </w:t>
      </w:r>
      <w:r>
        <w:rPr/>
        <w:t>resultó</w:t>
      </w:r>
      <w:r>
        <w:rPr>
          <w:spacing w:val="35"/>
        </w:rPr>
        <w:t> </w:t>
      </w:r>
      <w:r>
        <w:rPr/>
        <w:t>como</w:t>
      </w:r>
      <w:r>
        <w:rPr>
          <w:spacing w:val="35"/>
        </w:rPr>
        <w:t> </w:t>
      </w:r>
      <w:r>
        <w:rPr/>
        <w:t>un</w:t>
      </w:r>
      <w:r>
        <w:rPr>
          <w:spacing w:val="35"/>
        </w:rPr>
        <w:t> </w:t>
      </w:r>
      <w:r>
        <w:rPr/>
        <w:t>factor</w:t>
      </w:r>
      <w:r>
        <w:rPr>
          <w:spacing w:val="35"/>
        </w:rPr>
        <w:t> </w:t>
      </w:r>
      <w:r>
        <w:rPr/>
        <w:t>de</w:t>
      </w:r>
      <w:r>
        <w:rPr>
          <w:spacing w:val="35"/>
        </w:rPr>
        <w:t> </w:t>
      </w:r>
      <w:r>
        <w:rPr/>
        <w:t>riesgo</w:t>
      </w:r>
      <w:r>
        <w:rPr>
          <w:spacing w:val="35"/>
        </w:rPr>
        <w:t> </w:t>
      </w:r>
      <w:r>
        <w:rPr/>
        <w:t>para</w:t>
      </w:r>
    </w:p>
    <w:p>
      <w:pPr>
        <w:spacing w:after="0" w:line="480" w:lineRule="auto"/>
        <w:jc w:val="both"/>
        <w:sectPr>
          <w:pgSz w:w="12240" w:h="15840"/>
          <w:pgMar w:header="742" w:footer="748" w:top="980" w:bottom="940" w:left="1620" w:right="18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1"/>
        <w:rPr>
          <w:sz w:val="22"/>
        </w:rPr>
      </w:pPr>
    </w:p>
    <w:p>
      <w:pPr>
        <w:pStyle w:val="BodyText"/>
        <w:spacing w:line="480" w:lineRule="auto" w:before="69"/>
        <w:ind w:left="144" w:right="888"/>
        <w:jc w:val="both"/>
      </w:pPr>
      <w:r>
        <w:rPr/>
        <w:t>ERC, probablemente debido al tamaño de la muestra; sin embargo las evidencias demuestran que en conjunto la inflamación relacionada a proteinuria y sus efectos descrita anteriormente, el estrés oxidativo y la disfunción endotelial contribuyen de manera importante en el desarrollo y progresión de la lesión endotelial y arterosclerosis (Mehta, 1998; Herzberg, 2001; Libby, 2002).</w:t>
      </w:r>
    </w:p>
    <w:p>
      <w:pPr>
        <w:pStyle w:val="BodyText"/>
      </w:pPr>
    </w:p>
    <w:p>
      <w:pPr>
        <w:pStyle w:val="BodyText"/>
      </w:pPr>
    </w:p>
    <w:p>
      <w:pPr>
        <w:pStyle w:val="BodyText"/>
        <w:spacing w:line="480" w:lineRule="auto" w:before="176"/>
        <w:ind w:left="144" w:right="888"/>
        <w:jc w:val="both"/>
      </w:pPr>
      <w:r>
        <w:rPr/>
        <w:t>En 2006, se demostró que los perros con arterosclerosis tienen una mayor predisposición a presentar glomerulopatías en comparación con otros perros sin evidencia de arterosclerosis (Hess, 2006). En un estudio reciente, se identificaron zonas positivas a COX-2 en distintos sitios de la mácula densa de riñones de perros diagnosticados con ERC, aunque no se encontró correlación entre la cantidad de sitios COX-2 positivos y la severidad de la enfermedad, sin embargo, la localización de estas zonas demuestran la reacción inflamatoria activa que se lleva a cabo en los riñones con ERC (Yabuki, 2012).</w:t>
      </w:r>
    </w:p>
    <w:p>
      <w:pPr>
        <w:pStyle w:val="BodyText"/>
      </w:pPr>
    </w:p>
    <w:p>
      <w:pPr>
        <w:pStyle w:val="BodyText"/>
      </w:pPr>
    </w:p>
    <w:p>
      <w:pPr>
        <w:pStyle w:val="BodyText"/>
        <w:spacing w:line="480" w:lineRule="auto" w:before="176"/>
        <w:ind w:left="144" w:right="888"/>
        <w:jc w:val="both"/>
      </w:pPr>
      <w:r>
        <w:rPr/>
        <w:t>En el caso de las neoplasias, se han identificado y descrito diferentes síndromes paraneoplásicos que pueden afectar la función renal, entre estos se encuentra a la hipercalcemia maligna, síndrome de secreción inapropiada de hormona antidiurética, síndrome de lisis del tumor por deposición de cristales de ácido úrico, nefropatía membranosa,     enfermedad     con     cambios     mínimos,     nefropatía     por        IgA,</w:t>
      </w:r>
    </w:p>
    <w:p>
      <w:pPr>
        <w:spacing w:after="0" w:line="480" w:lineRule="auto"/>
        <w:jc w:val="both"/>
        <w:sectPr>
          <w:pgSz w:w="12240" w:h="15840"/>
          <w:pgMar w:header="742" w:footer="748" w:top="980" w:bottom="940" w:left="1620" w:right="18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1"/>
        <w:rPr>
          <w:sz w:val="22"/>
        </w:rPr>
      </w:pPr>
    </w:p>
    <w:p>
      <w:pPr>
        <w:pStyle w:val="BodyText"/>
        <w:spacing w:line="480" w:lineRule="auto" w:before="69"/>
        <w:ind w:left="144" w:right="888"/>
        <w:jc w:val="both"/>
      </w:pPr>
      <w:r>
        <w:rPr/>
        <w:t>glomeruloesclerosis focal y segmental, glomerulopatía membranoproliferativa, glomerulonefritis rápidamente progresiva y la microangiopatía trombocítica (Bacchetta, 2009; Filgueira, 2010; Thariat, 2012). El mecanismo fisiopatológico de estas patologías no está del todo esclarecido, sin embargo, se cree que la nefropatía membranosa se desencadena a partir de una reacción inmune intensa y se caracteriza por depósitos subepiteliales de complejos inmunes (KDOQI, 2002; Cameron, 1998; Ronco, 1999; Birkeland, 2003).</w:t>
      </w:r>
    </w:p>
    <w:p>
      <w:pPr>
        <w:pStyle w:val="BodyText"/>
      </w:pPr>
    </w:p>
    <w:p>
      <w:pPr>
        <w:pStyle w:val="BodyText"/>
      </w:pPr>
    </w:p>
    <w:p>
      <w:pPr>
        <w:pStyle w:val="BodyText"/>
        <w:spacing w:line="480" w:lineRule="auto" w:before="176"/>
        <w:ind w:left="144" w:right="888"/>
        <w:jc w:val="both"/>
      </w:pPr>
      <w:r>
        <w:rPr/>
        <w:t>En este estudio las neoplasias no resultaron como un factor de riesgo para la ERC, contrario a esto, estadísticamente resultaron como factor protector, es probable que la razón de esto sea que las neoplasias son clínicamente más evidentes, por lo que los propietarios acuden a consulta antes de que se desarrolle un síndrome paraneoplásico que se pueda relacionar con la ERC; sin embargo se requieren de más estudios para encontrar la relación directa entre estas patologías.</w:t>
      </w:r>
    </w:p>
    <w:p>
      <w:pPr>
        <w:pStyle w:val="BodyText"/>
      </w:pPr>
    </w:p>
    <w:p>
      <w:pPr>
        <w:pStyle w:val="BodyText"/>
      </w:pPr>
    </w:p>
    <w:p>
      <w:pPr>
        <w:pStyle w:val="BodyText"/>
        <w:spacing w:line="480" w:lineRule="auto" w:before="176"/>
        <w:ind w:left="144" w:right="888"/>
        <w:jc w:val="both"/>
      </w:pPr>
      <w:r>
        <w:rPr/>
        <w:t>De acuerdo a los resultados obtenidos, las cardiopatías resultaron un factor de riesgo directo para la ERC, lo que concuerda con lo reportado previamente (O’Neill y cols., 2013). La fisiopatología de la enfermedad renal en las enfermedades  </w:t>
      </w:r>
      <w:r>
        <w:rPr>
          <w:spacing w:val="54"/>
        </w:rPr>
        <w:t> </w:t>
      </w:r>
      <w:r>
        <w:rPr/>
        <w:t>cardiovasculares</w:t>
      </w:r>
    </w:p>
    <w:p>
      <w:pPr>
        <w:spacing w:after="0" w:line="480" w:lineRule="auto"/>
        <w:jc w:val="both"/>
        <w:sectPr>
          <w:pgSz w:w="12240" w:h="15840"/>
          <w:pgMar w:header="742" w:footer="748" w:top="980" w:bottom="940" w:left="1620" w:right="18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1"/>
        <w:rPr>
          <w:sz w:val="22"/>
        </w:rPr>
      </w:pPr>
    </w:p>
    <w:p>
      <w:pPr>
        <w:pStyle w:val="BodyText"/>
        <w:spacing w:line="480" w:lineRule="auto" w:before="69"/>
        <w:ind w:left="144" w:right="888"/>
        <w:jc w:val="both"/>
      </w:pPr>
      <w:r>
        <w:rPr/>
        <w:t>es multifactorial y se asocia con hipoperfusión renal, arterioesclerosis e inflamación endotelial, así como a activación neurohormonal, lo que provoca una disminución en el flujo sanguíneo renal e isquemia (Ljungman, 1990; Stam, 2003; Zoccali, 2003; Weiner, 2004).</w:t>
      </w:r>
    </w:p>
    <w:p>
      <w:pPr>
        <w:pStyle w:val="BodyText"/>
      </w:pPr>
    </w:p>
    <w:p>
      <w:pPr>
        <w:pStyle w:val="BodyText"/>
      </w:pPr>
    </w:p>
    <w:p>
      <w:pPr>
        <w:pStyle w:val="BodyText"/>
        <w:spacing w:line="480" w:lineRule="auto" w:before="176"/>
        <w:ind w:left="144" w:right="888"/>
        <w:jc w:val="both"/>
      </w:pPr>
      <w:r>
        <w:rPr/>
        <w:t>Existen varios fármacos que se han declarado como nefrotóxicos, entre estos podemos encontrar antibióticos como los aminoglucósidos que causan daño renal al concentrarse en la corteza renal y túbulo proximal, donde alteran los mecanismos normales lisosomales y a las sulfonamidas que pueden causar nefritis intersticial aguda, arteritis necrosante, anemia hemolítica y cristaluria que causa daño tubular (Singh, 2003).</w:t>
      </w:r>
    </w:p>
    <w:p>
      <w:pPr>
        <w:pStyle w:val="BodyText"/>
      </w:pPr>
    </w:p>
    <w:p>
      <w:pPr>
        <w:pStyle w:val="BodyText"/>
      </w:pPr>
    </w:p>
    <w:p>
      <w:pPr>
        <w:pStyle w:val="BodyText"/>
        <w:spacing w:line="480" w:lineRule="auto" w:before="176"/>
        <w:ind w:left="144" w:right="888"/>
        <w:jc w:val="both"/>
      </w:pPr>
      <w:r>
        <w:rPr/>
        <w:t>Los antiinflamatorios no esteroidales también se han asociado a ERC, la cual se da por una nefritis intersticial crónica con esclerosis capilar de los vasos renales, seguida de necrosis y calcificación, está mediada por isquemia medular inducida por los efectos vasodilatadores de las prostaglandinas sobre la vasa recta. (Singh, 2003; Papich, 2008). Sin embargo, de acuerdo a los resultados obtenidos, la administración de estos fármacos no resultó como un factor de riesgo para la ERC, probablemente debido a que los periodos y/o dosis en los que estos medicamentos les fueron administrados a los pacientes no fueron suficientes para provocar un daño renal.</w:t>
      </w:r>
    </w:p>
    <w:p>
      <w:pPr>
        <w:spacing w:after="0" w:line="480" w:lineRule="auto"/>
        <w:jc w:val="both"/>
        <w:sectPr>
          <w:pgSz w:w="12240" w:h="15840"/>
          <w:pgMar w:header="742" w:footer="748" w:top="980" w:bottom="940" w:left="1620" w:right="18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6"/>
        <w:rPr>
          <w:sz w:val="25"/>
        </w:rPr>
      </w:pPr>
    </w:p>
    <w:p>
      <w:pPr>
        <w:pStyle w:val="BodyText"/>
        <w:spacing w:line="480" w:lineRule="auto" w:before="70"/>
        <w:ind w:left="144" w:right="888"/>
        <w:jc w:val="both"/>
      </w:pPr>
      <w:r>
        <w:rPr/>
        <w:t>Fisiopatológicamente, las lesiones renales perianestésicas se pueden desarrollar por isquemia tubular debido a disminución del flujo sanguíneo renal por fármacos que alteran la distribución sanguínea intrarrenal y/o a enfermedades preexistentes que provocan anomalías hemodinámicas, trombosis renales, embolismos renales, nefrotoxinas, hemólisis y agentes nefrotóxicos utilizados antes, durante o después de la anestesia (Aronson, 1998; Ackland, 2011; Strom, 2011); sin embargo, en este estudio la historia clínica de haber tenido intervenciones quirúrgicas previas no resultó como factor de riesgo para ERC.</w:t>
      </w:r>
    </w:p>
    <w:p>
      <w:pPr>
        <w:pStyle w:val="BodyText"/>
      </w:pPr>
    </w:p>
    <w:p>
      <w:pPr>
        <w:pStyle w:val="BodyText"/>
      </w:pPr>
    </w:p>
    <w:p>
      <w:pPr>
        <w:pStyle w:val="BodyText"/>
        <w:spacing w:line="480" w:lineRule="auto" w:before="176"/>
        <w:ind w:left="144" w:right="888"/>
        <w:jc w:val="both"/>
      </w:pPr>
      <w:r>
        <w:rPr/>
        <w:t>En este estudio el grupo de enfermedades endócrinas como diabetes mellitus, hiperadrenocorticismo e hipotiroidismo, resultaron como un factor de riesgo directo debido a sus mecanismos fisiopatológicos relacionado con ERC.</w:t>
      </w:r>
    </w:p>
    <w:p>
      <w:pPr>
        <w:pStyle w:val="BodyText"/>
      </w:pPr>
    </w:p>
    <w:p>
      <w:pPr>
        <w:pStyle w:val="BodyText"/>
      </w:pPr>
    </w:p>
    <w:p>
      <w:pPr>
        <w:pStyle w:val="BodyText"/>
        <w:spacing w:line="480" w:lineRule="auto" w:before="176"/>
        <w:ind w:left="144" w:right="888"/>
        <w:jc w:val="both"/>
      </w:pPr>
      <w:r>
        <w:rPr/>
        <w:t>La diabetes mellitus se ha considerado como un factor de riesgo para ERC en humanos (Lea, 2002; Dabla, 2010; Suckling, 2012); en etapas iniciales se asocia con una estimulación de vasoconstricción y aumento de la permeabilidad vascular generalizada mediada por la presencia de hiperglicemia (Bloom y cols., 2013), por otro lado, también se relaciona con vasodilatación, inflamación y estrés oxidativo, sugiriendo un vínculo entre      las      anormalidades      vasculares      y      metabólicas      (Coresh,      2003);</w:t>
      </w:r>
    </w:p>
    <w:p>
      <w:pPr>
        <w:spacing w:after="0" w:line="480" w:lineRule="auto"/>
        <w:jc w:val="both"/>
        <w:sectPr>
          <w:pgSz w:w="12240" w:h="15840"/>
          <w:pgMar w:header="742" w:footer="748" w:top="980" w:bottom="940" w:left="1620" w:right="18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1"/>
        <w:rPr>
          <w:sz w:val="22"/>
        </w:rPr>
      </w:pPr>
    </w:p>
    <w:p>
      <w:pPr>
        <w:pStyle w:val="BodyText"/>
        <w:spacing w:line="480" w:lineRule="auto" w:before="69"/>
        <w:ind w:left="144" w:right="888"/>
        <w:jc w:val="both"/>
      </w:pPr>
      <w:r>
        <w:rPr/>
        <w:t>además de la proteinuria debida al incremento de la tasa de filtración golerular y nefroesclerosis diabética e hipertensiva causando una filtración excesiva y disminución de la degradación y reabsorción de la albúmina por las células tubulares (Chaiken,  1998; Stehouwer, 2004). Todo lo anterior se ha asociado con daño a largo plazo y disfunción de varios órganos, especialmente los ojos, riñones, nervios, corazón y vasos sanguíneos (Dabla,</w:t>
      </w:r>
      <w:r>
        <w:rPr>
          <w:spacing w:val="-1"/>
        </w:rPr>
        <w:t> </w:t>
      </w:r>
      <w:r>
        <w:rPr/>
        <w:t>2010).</w:t>
      </w:r>
    </w:p>
    <w:p>
      <w:pPr>
        <w:pStyle w:val="BodyText"/>
      </w:pPr>
    </w:p>
    <w:p>
      <w:pPr>
        <w:pStyle w:val="BodyText"/>
      </w:pPr>
    </w:p>
    <w:p>
      <w:pPr>
        <w:pStyle w:val="BodyText"/>
        <w:spacing w:line="480" w:lineRule="auto" w:before="176"/>
        <w:ind w:left="144" w:right="888"/>
        <w:jc w:val="both"/>
      </w:pPr>
      <w:r>
        <w:rPr/>
        <w:t>El hiperadrenocorticismo provoca un aumento de la tasa de filtración glomerular, aumento de excreción de proteína en orina, hipertensión y activación de factores de inflamación a nivel glomerular (Smets, 2010); además en diversos estudios se ha documentado la presencia de glomeruloesclerosis, la existencia de una relación entre la presión sanguínea y la severidad de proteinuria, glomerulonefritis y amiloidosis en perros con síndrome de Cushing (Schellenberg, 2008; Smets,</w:t>
      </w:r>
      <w:r>
        <w:rPr>
          <w:spacing w:val="-1"/>
        </w:rPr>
        <w:t> </w:t>
      </w:r>
      <w:r>
        <w:rPr/>
        <w:t>2009).</w:t>
      </w:r>
    </w:p>
    <w:p>
      <w:pPr>
        <w:pStyle w:val="BodyText"/>
      </w:pPr>
    </w:p>
    <w:p>
      <w:pPr>
        <w:pStyle w:val="BodyText"/>
      </w:pPr>
    </w:p>
    <w:p>
      <w:pPr>
        <w:pStyle w:val="BodyText"/>
        <w:spacing w:line="480" w:lineRule="auto" w:before="176"/>
        <w:ind w:left="144" w:right="888"/>
        <w:jc w:val="both"/>
      </w:pPr>
      <w:r>
        <w:rPr/>
        <w:t>En el hipotiroidismo se produce una disminución del flujo sanguíneo renal debido a una reducción en el gasto cardiaco como consecuencia de bradicardia, disminución del llenado ventricular y de la contractibilidad cardiaca y una vasoconstricción  preglomerular debida a hipotensión, disminuyendo la excreción y absorción tubular, interfiriedo con el transporte de electrolitos a nivel epitelial, generando a largo plazo una disminución de la masa renal. (Diekman, 2001; den Hollander,</w:t>
      </w:r>
      <w:r>
        <w:rPr>
          <w:spacing w:val="-2"/>
        </w:rPr>
        <w:t> </w:t>
      </w:r>
      <w:r>
        <w:rPr/>
        <w:t>2005).</w:t>
      </w:r>
    </w:p>
    <w:p>
      <w:pPr>
        <w:spacing w:after="0" w:line="480" w:lineRule="auto"/>
        <w:jc w:val="both"/>
        <w:sectPr>
          <w:footerReference w:type="default" r:id="rId21"/>
          <w:pgSz w:w="12240" w:h="15840"/>
          <w:pgMar w:footer="748" w:header="742" w:top="980" w:bottom="940" w:left="1620" w:right="18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6"/>
        <w:rPr>
          <w:sz w:val="25"/>
        </w:rPr>
      </w:pPr>
    </w:p>
    <w:p>
      <w:pPr>
        <w:pStyle w:val="BodyText"/>
        <w:spacing w:line="480" w:lineRule="auto" w:before="70"/>
        <w:ind w:left="144" w:right="888"/>
        <w:jc w:val="both"/>
      </w:pPr>
      <w:r>
        <w:rPr/>
        <w:t>En el grupo de enfermedades infecciosas (pacientes con historia de haber padecido parvovirosis, distemper y/o leptospirosis) el daño glomerular se puede relacionar a la respuesta inflamatoria sistémica resultante, así como por daño directo a la membrana glomerular provocado por la interacción entre esta y los compuestos antígeno- anticuerpo (Ardalan, 2011; Greene, 2006). En este estudio las  enfermedades infecciosas no resultaron como un factor de riesgo, debido probablemente al pequeño número de casos.</w:t>
      </w:r>
    </w:p>
    <w:p>
      <w:pPr>
        <w:pStyle w:val="BodyText"/>
      </w:pPr>
    </w:p>
    <w:p>
      <w:pPr>
        <w:pStyle w:val="BodyText"/>
      </w:pPr>
    </w:p>
    <w:p>
      <w:pPr>
        <w:pStyle w:val="BodyText"/>
        <w:spacing w:line="480" w:lineRule="auto" w:before="176"/>
        <w:ind w:left="144" w:right="888"/>
        <w:jc w:val="both"/>
      </w:pPr>
      <w:r>
        <w:rPr/>
        <w:t>Los resultados demuestran que las hepatopatías presentan una tendencia a ser consideradas como factor de riesgo para la ERC, sin embargo es necesario realizar estudios con poblaciones más amplias, ya que el tamaño de la muestra del estudio no permite definirlas como tal de una manera concluyente.</w:t>
      </w:r>
    </w:p>
    <w:p>
      <w:pPr>
        <w:pStyle w:val="BodyText"/>
      </w:pPr>
    </w:p>
    <w:p>
      <w:pPr>
        <w:pStyle w:val="BodyText"/>
      </w:pPr>
    </w:p>
    <w:p>
      <w:pPr>
        <w:pStyle w:val="BodyText"/>
        <w:spacing w:line="480" w:lineRule="auto" w:before="176"/>
        <w:ind w:left="144" w:right="888"/>
        <w:jc w:val="both"/>
      </w:pPr>
      <w:r>
        <w:rPr/>
        <w:t>La fisiopatología por la cual las hepatopatías se relacionan con la ERC es atribuida a diferentes alteraciones circulatorias, principalmente, a una reducción de la resistencia vascular sistémica debida a una vasodilatación arterial primaria en la circulación esplénica,  desencadenada  por  hipertensión  portal.  Se  proponen  cuatro      caminos:</w:t>
      </w:r>
    </w:p>
    <w:p>
      <w:pPr>
        <w:spacing w:after="0" w:line="480" w:lineRule="auto"/>
        <w:jc w:val="both"/>
        <w:sectPr>
          <w:footerReference w:type="default" r:id="rId22"/>
          <w:pgSz w:w="12240" w:h="15840"/>
          <w:pgMar w:footer="748" w:header="742" w:top="980" w:bottom="940" w:left="1620" w:right="180"/>
          <w:pgNumType w:start="61"/>
        </w:sect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1"/>
        <w:rPr>
          <w:sz w:val="22"/>
        </w:rPr>
      </w:pPr>
    </w:p>
    <w:p>
      <w:pPr>
        <w:pStyle w:val="ListParagraph"/>
        <w:numPr>
          <w:ilvl w:val="0"/>
          <w:numId w:val="3"/>
        </w:numPr>
        <w:tabs>
          <w:tab w:pos="426" w:val="left" w:leader="none"/>
        </w:tabs>
        <w:spacing w:line="480" w:lineRule="auto" w:before="69" w:after="0"/>
        <w:ind w:left="144" w:right="888" w:firstLine="66"/>
        <w:jc w:val="both"/>
        <w:rPr>
          <w:rFonts w:ascii="Arial" w:hAnsi="Arial"/>
          <w:sz w:val="24"/>
        </w:rPr>
      </w:pPr>
      <w:r>
        <w:rPr>
          <w:rFonts w:ascii="Arial" w:hAnsi="Arial"/>
          <w:sz w:val="24"/>
        </w:rPr>
        <w:t>vasodilatación arterial periférica con circulación hiperdinámica y la subsecuente vasoconstricción renal, 2) estimulación del sistema nervioso simpático renal, 3) anomalías en la función cardiaca que contribuye a la hipoperfusión renal, y 4) la acción de diferentes citocinas y mediadores vasoactivos en la circulación renal y otros lechos vasculares (Wadei, 2006). Otros posibles mecanismos fisiopatológicos propuestos son: la liberación sistémica de mediadores de inflamación del hígado inflamado o  esteatótico, la resistencia a la insulina y para las dislipidemias aterogénicas (Schrier, 1988; Wadei, 2006; Ginés, 2009; Targher,</w:t>
      </w:r>
      <w:r>
        <w:rPr>
          <w:rFonts w:ascii="Arial" w:hAnsi="Arial"/>
          <w:spacing w:val="-5"/>
          <w:sz w:val="24"/>
        </w:rPr>
        <w:t> </w:t>
      </w:r>
      <w:r>
        <w:rPr>
          <w:rFonts w:ascii="Arial" w:hAnsi="Arial"/>
          <w:sz w:val="24"/>
        </w:rPr>
        <w:t>2011).</w:t>
      </w:r>
    </w:p>
    <w:p>
      <w:pPr>
        <w:pStyle w:val="BodyText"/>
      </w:pPr>
    </w:p>
    <w:p>
      <w:pPr>
        <w:pStyle w:val="BodyText"/>
      </w:pPr>
    </w:p>
    <w:p>
      <w:pPr>
        <w:pStyle w:val="BodyText"/>
        <w:spacing w:line="480" w:lineRule="auto" w:before="176"/>
        <w:ind w:left="144" w:right="888"/>
        <w:jc w:val="both"/>
      </w:pPr>
      <w:r>
        <w:rPr/>
        <w:t>El haber presentado alguna ETUC (enfermedad del tracto urinario caudal, urolitiasis) tampoco resultó como factor de riesgo para ERC en el estudio, probablemente debido  al tamaño de la muestra; sin embargo, se ha visto que en el caso de las infecciones del tracto urinario el cambio alcalino del pH urinario y la liberación de iones amonio son tóxicos para las células de los túbulos renales y puede llevar a lesiones renales a largo plazo (Vupputuri, 2004). También se puede desarrollar pielonefritis como consecuencia de las ITUC. (Saucier,</w:t>
      </w:r>
      <w:r>
        <w:rPr>
          <w:spacing w:val="-1"/>
        </w:rPr>
        <w:t> </w:t>
      </w:r>
      <w:r>
        <w:rPr/>
        <w:t>2010).</w:t>
      </w:r>
    </w:p>
    <w:p>
      <w:pPr>
        <w:spacing w:after="0" w:line="480" w:lineRule="auto"/>
        <w:jc w:val="both"/>
        <w:sectPr>
          <w:pgSz w:w="12240" w:h="15840"/>
          <w:pgMar w:header="742" w:footer="748" w:top="980" w:bottom="940" w:left="1620" w:right="18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line="480" w:lineRule="auto" w:before="195"/>
        <w:ind w:left="144" w:right="888"/>
        <w:jc w:val="both"/>
      </w:pPr>
      <w:r>
        <w:rPr/>
        <w:t>Por otro lado, los cálculos urinarios se asocian con nefropatías obstructivas, ya que con la obstrucción uretral la presión uretral aumenta, y esto se transmite al espacio de la cápsula de Bowman, lo que resultaría en una disminución del flujo sanguíneo renal y de la tasa de filtración glomerular provocando azotemia e hiperfosfatemia, inicialmente causan un daño renal leve pero gradualmente evolucionar a un mayor grado de lesión (Bartges, 2011).</w:t>
      </w:r>
    </w:p>
    <w:p>
      <w:pPr>
        <w:spacing w:after="0" w:line="480" w:lineRule="auto"/>
        <w:jc w:val="both"/>
        <w:sectPr>
          <w:pgSz w:w="12240" w:h="15840"/>
          <w:pgMar w:header="742" w:footer="748" w:top="980" w:bottom="940" w:left="1620" w:right="18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6"/>
        <w:rPr>
          <w:sz w:val="25"/>
        </w:rPr>
      </w:pPr>
    </w:p>
    <w:p>
      <w:pPr>
        <w:pStyle w:val="Heading1"/>
      </w:pPr>
      <w:bookmarkStart w:name="_TOC_250005" w:id="22"/>
      <w:bookmarkEnd w:id="22"/>
      <w:r>
        <w:rPr/>
        <w:t>CAPÍTULO VII</w:t>
      </w:r>
    </w:p>
    <w:p>
      <w:pPr>
        <w:pStyle w:val="BodyText"/>
        <w:rPr>
          <w:b/>
        </w:rPr>
      </w:pPr>
    </w:p>
    <w:p>
      <w:pPr>
        <w:pStyle w:val="BodyText"/>
        <w:rPr>
          <w:b/>
        </w:rPr>
      </w:pPr>
    </w:p>
    <w:p>
      <w:pPr>
        <w:pStyle w:val="BodyText"/>
        <w:rPr>
          <w:b/>
        </w:rPr>
      </w:pPr>
    </w:p>
    <w:p>
      <w:pPr>
        <w:pStyle w:val="Heading1"/>
        <w:spacing w:before="168"/>
      </w:pPr>
      <w:bookmarkStart w:name="_TOC_250004" w:id="23"/>
      <w:bookmarkEnd w:id="23"/>
      <w:r>
        <w:rPr/>
        <w:t>Conclusiones</w:t>
      </w:r>
    </w:p>
    <w:p>
      <w:pPr>
        <w:pStyle w:val="BodyText"/>
        <w:rPr>
          <w:b/>
        </w:rPr>
      </w:pPr>
    </w:p>
    <w:p>
      <w:pPr>
        <w:pStyle w:val="BodyText"/>
        <w:rPr>
          <w:b/>
        </w:rPr>
      </w:pPr>
    </w:p>
    <w:p>
      <w:pPr>
        <w:pStyle w:val="BodyText"/>
        <w:rPr>
          <w:b/>
        </w:rPr>
      </w:pPr>
    </w:p>
    <w:p>
      <w:pPr>
        <w:pStyle w:val="BodyText"/>
        <w:spacing w:line="480" w:lineRule="auto" w:before="168"/>
        <w:ind w:left="144" w:right="888"/>
        <w:jc w:val="both"/>
      </w:pPr>
      <w:r>
        <w:rPr/>
        <w:t>De acuerdo a los resultados observados, podemos concluir que la frecuencia de la ERC en perros con diferentes factores de riesgo en este centro hospitalario es de 48.2%.</w:t>
      </w:r>
    </w:p>
    <w:p>
      <w:pPr>
        <w:pStyle w:val="BodyText"/>
      </w:pPr>
    </w:p>
    <w:p>
      <w:pPr>
        <w:pStyle w:val="BodyText"/>
      </w:pPr>
    </w:p>
    <w:p>
      <w:pPr>
        <w:pStyle w:val="BodyText"/>
        <w:spacing w:line="480" w:lineRule="auto" w:before="176"/>
        <w:ind w:left="144" w:right="888"/>
        <w:jc w:val="both"/>
      </w:pPr>
      <w:r>
        <w:rPr/>
        <w:t>Del total de pacientes diagnosticados con ERC, el 82.01% se encontraron distribuidos en estadios tempranos de enfermedad (Ib- II).</w:t>
      </w:r>
    </w:p>
    <w:p>
      <w:pPr>
        <w:pStyle w:val="BodyText"/>
      </w:pPr>
    </w:p>
    <w:p>
      <w:pPr>
        <w:pStyle w:val="BodyText"/>
      </w:pPr>
    </w:p>
    <w:p>
      <w:pPr>
        <w:pStyle w:val="BodyText"/>
        <w:spacing w:line="480" w:lineRule="auto" w:before="176"/>
        <w:ind w:left="144" w:right="888"/>
        <w:jc w:val="both"/>
      </w:pPr>
      <w:r>
        <w:rPr/>
        <w:t>Los factores de riesgo identificados para desarrollar ERC incluyeron las cardiopatías, endocrinopatías y hepatopatías.</w:t>
      </w:r>
    </w:p>
    <w:p>
      <w:pPr>
        <w:pStyle w:val="BodyText"/>
      </w:pPr>
    </w:p>
    <w:p>
      <w:pPr>
        <w:pStyle w:val="BodyText"/>
      </w:pPr>
    </w:p>
    <w:p>
      <w:pPr>
        <w:pStyle w:val="BodyText"/>
        <w:spacing w:line="480" w:lineRule="auto" w:before="176"/>
        <w:ind w:left="144" w:right="888"/>
        <w:jc w:val="both"/>
      </w:pPr>
      <w:r>
        <w:rPr/>
        <w:t>Si bien una de las limitantes de este estudio es el tamaño de la población, los hallazgos proporcionan un punto de partida para estudios posteriores y para el desarrollo de nuevos protocolos diagnósticos con base en los factores de riesgo presentes en las diferentes poblaciones.</w:t>
      </w:r>
    </w:p>
    <w:p>
      <w:pPr>
        <w:spacing w:after="0" w:line="480" w:lineRule="auto"/>
        <w:jc w:val="both"/>
        <w:sectPr>
          <w:pgSz w:w="12240" w:h="15840"/>
          <w:pgMar w:header="742" w:footer="748" w:top="980" w:bottom="940" w:left="1620" w:right="180"/>
        </w:sectPr>
      </w:pPr>
    </w:p>
    <w:p>
      <w:pPr>
        <w:pStyle w:val="BodyText"/>
        <w:rPr>
          <w:sz w:val="20"/>
        </w:rPr>
      </w:pPr>
    </w:p>
    <w:p>
      <w:pPr>
        <w:pStyle w:val="BodyText"/>
        <w:rPr>
          <w:sz w:val="20"/>
        </w:rPr>
      </w:pPr>
    </w:p>
    <w:p>
      <w:pPr>
        <w:pStyle w:val="BodyText"/>
        <w:spacing w:before="11"/>
        <w:rPr>
          <w:sz w:val="20"/>
        </w:rPr>
      </w:pPr>
    </w:p>
    <w:p>
      <w:pPr>
        <w:pStyle w:val="Heading1"/>
        <w:spacing w:before="0"/>
        <w:jc w:val="left"/>
      </w:pPr>
      <w:bookmarkStart w:name="_TOC_250003" w:id="24"/>
      <w:bookmarkEnd w:id="24"/>
      <w:r>
        <w:rPr/>
        <w:t>CAPÍTULO VIII</w:t>
      </w:r>
    </w:p>
    <w:p>
      <w:pPr>
        <w:pStyle w:val="BodyText"/>
        <w:rPr>
          <w:b/>
        </w:rPr>
      </w:pPr>
    </w:p>
    <w:p>
      <w:pPr>
        <w:pStyle w:val="BodyText"/>
        <w:rPr>
          <w:b/>
        </w:rPr>
      </w:pPr>
    </w:p>
    <w:p>
      <w:pPr>
        <w:pStyle w:val="BodyText"/>
        <w:rPr>
          <w:b/>
        </w:rPr>
      </w:pPr>
    </w:p>
    <w:p>
      <w:pPr>
        <w:pStyle w:val="Heading1"/>
        <w:spacing w:before="168"/>
        <w:jc w:val="left"/>
      </w:pPr>
      <w:bookmarkStart w:name="_TOC_250002" w:id="25"/>
      <w:bookmarkEnd w:id="25"/>
      <w:r>
        <w:rPr/>
        <w:t>Referencias bibliográficas</w:t>
      </w:r>
    </w:p>
    <w:p>
      <w:pPr>
        <w:pStyle w:val="BodyText"/>
        <w:rPr>
          <w:b/>
        </w:rPr>
      </w:pPr>
    </w:p>
    <w:p>
      <w:pPr>
        <w:pStyle w:val="BodyText"/>
        <w:rPr>
          <w:b/>
        </w:rPr>
      </w:pPr>
    </w:p>
    <w:p>
      <w:pPr>
        <w:pStyle w:val="BodyText"/>
        <w:rPr>
          <w:b/>
        </w:rPr>
      </w:pPr>
    </w:p>
    <w:p>
      <w:pPr>
        <w:pStyle w:val="ListParagraph"/>
        <w:numPr>
          <w:ilvl w:val="1"/>
          <w:numId w:val="3"/>
        </w:numPr>
        <w:tabs>
          <w:tab w:pos="854" w:val="left" w:leader="none"/>
        </w:tabs>
        <w:spacing w:line="472" w:lineRule="auto" w:before="171" w:after="0"/>
        <w:ind w:left="864" w:right="888" w:hanging="360"/>
        <w:jc w:val="both"/>
        <w:rPr>
          <w:rFonts w:ascii="Arial"/>
          <w:sz w:val="24"/>
        </w:rPr>
      </w:pPr>
      <w:r>
        <w:rPr>
          <w:rFonts w:ascii="Arial"/>
          <w:sz w:val="24"/>
        </w:rPr>
        <w:t>Ackland GL, Moran N, Cone S, et al (2011). Chronic kidney disease and postoperative morbidity after elective orthopedic surgery. Anesth Analag.112(6):1375-81.</w:t>
      </w:r>
    </w:p>
    <w:p>
      <w:pPr>
        <w:pStyle w:val="ListParagraph"/>
        <w:numPr>
          <w:ilvl w:val="1"/>
          <w:numId w:val="3"/>
        </w:numPr>
        <w:tabs>
          <w:tab w:pos="854" w:val="left" w:leader="none"/>
        </w:tabs>
        <w:spacing w:line="470" w:lineRule="auto" w:before="19" w:after="0"/>
        <w:ind w:left="864" w:right="888" w:hanging="360"/>
        <w:jc w:val="both"/>
        <w:rPr>
          <w:rFonts w:ascii="Arial"/>
          <w:sz w:val="24"/>
        </w:rPr>
      </w:pPr>
      <w:r>
        <w:rPr>
          <w:rFonts w:ascii="Arial"/>
          <w:sz w:val="24"/>
        </w:rPr>
        <w:t>Ardalan MR, Ghabili K, Pourabbas R, et al. (2011). A causative link between periodontal disease and glomerulonephritis: a preliminary study. Ther Clin Risk Manag.</w:t>
      </w:r>
      <w:r>
        <w:rPr>
          <w:rFonts w:ascii="Arial"/>
          <w:spacing w:val="-2"/>
          <w:sz w:val="24"/>
        </w:rPr>
        <w:t> </w:t>
      </w:r>
      <w:r>
        <w:rPr>
          <w:rFonts w:ascii="Arial"/>
          <w:sz w:val="24"/>
        </w:rPr>
        <w:t>7:93-8.</w:t>
      </w:r>
    </w:p>
    <w:p>
      <w:pPr>
        <w:pStyle w:val="ListParagraph"/>
        <w:numPr>
          <w:ilvl w:val="1"/>
          <w:numId w:val="3"/>
        </w:numPr>
        <w:tabs>
          <w:tab w:pos="854" w:val="left" w:leader="none"/>
        </w:tabs>
        <w:spacing w:line="470" w:lineRule="auto" w:before="21" w:after="0"/>
        <w:ind w:left="864" w:right="888" w:hanging="360"/>
        <w:jc w:val="both"/>
        <w:rPr>
          <w:rFonts w:ascii="Arial"/>
          <w:sz w:val="24"/>
        </w:rPr>
      </w:pPr>
      <w:r>
        <w:rPr>
          <w:rFonts w:ascii="Arial"/>
          <w:sz w:val="24"/>
        </w:rPr>
        <w:t>Aronson S, Blumenthal R (1998). Perioperative renal dysfunction and cardiovascular anesthesia: concerns and controversies. J Cardiothorac Vasc Anesth.</w:t>
      </w:r>
      <w:r>
        <w:rPr>
          <w:rFonts w:ascii="Arial"/>
          <w:spacing w:val="-2"/>
          <w:sz w:val="24"/>
        </w:rPr>
        <w:t> </w:t>
      </w:r>
      <w:r>
        <w:rPr>
          <w:rFonts w:ascii="Arial"/>
          <w:sz w:val="24"/>
        </w:rPr>
        <w:t>112(5):567-86.</w:t>
      </w:r>
    </w:p>
    <w:p>
      <w:pPr>
        <w:pStyle w:val="ListParagraph"/>
        <w:numPr>
          <w:ilvl w:val="1"/>
          <w:numId w:val="3"/>
        </w:numPr>
        <w:tabs>
          <w:tab w:pos="854" w:val="left" w:leader="none"/>
        </w:tabs>
        <w:spacing w:line="463" w:lineRule="auto" w:before="21" w:after="0"/>
        <w:ind w:left="864" w:right="888" w:hanging="360"/>
        <w:jc w:val="both"/>
        <w:rPr>
          <w:rFonts w:ascii="Arial"/>
          <w:sz w:val="24"/>
        </w:rPr>
      </w:pPr>
      <w:r>
        <w:rPr>
          <w:rFonts w:ascii="Arial"/>
          <w:sz w:val="24"/>
        </w:rPr>
        <w:t>Bacchetta J, Julliard L, Cochat P, Droz JP (2009). Paraneoplastic glomerular diseases and malignancies. Crit Rev Oncol  Hematol</w:t>
      </w:r>
      <w:r>
        <w:rPr>
          <w:rFonts w:ascii="Arial"/>
          <w:spacing w:val="-3"/>
          <w:sz w:val="24"/>
        </w:rPr>
        <w:t> </w:t>
      </w:r>
      <w:r>
        <w:rPr>
          <w:rFonts w:ascii="Arial"/>
          <w:sz w:val="24"/>
        </w:rPr>
        <w:t>70:39-58.</w:t>
      </w:r>
    </w:p>
    <w:p>
      <w:pPr>
        <w:pStyle w:val="ListParagraph"/>
        <w:numPr>
          <w:ilvl w:val="1"/>
          <w:numId w:val="3"/>
        </w:numPr>
        <w:tabs>
          <w:tab w:pos="854" w:val="left" w:leader="none"/>
        </w:tabs>
        <w:spacing w:line="460" w:lineRule="auto" w:before="29" w:after="0"/>
        <w:ind w:left="864" w:right="888" w:hanging="360"/>
        <w:jc w:val="both"/>
        <w:rPr>
          <w:rFonts w:ascii="Arial"/>
          <w:sz w:val="24"/>
        </w:rPr>
      </w:pPr>
      <w:r>
        <w:rPr>
          <w:rFonts w:ascii="Arial"/>
          <w:sz w:val="24"/>
        </w:rPr>
        <w:t>Bartges J (2011). Pathophysiology of urinary obsruction. In: Nephrology and urology of small animals. Ed Bartges J, Polzin DJ. Blackwell Publishing.</w:t>
      </w:r>
      <w:r>
        <w:rPr>
          <w:rFonts w:ascii="Arial"/>
          <w:spacing w:val="-1"/>
          <w:sz w:val="24"/>
        </w:rPr>
        <w:t> </w:t>
      </w:r>
      <w:r>
        <w:rPr>
          <w:rFonts w:ascii="Arial"/>
          <w:sz w:val="24"/>
        </w:rPr>
        <w:t>Pp707-9.</w:t>
      </w:r>
    </w:p>
    <w:p>
      <w:pPr>
        <w:pStyle w:val="ListParagraph"/>
        <w:numPr>
          <w:ilvl w:val="1"/>
          <w:numId w:val="3"/>
        </w:numPr>
        <w:tabs>
          <w:tab w:pos="854" w:val="left" w:leader="none"/>
        </w:tabs>
        <w:spacing w:line="460" w:lineRule="auto" w:before="32" w:after="0"/>
        <w:ind w:left="864" w:right="888" w:hanging="360"/>
        <w:jc w:val="both"/>
        <w:rPr>
          <w:rFonts w:ascii="Arial"/>
          <w:sz w:val="24"/>
        </w:rPr>
      </w:pPr>
      <w:r>
        <w:rPr>
          <w:rFonts w:ascii="Arial"/>
          <w:sz w:val="24"/>
        </w:rPr>
        <w:t>Birkeland SA, Storm HH (2003). Glomerulonephritis and malignancy: a population-based analysis. Kidney Int.</w:t>
      </w:r>
      <w:r>
        <w:rPr>
          <w:rFonts w:ascii="Arial"/>
          <w:spacing w:val="-4"/>
          <w:sz w:val="24"/>
        </w:rPr>
        <w:t> </w:t>
      </w:r>
      <w:r>
        <w:rPr>
          <w:rFonts w:ascii="Arial"/>
          <w:sz w:val="24"/>
        </w:rPr>
        <w:t>63:716-21.</w:t>
      </w:r>
    </w:p>
    <w:p>
      <w:pPr>
        <w:pStyle w:val="ListParagraph"/>
        <w:numPr>
          <w:ilvl w:val="1"/>
          <w:numId w:val="3"/>
        </w:numPr>
        <w:tabs>
          <w:tab w:pos="854" w:val="left" w:leader="none"/>
        </w:tabs>
        <w:spacing w:line="463" w:lineRule="auto" w:before="32" w:after="0"/>
        <w:ind w:left="864" w:right="888" w:hanging="360"/>
        <w:jc w:val="both"/>
        <w:rPr>
          <w:rFonts w:ascii="Arial"/>
          <w:sz w:val="24"/>
        </w:rPr>
      </w:pPr>
      <w:r>
        <w:rPr>
          <w:rFonts w:ascii="Arial"/>
          <w:sz w:val="24"/>
        </w:rPr>
        <w:t>Bloom CA, Rand JS (2013). Diabetes and the kidney in human and veterinary medicine. Vet Clin Small Anim.</w:t>
      </w:r>
      <w:r>
        <w:rPr>
          <w:rFonts w:ascii="Arial"/>
          <w:spacing w:val="-3"/>
          <w:sz w:val="24"/>
        </w:rPr>
        <w:t> </w:t>
      </w:r>
      <w:r>
        <w:rPr>
          <w:rFonts w:ascii="Arial"/>
          <w:sz w:val="24"/>
        </w:rPr>
        <w:t>43:351-65.</w:t>
      </w:r>
    </w:p>
    <w:p>
      <w:pPr>
        <w:spacing w:after="0" w:line="463" w:lineRule="auto"/>
        <w:jc w:val="both"/>
        <w:rPr>
          <w:rFonts w:ascii="Arial"/>
          <w:sz w:val="24"/>
        </w:rPr>
        <w:sectPr>
          <w:pgSz w:w="12240" w:h="15840"/>
          <w:pgMar w:header="742" w:footer="748" w:top="980" w:bottom="940" w:left="1620" w:right="180"/>
        </w:sectPr>
      </w:pPr>
    </w:p>
    <w:p>
      <w:pPr>
        <w:pStyle w:val="BodyText"/>
        <w:rPr>
          <w:sz w:val="20"/>
        </w:rPr>
      </w:pPr>
    </w:p>
    <w:p>
      <w:pPr>
        <w:pStyle w:val="BodyText"/>
        <w:rPr>
          <w:sz w:val="20"/>
        </w:rPr>
      </w:pPr>
    </w:p>
    <w:p>
      <w:pPr>
        <w:pStyle w:val="BodyText"/>
        <w:spacing w:before="7"/>
        <w:rPr>
          <w:sz w:val="16"/>
        </w:rPr>
      </w:pPr>
    </w:p>
    <w:p>
      <w:pPr>
        <w:pStyle w:val="ListParagraph"/>
        <w:numPr>
          <w:ilvl w:val="1"/>
          <w:numId w:val="3"/>
        </w:numPr>
        <w:tabs>
          <w:tab w:pos="854" w:val="left" w:leader="none"/>
        </w:tabs>
        <w:spacing w:line="463" w:lineRule="auto" w:before="53" w:after="0"/>
        <w:ind w:left="864" w:right="888" w:hanging="360"/>
        <w:jc w:val="both"/>
        <w:rPr>
          <w:rFonts w:ascii="Arial"/>
          <w:sz w:val="24"/>
        </w:rPr>
      </w:pPr>
      <w:r>
        <w:rPr>
          <w:rFonts w:ascii="Arial"/>
          <w:sz w:val="24"/>
        </w:rPr>
        <w:t>Bodey AR, Michell AR (1996). Epidemiological study of blood pressure in domestic dogs. J Small Anim Pract</w:t>
      </w:r>
      <w:r>
        <w:rPr>
          <w:rFonts w:ascii="Arial"/>
          <w:spacing w:val="-1"/>
          <w:sz w:val="24"/>
        </w:rPr>
        <w:t> </w:t>
      </w:r>
      <w:r>
        <w:rPr>
          <w:rFonts w:ascii="Arial"/>
          <w:sz w:val="24"/>
        </w:rPr>
        <w:t>37(3):116-25.</w:t>
      </w:r>
    </w:p>
    <w:p>
      <w:pPr>
        <w:pStyle w:val="ListParagraph"/>
        <w:numPr>
          <w:ilvl w:val="1"/>
          <w:numId w:val="3"/>
        </w:numPr>
        <w:tabs>
          <w:tab w:pos="854" w:val="left" w:leader="none"/>
        </w:tabs>
        <w:spacing w:line="460" w:lineRule="auto" w:before="29" w:after="0"/>
        <w:ind w:left="864" w:right="888" w:hanging="360"/>
        <w:jc w:val="both"/>
        <w:rPr>
          <w:rFonts w:ascii="Arial"/>
          <w:sz w:val="24"/>
        </w:rPr>
      </w:pPr>
      <w:r>
        <w:rPr>
          <w:rFonts w:ascii="Arial"/>
          <w:sz w:val="24"/>
        </w:rPr>
        <w:t>Bronson RT (1982). Variation in age at death of dogs of different sexes and breeds. Am J Vet Res</w:t>
      </w:r>
      <w:r>
        <w:rPr>
          <w:rFonts w:ascii="Arial"/>
          <w:spacing w:val="-1"/>
          <w:sz w:val="24"/>
        </w:rPr>
        <w:t> </w:t>
      </w:r>
      <w:r>
        <w:rPr>
          <w:rFonts w:ascii="Arial"/>
          <w:sz w:val="24"/>
        </w:rPr>
        <w:t>43:2057-9.</w:t>
      </w:r>
    </w:p>
    <w:p>
      <w:pPr>
        <w:pStyle w:val="ListParagraph"/>
        <w:numPr>
          <w:ilvl w:val="1"/>
          <w:numId w:val="3"/>
        </w:numPr>
        <w:tabs>
          <w:tab w:pos="854" w:val="left" w:leader="none"/>
        </w:tabs>
        <w:spacing w:line="460" w:lineRule="auto" w:before="32" w:after="0"/>
        <w:ind w:left="864" w:right="888" w:hanging="360"/>
        <w:jc w:val="both"/>
        <w:rPr>
          <w:rFonts w:ascii="Arial"/>
          <w:sz w:val="24"/>
        </w:rPr>
      </w:pPr>
      <w:r>
        <w:rPr>
          <w:rFonts w:ascii="Arial"/>
          <w:sz w:val="24"/>
        </w:rPr>
        <w:t>Brown SA y cols. (1995). Impaired renal autoregulatory ability in dogs with reduced renal mass. J AM Soc Neprhol</w:t>
      </w:r>
      <w:r>
        <w:rPr>
          <w:rFonts w:ascii="Arial"/>
          <w:spacing w:val="-1"/>
          <w:sz w:val="24"/>
        </w:rPr>
        <w:t> </w:t>
      </w:r>
      <w:r>
        <w:rPr>
          <w:rFonts w:ascii="Arial"/>
          <w:sz w:val="24"/>
        </w:rPr>
        <w:t>5:1768-74.</w:t>
      </w:r>
    </w:p>
    <w:p>
      <w:pPr>
        <w:pStyle w:val="ListParagraph"/>
        <w:numPr>
          <w:ilvl w:val="1"/>
          <w:numId w:val="3"/>
        </w:numPr>
        <w:tabs>
          <w:tab w:pos="854" w:val="left" w:leader="none"/>
        </w:tabs>
        <w:spacing w:line="472" w:lineRule="auto" w:before="32" w:after="0"/>
        <w:ind w:left="864" w:right="888" w:hanging="360"/>
        <w:jc w:val="both"/>
        <w:rPr>
          <w:rFonts w:ascii="Arial"/>
          <w:sz w:val="24"/>
        </w:rPr>
      </w:pPr>
      <w:r>
        <w:rPr>
          <w:rFonts w:ascii="Arial"/>
          <w:sz w:val="24"/>
        </w:rPr>
        <w:t>Brown SA, Atkinss C, Bagley R y cols. (2007b). Guidelines for de identification, evaluation and management of systemic hypertension in dogs and cats. J Vet Intern Med</w:t>
      </w:r>
      <w:r>
        <w:rPr>
          <w:rFonts w:ascii="Arial"/>
          <w:spacing w:val="-1"/>
          <w:sz w:val="24"/>
        </w:rPr>
        <w:t> </w:t>
      </w:r>
      <w:r>
        <w:rPr>
          <w:rFonts w:ascii="Arial"/>
          <w:sz w:val="24"/>
        </w:rPr>
        <w:t>21:542-58.</w:t>
      </w:r>
    </w:p>
    <w:p>
      <w:pPr>
        <w:pStyle w:val="ListParagraph"/>
        <w:numPr>
          <w:ilvl w:val="1"/>
          <w:numId w:val="3"/>
        </w:numPr>
        <w:tabs>
          <w:tab w:pos="854" w:val="left" w:leader="none"/>
        </w:tabs>
        <w:spacing w:line="470" w:lineRule="auto" w:before="19" w:after="0"/>
        <w:ind w:left="864" w:right="888" w:hanging="360"/>
        <w:jc w:val="both"/>
        <w:rPr>
          <w:rFonts w:ascii="Arial"/>
          <w:sz w:val="24"/>
        </w:rPr>
      </w:pPr>
      <w:r>
        <w:rPr>
          <w:rFonts w:ascii="Arial"/>
          <w:sz w:val="24"/>
        </w:rPr>
        <w:t>Brown SA. (2007). Management of chronic kidney disease. In: Elliot J, Grauger F (eds). BSAVA Manual of canine and feline nephrology and urology. British small animal association, Gloucester, England. Pp</w:t>
      </w:r>
      <w:r>
        <w:rPr>
          <w:rFonts w:ascii="Arial"/>
          <w:spacing w:val="-2"/>
          <w:sz w:val="24"/>
        </w:rPr>
        <w:t> </w:t>
      </w:r>
      <w:r>
        <w:rPr>
          <w:rFonts w:ascii="Arial"/>
          <w:sz w:val="24"/>
        </w:rPr>
        <w:t>223-30.</w:t>
      </w:r>
    </w:p>
    <w:p>
      <w:pPr>
        <w:pStyle w:val="ListParagraph"/>
        <w:numPr>
          <w:ilvl w:val="1"/>
          <w:numId w:val="3"/>
        </w:numPr>
        <w:tabs>
          <w:tab w:pos="854" w:val="left" w:leader="none"/>
        </w:tabs>
        <w:spacing w:line="460" w:lineRule="auto" w:before="21" w:after="0"/>
        <w:ind w:left="864" w:right="888" w:hanging="360"/>
        <w:jc w:val="both"/>
        <w:rPr>
          <w:rFonts w:ascii="Arial" w:hAnsi="Arial"/>
          <w:sz w:val="24"/>
        </w:rPr>
      </w:pPr>
      <w:r>
        <w:rPr>
          <w:rFonts w:ascii="Arial" w:hAnsi="Arial"/>
          <w:sz w:val="24"/>
        </w:rPr>
        <w:t>Cameron JS (1998). Nephrotic síndrome in the elderly population. Int Uro Nephrol 8:149-54.</w:t>
      </w:r>
    </w:p>
    <w:p>
      <w:pPr>
        <w:pStyle w:val="ListParagraph"/>
        <w:numPr>
          <w:ilvl w:val="1"/>
          <w:numId w:val="3"/>
        </w:numPr>
        <w:tabs>
          <w:tab w:pos="854" w:val="left" w:leader="none"/>
        </w:tabs>
        <w:spacing w:line="472" w:lineRule="auto" w:before="32" w:after="0"/>
        <w:ind w:left="864" w:right="888" w:hanging="360"/>
        <w:jc w:val="both"/>
        <w:rPr>
          <w:rFonts w:ascii="Arial"/>
          <w:sz w:val="24"/>
        </w:rPr>
      </w:pPr>
      <w:r>
        <w:rPr>
          <w:rFonts w:ascii="Arial"/>
          <w:sz w:val="24"/>
        </w:rPr>
        <w:t>Chaiken RL, Eckert-Norton M, Bard M, et al (1982). Hyperfiltration in African- American patients with type 2 diabetes. Cross-sectional and longitudinal data. Diabetes Care.</w:t>
      </w:r>
      <w:r>
        <w:rPr>
          <w:rFonts w:ascii="Arial"/>
          <w:spacing w:val="-2"/>
          <w:sz w:val="24"/>
        </w:rPr>
        <w:t> </w:t>
      </w:r>
      <w:r>
        <w:rPr>
          <w:rFonts w:ascii="Arial"/>
          <w:sz w:val="24"/>
        </w:rPr>
        <w:t>21:2129-34.</w:t>
      </w:r>
    </w:p>
    <w:p>
      <w:pPr>
        <w:pStyle w:val="ListParagraph"/>
        <w:numPr>
          <w:ilvl w:val="1"/>
          <w:numId w:val="3"/>
        </w:numPr>
        <w:tabs>
          <w:tab w:pos="854" w:val="left" w:leader="none"/>
        </w:tabs>
        <w:spacing w:line="470" w:lineRule="auto" w:before="19" w:after="0"/>
        <w:ind w:left="864" w:right="888" w:hanging="360"/>
        <w:jc w:val="both"/>
        <w:rPr>
          <w:rFonts w:ascii="Arial"/>
          <w:sz w:val="24"/>
        </w:rPr>
      </w:pPr>
      <w:r>
        <w:rPr>
          <w:rFonts w:ascii="Arial"/>
          <w:sz w:val="24"/>
        </w:rPr>
        <w:t>Coresh J, Astor BC, Greene T, et al (2003). Prevalence of chronic kidney disease and decreased kidney function in the adult US population: Third National Health and Nutrition Examination Survey. Am J Kidney Dis.</w:t>
      </w:r>
      <w:r>
        <w:rPr>
          <w:rFonts w:ascii="Arial"/>
          <w:spacing w:val="-3"/>
          <w:sz w:val="24"/>
        </w:rPr>
        <w:t> </w:t>
      </w:r>
      <w:r>
        <w:rPr>
          <w:rFonts w:ascii="Arial"/>
          <w:sz w:val="24"/>
        </w:rPr>
        <w:t>41:1-12.</w:t>
      </w:r>
    </w:p>
    <w:p>
      <w:pPr>
        <w:spacing w:after="0" w:line="470" w:lineRule="auto"/>
        <w:jc w:val="both"/>
        <w:rPr>
          <w:rFonts w:ascii="Arial"/>
          <w:sz w:val="24"/>
        </w:rPr>
        <w:sectPr>
          <w:pgSz w:w="12240" w:h="15840"/>
          <w:pgMar w:header="742" w:footer="748" w:top="980" w:bottom="940" w:left="1620" w:right="180"/>
        </w:sectPr>
      </w:pPr>
    </w:p>
    <w:p>
      <w:pPr>
        <w:pStyle w:val="BodyText"/>
        <w:rPr>
          <w:sz w:val="20"/>
        </w:rPr>
      </w:pPr>
    </w:p>
    <w:p>
      <w:pPr>
        <w:pStyle w:val="BodyText"/>
        <w:rPr>
          <w:sz w:val="20"/>
        </w:rPr>
      </w:pPr>
    </w:p>
    <w:p>
      <w:pPr>
        <w:pStyle w:val="BodyText"/>
        <w:spacing w:before="7"/>
        <w:rPr>
          <w:sz w:val="16"/>
        </w:rPr>
      </w:pPr>
    </w:p>
    <w:p>
      <w:pPr>
        <w:pStyle w:val="ListParagraph"/>
        <w:numPr>
          <w:ilvl w:val="1"/>
          <w:numId w:val="3"/>
        </w:numPr>
        <w:tabs>
          <w:tab w:pos="854" w:val="left" w:leader="none"/>
        </w:tabs>
        <w:spacing w:line="472" w:lineRule="auto" w:before="53" w:after="0"/>
        <w:ind w:left="864" w:right="888" w:hanging="360"/>
        <w:jc w:val="both"/>
        <w:rPr>
          <w:rFonts w:ascii="Arial"/>
          <w:sz w:val="24"/>
        </w:rPr>
      </w:pPr>
      <w:r>
        <w:rPr>
          <w:rFonts w:ascii="Arial"/>
          <w:sz w:val="24"/>
        </w:rPr>
        <w:t>Cortalledas O, Del Palacio MJ, Bayon A y cols (2009). Systemic hypertension in dogs with leishmaniasis: prevalence and clinical consequences. J Vet Intern Med 20(4):941-7.</w:t>
      </w:r>
    </w:p>
    <w:p>
      <w:pPr>
        <w:pStyle w:val="ListParagraph"/>
        <w:numPr>
          <w:ilvl w:val="1"/>
          <w:numId w:val="3"/>
        </w:numPr>
        <w:tabs>
          <w:tab w:pos="854" w:val="left" w:leader="none"/>
        </w:tabs>
        <w:spacing w:line="470" w:lineRule="auto" w:before="19" w:after="0"/>
        <w:ind w:left="864" w:right="888" w:hanging="360"/>
        <w:jc w:val="both"/>
        <w:rPr>
          <w:rFonts w:ascii="Arial" w:hAnsi="Arial"/>
          <w:sz w:val="24"/>
        </w:rPr>
      </w:pPr>
      <w:r>
        <w:rPr>
          <w:rFonts w:ascii="Arial" w:hAnsi="Arial"/>
          <w:sz w:val="24"/>
        </w:rPr>
        <w:t>Cortadellas O, Fernández del Palacio MJ, Talavera J, et al (2010). Calcium and phosphorus homeostasis in dogs with spontaneous chronic kidney disease at different stages of severity. J Vet Intern Med.</w:t>
      </w:r>
      <w:r>
        <w:rPr>
          <w:rFonts w:ascii="Arial" w:hAnsi="Arial"/>
          <w:spacing w:val="-3"/>
          <w:sz w:val="24"/>
        </w:rPr>
        <w:t> </w:t>
      </w:r>
      <w:r>
        <w:rPr>
          <w:rFonts w:ascii="Arial" w:hAnsi="Arial"/>
          <w:sz w:val="24"/>
        </w:rPr>
        <w:t>24(1):73-9.</w:t>
      </w:r>
    </w:p>
    <w:p>
      <w:pPr>
        <w:pStyle w:val="ListParagraph"/>
        <w:numPr>
          <w:ilvl w:val="1"/>
          <w:numId w:val="3"/>
        </w:numPr>
        <w:tabs>
          <w:tab w:pos="853" w:val="left" w:leader="none"/>
          <w:tab w:pos="854" w:val="left" w:leader="none"/>
        </w:tabs>
        <w:spacing w:line="240" w:lineRule="auto" w:before="21" w:after="0"/>
        <w:ind w:left="853" w:right="0" w:hanging="349"/>
        <w:jc w:val="left"/>
        <w:rPr>
          <w:rFonts w:ascii="Arial"/>
          <w:sz w:val="24"/>
        </w:rPr>
      </w:pPr>
      <w:r>
        <w:rPr>
          <w:rFonts w:ascii="Arial"/>
          <w:sz w:val="24"/>
        </w:rPr>
        <w:t>Dabla  PK  (2010).  Renal  function  in  diabetic  nephropathy.  World  J </w:t>
      </w:r>
      <w:r>
        <w:rPr>
          <w:rFonts w:ascii="Arial"/>
          <w:spacing w:val="6"/>
          <w:sz w:val="24"/>
        </w:rPr>
        <w:t> </w:t>
      </w:r>
      <w:r>
        <w:rPr>
          <w:rFonts w:ascii="Arial"/>
          <w:sz w:val="24"/>
        </w:rPr>
        <w:t>Diabetes.</w:t>
      </w:r>
    </w:p>
    <w:p>
      <w:pPr>
        <w:pStyle w:val="BodyText"/>
        <w:spacing w:before="4"/>
        <w:rPr>
          <w:sz w:val="23"/>
        </w:rPr>
      </w:pPr>
    </w:p>
    <w:p>
      <w:pPr>
        <w:pStyle w:val="BodyText"/>
        <w:spacing w:before="1"/>
        <w:ind w:left="864"/>
      </w:pPr>
      <w:r>
        <w:rPr/>
        <w:t>1(2):48-56.</w:t>
      </w:r>
    </w:p>
    <w:p>
      <w:pPr>
        <w:pStyle w:val="BodyText"/>
        <w:spacing w:before="3"/>
      </w:pPr>
    </w:p>
    <w:p>
      <w:pPr>
        <w:pStyle w:val="ListParagraph"/>
        <w:numPr>
          <w:ilvl w:val="1"/>
          <w:numId w:val="3"/>
        </w:numPr>
        <w:tabs>
          <w:tab w:pos="854" w:val="left" w:leader="none"/>
        </w:tabs>
        <w:spacing w:line="472" w:lineRule="auto" w:before="0" w:after="0"/>
        <w:ind w:left="864" w:right="888" w:hanging="360"/>
        <w:jc w:val="both"/>
        <w:rPr>
          <w:rFonts w:ascii="Arial" w:hAnsi="Arial"/>
          <w:sz w:val="24"/>
        </w:rPr>
      </w:pPr>
      <w:r>
        <w:rPr>
          <w:rFonts w:ascii="Arial" w:hAnsi="Arial"/>
          <w:sz w:val="24"/>
        </w:rPr>
        <w:t>den Hollander JG, Wulkan RW, Mantel MJ, Berghout A (2005). Correlation between severity of thyroid dysfunction and renal function. Clin Endocrinol. 62: 423–7.</w:t>
      </w:r>
    </w:p>
    <w:p>
      <w:pPr>
        <w:pStyle w:val="ListParagraph"/>
        <w:numPr>
          <w:ilvl w:val="1"/>
          <w:numId w:val="3"/>
        </w:numPr>
        <w:tabs>
          <w:tab w:pos="854" w:val="left" w:leader="none"/>
        </w:tabs>
        <w:spacing w:line="460" w:lineRule="auto" w:before="19" w:after="0"/>
        <w:ind w:left="864" w:right="888" w:hanging="360"/>
        <w:jc w:val="both"/>
        <w:rPr>
          <w:rFonts w:ascii="Arial"/>
          <w:sz w:val="24"/>
        </w:rPr>
      </w:pPr>
      <w:r>
        <w:rPr>
          <w:rFonts w:ascii="Arial"/>
          <w:sz w:val="24"/>
        </w:rPr>
        <w:t>Delmar RF (1995). Urinary protein loss. In: Osborne CA, Finco DR editores Canine and feline nephrology and urology 1a ed. USA:</w:t>
      </w:r>
      <w:r>
        <w:rPr>
          <w:rFonts w:ascii="Arial"/>
          <w:spacing w:val="-1"/>
          <w:sz w:val="24"/>
        </w:rPr>
        <w:t> </w:t>
      </w:r>
      <w:r>
        <w:rPr>
          <w:rFonts w:ascii="Arial"/>
          <w:sz w:val="24"/>
        </w:rPr>
        <w:t>211-5.</w:t>
      </w:r>
    </w:p>
    <w:p>
      <w:pPr>
        <w:pStyle w:val="ListParagraph"/>
        <w:numPr>
          <w:ilvl w:val="1"/>
          <w:numId w:val="3"/>
        </w:numPr>
        <w:tabs>
          <w:tab w:pos="854" w:val="left" w:leader="none"/>
        </w:tabs>
        <w:spacing w:line="470" w:lineRule="auto" w:before="32" w:after="0"/>
        <w:ind w:left="864" w:right="888" w:hanging="360"/>
        <w:jc w:val="both"/>
        <w:rPr>
          <w:rFonts w:ascii="Arial" w:hAnsi="Arial"/>
          <w:sz w:val="24"/>
        </w:rPr>
      </w:pPr>
      <w:r>
        <w:rPr>
          <w:rFonts w:ascii="Arial" w:hAnsi="Arial"/>
          <w:sz w:val="24"/>
        </w:rPr>
        <w:t>Diekman MJ, Harms MP, Endert E, Wieling W, Wiersinga WM (2001). Endocrine factors related to changes in total peripheral vascular resistance after treatment of thyrotoxic and hypothyroid patients. Eur J Endocrinol.</w:t>
      </w:r>
      <w:r>
        <w:rPr>
          <w:rFonts w:ascii="Arial" w:hAnsi="Arial"/>
          <w:spacing w:val="-3"/>
          <w:sz w:val="24"/>
        </w:rPr>
        <w:t> </w:t>
      </w:r>
      <w:r>
        <w:rPr>
          <w:rFonts w:ascii="Arial" w:hAnsi="Arial"/>
          <w:sz w:val="24"/>
        </w:rPr>
        <w:t>144:339–46).</w:t>
      </w:r>
    </w:p>
    <w:p>
      <w:pPr>
        <w:pStyle w:val="ListParagraph"/>
        <w:numPr>
          <w:ilvl w:val="1"/>
          <w:numId w:val="3"/>
        </w:numPr>
        <w:tabs>
          <w:tab w:pos="854" w:val="left" w:leader="none"/>
        </w:tabs>
        <w:spacing w:line="463" w:lineRule="auto" w:before="21" w:after="0"/>
        <w:ind w:left="864" w:right="888" w:hanging="360"/>
        <w:jc w:val="both"/>
        <w:rPr>
          <w:rFonts w:ascii="Arial"/>
          <w:sz w:val="24"/>
        </w:rPr>
      </w:pPr>
      <w:r>
        <w:rPr>
          <w:rFonts w:ascii="Arial"/>
          <w:sz w:val="24"/>
        </w:rPr>
        <w:t>Eddy A (2001). Role of celular infiltrates in response to proteinuria. Am J Kidney Dis</w:t>
      </w:r>
      <w:r>
        <w:rPr>
          <w:rFonts w:ascii="Arial"/>
          <w:spacing w:val="-1"/>
          <w:sz w:val="24"/>
        </w:rPr>
        <w:t> </w:t>
      </w:r>
      <w:r>
        <w:rPr>
          <w:rFonts w:ascii="Arial"/>
          <w:sz w:val="24"/>
        </w:rPr>
        <w:t>37:25-9.</w:t>
      </w:r>
    </w:p>
    <w:p>
      <w:pPr>
        <w:pStyle w:val="ListParagraph"/>
        <w:numPr>
          <w:ilvl w:val="1"/>
          <w:numId w:val="3"/>
        </w:numPr>
        <w:tabs>
          <w:tab w:pos="853" w:val="left" w:leader="none"/>
          <w:tab w:pos="854" w:val="left" w:leader="none"/>
        </w:tabs>
        <w:spacing w:line="240" w:lineRule="auto" w:before="29" w:after="0"/>
        <w:ind w:left="853" w:right="0" w:hanging="349"/>
        <w:jc w:val="left"/>
        <w:rPr>
          <w:rFonts w:ascii="Arial"/>
          <w:sz w:val="24"/>
        </w:rPr>
      </w:pPr>
      <w:r>
        <w:rPr>
          <w:rFonts w:ascii="Arial"/>
          <w:sz w:val="24"/>
        </w:rPr>
        <w:t>Elliot J, Watson ADJ (2008). Chronic kidney disease: staging and   </w:t>
      </w:r>
      <w:r>
        <w:rPr>
          <w:rFonts w:ascii="Arial"/>
          <w:spacing w:val="29"/>
          <w:sz w:val="24"/>
        </w:rPr>
        <w:t> </w:t>
      </w:r>
      <w:r>
        <w:rPr>
          <w:rFonts w:ascii="Arial"/>
          <w:sz w:val="24"/>
        </w:rPr>
        <w:t>management.</w:t>
      </w:r>
    </w:p>
    <w:p>
      <w:pPr>
        <w:pStyle w:val="BodyText"/>
        <w:spacing w:before="4"/>
        <w:rPr>
          <w:sz w:val="23"/>
        </w:rPr>
      </w:pPr>
    </w:p>
    <w:p>
      <w:pPr>
        <w:pStyle w:val="BodyText"/>
        <w:spacing w:line="480" w:lineRule="auto" w:before="1"/>
        <w:ind w:left="864" w:right="888"/>
      </w:pPr>
      <w:r>
        <w:rPr/>
        <w:t>In: Bonagura JD, Twetd DC (eds). Current Veterinary Therapy XIV. Saunders- Elsevier. St. Louis. Pp 883-92.</w:t>
      </w:r>
    </w:p>
    <w:p>
      <w:pPr>
        <w:spacing w:after="0" w:line="480" w:lineRule="auto"/>
        <w:sectPr>
          <w:pgSz w:w="12240" w:h="15840"/>
          <w:pgMar w:header="742" w:footer="748" w:top="980" w:bottom="940" w:left="1620" w:right="180"/>
        </w:sectPr>
      </w:pPr>
    </w:p>
    <w:p>
      <w:pPr>
        <w:pStyle w:val="BodyText"/>
        <w:rPr>
          <w:sz w:val="20"/>
        </w:rPr>
      </w:pPr>
    </w:p>
    <w:p>
      <w:pPr>
        <w:pStyle w:val="BodyText"/>
        <w:rPr>
          <w:sz w:val="20"/>
        </w:rPr>
      </w:pPr>
    </w:p>
    <w:p>
      <w:pPr>
        <w:pStyle w:val="BodyText"/>
        <w:spacing w:before="7"/>
        <w:rPr>
          <w:sz w:val="16"/>
        </w:rPr>
      </w:pPr>
    </w:p>
    <w:p>
      <w:pPr>
        <w:pStyle w:val="ListParagraph"/>
        <w:numPr>
          <w:ilvl w:val="1"/>
          <w:numId w:val="3"/>
        </w:numPr>
        <w:tabs>
          <w:tab w:pos="854" w:val="left" w:leader="none"/>
        </w:tabs>
        <w:spacing w:line="472" w:lineRule="auto" w:before="53" w:after="0"/>
        <w:ind w:left="864" w:right="888" w:hanging="360"/>
        <w:jc w:val="both"/>
        <w:rPr>
          <w:rFonts w:ascii="Arial"/>
          <w:sz w:val="24"/>
        </w:rPr>
      </w:pPr>
      <w:r>
        <w:rPr>
          <w:rFonts w:ascii="Arial"/>
          <w:sz w:val="24"/>
        </w:rPr>
        <w:t>Egner B (2007). Blood pressure measurement- basic principles and practical application. In Egner B, Carr A y Brown S. Essential facts of blood pressure in dogs and cats. Babenhausen. Germany. Pp</w:t>
      </w:r>
      <w:r>
        <w:rPr>
          <w:rFonts w:ascii="Arial"/>
          <w:spacing w:val="-1"/>
          <w:sz w:val="24"/>
        </w:rPr>
        <w:t> </w:t>
      </w:r>
      <w:r>
        <w:rPr>
          <w:rFonts w:ascii="Arial"/>
          <w:sz w:val="24"/>
        </w:rPr>
        <w:t>1-14.</w:t>
      </w:r>
    </w:p>
    <w:p>
      <w:pPr>
        <w:pStyle w:val="ListParagraph"/>
        <w:numPr>
          <w:ilvl w:val="1"/>
          <w:numId w:val="3"/>
        </w:numPr>
        <w:tabs>
          <w:tab w:pos="854" w:val="left" w:leader="none"/>
        </w:tabs>
        <w:spacing w:line="472" w:lineRule="auto" w:before="19" w:after="0"/>
        <w:ind w:left="864" w:right="888" w:hanging="360"/>
        <w:jc w:val="both"/>
        <w:rPr>
          <w:rFonts w:ascii="Arial" w:hAnsi="Arial"/>
          <w:sz w:val="24"/>
        </w:rPr>
      </w:pPr>
      <w:r>
        <w:rPr>
          <w:rFonts w:ascii="Arial" w:hAnsi="Arial"/>
          <w:sz w:val="24"/>
        </w:rPr>
        <w:t>Fernández-del Palacio MJ (2007). Risk factors in dogs and cats for development of chronic kidney disease. IRIS- International Renal Interest Society. Novartis Animal Health Inc. </w:t>
      </w:r>
      <w:hyperlink r:id="rId23">
        <w:r>
          <w:rPr>
            <w:rFonts w:ascii="Arial" w:hAnsi="Arial"/>
            <w:sz w:val="24"/>
          </w:rPr>
          <w:t>http://www.iris-kidney.com/education/en/education07.shtml.</w:t>
        </w:r>
      </w:hyperlink>
      <w:r>
        <w:rPr>
          <w:rFonts w:ascii="Arial" w:hAnsi="Arial"/>
          <w:sz w:val="24"/>
        </w:rPr>
        <w:t> Ultimo acceso: 20 de Mayo de 2011.</w:t>
      </w:r>
    </w:p>
    <w:p>
      <w:pPr>
        <w:pStyle w:val="ListParagraph"/>
        <w:numPr>
          <w:ilvl w:val="1"/>
          <w:numId w:val="3"/>
        </w:numPr>
        <w:tabs>
          <w:tab w:pos="854" w:val="left" w:leader="none"/>
        </w:tabs>
        <w:spacing w:line="460" w:lineRule="auto" w:before="19" w:after="0"/>
        <w:ind w:left="864" w:right="888" w:hanging="360"/>
        <w:jc w:val="both"/>
        <w:rPr>
          <w:rFonts w:ascii="Arial" w:hAnsi="Arial"/>
          <w:sz w:val="24"/>
        </w:rPr>
      </w:pPr>
      <w:r>
        <w:rPr>
          <w:rFonts w:ascii="Arial" w:hAnsi="Arial"/>
          <w:sz w:val="24"/>
        </w:rPr>
        <w:t>Filgueira PH, Vasconcelos LF, Silva-Junior GB, Daher EF (2010). Paraneoplastic síndromes and the kidney. Saud J Kidney Dis Transpl.</w:t>
      </w:r>
      <w:r>
        <w:rPr>
          <w:rFonts w:ascii="Arial" w:hAnsi="Arial"/>
          <w:spacing w:val="-3"/>
          <w:sz w:val="24"/>
        </w:rPr>
        <w:t> </w:t>
      </w:r>
      <w:r>
        <w:rPr>
          <w:rFonts w:ascii="Arial" w:hAnsi="Arial"/>
          <w:sz w:val="24"/>
        </w:rPr>
        <w:t>21(2):222-31.</w:t>
      </w:r>
    </w:p>
    <w:p>
      <w:pPr>
        <w:pStyle w:val="ListParagraph"/>
        <w:numPr>
          <w:ilvl w:val="1"/>
          <w:numId w:val="3"/>
        </w:numPr>
        <w:tabs>
          <w:tab w:pos="854" w:val="left" w:leader="none"/>
        </w:tabs>
        <w:spacing w:line="472" w:lineRule="auto" w:before="32" w:after="0"/>
        <w:ind w:left="864" w:right="888" w:hanging="360"/>
        <w:jc w:val="both"/>
        <w:rPr>
          <w:rFonts w:ascii="Arial" w:hAnsi="Arial"/>
          <w:sz w:val="24"/>
        </w:rPr>
      </w:pPr>
      <w:r>
        <w:rPr>
          <w:rFonts w:ascii="Arial" w:hAnsi="Arial"/>
          <w:sz w:val="24"/>
        </w:rPr>
        <w:t>Filiopoulos V, Vlassopoulos D (2009). Inflammatory síndromes in chronich kidney disease: pathogenesis and influence on outcomes. Inflamm Allergy Drug Targets. 8:369-82.</w:t>
      </w:r>
    </w:p>
    <w:p>
      <w:pPr>
        <w:pStyle w:val="ListParagraph"/>
        <w:numPr>
          <w:ilvl w:val="1"/>
          <w:numId w:val="3"/>
        </w:numPr>
        <w:tabs>
          <w:tab w:pos="854" w:val="left" w:leader="none"/>
        </w:tabs>
        <w:spacing w:line="460" w:lineRule="auto" w:before="19" w:after="0"/>
        <w:ind w:left="864" w:right="888" w:hanging="360"/>
        <w:jc w:val="both"/>
        <w:rPr>
          <w:rFonts w:ascii="Arial"/>
          <w:sz w:val="24"/>
        </w:rPr>
      </w:pPr>
      <w:r>
        <w:rPr>
          <w:rFonts w:ascii="Arial"/>
          <w:sz w:val="24"/>
        </w:rPr>
        <w:t>Francey T, Cowgill LD (2004).. Hypertension in dogs with severe acute renal failure. J Vet Int Med 18:418.</w:t>
      </w:r>
    </w:p>
    <w:p>
      <w:pPr>
        <w:pStyle w:val="ListParagraph"/>
        <w:numPr>
          <w:ilvl w:val="1"/>
          <w:numId w:val="3"/>
        </w:numPr>
        <w:tabs>
          <w:tab w:pos="854" w:val="left" w:leader="none"/>
        </w:tabs>
        <w:spacing w:line="460" w:lineRule="auto" w:before="32" w:after="0"/>
        <w:ind w:left="864" w:right="888" w:hanging="360"/>
        <w:jc w:val="both"/>
        <w:rPr>
          <w:rFonts w:ascii="Arial" w:hAnsi="Arial"/>
          <w:sz w:val="24"/>
        </w:rPr>
      </w:pPr>
      <w:r>
        <w:rPr>
          <w:rFonts w:ascii="Arial" w:hAnsi="Arial"/>
          <w:sz w:val="24"/>
        </w:rPr>
        <w:t>García de Vinuesa S (2008). Factores de progresión de la enfermedad renal crónicaPrevención secundaria. Nefrología</w:t>
      </w:r>
      <w:r>
        <w:rPr>
          <w:rFonts w:ascii="Arial" w:hAnsi="Arial"/>
          <w:spacing w:val="-3"/>
          <w:sz w:val="24"/>
        </w:rPr>
        <w:t> </w:t>
      </w:r>
      <w:r>
        <w:rPr>
          <w:rFonts w:ascii="Arial" w:hAnsi="Arial"/>
          <w:sz w:val="24"/>
        </w:rPr>
        <w:t>3:17-21.</w:t>
      </w:r>
    </w:p>
    <w:p>
      <w:pPr>
        <w:pStyle w:val="ListParagraph"/>
        <w:numPr>
          <w:ilvl w:val="1"/>
          <w:numId w:val="3"/>
        </w:numPr>
        <w:tabs>
          <w:tab w:pos="854" w:val="left" w:leader="none"/>
        </w:tabs>
        <w:spacing w:line="463" w:lineRule="auto" w:before="32" w:after="0"/>
        <w:ind w:left="864" w:right="888" w:hanging="360"/>
        <w:jc w:val="both"/>
        <w:rPr>
          <w:rFonts w:ascii="Arial" w:hAnsi="Arial"/>
          <w:sz w:val="24"/>
        </w:rPr>
      </w:pPr>
      <w:r>
        <w:rPr>
          <w:rFonts w:ascii="Arial" w:hAnsi="Arial"/>
          <w:sz w:val="24"/>
        </w:rPr>
        <w:t>Ginés P, Schrier R (2009). Renal failure in cirrhosis. N Eng J Med. 361(13):1279- 90.</w:t>
      </w:r>
    </w:p>
    <w:p>
      <w:pPr>
        <w:pStyle w:val="ListParagraph"/>
        <w:numPr>
          <w:ilvl w:val="1"/>
          <w:numId w:val="3"/>
        </w:numPr>
        <w:tabs>
          <w:tab w:pos="853" w:val="left" w:leader="none"/>
          <w:tab w:pos="854" w:val="left" w:leader="none"/>
        </w:tabs>
        <w:spacing w:line="240" w:lineRule="auto" w:before="29" w:after="0"/>
        <w:ind w:left="853" w:right="0" w:hanging="349"/>
        <w:jc w:val="left"/>
        <w:rPr>
          <w:rFonts w:ascii="Arial"/>
          <w:sz w:val="24"/>
        </w:rPr>
      </w:pPr>
      <w:r>
        <w:rPr>
          <w:rFonts w:ascii="Arial"/>
          <w:sz w:val="24"/>
        </w:rPr>
        <w:t>Grauer GF (2005). Early detection of renal damage and disease in dogs and</w:t>
      </w:r>
      <w:r>
        <w:rPr>
          <w:rFonts w:ascii="Arial"/>
          <w:spacing w:val="13"/>
          <w:sz w:val="24"/>
        </w:rPr>
        <w:t> </w:t>
      </w:r>
      <w:r>
        <w:rPr>
          <w:rFonts w:ascii="Arial"/>
          <w:sz w:val="24"/>
        </w:rPr>
        <w:t>cats.</w:t>
      </w:r>
    </w:p>
    <w:p>
      <w:pPr>
        <w:pStyle w:val="BodyText"/>
        <w:spacing w:before="4"/>
        <w:rPr>
          <w:sz w:val="23"/>
        </w:rPr>
      </w:pPr>
    </w:p>
    <w:p>
      <w:pPr>
        <w:pStyle w:val="BodyText"/>
        <w:spacing w:before="1"/>
        <w:ind w:left="864"/>
      </w:pPr>
      <w:r>
        <w:rPr/>
        <w:t>Vet Clin Small Anim 35: 581-96.</w:t>
      </w:r>
    </w:p>
    <w:p>
      <w:pPr>
        <w:spacing w:after="0"/>
        <w:sectPr>
          <w:pgSz w:w="12240" w:h="15840"/>
          <w:pgMar w:header="742" w:footer="748" w:top="980" w:bottom="940" w:left="1620" w:right="180"/>
        </w:sectPr>
      </w:pPr>
    </w:p>
    <w:p>
      <w:pPr>
        <w:pStyle w:val="BodyText"/>
        <w:rPr>
          <w:sz w:val="20"/>
        </w:rPr>
      </w:pPr>
    </w:p>
    <w:p>
      <w:pPr>
        <w:pStyle w:val="BodyText"/>
        <w:rPr>
          <w:sz w:val="20"/>
        </w:rPr>
      </w:pPr>
    </w:p>
    <w:p>
      <w:pPr>
        <w:pStyle w:val="BodyText"/>
        <w:spacing w:before="7"/>
        <w:rPr>
          <w:sz w:val="16"/>
        </w:rPr>
      </w:pPr>
    </w:p>
    <w:p>
      <w:pPr>
        <w:pStyle w:val="ListParagraph"/>
        <w:numPr>
          <w:ilvl w:val="1"/>
          <w:numId w:val="3"/>
        </w:numPr>
        <w:tabs>
          <w:tab w:pos="854" w:val="left" w:leader="none"/>
        </w:tabs>
        <w:spacing w:line="472" w:lineRule="auto" w:before="53" w:after="0"/>
        <w:ind w:left="864" w:right="888" w:hanging="360"/>
        <w:jc w:val="both"/>
        <w:rPr>
          <w:rFonts w:ascii="Arial"/>
          <w:sz w:val="24"/>
        </w:rPr>
      </w:pPr>
      <w:r>
        <w:rPr>
          <w:rFonts w:ascii="Arial"/>
          <w:sz w:val="24"/>
        </w:rPr>
        <w:t>Grauer GF (2007). Management of glomerulonephritis. In: Elliot J, Grauer F (eds.). BSAVA Manual of canine and feline nephrology and urology. 2nd edn BSAVA. Pp</w:t>
      </w:r>
      <w:r>
        <w:rPr>
          <w:rFonts w:ascii="Arial"/>
          <w:spacing w:val="-1"/>
          <w:sz w:val="24"/>
        </w:rPr>
        <w:t> </w:t>
      </w:r>
      <w:r>
        <w:rPr>
          <w:rFonts w:ascii="Arial"/>
          <w:sz w:val="24"/>
        </w:rPr>
        <w:t>231-38.</w:t>
      </w:r>
    </w:p>
    <w:p>
      <w:pPr>
        <w:pStyle w:val="ListParagraph"/>
        <w:numPr>
          <w:ilvl w:val="1"/>
          <w:numId w:val="3"/>
        </w:numPr>
        <w:tabs>
          <w:tab w:pos="854" w:val="left" w:leader="none"/>
        </w:tabs>
        <w:spacing w:line="460" w:lineRule="auto" w:before="19" w:after="0"/>
        <w:ind w:left="864" w:right="888" w:hanging="360"/>
        <w:jc w:val="both"/>
        <w:rPr>
          <w:rFonts w:ascii="Arial" w:hAnsi="Arial"/>
          <w:sz w:val="24"/>
        </w:rPr>
      </w:pPr>
      <w:r>
        <w:rPr>
          <w:rFonts w:ascii="Arial" w:hAnsi="Arial"/>
          <w:sz w:val="24"/>
        </w:rPr>
        <w:t>Grauer GF (2009). Proteinuria: Implications for management. In: Bonagura JD, Twedt DC (Eds). Kirk’s Current Veterinary Therapy XIV USA</w:t>
      </w:r>
      <w:r>
        <w:rPr>
          <w:rFonts w:ascii="Arial" w:hAnsi="Arial"/>
          <w:spacing w:val="-1"/>
          <w:sz w:val="24"/>
        </w:rPr>
        <w:t> </w:t>
      </w:r>
      <w:r>
        <w:rPr>
          <w:rFonts w:ascii="Arial" w:hAnsi="Arial"/>
          <w:sz w:val="24"/>
        </w:rPr>
        <w:t>860-3.</w:t>
      </w:r>
    </w:p>
    <w:p>
      <w:pPr>
        <w:pStyle w:val="ListParagraph"/>
        <w:numPr>
          <w:ilvl w:val="1"/>
          <w:numId w:val="3"/>
        </w:numPr>
        <w:tabs>
          <w:tab w:pos="854" w:val="left" w:leader="none"/>
        </w:tabs>
        <w:spacing w:line="460" w:lineRule="auto" w:before="32" w:after="0"/>
        <w:ind w:left="864" w:right="888" w:hanging="360"/>
        <w:jc w:val="both"/>
        <w:rPr>
          <w:rFonts w:ascii="Arial"/>
          <w:sz w:val="24"/>
        </w:rPr>
      </w:pPr>
      <w:r>
        <w:rPr>
          <w:rFonts w:ascii="Arial"/>
          <w:sz w:val="24"/>
        </w:rPr>
        <w:t>Grauer GF (2011). Porteinuria: Measurement and interpretation. Topics in companion animal medicine</w:t>
      </w:r>
      <w:r>
        <w:rPr>
          <w:rFonts w:ascii="Arial"/>
          <w:spacing w:val="-1"/>
          <w:sz w:val="24"/>
        </w:rPr>
        <w:t> </w:t>
      </w:r>
      <w:r>
        <w:rPr>
          <w:rFonts w:ascii="Arial"/>
          <w:sz w:val="24"/>
        </w:rPr>
        <w:t>121-7.</w:t>
      </w:r>
    </w:p>
    <w:p>
      <w:pPr>
        <w:pStyle w:val="ListParagraph"/>
        <w:numPr>
          <w:ilvl w:val="1"/>
          <w:numId w:val="3"/>
        </w:numPr>
        <w:tabs>
          <w:tab w:pos="854" w:val="left" w:leader="none"/>
        </w:tabs>
        <w:spacing w:line="463" w:lineRule="auto" w:before="32" w:after="0"/>
        <w:ind w:left="864" w:right="888" w:hanging="360"/>
        <w:jc w:val="both"/>
        <w:rPr>
          <w:rFonts w:ascii="Arial"/>
          <w:sz w:val="24"/>
        </w:rPr>
      </w:pPr>
      <w:r>
        <w:rPr>
          <w:rFonts w:ascii="Arial"/>
          <w:sz w:val="24"/>
        </w:rPr>
        <w:t>Greene EL, Kren S, Hostetter TH (1996). Role of aldosterone in the remnant kidney model in the rat. J Clin Invest</w:t>
      </w:r>
      <w:r>
        <w:rPr>
          <w:rFonts w:ascii="Arial"/>
          <w:spacing w:val="-3"/>
          <w:sz w:val="24"/>
        </w:rPr>
        <w:t> </w:t>
      </w:r>
      <w:r>
        <w:rPr>
          <w:rFonts w:ascii="Arial"/>
          <w:sz w:val="24"/>
        </w:rPr>
        <w:t>98(4):1063-8.</w:t>
      </w:r>
    </w:p>
    <w:p>
      <w:pPr>
        <w:pStyle w:val="ListParagraph"/>
        <w:numPr>
          <w:ilvl w:val="1"/>
          <w:numId w:val="3"/>
        </w:numPr>
        <w:tabs>
          <w:tab w:pos="854" w:val="left" w:leader="none"/>
        </w:tabs>
        <w:spacing w:line="460" w:lineRule="auto" w:before="29" w:after="0"/>
        <w:ind w:left="864" w:right="888" w:hanging="360"/>
        <w:jc w:val="both"/>
        <w:rPr>
          <w:rFonts w:ascii="Arial"/>
          <w:sz w:val="24"/>
        </w:rPr>
      </w:pPr>
      <w:r>
        <w:rPr>
          <w:rFonts w:ascii="Arial"/>
          <w:sz w:val="24"/>
        </w:rPr>
        <w:t>Greene CE (2006). Infectious diseases of the dog and cat. Elsevier Science Health Science Division.</w:t>
      </w:r>
      <w:r>
        <w:rPr>
          <w:rFonts w:ascii="Arial"/>
          <w:spacing w:val="-1"/>
          <w:sz w:val="24"/>
        </w:rPr>
        <w:t> </w:t>
      </w:r>
      <w:r>
        <w:rPr>
          <w:rFonts w:ascii="Arial"/>
          <w:sz w:val="24"/>
        </w:rPr>
        <w:t>1387.</w:t>
      </w:r>
    </w:p>
    <w:p>
      <w:pPr>
        <w:pStyle w:val="ListParagraph"/>
        <w:numPr>
          <w:ilvl w:val="1"/>
          <w:numId w:val="3"/>
        </w:numPr>
        <w:tabs>
          <w:tab w:pos="854" w:val="left" w:leader="none"/>
        </w:tabs>
        <w:spacing w:line="460" w:lineRule="auto" w:before="32" w:after="0"/>
        <w:ind w:left="864" w:right="888" w:hanging="360"/>
        <w:jc w:val="both"/>
        <w:rPr>
          <w:rFonts w:ascii="Arial"/>
          <w:sz w:val="24"/>
        </w:rPr>
      </w:pPr>
      <w:r>
        <w:rPr>
          <w:rFonts w:ascii="Arial"/>
          <w:sz w:val="24"/>
        </w:rPr>
        <w:t>Harris RC, Neilson EG (2006). Toward a unified theory of renal progession. Annu Rev Med 57:</w:t>
      </w:r>
      <w:r>
        <w:rPr>
          <w:rFonts w:ascii="Arial"/>
          <w:spacing w:val="-5"/>
          <w:sz w:val="24"/>
        </w:rPr>
        <w:t> </w:t>
      </w:r>
      <w:r>
        <w:rPr>
          <w:rFonts w:ascii="Arial"/>
          <w:sz w:val="24"/>
        </w:rPr>
        <w:t>365-80.</w:t>
      </w:r>
    </w:p>
    <w:p>
      <w:pPr>
        <w:pStyle w:val="ListParagraph"/>
        <w:numPr>
          <w:ilvl w:val="1"/>
          <w:numId w:val="3"/>
        </w:numPr>
        <w:tabs>
          <w:tab w:pos="854" w:val="left" w:leader="none"/>
        </w:tabs>
        <w:spacing w:line="463" w:lineRule="auto" w:before="32" w:after="0"/>
        <w:ind w:left="864" w:right="888" w:hanging="360"/>
        <w:jc w:val="both"/>
        <w:rPr>
          <w:rFonts w:ascii="Arial"/>
          <w:sz w:val="24"/>
        </w:rPr>
      </w:pPr>
      <w:r>
        <w:rPr>
          <w:rFonts w:ascii="Arial"/>
          <w:sz w:val="24"/>
        </w:rPr>
        <w:t>Herzberg MC (2001). Coagulation and thrombosis in cardiovascular disease: plausible contributions of infectious agents. Ann Periodontol.</w:t>
      </w:r>
      <w:r>
        <w:rPr>
          <w:rFonts w:ascii="Arial"/>
          <w:spacing w:val="-3"/>
          <w:sz w:val="24"/>
        </w:rPr>
        <w:t> </w:t>
      </w:r>
      <w:r>
        <w:rPr>
          <w:rFonts w:ascii="Arial"/>
          <w:sz w:val="24"/>
        </w:rPr>
        <w:t>6:16-9.</w:t>
      </w:r>
    </w:p>
    <w:p>
      <w:pPr>
        <w:pStyle w:val="ListParagraph"/>
        <w:numPr>
          <w:ilvl w:val="1"/>
          <w:numId w:val="3"/>
        </w:numPr>
        <w:tabs>
          <w:tab w:pos="854" w:val="left" w:leader="none"/>
        </w:tabs>
        <w:spacing w:line="460" w:lineRule="auto" w:before="29" w:after="0"/>
        <w:ind w:left="864" w:right="888" w:hanging="360"/>
        <w:jc w:val="both"/>
        <w:rPr>
          <w:rFonts w:ascii="Arial"/>
          <w:sz w:val="24"/>
        </w:rPr>
      </w:pPr>
      <w:r>
        <w:rPr>
          <w:rFonts w:ascii="Arial"/>
          <w:sz w:val="24"/>
        </w:rPr>
        <w:t>Hess RS, Kass PH, Van Winkle TJ (2006). Association between aterosclerosis and glomerulopathy in dogs. Intern J App Res Vet Med.</w:t>
      </w:r>
      <w:r>
        <w:rPr>
          <w:rFonts w:ascii="Arial"/>
          <w:spacing w:val="-3"/>
          <w:sz w:val="24"/>
        </w:rPr>
        <w:t> </w:t>
      </w:r>
      <w:r>
        <w:rPr>
          <w:rFonts w:ascii="Arial"/>
          <w:sz w:val="24"/>
        </w:rPr>
        <w:t>4(3):244-31.</w:t>
      </w:r>
    </w:p>
    <w:p>
      <w:pPr>
        <w:pStyle w:val="ListParagraph"/>
        <w:numPr>
          <w:ilvl w:val="1"/>
          <w:numId w:val="3"/>
        </w:numPr>
        <w:tabs>
          <w:tab w:pos="854" w:val="left" w:leader="none"/>
        </w:tabs>
        <w:spacing w:line="463" w:lineRule="auto" w:before="32" w:after="0"/>
        <w:ind w:left="864" w:right="888" w:hanging="360"/>
        <w:jc w:val="both"/>
        <w:rPr>
          <w:rFonts w:ascii="Arial"/>
          <w:sz w:val="24"/>
        </w:rPr>
      </w:pPr>
      <w:r>
        <w:rPr>
          <w:rFonts w:ascii="Arial"/>
          <w:sz w:val="24"/>
        </w:rPr>
        <w:t>Hostetter T y cols. (2001). Hyperfiltration in remmant nephrons: a pontentially adverse response to renal ablation. J Am Soc Nephrol 12:</w:t>
      </w:r>
      <w:r>
        <w:rPr>
          <w:rFonts w:ascii="Arial"/>
          <w:spacing w:val="-1"/>
          <w:sz w:val="24"/>
        </w:rPr>
        <w:t> </w:t>
      </w:r>
      <w:r>
        <w:rPr>
          <w:rFonts w:ascii="Arial"/>
          <w:sz w:val="24"/>
        </w:rPr>
        <w:t>1315-25.</w:t>
      </w:r>
    </w:p>
    <w:p>
      <w:pPr>
        <w:pStyle w:val="ListParagraph"/>
        <w:numPr>
          <w:ilvl w:val="1"/>
          <w:numId w:val="3"/>
        </w:numPr>
        <w:tabs>
          <w:tab w:pos="854" w:val="left" w:leader="none"/>
        </w:tabs>
        <w:spacing w:line="460" w:lineRule="auto" w:before="29" w:after="0"/>
        <w:ind w:left="864" w:right="888" w:hanging="360"/>
        <w:jc w:val="both"/>
        <w:rPr>
          <w:rFonts w:ascii="Arial" w:hAnsi="Arial"/>
          <w:sz w:val="24"/>
        </w:rPr>
      </w:pPr>
      <w:r>
        <w:rPr>
          <w:rFonts w:ascii="Arial" w:hAnsi="Arial"/>
          <w:sz w:val="24"/>
        </w:rPr>
        <w:t>IRIS (2009). International Renal Interest Society. Novartis Animal Health Inc. </w:t>
      </w:r>
      <w:hyperlink r:id="rId24">
        <w:r>
          <w:rPr>
            <w:rFonts w:ascii="Arial" w:hAnsi="Arial"/>
            <w:sz w:val="24"/>
          </w:rPr>
          <w:t>http://www.iris-kidney.com/about/en/index.shtml.</w:t>
        </w:r>
      </w:hyperlink>
      <w:r>
        <w:rPr>
          <w:rFonts w:ascii="Arial" w:hAnsi="Arial"/>
          <w:sz w:val="24"/>
        </w:rPr>
        <w:t> Último acceso: Febrero de</w:t>
      </w:r>
      <w:r>
        <w:rPr>
          <w:rFonts w:ascii="Arial" w:hAnsi="Arial"/>
          <w:spacing w:val="-2"/>
          <w:sz w:val="24"/>
        </w:rPr>
        <w:t> </w:t>
      </w:r>
      <w:r>
        <w:rPr>
          <w:rFonts w:ascii="Arial" w:hAnsi="Arial"/>
          <w:sz w:val="24"/>
        </w:rPr>
        <w:t>2014.</w:t>
      </w:r>
    </w:p>
    <w:p>
      <w:pPr>
        <w:spacing w:after="0" w:line="460" w:lineRule="auto"/>
        <w:jc w:val="both"/>
        <w:rPr>
          <w:rFonts w:ascii="Arial" w:hAnsi="Arial"/>
          <w:sz w:val="24"/>
        </w:rPr>
        <w:sectPr>
          <w:pgSz w:w="12240" w:h="15840"/>
          <w:pgMar w:header="742" w:footer="748" w:top="980" w:bottom="940" w:left="1620" w:right="180"/>
        </w:sectPr>
      </w:pPr>
    </w:p>
    <w:p>
      <w:pPr>
        <w:pStyle w:val="BodyText"/>
        <w:rPr>
          <w:sz w:val="20"/>
        </w:rPr>
      </w:pPr>
    </w:p>
    <w:p>
      <w:pPr>
        <w:pStyle w:val="BodyText"/>
        <w:rPr>
          <w:sz w:val="20"/>
        </w:rPr>
      </w:pPr>
    </w:p>
    <w:p>
      <w:pPr>
        <w:pStyle w:val="BodyText"/>
        <w:spacing w:before="7"/>
        <w:rPr>
          <w:sz w:val="16"/>
        </w:rPr>
      </w:pPr>
    </w:p>
    <w:p>
      <w:pPr>
        <w:pStyle w:val="ListParagraph"/>
        <w:numPr>
          <w:ilvl w:val="1"/>
          <w:numId w:val="3"/>
        </w:numPr>
        <w:tabs>
          <w:tab w:pos="854" w:val="left" w:leader="none"/>
        </w:tabs>
        <w:spacing w:line="463" w:lineRule="auto" w:before="53" w:after="0"/>
        <w:ind w:left="864" w:right="888" w:hanging="360"/>
        <w:jc w:val="both"/>
        <w:rPr>
          <w:rFonts w:ascii="Arial"/>
          <w:sz w:val="24"/>
        </w:rPr>
      </w:pPr>
      <w:r>
        <w:rPr>
          <w:rFonts w:ascii="Arial"/>
          <w:sz w:val="24"/>
        </w:rPr>
        <w:t>James MT, Hemmelgarn BR, Tonelli M (2010). Early recognition and prevention  of chronic kidney disease. Lancet</w:t>
      </w:r>
      <w:r>
        <w:rPr>
          <w:rFonts w:ascii="Arial"/>
          <w:spacing w:val="-2"/>
          <w:sz w:val="24"/>
        </w:rPr>
        <w:t> </w:t>
      </w:r>
      <w:r>
        <w:rPr>
          <w:rFonts w:ascii="Arial"/>
          <w:sz w:val="24"/>
        </w:rPr>
        <w:t>375:1296-309.</w:t>
      </w:r>
    </w:p>
    <w:p>
      <w:pPr>
        <w:pStyle w:val="ListParagraph"/>
        <w:numPr>
          <w:ilvl w:val="1"/>
          <w:numId w:val="3"/>
        </w:numPr>
        <w:tabs>
          <w:tab w:pos="854" w:val="left" w:leader="none"/>
        </w:tabs>
        <w:spacing w:line="470" w:lineRule="auto" w:before="29" w:after="0"/>
        <w:ind w:left="864" w:right="888" w:hanging="360"/>
        <w:jc w:val="both"/>
        <w:rPr>
          <w:rFonts w:ascii="Arial"/>
          <w:sz w:val="24"/>
        </w:rPr>
      </w:pPr>
      <w:r>
        <w:rPr>
          <w:rFonts w:ascii="Arial"/>
          <w:sz w:val="24"/>
        </w:rPr>
        <w:t>Jacob F, Polzin DJ, Osborne CA y cols. (2005) Evaluation of the association between initial proteinuria and morbisity rate or death in dogs with naturally occurring chronic renal failure. J Am Vet Med Assoc</w:t>
      </w:r>
      <w:r>
        <w:rPr>
          <w:rFonts w:ascii="Arial"/>
          <w:spacing w:val="-1"/>
          <w:sz w:val="24"/>
        </w:rPr>
        <w:t> </w:t>
      </w:r>
      <w:r>
        <w:rPr>
          <w:rFonts w:ascii="Arial"/>
          <w:sz w:val="24"/>
        </w:rPr>
        <w:t>226:393-400.</w:t>
      </w:r>
    </w:p>
    <w:p>
      <w:pPr>
        <w:pStyle w:val="ListParagraph"/>
        <w:numPr>
          <w:ilvl w:val="1"/>
          <w:numId w:val="3"/>
        </w:numPr>
        <w:tabs>
          <w:tab w:pos="854" w:val="left" w:leader="none"/>
        </w:tabs>
        <w:spacing w:line="470" w:lineRule="auto" w:before="21" w:after="0"/>
        <w:ind w:left="864" w:right="888" w:hanging="360"/>
        <w:jc w:val="both"/>
        <w:rPr>
          <w:rFonts w:ascii="Arial"/>
          <w:sz w:val="24"/>
        </w:rPr>
      </w:pPr>
      <w:r>
        <w:rPr>
          <w:rFonts w:ascii="Arial"/>
          <w:sz w:val="24"/>
        </w:rPr>
        <w:t>KDOQI (2002). Kidney Disease Outcome Quality Initiative. Clinical practice guidelines for chronic kidney disease: evaluation, classification, and stratification. Am J Kidney Dis 39 (suppl</w:t>
      </w:r>
      <w:r>
        <w:rPr>
          <w:rFonts w:ascii="Arial"/>
          <w:spacing w:val="-1"/>
          <w:sz w:val="24"/>
        </w:rPr>
        <w:t> </w:t>
      </w:r>
      <w:r>
        <w:rPr>
          <w:rFonts w:ascii="Arial"/>
          <w:sz w:val="24"/>
        </w:rPr>
        <w:t>1).</w:t>
      </w:r>
    </w:p>
    <w:p>
      <w:pPr>
        <w:pStyle w:val="ListParagraph"/>
        <w:numPr>
          <w:ilvl w:val="1"/>
          <w:numId w:val="3"/>
        </w:numPr>
        <w:tabs>
          <w:tab w:pos="854" w:val="left" w:leader="none"/>
        </w:tabs>
        <w:spacing w:line="472" w:lineRule="auto" w:before="21" w:after="0"/>
        <w:ind w:left="864" w:right="888" w:hanging="360"/>
        <w:jc w:val="both"/>
        <w:rPr>
          <w:rFonts w:ascii="Arial"/>
          <w:sz w:val="24"/>
        </w:rPr>
      </w:pPr>
      <w:r>
        <w:rPr>
          <w:rFonts w:ascii="Arial"/>
          <w:sz w:val="24"/>
        </w:rPr>
        <w:t>Koomans HA, Roos JC, Boer P y cols (1982). Salt sensivity of blood pressure in chronic renal failure. Evidence for renal control of body fluid distribution in man. Hypertension.</w:t>
      </w:r>
      <w:r>
        <w:rPr>
          <w:rFonts w:ascii="Arial"/>
          <w:spacing w:val="-2"/>
          <w:sz w:val="24"/>
        </w:rPr>
        <w:t> </w:t>
      </w:r>
      <w:r>
        <w:rPr>
          <w:rFonts w:ascii="Arial"/>
          <w:sz w:val="24"/>
        </w:rPr>
        <w:t>4(2):190-7.</w:t>
      </w:r>
    </w:p>
    <w:p>
      <w:pPr>
        <w:pStyle w:val="ListParagraph"/>
        <w:numPr>
          <w:ilvl w:val="1"/>
          <w:numId w:val="3"/>
        </w:numPr>
        <w:tabs>
          <w:tab w:pos="854" w:val="left" w:leader="none"/>
        </w:tabs>
        <w:spacing w:line="460" w:lineRule="auto" w:before="19" w:after="0"/>
        <w:ind w:left="864" w:right="888" w:hanging="360"/>
        <w:jc w:val="both"/>
        <w:rPr>
          <w:rFonts w:ascii="Arial"/>
          <w:sz w:val="24"/>
        </w:rPr>
      </w:pPr>
      <w:r>
        <w:rPr>
          <w:rFonts w:ascii="Arial"/>
          <w:sz w:val="24"/>
        </w:rPr>
        <w:t>Lea JP, Nicholas SB (2002). Diabetes mellitus and hypertension: key risk factors for kidney disease. J Natl Med Assoc.</w:t>
      </w:r>
      <w:r>
        <w:rPr>
          <w:rFonts w:ascii="Arial"/>
          <w:spacing w:val="-2"/>
          <w:sz w:val="24"/>
        </w:rPr>
        <w:t> </w:t>
      </w:r>
      <w:r>
        <w:rPr>
          <w:rFonts w:ascii="Arial"/>
          <w:sz w:val="24"/>
        </w:rPr>
        <w:t>94(8):7S-15S.</w:t>
      </w:r>
    </w:p>
    <w:p>
      <w:pPr>
        <w:pStyle w:val="ListParagraph"/>
        <w:numPr>
          <w:ilvl w:val="1"/>
          <w:numId w:val="3"/>
        </w:numPr>
        <w:tabs>
          <w:tab w:pos="854" w:val="left" w:leader="none"/>
        </w:tabs>
        <w:spacing w:line="460" w:lineRule="auto" w:before="32" w:after="0"/>
        <w:ind w:left="864" w:right="888" w:hanging="360"/>
        <w:jc w:val="both"/>
        <w:rPr>
          <w:rFonts w:ascii="Arial"/>
          <w:sz w:val="24"/>
        </w:rPr>
      </w:pPr>
      <w:r>
        <w:rPr>
          <w:rFonts w:ascii="Arial"/>
          <w:sz w:val="24"/>
        </w:rPr>
        <w:t>Less GE (2004). Early diagnosis of renal disease and renal failure. Vet Clin North Am Small Anim Pract</w:t>
      </w:r>
      <w:r>
        <w:rPr>
          <w:rFonts w:ascii="Arial"/>
          <w:spacing w:val="-1"/>
          <w:sz w:val="24"/>
        </w:rPr>
        <w:t> </w:t>
      </w:r>
      <w:r>
        <w:rPr>
          <w:rFonts w:ascii="Arial"/>
          <w:sz w:val="24"/>
        </w:rPr>
        <w:t>34:867-85.</w:t>
      </w:r>
    </w:p>
    <w:p>
      <w:pPr>
        <w:pStyle w:val="ListParagraph"/>
        <w:numPr>
          <w:ilvl w:val="1"/>
          <w:numId w:val="3"/>
        </w:numPr>
        <w:tabs>
          <w:tab w:pos="854" w:val="left" w:leader="none"/>
        </w:tabs>
        <w:spacing w:line="472" w:lineRule="auto" w:before="32" w:after="0"/>
        <w:ind w:left="864" w:right="888" w:hanging="360"/>
        <w:jc w:val="both"/>
        <w:rPr>
          <w:rFonts w:ascii="Arial" w:hAnsi="Arial"/>
          <w:sz w:val="24"/>
        </w:rPr>
      </w:pPr>
      <w:r>
        <w:rPr>
          <w:rFonts w:ascii="Arial" w:hAnsi="Arial"/>
          <w:sz w:val="24"/>
        </w:rPr>
        <w:t>Lees GE, Brown SA, Elliot J, Grauer GF y Vaden SL (2005). Assessment and management of proteinuria in dogs and cats: 2004 ACVIM fórum consensus statement (small animal). J Vet Intern Med</w:t>
      </w:r>
      <w:r>
        <w:rPr>
          <w:rFonts w:ascii="Arial" w:hAnsi="Arial"/>
          <w:spacing w:val="-1"/>
          <w:sz w:val="24"/>
        </w:rPr>
        <w:t> </w:t>
      </w:r>
      <w:r>
        <w:rPr>
          <w:rFonts w:ascii="Arial" w:hAnsi="Arial"/>
          <w:sz w:val="24"/>
        </w:rPr>
        <w:t>19:377-85.</w:t>
      </w:r>
    </w:p>
    <w:p>
      <w:pPr>
        <w:pStyle w:val="ListParagraph"/>
        <w:numPr>
          <w:ilvl w:val="1"/>
          <w:numId w:val="3"/>
        </w:numPr>
        <w:tabs>
          <w:tab w:pos="853" w:val="left" w:leader="none"/>
          <w:tab w:pos="854" w:val="left" w:leader="none"/>
        </w:tabs>
        <w:spacing w:line="240" w:lineRule="auto" w:before="19" w:after="0"/>
        <w:ind w:left="853" w:right="0" w:hanging="349"/>
        <w:jc w:val="left"/>
        <w:rPr>
          <w:rFonts w:ascii="Arial"/>
          <w:sz w:val="24"/>
        </w:rPr>
      </w:pPr>
      <w:r>
        <w:rPr>
          <w:rFonts w:ascii="Arial"/>
          <w:sz w:val="24"/>
        </w:rPr>
        <w:t>Lees GE (2007). Juvenile and familial nephropathies. In: Elliot J, Grauer F </w:t>
      </w:r>
      <w:r>
        <w:rPr>
          <w:rFonts w:ascii="Arial"/>
          <w:spacing w:val="29"/>
          <w:sz w:val="24"/>
        </w:rPr>
        <w:t> </w:t>
      </w:r>
      <w:r>
        <w:rPr>
          <w:rFonts w:ascii="Arial"/>
          <w:sz w:val="24"/>
        </w:rPr>
        <w:t>(eds.).</w:t>
      </w:r>
    </w:p>
    <w:p>
      <w:pPr>
        <w:pStyle w:val="BodyText"/>
        <w:spacing w:before="4"/>
        <w:rPr>
          <w:sz w:val="23"/>
        </w:rPr>
      </w:pPr>
    </w:p>
    <w:p>
      <w:pPr>
        <w:pStyle w:val="BodyText"/>
        <w:spacing w:line="480" w:lineRule="auto" w:before="1"/>
        <w:ind w:left="864" w:right="888"/>
      </w:pPr>
      <w:r>
        <w:rPr/>
        <w:t>BSAVA Manual of canine and feline nephrology and urology. 2nd edn BSAVA, 79-86.</w:t>
      </w:r>
    </w:p>
    <w:p>
      <w:pPr>
        <w:spacing w:after="0" w:line="480" w:lineRule="auto"/>
        <w:sectPr>
          <w:footerReference w:type="default" r:id="rId25"/>
          <w:pgSz w:w="12240" w:h="15840"/>
          <w:pgMar w:footer="748" w:header="742" w:top="980" w:bottom="940" w:left="1620" w:right="180"/>
        </w:sectPr>
      </w:pPr>
    </w:p>
    <w:p>
      <w:pPr>
        <w:pStyle w:val="BodyText"/>
        <w:rPr>
          <w:sz w:val="20"/>
        </w:rPr>
      </w:pPr>
    </w:p>
    <w:p>
      <w:pPr>
        <w:pStyle w:val="BodyText"/>
        <w:rPr>
          <w:sz w:val="20"/>
        </w:rPr>
      </w:pPr>
    </w:p>
    <w:p>
      <w:pPr>
        <w:pStyle w:val="BodyText"/>
        <w:spacing w:before="7"/>
        <w:rPr>
          <w:sz w:val="16"/>
        </w:rPr>
      </w:pPr>
    </w:p>
    <w:p>
      <w:pPr>
        <w:pStyle w:val="ListParagraph"/>
        <w:numPr>
          <w:ilvl w:val="1"/>
          <w:numId w:val="3"/>
        </w:numPr>
        <w:tabs>
          <w:tab w:pos="854" w:val="left" w:leader="none"/>
        </w:tabs>
        <w:spacing w:line="472" w:lineRule="auto" w:before="53" w:after="0"/>
        <w:ind w:left="864" w:right="888" w:hanging="360"/>
        <w:jc w:val="both"/>
        <w:rPr>
          <w:rFonts w:ascii="Arial"/>
          <w:sz w:val="24"/>
        </w:rPr>
      </w:pPr>
      <w:r>
        <w:rPr>
          <w:rFonts w:ascii="Arial"/>
          <w:sz w:val="24"/>
        </w:rPr>
        <w:t>Levey AS, Coresh J, Balk E, et al. (2003). National Kidney Foundation practice guidelines for chronic kidney disease: evaluation, classification, and stratification. Am Intern Mes</w:t>
      </w:r>
      <w:r>
        <w:rPr>
          <w:rFonts w:ascii="Arial"/>
          <w:spacing w:val="-1"/>
          <w:sz w:val="24"/>
        </w:rPr>
        <w:t> </w:t>
      </w:r>
      <w:r>
        <w:rPr>
          <w:rFonts w:ascii="Arial"/>
          <w:sz w:val="24"/>
        </w:rPr>
        <w:t>139:137-47.</w:t>
      </w:r>
    </w:p>
    <w:p>
      <w:pPr>
        <w:pStyle w:val="ListParagraph"/>
        <w:numPr>
          <w:ilvl w:val="1"/>
          <w:numId w:val="3"/>
        </w:numPr>
        <w:tabs>
          <w:tab w:pos="853" w:val="left" w:leader="none"/>
          <w:tab w:pos="854" w:val="left" w:leader="none"/>
        </w:tabs>
        <w:spacing w:line="240" w:lineRule="auto" w:before="19" w:after="0"/>
        <w:ind w:left="853" w:right="0" w:hanging="349"/>
        <w:jc w:val="left"/>
        <w:rPr>
          <w:rFonts w:ascii="Arial"/>
          <w:sz w:val="24"/>
        </w:rPr>
      </w:pPr>
      <w:r>
        <w:rPr>
          <w:rFonts w:ascii="Arial"/>
          <w:sz w:val="24"/>
        </w:rPr>
        <w:t>Libby   P,   Ridker   PM,   Maseri   A   (2002).   Infammation   and</w:t>
      </w:r>
      <w:r>
        <w:rPr>
          <w:rFonts w:ascii="Arial"/>
          <w:spacing w:val="60"/>
          <w:sz w:val="24"/>
        </w:rPr>
        <w:t> </w:t>
      </w:r>
      <w:r>
        <w:rPr>
          <w:rFonts w:ascii="Arial"/>
          <w:sz w:val="24"/>
        </w:rPr>
        <w:t>atherosclerosis.</w:t>
      </w:r>
    </w:p>
    <w:p>
      <w:pPr>
        <w:pStyle w:val="BodyText"/>
        <w:spacing w:before="4"/>
        <w:rPr>
          <w:sz w:val="23"/>
        </w:rPr>
      </w:pPr>
    </w:p>
    <w:p>
      <w:pPr>
        <w:pStyle w:val="BodyText"/>
        <w:spacing w:before="1"/>
        <w:ind w:left="864"/>
      </w:pPr>
      <w:r>
        <w:rPr/>
        <w:t>Circulation. 10(5):1135-43.</w:t>
      </w:r>
    </w:p>
    <w:p>
      <w:pPr>
        <w:pStyle w:val="BodyText"/>
        <w:spacing w:before="3"/>
      </w:pPr>
    </w:p>
    <w:p>
      <w:pPr>
        <w:pStyle w:val="ListParagraph"/>
        <w:numPr>
          <w:ilvl w:val="1"/>
          <w:numId w:val="3"/>
        </w:numPr>
        <w:tabs>
          <w:tab w:pos="853" w:val="left" w:leader="none"/>
          <w:tab w:pos="854" w:val="left" w:leader="none"/>
        </w:tabs>
        <w:spacing w:line="240" w:lineRule="auto" w:before="0" w:after="0"/>
        <w:ind w:left="853" w:right="0" w:hanging="349"/>
        <w:jc w:val="left"/>
        <w:rPr>
          <w:rFonts w:ascii="Arial"/>
          <w:sz w:val="24"/>
        </w:rPr>
      </w:pPr>
      <w:r>
        <w:rPr>
          <w:rFonts w:ascii="Arial"/>
          <w:sz w:val="24"/>
        </w:rPr>
        <w:t>Locatelli</w:t>
      </w:r>
      <w:r>
        <w:rPr>
          <w:rFonts w:ascii="Arial"/>
          <w:spacing w:val="43"/>
          <w:sz w:val="24"/>
        </w:rPr>
        <w:t> </w:t>
      </w:r>
      <w:r>
        <w:rPr>
          <w:rFonts w:ascii="Arial"/>
          <w:sz w:val="24"/>
        </w:rPr>
        <w:t>F,</w:t>
      </w:r>
      <w:r>
        <w:rPr>
          <w:rFonts w:ascii="Arial"/>
          <w:spacing w:val="43"/>
          <w:sz w:val="24"/>
        </w:rPr>
        <w:t> </w:t>
      </w:r>
      <w:r>
        <w:rPr>
          <w:rFonts w:ascii="Arial"/>
          <w:sz w:val="24"/>
        </w:rPr>
        <w:t>Canaud</w:t>
      </w:r>
      <w:r>
        <w:rPr>
          <w:rFonts w:ascii="Arial"/>
          <w:spacing w:val="43"/>
          <w:sz w:val="24"/>
        </w:rPr>
        <w:t> </w:t>
      </w:r>
      <w:r>
        <w:rPr>
          <w:rFonts w:ascii="Arial"/>
          <w:sz w:val="24"/>
        </w:rPr>
        <w:t>B,</w:t>
      </w:r>
      <w:r>
        <w:rPr>
          <w:rFonts w:ascii="Arial"/>
          <w:spacing w:val="43"/>
          <w:sz w:val="24"/>
        </w:rPr>
        <w:t> </w:t>
      </w:r>
      <w:r>
        <w:rPr>
          <w:rFonts w:ascii="Arial"/>
          <w:sz w:val="24"/>
        </w:rPr>
        <w:t>Eckardt</w:t>
      </w:r>
      <w:r>
        <w:rPr>
          <w:rFonts w:ascii="Arial"/>
          <w:spacing w:val="43"/>
          <w:sz w:val="24"/>
        </w:rPr>
        <w:t> </w:t>
      </w:r>
      <w:r>
        <w:rPr>
          <w:rFonts w:ascii="Arial"/>
          <w:sz w:val="24"/>
        </w:rPr>
        <w:t>KU,</w:t>
      </w:r>
      <w:r>
        <w:rPr>
          <w:rFonts w:ascii="Arial"/>
          <w:spacing w:val="43"/>
          <w:sz w:val="24"/>
        </w:rPr>
        <w:t> </w:t>
      </w:r>
      <w:r>
        <w:rPr>
          <w:rFonts w:ascii="Arial"/>
          <w:sz w:val="24"/>
        </w:rPr>
        <w:t>Stenvinkel</w:t>
      </w:r>
      <w:r>
        <w:rPr>
          <w:rFonts w:ascii="Arial"/>
          <w:spacing w:val="43"/>
          <w:sz w:val="24"/>
        </w:rPr>
        <w:t> </w:t>
      </w:r>
      <w:r>
        <w:rPr>
          <w:rFonts w:ascii="Arial"/>
          <w:sz w:val="24"/>
        </w:rPr>
        <w:t>P,</w:t>
      </w:r>
      <w:r>
        <w:rPr>
          <w:rFonts w:ascii="Arial"/>
          <w:spacing w:val="43"/>
          <w:sz w:val="24"/>
        </w:rPr>
        <w:t> </w:t>
      </w:r>
      <w:r>
        <w:rPr>
          <w:rFonts w:ascii="Arial"/>
          <w:sz w:val="24"/>
        </w:rPr>
        <w:t>Wanner</w:t>
      </w:r>
      <w:r>
        <w:rPr>
          <w:rFonts w:ascii="Arial"/>
          <w:spacing w:val="43"/>
          <w:sz w:val="24"/>
        </w:rPr>
        <w:t> </w:t>
      </w:r>
      <w:r>
        <w:rPr>
          <w:rFonts w:ascii="Arial"/>
          <w:sz w:val="24"/>
        </w:rPr>
        <w:t>C,</w:t>
      </w:r>
      <w:r>
        <w:rPr>
          <w:rFonts w:ascii="Arial"/>
          <w:spacing w:val="43"/>
          <w:sz w:val="24"/>
        </w:rPr>
        <w:t> </w:t>
      </w:r>
      <w:r>
        <w:rPr>
          <w:rFonts w:ascii="Arial"/>
          <w:sz w:val="24"/>
        </w:rPr>
        <w:t>Zocali</w:t>
      </w:r>
      <w:r>
        <w:rPr>
          <w:rFonts w:ascii="Arial"/>
          <w:spacing w:val="43"/>
          <w:sz w:val="24"/>
        </w:rPr>
        <w:t> </w:t>
      </w:r>
      <w:r>
        <w:rPr>
          <w:rFonts w:ascii="Arial"/>
          <w:sz w:val="24"/>
        </w:rPr>
        <w:t>C</w:t>
      </w:r>
      <w:r>
        <w:rPr>
          <w:rFonts w:ascii="Arial"/>
          <w:spacing w:val="43"/>
          <w:sz w:val="24"/>
        </w:rPr>
        <w:t> </w:t>
      </w:r>
      <w:r>
        <w:rPr>
          <w:rFonts w:ascii="Arial"/>
          <w:sz w:val="24"/>
        </w:rPr>
        <w:t>(2003).</w:t>
      </w:r>
    </w:p>
    <w:p>
      <w:pPr>
        <w:pStyle w:val="BodyText"/>
        <w:spacing w:before="4"/>
        <w:rPr>
          <w:sz w:val="23"/>
        </w:rPr>
      </w:pPr>
    </w:p>
    <w:p>
      <w:pPr>
        <w:pStyle w:val="BodyText"/>
        <w:spacing w:line="480" w:lineRule="auto" w:before="1"/>
        <w:ind w:left="864" w:right="888"/>
      </w:pPr>
      <w:r>
        <w:rPr/>
        <w:t>Oxidative stress in end-stage renal disease: an emerging threat to patient outcome. Nephrol Dial Tranplant. 18:1272-80.</w:t>
      </w:r>
    </w:p>
    <w:p>
      <w:pPr>
        <w:pStyle w:val="ListParagraph"/>
        <w:numPr>
          <w:ilvl w:val="1"/>
          <w:numId w:val="3"/>
        </w:numPr>
        <w:tabs>
          <w:tab w:pos="854" w:val="left" w:leader="none"/>
        </w:tabs>
        <w:spacing w:line="463" w:lineRule="auto" w:before="11" w:after="0"/>
        <w:ind w:left="864" w:right="888" w:hanging="360"/>
        <w:jc w:val="both"/>
        <w:rPr>
          <w:rFonts w:ascii="Arial"/>
          <w:sz w:val="24"/>
        </w:rPr>
      </w:pPr>
      <w:r>
        <w:rPr>
          <w:rFonts w:ascii="Arial"/>
          <w:sz w:val="24"/>
        </w:rPr>
        <w:t>Lulich J, Osborne CA, O'Brien TD, Polzin DJ (1992): Feline renal failure: questions, answers, questions. Compend Cont Ed Pract Vet</w:t>
      </w:r>
      <w:r>
        <w:rPr>
          <w:rFonts w:ascii="Arial"/>
          <w:spacing w:val="-1"/>
          <w:sz w:val="24"/>
        </w:rPr>
        <w:t> </w:t>
      </w:r>
      <w:r>
        <w:rPr>
          <w:rFonts w:ascii="Arial"/>
          <w:sz w:val="24"/>
        </w:rPr>
        <w:t>14:127-52.</w:t>
      </w:r>
    </w:p>
    <w:p>
      <w:pPr>
        <w:pStyle w:val="ListParagraph"/>
        <w:numPr>
          <w:ilvl w:val="1"/>
          <w:numId w:val="3"/>
        </w:numPr>
        <w:tabs>
          <w:tab w:pos="854" w:val="left" w:leader="none"/>
        </w:tabs>
        <w:spacing w:line="470" w:lineRule="auto" w:before="29" w:after="0"/>
        <w:ind w:left="864" w:right="888" w:hanging="360"/>
        <w:jc w:val="both"/>
        <w:rPr>
          <w:rFonts w:ascii="Arial"/>
          <w:sz w:val="24"/>
        </w:rPr>
      </w:pPr>
      <w:r>
        <w:rPr>
          <w:rFonts w:ascii="Arial"/>
          <w:sz w:val="24"/>
        </w:rPr>
        <w:t>Lund EM, Armstrong PJ, Kirk CA, Kolar LM, Klausner JS (1999). Health status and population characteristics of dogs and cats examined at private veterinary practices in the United States. J Am Vet Med Assoc</w:t>
      </w:r>
      <w:r>
        <w:rPr>
          <w:rFonts w:ascii="Arial"/>
          <w:spacing w:val="-1"/>
          <w:sz w:val="24"/>
        </w:rPr>
        <w:t> </w:t>
      </w:r>
      <w:r>
        <w:rPr>
          <w:rFonts w:ascii="Arial"/>
          <w:sz w:val="24"/>
        </w:rPr>
        <w:t>214:1336-41.</w:t>
      </w:r>
    </w:p>
    <w:p>
      <w:pPr>
        <w:pStyle w:val="ListParagraph"/>
        <w:numPr>
          <w:ilvl w:val="1"/>
          <w:numId w:val="3"/>
        </w:numPr>
        <w:tabs>
          <w:tab w:pos="854" w:val="left" w:leader="none"/>
        </w:tabs>
        <w:spacing w:line="460" w:lineRule="auto" w:before="21" w:after="0"/>
        <w:ind w:left="864" w:right="888" w:hanging="360"/>
        <w:jc w:val="both"/>
        <w:rPr>
          <w:rFonts w:ascii="Arial"/>
          <w:sz w:val="24"/>
        </w:rPr>
      </w:pPr>
      <w:r>
        <w:rPr>
          <w:rFonts w:ascii="Arial"/>
          <w:sz w:val="24"/>
        </w:rPr>
        <w:t>Ljungman S, Laragh JH, Cody RJ (1990). Role of kidney in congestive heart failure. Relationship of cardiac index to kidney function. Drugs</w:t>
      </w:r>
      <w:r>
        <w:rPr>
          <w:rFonts w:ascii="Arial"/>
          <w:spacing w:val="-3"/>
          <w:sz w:val="24"/>
        </w:rPr>
        <w:t> </w:t>
      </w:r>
      <w:r>
        <w:rPr>
          <w:rFonts w:ascii="Arial"/>
          <w:sz w:val="24"/>
        </w:rPr>
        <w:t>39(4):10-21.</w:t>
      </w:r>
    </w:p>
    <w:p>
      <w:pPr>
        <w:pStyle w:val="ListParagraph"/>
        <w:numPr>
          <w:ilvl w:val="1"/>
          <w:numId w:val="3"/>
        </w:numPr>
        <w:tabs>
          <w:tab w:pos="854" w:val="left" w:leader="none"/>
        </w:tabs>
        <w:spacing w:line="475" w:lineRule="auto" w:before="32" w:after="0"/>
        <w:ind w:left="864" w:right="888" w:hanging="360"/>
        <w:jc w:val="both"/>
        <w:rPr>
          <w:rFonts w:ascii="Arial"/>
          <w:sz w:val="24"/>
        </w:rPr>
      </w:pPr>
      <w:r>
        <w:rPr>
          <w:rFonts w:ascii="Arial"/>
          <w:sz w:val="24"/>
        </w:rPr>
        <w:t>Lyon SD, Sanderson MW, Vaden SL, et al (2010). Comparision of dipstick, sulfosalicylic acid, urine protein cratinine ratio, and species-specific ELISA methodologies for detection of albumin in canine and feline samples. J Am Vet Med Assoc</w:t>
      </w:r>
      <w:r>
        <w:rPr>
          <w:rFonts w:ascii="Arial"/>
          <w:spacing w:val="-1"/>
          <w:sz w:val="24"/>
        </w:rPr>
        <w:t> </w:t>
      </w:r>
      <w:r>
        <w:rPr>
          <w:rFonts w:ascii="Arial"/>
          <w:sz w:val="24"/>
        </w:rPr>
        <w:t>236:874-9.</w:t>
      </w:r>
    </w:p>
    <w:p>
      <w:pPr>
        <w:pStyle w:val="ListParagraph"/>
        <w:numPr>
          <w:ilvl w:val="1"/>
          <w:numId w:val="3"/>
        </w:numPr>
        <w:tabs>
          <w:tab w:pos="854" w:val="left" w:leader="none"/>
        </w:tabs>
        <w:spacing w:line="460" w:lineRule="auto" w:before="16" w:after="0"/>
        <w:ind w:left="864" w:right="888" w:hanging="360"/>
        <w:jc w:val="both"/>
        <w:rPr>
          <w:rFonts w:ascii="Arial"/>
          <w:sz w:val="24"/>
        </w:rPr>
      </w:pPr>
      <w:r>
        <w:rPr>
          <w:rFonts w:ascii="Arial"/>
          <w:sz w:val="24"/>
        </w:rPr>
        <w:t>Madisson J, Harriet S (2010). Chronic kidney disease in dosg and cats: pathophysiology and diagnosis. Irish Vet J 63;</w:t>
      </w:r>
      <w:r>
        <w:rPr>
          <w:rFonts w:ascii="Arial"/>
          <w:spacing w:val="-1"/>
          <w:sz w:val="24"/>
        </w:rPr>
        <w:t> </w:t>
      </w:r>
      <w:r>
        <w:rPr>
          <w:rFonts w:ascii="Arial"/>
          <w:sz w:val="24"/>
        </w:rPr>
        <w:t>1:44-50.</w:t>
      </w:r>
    </w:p>
    <w:p>
      <w:pPr>
        <w:spacing w:after="0" w:line="460" w:lineRule="auto"/>
        <w:jc w:val="both"/>
        <w:rPr>
          <w:rFonts w:ascii="Arial"/>
          <w:sz w:val="24"/>
        </w:rPr>
        <w:sectPr>
          <w:footerReference w:type="default" r:id="rId26"/>
          <w:pgSz w:w="12240" w:h="15840"/>
          <w:pgMar w:footer="748" w:header="742" w:top="980" w:bottom="940" w:left="1620" w:right="180"/>
          <w:pgNumType w:start="71"/>
        </w:sectPr>
      </w:pPr>
    </w:p>
    <w:p>
      <w:pPr>
        <w:pStyle w:val="BodyText"/>
        <w:rPr>
          <w:sz w:val="20"/>
        </w:rPr>
      </w:pPr>
    </w:p>
    <w:p>
      <w:pPr>
        <w:pStyle w:val="BodyText"/>
        <w:rPr>
          <w:sz w:val="20"/>
        </w:rPr>
      </w:pPr>
    </w:p>
    <w:p>
      <w:pPr>
        <w:pStyle w:val="BodyText"/>
        <w:spacing w:before="7"/>
        <w:rPr>
          <w:sz w:val="16"/>
        </w:rPr>
      </w:pPr>
    </w:p>
    <w:p>
      <w:pPr>
        <w:pStyle w:val="ListParagraph"/>
        <w:numPr>
          <w:ilvl w:val="1"/>
          <w:numId w:val="3"/>
        </w:numPr>
        <w:tabs>
          <w:tab w:pos="854" w:val="left" w:leader="none"/>
        </w:tabs>
        <w:spacing w:line="472" w:lineRule="auto" w:before="53" w:after="0"/>
        <w:ind w:left="864" w:right="888" w:hanging="360"/>
        <w:jc w:val="both"/>
        <w:rPr>
          <w:rFonts w:ascii="Arial"/>
          <w:sz w:val="24"/>
        </w:rPr>
      </w:pPr>
      <w:r>
        <w:rPr>
          <w:rFonts w:ascii="Arial"/>
          <w:sz w:val="24"/>
        </w:rPr>
        <w:t>McCaw DL, Knapp DW, Hewett JE (1985). Effect of collection time and exercise restriction on the prevention of urine protein excetion, using urine protein/creatinina ratio in dogs. Am J Vet Res</w:t>
      </w:r>
      <w:r>
        <w:rPr>
          <w:rFonts w:ascii="Arial"/>
          <w:spacing w:val="-1"/>
          <w:sz w:val="24"/>
        </w:rPr>
        <w:t> </w:t>
      </w:r>
      <w:r>
        <w:rPr>
          <w:rFonts w:ascii="Arial"/>
          <w:sz w:val="24"/>
        </w:rPr>
        <w:t>46:1665-9.</w:t>
      </w:r>
    </w:p>
    <w:p>
      <w:pPr>
        <w:pStyle w:val="ListParagraph"/>
        <w:numPr>
          <w:ilvl w:val="1"/>
          <w:numId w:val="3"/>
        </w:numPr>
        <w:tabs>
          <w:tab w:pos="854" w:val="left" w:leader="none"/>
        </w:tabs>
        <w:spacing w:line="460" w:lineRule="auto" w:before="19" w:after="0"/>
        <w:ind w:left="864" w:right="888" w:hanging="360"/>
        <w:jc w:val="both"/>
        <w:rPr>
          <w:rFonts w:ascii="Arial"/>
          <w:sz w:val="24"/>
        </w:rPr>
      </w:pPr>
      <w:r>
        <w:rPr>
          <w:rFonts w:ascii="Arial"/>
          <w:sz w:val="24"/>
        </w:rPr>
        <w:t>McGrotty Y (2008). Diagnosis and management of chronic kidney disease in dogs and cats. In Practice. October 30,</w:t>
      </w:r>
      <w:r>
        <w:rPr>
          <w:rFonts w:ascii="Arial"/>
          <w:spacing w:val="-2"/>
          <w:sz w:val="24"/>
        </w:rPr>
        <w:t> </w:t>
      </w:r>
      <w:r>
        <w:rPr>
          <w:rFonts w:ascii="Arial"/>
          <w:sz w:val="24"/>
        </w:rPr>
        <w:t>502-7.</w:t>
      </w:r>
    </w:p>
    <w:p>
      <w:pPr>
        <w:pStyle w:val="ListParagraph"/>
        <w:numPr>
          <w:ilvl w:val="1"/>
          <w:numId w:val="3"/>
        </w:numPr>
        <w:tabs>
          <w:tab w:pos="854" w:val="left" w:leader="none"/>
        </w:tabs>
        <w:spacing w:line="470" w:lineRule="auto" w:before="32" w:after="0"/>
        <w:ind w:left="864" w:right="888" w:hanging="360"/>
        <w:jc w:val="both"/>
        <w:rPr>
          <w:rFonts w:ascii="Arial"/>
          <w:sz w:val="24"/>
        </w:rPr>
      </w:pPr>
      <w:r>
        <w:rPr>
          <w:rFonts w:ascii="Arial"/>
          <w:sz w:val="24"/>
        </w:rPr>
        <w:t>Mehta JL, Saldeen TG, Rand K (1998). Interactive role of infection, infammation and traditional risk factors in atherosclerosis and coronary artery disease. J Am Coll Cardiol.</w:t>
      </w:r>
      <w:r>
        <w:rPr>
          <w:rFonts w:ascii="Arial"/>
          <w:spacing w:val="-2"/>
          <w:sz w:val="24"/>
        </w:rPr>
        <w:t> </w:t>
      </w:r>
      <w:r>
        <w:rPr>
          <w:rFonts w:ascii="Arial"/>
          <w:sz w:val="24"/>
        </w:rPr>
        <w:t>31:1217-25.</w:t>
      </w:r>
    </w:p>
    <w:p>
      <w:pPr>
        <w:pStyle w:val="ListParagraph"/>
        <w:numPr>
          <w:ilvl w:val="1"/>
          <w:numId w:val="3"/>
        </w:numPr>
        <w:tabs>
          <w:tab w:pos="854" w:val="left" w:leader="none"/>
        </w:tabs>
        <w:spacing w:line="475" w:lineRule="auto" w:before="21" w:after="0"/>
        <w:ind w:left="864" w:right="888" w:hanging="360"/>
        <w:jc w:val="both"/>
        <w:rPr>
          <w:rFonts w:ascii="Arial"/>
          <w:sz w:val="24"/>
        </w:rPr>
      </w:pPr>
      <w:r>
        <w:rPr>
          <w:rFonts w:ascii="Arial"/>
          <w:sz w:val="24"/>
        </w:rPr>
        <w:t>Nadim MK, Kellum JA, Davenport A, Wong F, Davis C, Pannu N, Tolwani A, Bellomo R, Genyk YS (2012). Hepatorenal syndrome: the 8th international consensus conference of the acute dialysis quality initiative (ADQI) group. Critical Care</w:t>
      </w:r>
      <w:r>
        <w:rPr>
          <w:rFonts w:ascii="Arial"/>
          <w:spacing w:val="-1"/>
          <w:sz w:val="24"/>
        </w:rPr>
        <w:t> </w:t>
      </w:r>
      <w:r>
        <w:rPr>
          <w:rFonts w:ascii="Arial"/>
          <w:sz w:val="24"/>
        </w:rPr>
        <w:t>16:2-17.</w:t>
      </w:r>
    </w:p>
    <w:p>
      <w:pPr>
        <w:pStyle w:val="ListParagraph"/>
        <w:numPr>
          <w:ilvl w:val="1"/>
          <w:numId w:val="3"/>
        </w:numPr>
        <w:tabs>
          <w:tab w:pos="854" w:val="left" w:leader="none"/>
        </w:tabs>
        <w:spacing w:line="470" w:lineRule="auto" w:before="16" w:after="0"/>
        <w:ind w:left="864" w:right="888" w:hanging="360"/>
        <w:jc w:val="both"/>
        <w:rPr>
          <w:rFonts w:ascii="Arial" w:hAnsi="Arial"/>
          <w:sz w:val="24"/>
        </w:rPr>
      </w:pPr>
      <w:r>
        <w:rPr>
          <w:rFonts w:ascii="Arial" w:hAnsi="Arial"/>
          <w:sz w:val="24"/>
        </w:rPr>
        <w:t>O’Neill DG, Elliot J, Church DB, et al (2013). Chornic kidney disease in dogs in  UK veterinary practices: Prevalence, risk factors and survival. J Vet Intern Med. 27:814-21.</w:t>
      </w:r>
    </w:p>
    <w:p>
      <w:pPr>
        <w:pStyle w:val="ListParagraph"/>
        <w:numPr>
          <w:ilvl w:val="1"/>
          <w:numId w:val="3"/>
        </w:numPr>
        <w:tabs>
          <w:tab w:pos="854" w:val="left" w:leader="none"/>
        </w:tabs>
        <w:spacing w:line="460" w:lineRule="auto" w:before="21" w:after="0"/>
        <w:ind w:left="864" w:right="888" w:hanging="360"/>
        <w:jc w:val="both"/>
        <w:rPr>
          <w:rFonts w:ascii="Arial" w:hAnsi="Arial"/>
          <w:sz w:val="24"/>
        </w:rPr>
      </w:pPr>
      <w:r>
        <w:rPr>
          <w:rFonts w:ascii="Arial" w:hAnsi="Arial"/>
          <w:sz w:val="24"/>
        </w:rPr>
        <w:t>OMS (2014). Organización mundial de la salud. </w:t>
      </w:r>
      <w:hyperlink r:id="rId27">
        <w:r>
          <w:rPr>
            <w:rFonts w:ascii="Arial" w:hAnsi="Arial"/>
            <w:sz w:val="24"/>
          </w:rPr>
          <w:t>http://www.who.int/topics/risk_factors/es/.</w:t>
        </w:r>
      </w:hyperlink>
      <w:r>
        <w:rPr>
          <w:rFonts w:ascii="Arial" w:hAnsi="Arial"/>
          <w:sz w:val="24"/>
        </w:rPr>
        <w:t> Último acceso: Mayo de</w:t>
      </w:r>
      <w:r>
        <w:rPr>
          <w:rFonts w:ascii="Arial" w:hAnsi="Arial"/>
          <w:spacing w:val="-9"/>
          <w:sz w:val="24"/>
        </w:rPr>
        <w:t> </w:t>
      </w:r>
      <w:r>
        <w:rPr>
          <w:rFonts w:ascii="Arial" w:hAnsi="Arial"/>
          <w:sz w:val="24"/>
        </w:rPr>
        <w:t>2014.</w:t>
      </w:r>
    </w:p>
    <w:p>
      <w:pPr>
        <w:pStyle w:val="ListParagraph"/>
        <w:numPr>
          <w:ilvl w:val="1"/>
          <w:numId w:val="3"/>
        </w:numPr>
        <w:tabs>
          <w:tab w:pos="854" w:val="left" w:leader="none"/>
        </w:tabs>
        <w:spacing w:line="472" w:lineRule="auto" w:before="32" w:after="0"/>
        <w:ind w:left="864" w:right="888" w:hanging="360"/>
        <w:jc w:val="both"/>
        <w:rPr>
          <w:rFonts w:ascii="Arial"/>
          <w:sz w:val="24"/>
        </w:rPr>
      </w:pPr>
      <w:r>
        <w:rPr>
          <w:rFonts w:ascii="Arial"/>
          <w:sz w:val="24"/>
        </w:rPr>
        <w:t>Ortega TM, Feldman EC, Nelson RW, Willits N, Cowgill LD (1996). Systemic arterial blood pressure and urine protein/creatinine ratio in dogs with hyperadrenocorticism. J Am Vet Med Assoc</w:t>
      </w:r>
      <w:r>
        <w:rPr>
          <w:rFonts w:ascii="Arial"/>
          <w:spacing w:val="-2"/>
          <w:sz w:val="24"/>
        </w:rPr>
        <w:t> </w:t>
      </w:r>
      <w:r>
        <w:rPr>
          <w:rFonts w:ascii="Arial"/>
          <w:sz w:val="24"/>
        </w:rPr>
        <w:t>209:1724-9.</w:t>
      </w:r>
    </w:p>
    <w:p>
      <w:pPr>
        <w:pStyle w:val="ListParagraph"/>
        <w:numPr>
          <w:ilvl w:val="1"/>
          <w:numId w:val="3"/>
        </w:numPr>
        <w:tabs>
          <w:tab w:pos="854" w:val="left" w:leader="none"/>
        </w:tabs>
        <w:spacing w:line="460" w:lineRule="auto" w:before="19" w:after="0"/>
        <w:ind w:left="864" w:right="888" w:hanging="360"/>
        <w:jc w:val="both"/>
        <w:rPr>
          <w:rFonts w:ascii="Arial"/>
          <w:sz w:val="24"/>
        </w:rPr>
      </w:pPr>
      <w:r>
        <w:rPr>
          <w:rFonts w:ascii="Arial"/>
          <w:sz w:val="24"/>
        </w:rPr>
        <w:t>Papich MG (2008). An update on nonsteroidal anti-inflammatory drugs (NSAIDs) in small animals. Vet Clin North Am Small Anim Pract.</w:t>
      </w:r>
      <w:r>
        <w:rPr>
          <w:rFonts w:ascii="Arial"/>
          <w:spacing w:val="-3"/>
          <w:sz w:val="24"/>
        </w:rPr>
        <w:t> </w:t>
      </w:r>
      <w:r>
        <w:rPr>
          <w:rFonts w:ascii="Arial"/>
          <w:sz w:val="24"/>
        </w:rPr>
        <w:t>38(6):1243-66.</w:t>
      </w:r>
    </w:p>
    <w:p>
      <w:pPr>
        <w:spacing w:after="0" w:line="460" w:lineRule="auto"/>
        <w:jc w:val="both"/>
        <w:rPr>
          <w:rFonts w:ascii="Arial"/>
          <w:sz w:val="24"/>
        </w:rPr>
        <w:sectPr>
          <w:pgSz w:w="12240" w:h="15840"/>
          <w:pgMar w:header="742" w:footer="748" w:top="980" w:bottom="940" w:left="1620" w:right="180"/>
        </w:sectPr>
      </w:pPr>
    </w:p>
    <w:p>
      <w:pPr>
        <w:pStyle w:val="BodyText"/>
        <w:rPr>
          <w:sz w:val="20"/>
        </w:rPr>
      </w:pPr>
    </w:p>
    <w:p>
      <w:pPr>
        <w:pStyle w:val="BodyText"/>
        <w:rPr>
          <w:sz w:val="20"/>
        </w:rPr>
      </w:pPr>
    </w:p>
    <w:p>
      <w:pPr>
        <w:pStyle w:val="BodyText"/>
        <w:spacing w:before="7"/>
        <w:rPr>
          <w:sz w:val="16"/>
        </w:rPr>
      </w:pPr>
    </w:p>
    <w:p>
      <w:pPr>
        <w:pStyle w:val="ListParagraph"/>
        <w:numPr>
          <w:ilvl w:val="1"/>
          <w:numId w:val="3"/>
        </w:numPr>
        <w:tabs>
          <w:tab w:pos="853" w:val="left" w:leader="none"/>
          <w:tab w:pos="854" w:val="left" w:leader="none"/>
        </w:tabs>
        <w:spacing w:line="463" w:lineRule="auto" w:before="53" w:after="0"/>
        <w:ind w:left="864" w:right="888" w:hanging="360"/>
        <w:jc w:val="left"/>
        <w:rPr>
          <w:rFonts w:ascii="Arial"/>
          <w:sz w:val="24"/>
        </w:rPr>
      </w:pPr>
      <w:r>
        <w:rPr>
          <w:rFonts w:ascii="Arial"/>
          <w:sz w:val="24"/>
        </w:rPr>
        <w:t>Polzin DJ (1988). The importance of egg protein in reduced protein diets for dogs with renal failure. J Vet Med</w:t>
      </w:r>
      <w:r>
        <w:rPr>
          <w:rFonts w:ascii="Arial"/>
          <w:spacing w:val="-1"/>
          <w:sz w:val="24"/>
        </w:rPr>
        <w:t> </w:t>
      </w:r>
      <w:r>
        <w:rPr>
          <w:rFonts w:ascii="Arial"/>
          <w:sz w:val="24"/>
        </w:rPr>
        <w:t>2:15-21.</w:t>
      </w:r>
    </w:p>
    <w:p>
      <w:pPr>
        <w:pStyle w:val="ListParagraph"/>
        <w:numPr>
          <w:ilvl w:val="1"/>
          <w:numId w:val="3"/>
        </w:numPr>
        <w:tabs>
          <w:tab w:pos="854" w:val="left" w:leader="none"/>
        </w:tabs>
        <w:spacing w:line="470" w:lineRule="auto" w:before="29" w:after="0"/>
        <w:ind w:left="864" w:right="888" w:hanging="360"/>
        <w:jc w:val="both"/>
        <w:rPr>
          <w:rFonts w:ascii="Arial"/>
          <w:sz w:val="24"/>
        </w:rPr>
      </w:pPr>
      <w:r>
        <w:rPr>
          <w:rFonts w:ascii="Arial"/>
          <w:sz w:val="24"/>
        </w:rPr>
        <w:t>Polzin DJ (2010). Chronic Kidney Disease. In: Ettinger SJ, Feldman EC.  Textbook of Veterinary Internal Medicine. 7th edition.  Saunders-Elsevier. Canada; pp</w:t>
      </w:r>
      <w:r>
        <w:rPr>
          <w:rFonts w:ascii="Arial"/>
          <w:spacing w:val="-8"/>
          <w:sz w:val="24"/>
        </w:rPr>
        <w:t> </w:t>
      </w:r>
      <w:r>
        <w:rPr>
          <w:rFonts w:ascii="Arial"/>
          <w:sz w:val="24"/>
        </w:rPr>
        <w:t>1990-2020.</w:t>
      </w:r>
    </w:p>
    <w:p>
      <w:pPr>
        <w:pStyle w:val="ListParagraph"/>
        <w:numPr>
          <w:ilvl w:val="1"/>
          <w:numId w:val="3"/>
        </w:numPr>
        <w:tabs>
          <w:tab w:pos="853" w:val="left" w:leader="none"/>
          <w:tab w:pos="854" w:val="left" w:leader="none"/>
        </w:tabs>
        <w:spacing w:line="460" w:lineRule="auto" w:before="21" w:after="0"/>
        <w:ind w:left="864" w:right="888" w:hanging="360"/>
        <w:jc w:val="left"/>
        <w:rPr>
          <w:rFonts w:ascii="Arial"/>
          <w:sz w:val="24"/>
        </w:rPr>
      </w:pPr>
      <w:r>
        <w:rPr>
          <w:rFonts w:ascii="Arial"/>
          <w:sz w:val="24"/>
        </w:rPr>
        <w:t>Polzin DJ. (2011a). Chronic kidney disease in small animals. Vet Clin Smal Anim 41:15-30.</w:t>
      </w:r>
    </w:p>
    <w:p>
      <w:pPr>
        <w:pStyle w:val="ListParagraph"/>
        <w:numPr>
          <w:ilvl w:val="1"/>
          <w:numId w:val="3"/>
        </w:numPr>
        <w:tabs>
          <w:tab w:pos="853" w:val="left" w:leader="none"/>
          <w:tab w:pos="854" w:val="left" w:leader="none"/>
        </w:tabs>
        <w:spacing w:line="240" w:lineRule="auto" w:before="32" w:after="0"/>
        <w:ind w:left="853" w:right="0" w:hanging="349"/>
        <w:jc w:val="left"/>
        <w:rPr>
          <w:rFonts w:ascii="Arial"/>
          <w:sz w:val="24"/>
        </w:rPr>
      </w:pPr>
      <w:r>
        <w:rPr>
          <w:rFonts w:ascii="Arial"/>
          <w:sz w:val="24"/>
        </w:rPr>
        <w:t>Polzin  DJ.  (2011b).  Chronic  kidney  disease.  In:  Bartges  J,  Polzin  DJ </w:t>
      </w:r>
      <w:r>
        <w:rPr>
          <w:rFonts w:ascii="Arial"/>
          <w:spacing w:val="55"/>
          <w:sz w:val="24"/>
        </w:rPr>
        <w:t> </w:t>
      </w:r>
      <w:r>
        <w:rPr>
          <w:rFonts w:ascii="Arial"/>
          <w:sz w:val="24"/>
        </w:rPr>
        <w:t>(eds).</w:t>
      </w:r>
    </w:p>
    <w:p>
      <w:pPr>
        <w:pStyle w:val="BodyText"/>
        <w:spacing w:before="9"/>
        <w:rPr>
          <w:sz w:val="23"/>
        </w:rPr>
      </w:pPr>
    </w:p>
    <w:p>
      <w:pPr>
        <w:pStyle w:val="BodyText"/>
        <w:spacing w:line="480" w:lineRule="auto"/>
        <w:ind w:left="864" w:right="888"/>
      </w:pPr>
      <w:r>
        <w:rPr/>
        <w:t>Nephrology and urology of small animal. Blackwell publishing. LUGAR Pp 433- 71.</w:t>
      </w:r>
    </w:p>
    <w:p>
      <w:pPr>
        <w:pStyle w:val="ListParagraph"/>
        <w:numPr>
          <w:ilvl w:val="1"/>
          <w:numId w:val="3"/>
        </w:numPr>
        <w:tabs>
          <w:tab w:pos="853" w:val="left" w:leader="none"/>
          <w:tab w:pos="854" w:val="left" w:leader="none"/>
        </w:tabs>
        <w:spacing w:line="240" w:lineRule="auto" w:before="11" w:after="0"/>
        <w:ind w:left="853" w:right="0" w:hanging="349"/>
        <w:jc w:val="left"/>
        <w:rPr>
          <w:rFonts w:ascii="Arial" w:hAnsi="Arial"/>
          <w:sz w:val="24"/>
        </w:rPr>
      </w:pPr>
      <w:r>
        <w:rPr>
          <w:rFonts w:ascii="Arial" w:hAnsi="Arial"/>
          <w:sz w:val="24"/>
        </w:rPr>
        <w:t>Quijano-Hernández  IA,  Castro-Bárcena  A,  Barbabosa-Pliego  A,  et  al </w:t>
      </w:r>
      <w:r>
        <w:rPr>
          <w:rFonts w:ascii="Arial" w:hAnsi="Arial"/>
          <w:spacing w:val="59"/>
          <w:sz w:val="24"/>
        </w:rPr>
        <w:t> </w:t>
      </w:r>
      <w:r>
        <w:rPr>
          <w:rFonts w:ascii="Arial" w:hAnsi="Arial"/>
          <w:sz w:val="24"/>
        </w:rPr>
        <w:t>(2012).</w:t>
      </w:r>
    </w:p>
    <w:p>
      <w:pPr>
        <w:pStyle w:val="BodyText"/>
        <w:spacing w:before="4"/>
        <w:rPr>
          <w:sz w:val="23"/>
        </w:rPr>
      </w:pPr>
    </w:p>
    <w:p>
      <w:pPr>
        <w:pStyle w:val="BodyText"/>
        <w:spacing w:line="480" w:lineRule="auto" w:before="1"/>
        <w:ind w:left="864" w:right="888"/>
      </w:pPr>
      <w:r>
        <w:rPr/>
        <w:t>Seroprevalence Survey of American Trypanosomiasis in Central Valley of Toluca. The Scientific World Journal, Art ID 450619, 3 pages. DOI:10.1100/2012/450619.</w:t>
      </w:r>
    </w:p>
    <w:p>
      <w:pPr>
        <w:pStyle w:val="ListParagraph"/>
        <w:numPr>
          <w:ilvl w:val="1"/>
          <w:numId w:val="3"/>
        </w:numPr>
        <w:tabs>
          <w:tab w:pos="853" w:val="left" w:leader="none"/>
          <w:tab w:pos="854" w:val="left" w:leader="none"/>
        </w:tabs>
        <w:spacing w:line="460" w:lineRule="auto" w:before="11" w:after="0"/>
        <w:ind w:left="864" w:right="888" w:hanging="360"/>
        <w:jc w:val="left"/>
        <w:rPr>
          <w:rFonts w:ascii="Arial"/>
          <w:sz w:val="24"/>
        </w:rPr>
      </w:pPr>
      <w:r>
        <w:rPr>
          <w:rFonts w:ascii="Arial"/>
          <w:sz w:val="24"/>
        </w:rPr>
        <w:t>Rennke HG, Denker BM (2007). Renal Pathophysiology: The essencials, 2nd edition. Philadelphia, PA: Lippincott, Williams and Wilkins.</w:t>
      </w:r>
    </w:p>
    <w:p>
      <w:pPr>
        <w:pStyle w:val="ListParagraph"/>
        <w:numPr>
          <w:ilvl w:val="1"/>
          <w:numId w:val="3"/>
        </w:numPr>
        <w:tabs>
          <w:tab w:pos="853" w:val="left" w:leader="none"/>
          <w:tab w:pos="854" w:val="left" w:leader="none"/>
        </w:tabs>
        <w:spacing w:line="463" w:lineRule="auto" w:before="32" w:after="0"/>
        <w:ind w:left="864" w:right="888" w:hanging="360"/>
        <w:jc w:val="left"/>
        <w:rPr>
          <w:rFonts w:ascii="Arial"/>
          <w:sz w:val="24"/>
        </w:rPr>
      </w:pPr>
      <w:r>
        <w:rPr>
          <w:rFonts w:ascii="Arial"/>
          <w:sz w:val="24"/>
        </w:rPr>
        <w:t>Ronco PM (1999). Paraneoplastic glomerulopathies: new insights into an old entity. Kidney Int.</w:t>
      </w:r>
      <w:r>
        <w:rPr>
          <w:rFonts w:ascii="Arial"/>
          <w:spacing w:val="-2"/>
          <w:sz w:val="24"/>
        </w:rPr>
        <w:t> </w:t>
      </w:r>
      <w:r>
        <w:rPr>
          <w:rFonts w:ascii="Arial"/>
          <w:sz w:val="24"/>
        </w:rPr>
        <w:t>56:355-77.</w:t>
      </w:r>
    </w:p>
    <w:p>
      <w:pPr>
        <w:pStyle w:val="ListParagraph"/>
        <w:numPr>
          <w:ilvl w:val="1"/>
          <w:numId w:val="3"/>
        </w:numPr>
        <w:tabs>
          <w:tab w:pos="853" w:val="left" w:leader="none"/>
          <w:tab w:pos="854" w:val="left" w:leader="none"/>
        </w:tabs>
        <w:spacing w:line="240" w:lineRule="auto" w:before="29" w:after="0"/>
        <w:ind w:left="853" w:right="0" w:hanging="349"/>
        <w:jc w:val="left"/>
        <w:rPr>
          <w:rFonts w:ascii="Arial"/>
          <w:sz w:val="24"/>
        </w:rPr>
      </w:pPr>
      <w:r>
        <w:rPr>
          <w:rFonts w:ascii="Arial"/>
          <w:sz w:val="24"/>
        </w:rPr>
        <w:t>Roudebush</w:t>
      </w:r>
      <w:r>
        <w:rPr>
          <w:rFonts w:ascii="Arial"/>
          <w:spacing w:val="24"/>
          <w:sz w:val="24"/>
        </w:rPr>
        <w:t> </w:t>
      </w:r>
      <w:r>
        <w:rPr>
          <w:rFonts w:ascii="Arial"/>
          <w:sz w:val="24"/>
        </w:rPr>
        <w:t>P,</w:t>
      </w:r>
      <w:r>
        <w:rPr>
          <w:rFonts w:ascii="Arial"/>
          <w:spacing w:val="24"/>
          <w:sz w:val="24"/>
        </w:rPr>
        <w:t> </w:t>
      </w:r>
      <w:r>
        <w:rPr>
          <w:rFonts w:ascii="Arial"/>
          <w:sz w:val="24"/>
        </w:rPr>
        <w:t>Polzin</w:t>
      </w:r>
      <w:r>
        <w:rPr>
          <w:rFonts w:ascii="Arial"/>
          <w:spacing w:val="24"/>
          <w:sz w:val="24"/>
        </w:rPr>
        <w:t> </w:t>
      </w:r>
      <w:r>
        <w:rPr>
          <w:rFonts w:ascii="Arial"/>
          <w:sz w:val="24"/>
        </w:rPr>
        <w:t>DJ,</w:t>
      </w:r>
      <w:r>
        <w:rPr>
          <w:rFonts w:ascii="Arial"/>
          <w:spacing w:val="24"/>
          <w:sz w:val="24"/>
        </w:rPr>
        <w:t> </w:t>
      </w:r>
      <w:r>
        <w:rPr>
          <w:rFonts w:ascii="Arial"/>
          <w:sz w:val="24"/>
        </w:rPr>
        <w:t>Ross</w:t>
      </w:r>
      <w:r>
        <w:rPr>
          <w:rFonts w:ascii="Arial"/>
          <w:spacing w:val="24"/>
          <w:sz w:val="24"/>
        </w:rPr>
        <w:t> </w:t>
      </w:r>
      <w:r>
        <w:rPr>
          <w:rFonts w:ascii="Arial"/>
          <w:sz w:val="24"/>
        </w:rPr>
        <w:t>SJ,</w:t>
      </w:r>
      <w:r>
        <w:rPr>
          <w:rFonts w:ascii="Arial"/>
          <w:spacing w:val="24"/>
          <w:sz w:val="24"/>
        </w:rPr>
        <w:t> </w:t>
      </w:r>
      <w:r>
        <w:rPr>
          <w:rFonts w:ascii="Arial"/>
          <w:sz w:val="24"/>
        </w:rPr>
        <w:t>Towell</w:t>
      </w:r>
      <w:r>
        <w:rPr>
          <w:rFonts w:ascii="Arial"/>
          <w:spacing w:val="24"/>
          <w:sz w:val="24"/>
        </w:rPr>
        <w:t> </w:t>
      </w:r>
      <w:r>
        <w:rPr>
          <w:rFonts w:ascii="Arial"/>
          <w:sz w:val="24"/>
        </w:rPr>
        <w:t>TL,</w:t>
      </w:r>
      <w:r>
        <w:rPr>
          <w:rFonts w:ascii="Arial"/>
          <w:spacing w:val="24"/>
          <w:sz w:val="24"/>
        </w:rPr>
        <w:t> </w:t>
      </w:r>
      <w:r>
        <w:rPr>
          <w:rFonts w:ascii="Arial"/>
          <w:sz w:val="24"/>
        </w:rPr>
        <w:t>Adams</w:t>
      </w:r>
      <w:r>
        <w:rPr>
          <w:rFonts w:ascii="Arial"/>
          <w:spacing w:val="24"/>
          <w:sz w:val="24"/>
        </w:rPr>
        <w:t> </w:t>
      </w:r>
      <w:r>
        <w:rPr>
          <w:rFonts w:ascii="Arial"/>
          <w:sz w:val="24"/>
        </w:rPr>
        <w:t>LG,</w:t>
      </w:r>
      <w:r>
        <w:rPr>
          <w:rFonts w:ascii="Arial"/>
          <w:spacing w:val="24"/>
          <w:sz w:val="24"/>
        </w:rPr>
        <w:t> </w:t>
      </w:r>
      <w:r>
        <w:rPr>
          <w:rFonts w:ascii="Arial"/>
          <w:sz w:val="24"/>
        </w:rPr>
        <w:t>Forrester</w:t>
      </w:r>
      <w:r>
        <w:rPr>
          <w:rFonts w:ascii="Arial"/>
          <w:spacing w:val="24"/>
          <w:sz w:val="24"/>
        </w:rPr>
        <w:t> </w:t>
      </w:r>
      <w:r>
        <w:rPr>
          <w:rFonts w:ascii="Arial"/>
          <w:sz w:val="24"/>
        </w:rPr>
        <w:t>SD</w:t>
      </w:r>
      <w:r>
        <w:rPr>
          <w:rFonts w:ascii="Arial"/>
          <w:spacing w:val="24"/>
          <w:sz w:val="24"/>
        </w:rPr>
        <w:t> </w:t>
      </w:r>
      <w:r>
        <w:rPr>
          <w:rFonts w:ascii="Arial"/>
          <w:sz w:val="24"/>
        </w:rPr>
        <w:t>(2009).</w:t>
      </w:r>
    </w:p>
    <w:p>
      <w:pPr>
        <w:pStyle w:val="BodyText"/>
        <w:spacing w:before="4"/>
        <w:rPr>
          <w:sz w:val="23"/>
        </w:rPr>
      </w:pPr>
    </w:p>
    <w:p>
      <w:pPr>
        <w:pStyle w:val="BodyText"/>
        <w:spacing w:line="480" w:lineRule="auto" w:before="1"/>
        <w:ind w:left="864" w:right="944"/>
      </w:pPr>
      <w:r>
        <w:rPr/>
        <w:t>Therapies for feline chronic kidney disease. What is the evidence?. J Fel Med  and Sur</w:t>
      </w:r>
      <w:r>
        <w:rPr>
          <w:spacing w:val="-1"/>
        </w:rPr>
        <w:t> </w:t>
      </w:r>
      <w:r>
        <w:rPr/>
        <w:t>11(3):195-210.</w:t>
      </w:r>
    </w:p>
    <w:p>
      <w:pPr>
        <w:pStyle w:val="ListParagraph"/>
        <w:numPr>
          <w:ilvl w:val="1"/>
          <w:numId w:val="3"/>
        </w:numPr>
        <w:tabs>
          <w:tab w:pos="853" w:val="left" w:leader="none"/>
          <w:tab w:pos="854" w:val="left" w:leader="none"/>
        </w:tabs>
        <w:spacing w:line="460" w:lineRule="auto" w:before="11" w:after="0"/>
        <w:ind w:left="864" w:right="888" w:hanging="360"/>
        <w:jc w:val="left"/>
        <w:rPr>
          <w:rFonts w:ascii="Arial"/>
          <w:sz w:val="24"/>
        </w:rPr>
      </w:pPr>
      <w:r>
        <w:rPr>
          <w:rFonts w:ascii="Arial"/>
          <w:sz w:val="24"/>
        </w:rPr>
        <w:t>Saucier NA, Sinha MK, Liang KV, Krambeck AE, Weaver AL, Bergstralh EJ, Li X, Rule</w:t>
      </w:r>
      <w:r>
        <w:rPr>
          <w:rFonts w:ascii="Arial"/>
          <w:spacing w:val="36"/>
          <w:sz w:val="24"/>
        </w:rPr>
        <w:t> </w:t>
      </w:r>
      <w:r>
        <w:rPr>
          <w:rFonts w:ascii="Arial"/>
          <w:sz w:val="24"/>
        </w:rPr>
        <w:t>AD,</w:t>
      </w:r>
      <w:r>
        <w:rPr>
          <w:rFonts w:ascii="Arial"/>
          <w:spacing w:val="36"/>
          <w:sz w:val="24"/>
        </w:rPr>
        <w:t> </w:t>
      </w:r>
      <w:r>
        <w:rPr>
          <w:rFonts w:ascii="Arial"/>
          <w:sz w:val="24"/>
        </w:rPr>
        <w:t>Lieske</w:t>
      </w:r>
      <w:r>
        <w:rPr>
          <w:rFonts w:ascii="Arial"/>
          <w:spacing w:val="36"/>
          <w:sz w:val="24"/>
        </w:rPr>
        <w:t> </w:t>
      </w:r>
      <w:r>
        <w:rPr>
          <w:rFonts w:ascii="Arial"/>
          <w:sz w:val="24"/>
        </w:rPr>
        <w:t>JC</w:t>
      </w:r>
      <w:r>
        <w:rPr>
          <w:rFonts w:ascii="Arial"/>
          <w:spacing w:val="36"/>
          <w:sz w:val="24"/>
        </w:rPr>
        <w:t> </w:t>
      </w:r>
      <w:r>
        <w:rPr>
          <w:rFonts w:ascii="Arial"/>
          <w:sz w:val="24"/>
        </w:rPr>
        <w:t>(2010).</w:t>
      </w:r>
      <w:r>
        <w:rPr>
          <w:rFonts w:ascii="Arial"/>
          <w:spacing w:val="36"/>
          <w:sz w:val="24"/>
        </w:rPr>
        <w:t> </w:t>
      </w:r>
      <w:r>
        <w:rPr>
          <w:rFonts w:ascii="Arial"/>
          <w:sz w:val="24"/>
        </w:rPr>
        <w:t>Risk</w:t>
      </w:r>
      <w:r>
        <w:rPr>
          <w:rFonts w:ascii="Arial"/>
          <w:spacing w:val="36"/>
          <w:sz w:val="24"/>
        </w:rPr>
        <w:t> </w:t>
      </w:r>
      <w:r>
        <w:rPr>
          <w:rFonts w:ascii="Arial"/>
          <w:sz w:val="24"/>
        </w:rPr>
        <w:t>factors</w:t>
      </w:r>
      <w:r>
        <w:rPr>
          <w:rFonts w:ascii="Arial"/>
          <w:spacing w:val="36"/>
          <w:sz w:val="24"/>
        </w:rPr>
        <w:t> </w:t>
      </w:r>
      <w:r>
        <w:rPr>
          <w:rFonts w:ascii="Arial"/>
          <w:sz w:val="24"/>
        </w:rPr>
        <w:t>for</w:t>
      </w:r>
      <w:r>
        <w:rPr>
          <w:rFonts w:ascii="Arial"/>
          <w:spacing w:val="36"/>
          <w:sz w:val="24"/>
        </w:rPr>
        <w:t> </w:t>
      </w:r>
      <w:r>
        <w:rPr>
          <w:rFonts w:ascii="Arial"/>
          <w:sz w:val="24"/>
        </w:rPr>
        <w:t>chronic</w:t>
      </w:r>
      <w:r>
        <w:rPr>
          <w:rFonts w:ascii="Arial"/>
          <w:spacing w:val="36"/>
          <w:sz w:val="24"/>
        </w:rPr>
        <w:t> </w:t>
      </w:r>
      <w:r>
        <w:rPr>
          <w:rFonts w:ascii="Arial"/>
          <w:sz w:val="24"/>
        </w:rPr>
        <w:t>kidney</w:t>
      </w:r>
      <w:r>
        <w:rPr>
          <w:rFonts w:ascii="Arial"/>
          <w:spacing w:val="36"/>
          <w:sz w:val="24"/>
        </w:rPr>
        <w:t> </w:t>
      </w:r>
      <w:r>
        <w:rPr>
          <w:rFonts w:ascii="Arial"/>
          <w:sz w:val="24"/>
        </w:rPr>
        <w:t>disease</w:t>
      </w:r>
      <w:r>
        <w:rPr>
          <w:rFonts w:ascii="Arial"/>
          <w:spacing w:val="36"/>
          <w:sz w:val="24"/>
        </w:rPr>
        <w:t> </w:t>
      </w:r>
      <w:r>
        <w:rPr>
          <w:rFonts w:ascii="Arial"/>
          <w:sz w:val="24"/>
        </w:rPr>
        <w:t>in</w:t>
      </w:r>
      <w:r>
        <w:rPr>
          <w:rFonts w:ascii="Arial"/>
          <w:spacing w:val="36"/>
          <w:sz w:val="24"/>
        </w:rPr>
        <w:t> </w:t>
      </w:r>
      <w:r>
        <w:rPr>
          <w:rFonts w:ascii="Arial"/>
          <w:sz w:val="24"/>
        </w:rPr>
        <w:t>persons</w:t>
      </w:r>
    </w:p>
    <w:p>
      <w:pPr>
        <w:spacing w:after="0" w:line="460" w:lineRule="auto"/>
        <w:jc w:val="left"/>
        <w:rPr>
          <w:rFonts w:ascii="Arial"/>
          <w:sz w:val="24"/>
        </w:rPr>
        <w:sectPr>
          <w:pgSz w:w="12240" w:h="15840"/>
          <w:pgMar w:header="742" w:footer="748" w:top="980" w:bottom="940" w:left="1620" w:right="180"/>
        </w:sectPr>
      </w:pPr>
    </w:p>
    <w:p>
      <w:pPr>
        <w:pStyle w:val="BodyText"/>
        <w:rPr>
          <w:sz w:val="20"/>
        </w:rPr>
      </w:pPr>
    </w:p>
    <w:p>
      <w:pPr>
        <w:pStyle w:val="BodyText"/>
        <w:rPr>
          <w:sz w:val="20"/>
        </w:rPr>
      </w:pPr>
    </w:p>
    <w:p>
      <w:pPr>
        <w:pStyle w:val="BodyText"/>
        <w:spacing w:before="11"/>
        <w:rPr>
          <w:sz w:val="20"/>
        </w:rPr>
      </w:pPr>
    </w:p>
    <w:p>
      <w:pPr>
        <w:pStyle w:val="BodyText"/>
        <w:spacing w:line="480" w:lineRule="auto"/>
        <w:ind w:left="864" w:right="888"/>
      </w:pPr>
      <w:r>
        <w:rPr/>
        <w:t>with kidney stones: Case-control study in Olmsted County, Minnesota. Am J Kidney Dis. 55(1): 61–8.</w:t>
      </w:r>
    </w:p>
    <w:p>
      <w:pPr>
        <w:pStyle w:val="ListParagraph"/>
        <w:numPr>
          <w:ilvl w:val="1"/>
          <w:numId w:val="3"/>
        </w:numPr>
        <w:tabs>
          <w:tab w:pos="853" w:val="left" w:leader="none"/>
          <w:tab w:pos="854" w:val="left" w:leader="none"/>
        </w:tabs>
        <w:spacing w:line="240" w:lineRule="auto" w:before="11" w:after="0"/>
        <w:ind w:left="853" w:right="0" w:hanging="349"/>
        <w:jc w:val="left"/>
        <w:rPr>
          <w:rFonts w:ascii="Arial"/>
          <w:sz w:val="24"/>
        </w:rPr>
      </w:pPr>
      <w:r>
        <w:rPr>
          <w:rFonts w:ascii="Arial"/>
          <w:sz w:val="24"/>
        </w:rPr>
        <w:t>Schellenberg S, Mettler M, Gentilini F, Portmann R, Glaus TM, reusch CE</w:t>
      </w:r>
      <w:r>
        <w:rPr>
          <w:rFonts w:ascii="Arial"/>
          <w:spacing w:val="45"/>
          <w:sz w:val="24"/>
        </w:rPr>
        <w:t> </w:t>
      </w:r>
      <w:r>
        <w:rPr>
          <w:rFonts w:ascii="Arial"/>
          <w:sz w:val="24"/>
        </w:rPr>
        <w:t>(2008).</w:t>
      </w:r>
    </w:p>
    <w:p>
      <w:pPr>
        <w:pStyle w:val="BodyText"/>
        <w:spacing w:before="9"/>
        <w:rPr>
          <w:sz w:val="23"/>
        </w:rPr>
      </w:pPr>
    </w:p>
    <w:p>
      <w:pPr>
        <w:pStyle w:val="BodyText"/>
        <w:spacing w:line="480" w:lineRule="auto"/>
        <w:ind w:left="864" w:right="888"/>
      </w:pPr>
      <w:r>
        <w:rPr/>
        <w:t>The effects of hydrocortisone on systemic arterial blood pressure and urinary protein excretion in dogs. J Vet Intern Med. 22:273-81.</w:t>
      </w:r>
    </w:p>
    <w:p>
      <w:pPr>
        <w:pStyle w:val="ListParagraph"/>
        <w:numPr>
          <w:ilvl w:val="1"/>
          <w:numId w:val="3"/>
        </w:numPr>
        <w:tabs>
          <w:tab w:pos="854" w:val="left" w:leader="none"/>
        </w:tabs>
        <w:spacing w:line="460" w:lineRule="auto" w:before="11" w:after="0"/>
        <w:ind w:left="864" w:right="888" w:hanging="360"/>
        <w:jc w:val="both"/>
        <w:rPr>
          <w:rFonts w:ascii="Arial"/>
          <w:sz w:val="24"/>
        </w:rPr>
      </w:pPr>
      <w:r>
        <w:rPr>
          <w:rFonts w:ascii="Arial"/>
          <w:sz w:val="24"/>
        </w:rPr>
        <w:t>Schlaich MP, Socratous F, Hennebry S y cols. (2009). Sympathetic activation in chronic renal failure. J Am Soc Nephrol</w:t>
      </w:r>
      <w:r>
        <w:rPr>
          <w:rFonts w:ascii="Arial"/>
          <w:spacing w:val="-1"/>
          <w:sz w:val="24"/>
        </w:rPr>
        <w:t> </w:t>
      </w:r>
      <w:r>
        <w:rPr>
          <w:rFonts w:ascii="Arial"/>
          <w:sz w:val="24"/>
        </w:rPr>
        <w:t>20(5):933-9.</w:t>
      </w:r>
    </w:p>
    <w:p>
      <w:pPr>
        <w:pStyle w:val="ListParagraph"/>
        <w:numPr>
          <w:ilvl w:val="1"/>
          <w:numId w:val="3"/>
        </w:numPr>
        <w:tabs>
          <w:tab w:pos="854" w:val="left" w:leader="none"/>
        </w:tabs>
        <w:spacing w:line="470" w:lineRule="auto" w:before="32" w:after="0"/>
        <w:ind w:left="864" w:right="888" w:hanging="360"/>
        <w:jc w:val="both"/>
        <w:rPr>
          <w:rFonts w:ascii="Arial"/>
          <w:sz w:val="24"/>
        </w:rPr>
      </w:pPr>
      <w:r>
        <w:rPr>
          <w:rFonts w:ascii="Arial"/>
          <w:sz w:val="24"/>
        </w:rPr>
        <w:t>Schrier RW, Arroyo V, Bernardi M, et al (1988). Peripheral arterial vasodilation hypothesis: a proposal for the initiation of renal sodium and water retention in cirrhosis. Hepathology</w:t>
      </w:r>
      <w:r>
        <w:rPr>
          <w:rFonts w:ascii="Arial"/>
          <w:spacing w:val="-2"/>
          <w:sz w:val="24"/>
        </w:rPr>
        <w:t> </w:t>
      </w:r>
      <w:r>
        <w:rPr>
          <w:rFonts w:ascii="Arial"/>
          <w:sz w:val="24"/>
        </w:rPr>
        <w:t>8:1151-7.</w:t>
      </w:r>
    </w:p>
    <w:p>
      <w:pPr>
        <w:pStyle w:val="ListParagraph"/>
        <w:numPr>
          <w:ilvl w:val="1"/>
          <w:numId w:val="3"/>
        </w:numPr>
        <w:tabs>
          <w:tab w:pos="853" w:val="left" w:leader="none"/>
          <w:tab w:pos="854" w:val="left" w:leader="none"/>
        </w:tabs>
        <w:spacing w:line="240" w:lineRule="auto" w:before="21" w:after="0"/>
        <w:ind w:left="853" w:right="0" w:hanging="349"/>
        <w:jc w:val="left"/>
        <w:rPr>
          <w:rFonts w:ascii="Arial"/>
          <w:sz w:val="24"/>
        </w:rPr>
      </w:pPr>
      <w:r>
        <w:rPr>
          <w:rFonts w:ascii="Arial"/>
          <w:sz w:val="24"/>
        </w:rPr>
        <w:t>Singh</w:t>
      </w:r>
      <w:r>
        <w:rPr>
          <w:rFonts w:ascii="Arial"/>
          <w:spacing w:val="55"/>
          <w:sz w:val="24"/>
        </w:rPr>
        <w:t> </w:t>
      </w:r>
      <w:r>
        <w:rPr>
          <w:rFonts w:ascii="Arial"/>
          <w:sz w:val="24"/>
        </w:rPr>
        <w:t>NP,</w:t>
      </w:r>
      <w:r>
        <w:rPr>
          <w:rFonts w:ascii="Arial"/>
          <w:spacing w:val="55"/>
          <w:sz w:val="24"/>
        </w:rPr>
        <w:t> </w:t>
      </w:r>
      <w:r>
        <w:rPr>
          <w:rFonts w:ascii="Arial"/>
          <w:sz w:val="24"/>
        </w:rPr>
        <w:t>Ganguli</w:t>
      </w:r>
      <w:r>
        <w:rPr>
          <w:rFonts w:ascii="Arial"/>
          <w:spacing w:val="55"/>
          <w:sz w:val="24"/>
        </w:rPr>
        <w:t> </w:t>
      </w:r>
      <w:r>
        <w:rPr>
          <w:rFonts w:ascii="Arial"/>
          <w:sz w:val="24"/>
        </w:rPr>
        <w:t>A,</w:t>
      </w:r>
      <w:r>
        <w:rPr>
          <w:rFonts w:ascii="Arial"/>
          <w:spacing w:val="55"/>
          <w:sz w:val="24"/>
        </w:rPr>
        <w:t> </w:t>
      </w:r>
      <w:r>
        <w:rPr>
          <w:rFonts w:ascii="Arial"/>
          <w:sz w:val="24"/>
        </w:rPr>
        <w:t>Prakash</w:t>
      </w:r>
      <w:r>
        <w:rPr>
          <w:rFonts w:ascii="Arial"/>
          <w:spacing w:val="55"/>
          <w:sz w:val="24"/>
        </w:rPr>
        <w:t> </w:t>
      </w:r>
      <w:r>
        <w:rPr>
          <w:rFonts w:ascii="Arial"/>
          <w:sz w:val="24"/>
        </w:rPr>
        <w:t>A</w:t>
      </w:r>
      <w:r>
        <w:rPr>
          <w:rFonts w:ascii="Arial"/>
          <w:spacing w:val="55"/>
          <w:sz w:val="24"/>
        </w:rPr>
        <w:t> </w:t>
      </w:r>
      <w:r>
        <w:rPr>
          <w:rFonts w:ascii="Arial"/>
          <w:sz w:val="24"/>
        </w:rPr>
        <w:t>(2003).</w:t>
      </w:r>
      <w:r>
        <w:rPr>
          <w:rFonts w:ascii="Arial"/>
          <w:spacing w:val="55"/>
          <w:sz w:val="24"/>
        </w:rPr>
        <w:t> </w:t>
      </w:r>
      <w:r>
        <w:rPr>
          <w:rFonts w:ascii="Arial"/>
          <w:sz w:val="24"/>
        </w:rPr>
        <w:t>Durg-induced</w:t>
      </w:r>
      <w:r>
        <w:rPr>
          <w:rFonts w:ascii="Arial"/>
          <w:spacing w:val="55"/>
          <w:sz w:val="24"/>
        </w:rPr>
        <w:t> </w:t>
      </w:r>
      <w:r>
        <w:rPr>
          <w:rFonts w:ascii="Arial"/>
          <w:sz w:val="24"/>
        </w:rPr>
        <w:t>kidney</w:t>
      </w:r>
      <w:r>
        <w:rPr>
          <w:rFonts w:ascii="Arial"/>
          <w:spacing w:val="55"/>
          <w:sz w:val="24"/>
        </w:rPr>
        <w:t> </w:t>
      </w:r>
      <w:r>
        <w:rPr>
          <w:rFonts w:ascii="Arial"/>
          <w:sz w:val="24"/>
        </w:rPr>
        <w:t>disease.</w:t>
      </w:r>
      <w:r>
        <w:rPr>
          <w:rFonts w:ascii="Arial"/>
          <w:spacing w:val="55"/>
          <w:sz w:val="24"/>
        </w:rPr>
        <w:t> </w:t>
      </w:r>
      <w:r>
        <w:rPr>
          <w:rFonts w:ascii="Arial"/>
          <w:sz w:val="24"/>
        </w:rPr>
        <w:t>JAPI.</w:t>
      </w:r>
    </w:p>
    <w:p>
      <w:pPr>
        <w:pStyle w:val="BodyText"/>
        <w:spacing w:before="9"/>
        <w:rPr>
          <w:sz w:val="23"/>
        </w:rPr>
      </w:pPr>
    </w:p>
    <w:p>
      <w:pPr>
        <w:pStyle w:val="BodyText"/>
        <w:ind w:left="864"/>
      </w:pPr>
      <w:r>
        <w:rPr/>
        <w:t>51:970-9.</w:t>
      </w:r>
    </w:p>
    <w:p>
      <w:pPr>
        <w:pStyle w:val="BodyText"/>
        <w:spacing w:before="3"/>
      </w:pPr>
    </w:p>
    <w:p>
      <w:pPr>
        <w:pStyle w:val="ListParagraph"/>
        <w:numPr>
          <w:ilvl w:val="1"/>
          <w:numId w:val="3"/>
        </w:numPr>
        <w:tabs>
          <w:tab w:pos="853" w:val="left" w:leader="none"/>
          <w:tab w:pos="854" w:val="left" w:leader="none"/>
        </w:tabs>
        <w:spacing w:line="240" w:lineRule="auto" w:before="0" w:after="0"/>
        <w:ind w:left="853" w:right="0" w:hanging="349"/>
        <w:jc w:val="left"/>
        <w:rPr>
          <w:rFonts w:ascii="Arial"/>
          <w:sz w:val="24"/>
        </w:rPr>
      </w:pPr>
      <w:r>
        <w:rPr>
          <w:rFonts w:ascii="Arial"/>
          <w:sz w:val="24"/>
        </w:rPr>
        <w:t>Smets</w:t>
      </w:r>
      <w:r>
        <w:rPr>
          <w:rFonts w:ascii="Arial"/>
          <w:spacing w:val="21"/>
          <w:sz w:val="24"/>
        </w:rPr>
        <w:t> </w:t>
      </w:r>
      <w:r>
        <w:rPr>
          <w:rFonts w:ascii="Arial"/>
          <w:sz w:val="24"/>
        </w:rPr>
        <w:t>P,</w:t>
      </w:r>
      <w:r>
        <w:rPr>
          <w:rFonts w:ascii="Arial"/>
          <w:spacing w:val="21"/>
          <w:sz w:val="24"/>
        </w:rPr>
        <w:t> </w:t>
      </w:r>
      <w:r>
        <w:rPr>
          <w:rFonts w:ascii="Arial"/>
          <w:sz w:val="24"/>
        </w:rPr>
        <w:t>Meyer</w:t>
      </w:r>
      <w:r>
        <w:rPr>
          <w:rFonts w:ascii="Arial"/>
          <w:spacing w:val="21"/>
          <w:sz w:val="24"/>
        </w:rPr>
        <w:t> </w:t>
      </w:r>
      <w:r>
        <w:rPr>
          <w:rFonts w:ascii="Arial"/>
          <w:sz w:val="24"/>
        </w:rPr>
        <w:t>E,</w:t>
      </w:r>
      <w:r>
        <w:rPr>
          <w:rFonts w:ascii="Arial"/>
          <w:spacing w:val="21"/>
          <w:sz w:val="24"/>
        </w:rPr>
        <w:t> </w:t>
      </w:r>
      <w:r>
        <w:rPr>
          <w:rFonts w:ascii="Arial"/>
          <w:sz w:val="24"/>
        </w:rPr>
        <w:t>Maddens</w:t>
      </w:r>
      <w:r>
        <w:rPr>
          <w:rFonts w:ascii="Arial"/>
          <w:spacing w:val="21"/>
          <w:sz w:val="24"/>
        </w:rPr>
        <w:t> </w:t>
      </w:r>
      <w:r>
        <w:rPr>
          <w:rFonts w:ascii="Arial"/>
          <w:sz w:val="24"/>
        </w:rPr>
        <w:t>BEJ,</w:t>
      </w:r>
      <w:r>
        <w:rPr>
          <w:rFonts w:ascii="Arial"/>
          <w:spacing w:val="21"/>
          <w:sz w:val="24"/>
        </w:rPr>
        <w:t> </w:t>
      </w:r>
      <w:r>
        <w:rPr>
          <w:rFonts w:ascii="Arial"/>
          <w:sz w:val="24"/>
        </w:rPr>
        <w:t>Croubles</w:t>
      </w:r>
      <w:r>
        <w:rPr>
          <w:rFonts w:ascii="Arial"/>
          <w:spacing w:val="21"/>
          <w:sz w:val="24"/>
        </w:rPr>
        <w:t> </w:t>
      </w:r>
      <w:r>
        <w:rPr>
          <w:rFonts w:ascii="Arial"/>
          <w:sz w:val="24"/>
        </w:rPr>
        <w:t>S,</w:t>
      </w:r>
      <w:r>
        <w:rPr>
          <w:rFonts w:ascii="Arial"/>
          <w:spacing w:val="21"/>
          <w:sz w:val="24"/>
        </w:rPr>
        <w:t> </w:t>
      </w:r>
      <w:r>
        <w:rPr>
          <w:rFonts w:ascii="Arial"/>
          <w:sz w:val="24"/>
        </w:rPr>
        <w:t>Lefebvre</w:t>
      </w:r>
      <w:r>
        <w:rPr>
          <w:rFonts w:ascii="Arial"/>
          <w:spacing w:val="21"/>
          <w:sz w:val="24"/>
        </w:rPr>
        <w:t> </w:t>
      </w:r>
      <w:r>
        <w:rPr>
          <w:rFonts w:ascii="Arial"/>
          <w:sz w:val="24"/>
        </w:rPr>
        <w:t>HP,</w:t>
      </w:r>
      <w:r>
        <w:rPr>
          <w:rFonts w:ascii="Arial"/>
          <w:spacing w:val="21"/>
          <w:sz w:val="24"/>
        </w:rPr>
        <w:t> </w:t>
      </w:r>
      <w:r>
        <w:rPr>
          <w:rFonts w:ascii="Arial"/>
          <w:sz w:val="24"/>
        </w:rPr>
        <w:t>Daminet</w:t>
      </w:r>
      <w:r>
        <w:rPr>
          <w:rFonts w:ascii="Arial"/>
          <w:spacing w:val="21"/>
          <w:sz w:val="24"/>
        </w:rPr>
        <w:t> </w:t>
      </w:r>
      <w:r>
        <w:rPr>
          <w:rFonts w:ascii="Arial"/>
          <w:sz w:val="24"/>
        </w:rPr>
        <w:t>S</w:t>
      </w:r>
      <w:r>
        <w:rPr>
          <w:rFonts w:ascii="Arial"/>
          <w:spacing w:val="20"/>
          <w:sz w:val="24"/>
        </w:rPr>
        <w:t> </w:t>
      </w:r>
      <w:r>
        <w:rPr>
          <w:rFonts w:ascii="Arial"/>
          <w:sz w:val="24"/>
        </w:rPr>
        <w:t>(2009).</w:t>
      </w:r>
    </w:p>
    <w:p>
      <w:pPr>
        <w:pStyle w:val="BodyText"/>
        <w:spacing w:before="4"/>
        <w:rPr>
          <w:sz w:val="23"/>
        </w:rPr>
      </w:pPr>
    </w:p>
    <w:p>
      <w:pPr>
        <w:pStyle w:val="BodyText"/>
        <w:spacing w:line="480" w:lineRule="auto" w:before="1"/>
        <w:ind w:left="864" w:right="888"/>
      </w:pPr>
      <w:r>
        <w:rPr/>
        <w:t>Urinary markers and plasma ihoexol clearance in healthy dogs and dogs with pituitary-dependent hyperadrenocorticism. J Vet Intern Med. 23:754.</w:t>
      </w:r>
    </w:p>
    <w:p>
      <w:pPr>
        <w:pStyle w:val="ListParagraph"/>
        <w:numPr>
          <w:ilvl w:val="1"/>
          <w:numId w:val="3"/>
        </w:numPr>
        <w:tabs>
          <w:tab w:pos="854" w:val="left" w:leader="none"/>
        </w:tabs>
        <w:spacing w:line="460" w:lineRule="auto" w:before="11" w:after="0"/>
        <w:ind w:left="864" w:right="888" w:hanging="360"/>
        <w:jc w:val="both"/>
        <w:rPr>
          <w:rFonts w:ascii="Arial" w:hAnsi="Arial"/>
          <w:sz w:val="24"/>
        </w:rPr>
      </w:pPr>
      <w:r>
        <w:rPr>
          <w:rFonts w:ascii="Arial" w:hAnsi="Arial"/>
          <w:sz w:val="24"/>
        </w:rPr>
        <w:t>Smets P, Meyer E, Maddens B, Daminet S (2010). Cushing’s sindrome, glucocorticoids and the kidney. Gen Com Endocrinol.</w:t>
      </w:r>
      <w:r>
        <w:rPr>
          <w:rFonts w:ascii="Arial" w:hAnsi="Arial"/>
          <w:spacing w:val="-3"/>
          <w:sz w:val="24"/>
        </w:rPr>
        <w:t> </w:t>
      </w:r>
      <w:r>
        <w:rPr>
          <w:rFonts w:ascii="Arial" w:hAnsi="Arial"/>
          <w:sz w:val="24"/>
        </w:rPr>
        <w:t>169:1-10.</w:t>
      </w:r>
    </w:p>
    <w:p>
      <w:pPr>
        <w:pStyle w:val="ListParagraph"/>
        <w:numPr>
          <w:ilvl w:val="1"/>
          <w:numId w:val="3"/>
        </w:numPr>
        <w:tabs>
          <w:tab w:pos="854" w:val="left" w:leader="none"/>
        </w:tabs>
        <w:spacing w:line="472" w:lineRule="auto" w:before="32" w:after="0"/>
        <w:ind w:left="864" w:right="888" w:hanging="360"/>
        <w:jc w:val="both"/>
        <w:rPr>
          <w:rFonts w:ascii="Arial" w:hAnsi="Arial"/>
          <w:sz w:val="24"/>
        </w:rPr>
      </w:pPr>
      <w:r>
        <w:rPr>
          <w:rFonts w:ascii="Arial" w:hAnsi="Arial"/>
          <w:sz w:val="24"/>
        </w:rPr>
        <w:t>Sosnar M, Kohout P, Ruzicka ML, Vrbasová L. (2003). Retrospective study of renal failure in dogs and cats admitted to University of Veterinary and Pharmaceutical Science Brno during 1999-2001. Acta Vet Brno 72:</w:t>
      </w:r>
      <w:r>
        <w:rPr>
          <w:rFonts w:ascii="Arial" w:hAnsi="Arial"/>
          <w:spacing w:val="-6"/>
          <w:sz w:val="24"/>
        </w:rPr>
        <w:t> </w:t>
      </w:r>
      <w:r>
        <w:rPr>
          <w:rFonts w:ascii="Arial" w:hAnsi="Arial"/>
          <w:sz w:val="24"/>
        </w:rPr>
        <w:t>593-8.</w:t>
      </w:r>
    </w:p>
    <w:p>
      <w:pPr>
        <w:pStyle w:val="ListParagraph"/>
        <w:numPr>
          <w:ilvl w:val="1"/>
          <w:numId w:val="3"/>
        </w:numPr>
        <w:tabs>
          <w:tab w:pos="854" w:val="left" w:leader="none"/>
        </w:tabs>
        <w:spacing w:line="460" w:lineRule="auto" w:before="19" w:after="0"/>
        <w:ind w:left="864" w:right="888" w:hanging="360"/>
        <w:jc w:val="both"/>
        <w:rPr>
          <w:rFonts w:ascii="Arial"/>
          <w:sz w:val="24"/>
        </w:rPr>
      </w:pPr>
      <w:r>
        <w:rPr>
          <w:rFonts w:ascii="Arial"/>
          <w:sz w:val="24"/>
        </w:rPr>
        <w:t>Stam F, van Guldener C, Schalkwijk CG, Ter Wee PM, Donker AJM, Stehouwer CDA</w:t>
      </w:r>
      <w:r>
        <w:rPr>
          <w:rFonts w:ascii="Arial"/>
          <w:spacing w:val="38"/>
          <w:sz w:val="24"/>
        </w:rPr>
        <w:t> </w:t>
      </w:r>
      <w:r>
        <w:rPr>
          <w:rFonts w:ascii="Arial"/>
          <w:sz w:val="24"/>
        </w:rPr>
        <w:t>(2003).</w:t>
      </w:r>
      <w:r>
        <w:rPr>
          <w:rFonts w:ascii="Arial"/>
          <w:spacing w:val="38"/>
          <w:sz w:val="24"/>
        </w:rPr>
        <w:t> </w:t>
      </w:r>
      <w:r>
        <w:rPr>
          <w:rFonts w:ascii="Arial"/>
          <w:sz w:val="24"/>
        </w:rPr>
        <w:t>Impaired</w:t>
      </w:r>
      <w:r>
        <w:rPr>
          <w:rFonts w:ascii="Arial"/>
          <w:spacing w:val="38"/>
          <w:sz w:val="24"/>
        </w:rPr>
        <w:t> </w:t>
      </w:r>
      <w:r>
        <w:rPr>
          <w:rFonts w:ascii="Arial"/>
          <w:sz w:val="24"/>
        </w:rPr>
        <w:t>renal</w:t>
      </w:r>
      <w:r>
        <w:rPr>
          <w:rFonts w:ascii="Arial"/>
          <w:spacing w:val="38"/>
          <w:sz w:val="24"/>
        </w:rPr>
        <w:t> </w:t>
      </w:r>
      <w:r>
        <w:rPr>
          <w:rFonts w:ascii="Arial"/>
          <w:sz w:val="24"/>
        </w:rPr>
        <w:t>Function</w:t>
      </w:r>
      <w:r>
        <w:rPr>
          <w:rFonts w:ascii="Arial"/>
          <w:spacing w:val="38"/>
          <w:sz w:val="24"/>
        </w:rPr>
        <w:t> </w:t>
      </w:r>
      <w:r>
        <w:rPr>
          <w:rFonts w:ascii="Arial"/>
          <w:sz w:val="24"/>
        </w:rPr>
        <w:t>is</w:t>
      </w:r>
      <w:r>
        <w:rPr>
          <w:rFonts w:ascii="Arial"/>
          <w:spacing w:val="38"/>
          <w:sz w:val="24"/>
        </w:rPr>
        <w:t> </w:t>
      </w:r>
      <w:r>
        <w:rPr>
          <w:rFonts w:ascii="Arial"/>
          <w:sz w:val="24"/>
        </w:rPr>
        <w:t>associated</w:t>
      </w:r>
      <w:r>
        <w:rPr>
          <w:rFonts w:ascii="Arial"/>
          <w:spacing w:val="38"/>
          <w:sz w:val="24"/>
        </w:rPr>
        <w:t> </w:t>
      </w:r>
      <w:r>
        <w:rPr>
          <w:rFonts w:ascii="Arial"/>
          <w:sz w:val="24"/>
        </w:rPr>
        <w:t>with</w:t>
      </w:r>
      <w:r>
        <w:rPr>
          <w:rFonts w:ascii="Arial"/>
          <w:spacing w:val="38"/>
          <w:sz w:val="24"/>
        </w:rPr>
        <w:t> </w:t>
      </w:r>
      <w:r>
        <w:rPr>
          <w:rFonts w:ascii="Arial"/>
          <w:sz w:val="24"/>
        </w:rPr>
        <w:t>markers</w:t>
      </w:r>
      <w:r>
        <w:rPr>
          <w:rFonts w:ascii="Arial"/>
          <w:spacing w:val="38"/>
          <w:sz w:val="24"/>
        </w:rPr>
        <w:t> </w:t>
      </w:r>
      <w:r>
        <w:rPr>
          <w:rFonts w:ascii="Arial"/>
          <w:sz w:val="24"/>
        </w:rPr>
        <w:t>of</w:t>
      </w:r>
      <w:r>
        <w:rPr>
          <w:rFonts w:ascii="Arial"/>
          <w:spacing w:val="38"/>
          <w:sz w:val="24"/>
        </w:rPr>
        <w:t> </w:t>
      </w:r>
      <w:r>
        <w:rPr>
          <w:rFonts w:ascii="Arial"/>
          <w:sz w:val="24"/>
        </w:rPr>
        <w:t>endothelial</w:t>
      </w:r>
    </w:p>
    <w:p>
      <w:pPr>
        <w:spacing w:after="0" w:line="460" w:lineRule="auto"/>
        <w:jc w:val="both"/>
        <w:rPr>
          <w:rFonts w:ascii="Arial"/>
          <w:sz w:val="24"/>
        </w:rPr>
        <w:sectPr>
          <w:pgSz w:w="12240" w:h="15840"/>
          <w:pgMar w:header="742" w:footer="748" w:top="980" w:bottom="940" w:left="1620" w:right="180"/>
        </w:sectPr>
      </w:pPr>
    </w:p>
    <w:p>
      <w:pPr>
        <w:pStyle w:val="BodyText"/>
        <w:rPr>
          <w:sz w:val="20"/>
        </w:rPr>
      </w:pPr>
    </w:p>
    <w:p>
      <w:pPr>
        <w:pStyle w:val="BodyText"/>
        <w:rPr>
          <w:sz w:val="20"/>
        </w:rPr>
      </w:pPr>
    </w:p>
    <w:p>
      <w:pPr>
        <w:pStyle w:val="BodyText"/>
        <w:spacing w:before="11"/>
        <w:rPr>
          <w:sz w:val="20"/>
        </w:rPr>
      </w:pPr>
    </w:p>
    <w:p>
      <w:pPr>
        <w:pStyle w:val="BodyText"/>
        <w:spacing w:line="480" w:lineRule="auto"/>
        <w:ind w:left="864" w:right="888"/>
      </w:pPr>
      <w:r>
        <w:rPr/>
        <w:t>dysfunction and increased inflammatory activity. Nephrol Dial Transplant 18:892- 8.</w:t>
      </w:r>
    </w:p>
    <w:p>
      <w:pPr>
        <w:pStyle w:val="ListParagraph"/>
        <w:numPr>
          <w:ilvl w:val="1"/>
          <w:numId w:val="3"/>
        </w:numPr>
        <w:tabs>
          <w:tab w:pos="854" w:val="left" w:leader="none"/>
        </w:tabs>
        <w:spacing w:line="475" w:lineRule="auto" w:before="11" w:after="0"/>
        <w:ind w:left="864" w:right="888" w:hanging="360"/>
        <w:jc w:val="both"/>
        <w:rPr>
          <w:rFonts w:ascii="Arial"/>
          <w:sz w:val="24"/>
        </w:rPr>
      </w:pPr>
      <w:r>
        <w:rPr>
          <w:rFonts w:ascii="Arial"/>
          <w:sz w:val="24"/>
        </w:rPr>
        <w:t>Stehouwer CD, Henry RM, Dekker JM, et al (2004). Microalbuminuria is associated with impaired brachial artery, flow-mediated vasodilation in elderly individuals without and with diabetes: further evidence for a link between microalbuminuria and endothelial dysfunction-the Hoorn Study. Kidney Int Suppl. S42-S44.</w:t>
      </w:r>
    </w:p>
    <w:p>
      <w:pPr>
        <w:pStyle w:val="ListParagraph"/>
        <w:numPr>
          <w:ilvl w:val="1"/>
          <w:numId w:val="3"/>
        </w:numPr>
        <w:tabs>
          <w:tab w:pos="854" w:val="left" w:leader="none"/>
        </w:tabs>
        <w:spacing w:line="470" w:lineRule="auto" w:before="16" w:after="0"/>
        <w:ind w:left="864" w:right="888" w:hanging="360"/>
        <w:jc w:val="both"/>
        <w:rPr>
          <w:rFonts w:ascii="Arial"/>
          <w:sz w:val="24"/>
        </w:rPr>
      </w:pPr>
      <w:r>
        <w:rPr>
          <w:rFonts w:ascii="Arial"/>
          <w:sz w:val="24"/>
        </w:rPr>
        <w:t>Stevens LA, Levey AS (2005). Chronic kidney disease: staging and principles of management. In: Greenberg A (ed) Primer on kidney diseases, San Diego, CA: academic press. Pp</w:t>
      </w:r>
      <w:r>
        <w:rPr>
          <w:rFonts w:ascii="Arial"/>
          <w:spacing w:val="-1"/>
          <w:sz w:val="24"/>
        </w:rPr>
        <w:t> </w:t>
      </w:r>
      <w:r>
        <w:rPr>
          <w:rFonts w:ascii="Arial"/>
          <w:sz w:val="24"/>
        </w:rPr>
        <w:t>455-63.</w:t>
      </w:r>
    </w:p>
    <w:p>
      <w:pPr>
        <w:pStyle w:val="ListParagraph"/>
        <w:numPr>
          <w:ilvl w:val="1"/>
          <w:numId w:val="3"/>
        </w:numPr>
        <w:tabs>
          <w:tab w:pos="854" w:val="left" w:leader="none"/>
        </w:tabs>
        <w:spacing w:line="460" w:lineRule="auto" w:before="21" w:after="0"/>
        <w:ind w:left="864" w:right="888" w:hanging="360"/>
        <w:jc w:val="both"/>
        <w:rPr>
          <w:rFonts w:ascii="Arial"/>
          <w:sz w:val="24"/>
        </w:rPr>
      </w:pPr>
      <w:r>
        <w:rPr>
          <w:rFonts w:ascii="Arial"/>
          <w:sz w:val="24"/>
        </w:rPr>
        <w:t>Stockham SL and Scott MA (2008). Urinary system. In: Fundamentals of veterinary pathology. 2nd ed. USA:</w:t>
      </w:r>
      <w:r>
        <w:rPr>
          <w:rFonts w:ascii="Arial"/>
          <w:spacing w:val="-2"/>
          <w:sz w:val="24"/>
        </w:rPr>
        <w:t> </w:t>
      </w:r>
      <w:r>
        <w:rPr>
          <w:rFonts w:ascii="Arial"/>
          <w:sz w:val="24"/>
        </w:rPr>
        <w:t>415-94.</w:t>
      </w:r>
    </w:p>
    <w:p>
      <w:pPr>
        <w:pStyle w:val="ListParagraph"/>
        <w:numPr>
          <w:ilvl w:val="1"/>
          <w:numId w:val="3"/>
        </w:numPr>
        <w:tabs>
          <w:tab w:pos="854" w:val="left" w:leader="none"/>
        </w:tabs>
        <w:spacing w:line="472" w:lineRule="auto" w:before="32" w:after="0"/>
        <w:ind w:left="864" w:right="888" w:hanging="360"/>
        <w:jc w:val="both"/>
        <w:rPr>
          <w:rFonts w:ascii="Arial"/>
          <w:sz w:val="24"/>
        </w:rPr>
      </w:pPr>
      <w:r>
        <w:rPr>
          <w:rFonts w:ascii="Arial"/>
          <w:sz w:val="24"/>
        </w:rPr>
        <w:t>Strom T, Johansen RR, Prahl JO, et al (2011). Sedation and renal impairment in critically ill patients: a post hoc analysis of a randomized trial. Critical Care.15:R119.</w:t>
      </w:r>
    </w:p>
    <w:p>
      <w:pPr>
        <w:pStyle w:val="ListParagraph"/>
        <w:numPr>
          <w:ilvl w:val="1"/>
          <w:numId w:val="3"/>
        </w:numPr>
        <w:tabs>
          <w:tab w:pos="854" w:val="left" w:leader="none"/>
        </w:tabs>
        <w:spacing w:line="470" w:lineRule="auto" w:before="19" w:after="0"/>
        <w:ind w:left="864" w:right="888" w:hanging="360"/>
        <w:jc w:val="both"/>
        <w:rPr>
          <w:rFonts w:ascii="Arial"/>
          <w:sz w:val="24"/>
        </w:rPr>
      </w:pPr>
      <w:r>
        <w:rPr>
          <w:rFonts w:ascii="Arial"/>
          <w:sz w:val="24"/>
        </w:rPr>
        <w:t>Suckling R, Gallagher H (2012). Chronic kidney disease, diabetes mellitus and cardiovascular disease: risks and commonalities. Journal Renal Care. 38(1): 4- 11.</w:t>
      </w:r>
    </w:p>
    <w:p>
      <w:pPr>
        <w:pStyle w:val="ListParagraph"/>
        <w:numPr>
          <w:ilvl w:val="1"/>
          <w:numId w:val="3"/>
        </w:numPr>
        <w:tabs>
          <w:tab w:pos="854" w:val="left" w:leader="none"/>
        </w:tabs>
        <w:spacing w:line="470" w:lineRule="auto" w:before="21" w:after="0"/>
        <w:ind w:left="864" w:right="888" w:hanging="360"/>
        <w:jc w:val="both"/>
        <w:rPr>
          <w:rFonts w:ascii="Arial"/>
          <w:sz w:val="24"/>
        </w:rPr>
      </w:pPr>
      <w:r>
        <w:rPr>
          <w:rFonts w:ascii="Arial"/>
          <w:sz w:val="24"/>
        </w:rPr>
        <w:t>Syme HM, Markwell PJ, Pfeiffer D, Elliot J (2006). Survival of cats with naturally ocurring chronic renal failure is related to severity of proteinuria (2009). J Vet Intern Med.</w:t>
      </w:r>
      <w:r>
        <w:rPr>
          <w:rFonts w:ascii="Arial"/>
          <w:spacing w:val="-2"/>
          <w:sz w:val="24"/>
        </w:rPr>
        <w:t> </w:t>
      </w:r>
      <w:r>
        <w:rPr>
          <w:rFonts w:ascii="Arial"/>
          <w:sz w:val="24"/>
        </w:rPr>
        <w:t>20:528-35.</w:t>
      </w:r>
    </w:p>
    <w:p>
      <w:pPr>
        <w:spacing w:after="0" w:line="470" w:lineRule="auto"/>
        <w:jc w:val="both"/>
        <w:rPr>
          <w:rFonts w:ascii="Arial"/>
          <w:sz w:val="24"/>
        </w:rPr>
        <w:sectPr>
          <w:pgSz w:w="12240" w:h="15840"/>
          <w:pgMar w:header="742" w:footer="748" w:top="980" w:bottom="940" w:left="1620" w:right="180"/>
        </w:sectPr>
      </w:pPr>
    </w:p>
    <w:p>
      <w:pPr>
        <w:pStyle w:val="BodyText"/>
        <w:rPr>
          <w:sz w:val="20"/>
        </w:rPr>
      </w:pPr>
    </w:p>
    <w:p>
      <w:pPr>
        <w:pStyle w:val="BodyText"/>
        <w:rPr>
          <w:sz w:val="20"/>
        </w:rPr>
      </w:pPr>
    </w:p>
    <w:p>
      <w:pPr>
        <w:pStyle w:val="BodyText"/>
        <w:spacing w:before="7"/>
        <w:rPr>
          <w:sz w:val="16"/>
        </w:rPr>
      </w:pPr>
    </w:p>
    <w:p>
      <w:pPr>
        <w:pStyle w:val="ListParagraph"/>
        <w:numPr>
          <w:ilvl w:val="1"/>
          <w:numId w:val="3"/>
        </w:numPr>
        <w:tabs>
          <w:tab w:pos="854" w:val="left" w:leader="none"/>
        </w:tabs>
        <w:spacing w:line="463" w:lineRule="auto" w:before="53" w:after="0"/>
        <w:ind w:left="864" w:right="888" w:hanging="360"/>
        <w:jc w:val="both"/>
        <w:rPr>
          <w:rFonts w:ascii="Arial"/>
          <w:sz w:val="24"/>
        </w:rPr>
      </w:pPr>
      <w:r>
        <w:rPr>
          <w:rFonts w:ascii="Arial"/>
          <w:sz w:val="24"/>
        </w:rPr>
        <w:t>Syme H (2009). Proteinuria in cats prognostic marker or mediator. J Feline Med Surg</w:t>
      </w:r>
      <w:r>
        <w:rPr>
          <w:rFonts w:ascii="Arial"/>
          <w:spacing w:val="-1"/>
          <w:sz w:val="24"/>
        </w:rPr>
        <w:t> </w:t>
      </w:r>
      <w:r>
        <w:rPr>
          <w:rFonts w:ascii="Arial"/>
          <w:sz w:val="24"/>
        </w:rPr>
        <w:t>11:211-8.</w:t>
      </w:r>
    </w:p>
    <w:p>
      <w:pPr>
        <w:pStyle w:val="ListParagraph"/>
        <w:numPr>
          <w:ilvl w:val="1"/>
          <w:numId w:val="3"/>
        </w:numPr>
        <w:tabs>
          <w:tab w:pos="854" w:val="left" w:leader="none"/>
        </w:tabs>
        <w:spacing w:line="460" w:lineRule="auto" w:before="29" w:after="0"/>
        <w:ind w:left="864" w:right="888" w:hanging="360"/>
        <w:jc w:val="both"/>
        <w:rPr>
          <w:rFonts w:ascii="Arial"/>
          <w:sz w:val="24"/>
        </w:rPr>
      </w:pPr>
      <w:r>
        <w:rPr>
          <w:rFonts w:ascii="Arial"/>
          <w:sz w:val="24"/>
        </w:rPr>
        <w:t>Syme H (2011). Hypertension in small animal kidney disease. Vet Clin North Am Small Anim Pract.</w:t>
      </w:r>
      <w:r>
        <w:rPr>
          <w:rFonts w:ascii="Arial"/>
          <w:spacing w:val="-1"/>
          <w:sz w:val="24"/>
        </w:rPr>
        <w:t> </w:t>
      </w:r>
      <w:r>
        <w:rPr>
          <w:rFonts w:ascii="Arial"/>
          <w:sz w:val="24"/>
        </w:rPr>
        <w:t>41(1):63-89.</w:t>
      </w:r>
    </w:p>
    <w:p>
      <w:pPr>
        <w:pStyle w:val="ListParagraph"/>
        <w:numPr>
          <w:ilvl w:val="1"/>
          <w:numId w:val="3"/>
        </w:numPr>
        <w:tabs>
          <w:tab w:pos="854" w:val="left" w:leader="none"/>
        </w:tabs>
        <w:spacing w:line="470" w:lineRule="auto" w:before="32" w:after="0"/>
        <w:ind w:left="864" w:right="888" w:hanging="360"/>
        <w:jc w:val="both"/>
        <w:rPr>
          <w:rFonts w:ascii="Arial"/>
          <w:sz w:val="24"/>
        </w:rPr>
      </w:pPr>
      <w:r>
        <w:rPr>
          <w:rFonts w:ascii="Arial"/>
          <w:sz w:val="24"/>
        </w:rPr>
        <w:t>Targher G, Chonchol M, Zoppin G, Abaterusso C, Bonora E (2011). Risk of chronic kidney disease in patients with non-alcoholic fatty liver disease: is there a link? J Hepatol.</w:t>
      </w:r>
      <w:r>
        <w:rPr>
          <w:rFonts w:ascii="Arial"/>
          <w:spacing w:val="-3"/>
          <w:sz w:val="24"/>
        </w:rPr>
        <w:t> </w:t>
      </w:r>
      <w:r>
        <w:rPr>
          <w:rFonts w:ascii="Arial"/>
          <w:sz w:val="24"/>
        </w:rPr>
        <w:t>54:1020-9.</w:t>
      </w:r>
    </w:p>
    <w:p>
      <w:pPr>
        <w:pStyle w:val="ListParagraph"/>
        <w:numPr>
          <w:ilvl w:val="1"/>
          <w:numId w:val="3"/>
        </w:numPr>
        <w:tabs>
          <w:tab w:pos="854" w:val="left" w:leader="none"/>
        </w:tabs>
        <w:spacing w:line="472" w:lineRule="auto" w:before="21" w:after="0"/>
        <w:ind w:left="864" w:right="888" w:hanging="360"/>
        <w:jc w:val="both"/>
        <w:rPr>
          <w:rFonts w:ascii="Arial" w:hAnsi="Arial"/>
          <w:sz w:val="24"/>
        </w:rPr>
      </w:pPr>
      <w:r>
        <w:rPr>
          <w:rFonts w:ascii="Arial" w:hAnsi="Arial"/>
          <w:sz w:val="24"/>
        </w:rPr>
        <w:t>Thariat J, Vendrely B, Roca S, Ravaud A, Bay JO, Lacout A, Marcy PY, Thyss A, Besancenot JF (2012). Syndromes paranéoplasiques à expression rénale et atteintes rénales des cancers. Bull Cancer</w:t>
      </w:r>
      <w:r>
        <w:rPr>
          <w:rFonts w:ascii="Arial" w:hAnsi="Arial"/>
          <w:spacing w:val="-3"/>
          <w:sz w:val="24"/>
        </w:rPr>
        <w:t> </w:t>
      </w:r>
      <w:r>
        <w:rPr>
          <w:rFonts w:ascii="Arial" w:hAnsi="Arial"/>
          <w:sz w:val="24"/>
        </w:rPr>
        <w:t>99:263-75.</w:t>
      </w:r>
    </w:p>
    <w:p>
      <w:pPr>
        <w:pStyle w:val="ListParagraph"/>
        <w:numPr>
          <w:ilvl w:val="1"/>
          <w:numId w:val="3"/>
        </w:numPr>
        <w:tabs>
          <w:tab w:pos="853" w:val="left" w:leader="none"/>
          <w:tab w:pos="854" w:val="left" w:leader="none"/>
        </w:tabs>
        <w:spacing w:line="240" w:lineRule="auto" w:before="19" w:after="0"/>
        <w:ind w:left="853" w:right="0" w:hanging="349"/>
        <w:jc w:val="left"/>
        <w:rPr>
          <w:rFonts w:ascii="Arial"/>
          <w:sz w:val="24"/>
        </w:rPr>
      </w:pPr>
      <w:r>
        <w:rPr>
          <w:rFonts w:ascii="Arial"/>
          <w:sz w:val="24"/>
        </w:rPr>
        <w:t>Vaden</w:t>
      </w:r>
      <w:r>
        <w:rPr>
          <w:rFonts w:ascii="Arial"/>
          <w:spacing w:val="54"/>
          <w:sz w:val="24"/>
        </w:rPr>
        <w:t> </w:t>
      </w:r>
      <w:r>
        <w:rPr>
          <w:rFonts w:ascii="Arial"/>
          <w:sz w:val="24"/>
        </w:rPr>
        <w:t>SL</w:t>
      </w:r>
      <w:r>
        <w:rPr>
          <w:rFonts w:ascii="Arial"/>
          <w:spacing w:val="54"/>
          <w:sz w:val="24"/>
        </w:rPr>
        <w:t> </w:t>
      </w:r>
      <w:r>
        <w:rPr>
          <w:rFonts w:ascii="Arial"/>
          <w:sz w:val="24"/>
        </w:rPr>
        <w:t>(2005).</w:t>
      </w:r>
      <w:r>
        <w:rPr>
          <w:rFonts w:ascii="Arial"/>
          <w:spacing w:val="54"/>
          <w:sz w:val="24"/>
        </w:rPr>
        <w:t> </w:t>
      </w:r>
      <w:r>
        <w:rPr>
          <w:rFonts w:ascii="Arial"/>
          <w:sz w:val="24"/>
        </w:rPr>
        <w:t>Glomerular</w:t>
      </w:r>
      <w:r>
        <w:rPr>
          <w:rFonts w:ascii="Arial"/>
          <w:spacing w:val="54"/>
          <w:sz w:val="24"/>
        </w:rPr>
        <w:t> </w:t>
      </w:r>
      <w:r>
        <w:rPr>
          <w:rFonts w:ascii="Arial"/>
          <w:sz w:val="24"/>
        </w:rPr>
        <w:t>diseases.</w:t>
      </w:r>
      <w:r>
        <w:rPr>
          <w:rFonts w:ascii="Arial"/>
          <w:spacing w:val="54"/>
          <w:sz w:val="24"/>
        </w:rPr>
        <w:t> </w:t>
      </w:r>
      <w:r>
        <w:rPr>
          <w:rFonts w:ascii="Arial"/>
          <w:sz w:val="24"/>
        </w:rPr>
        <w:t>In:</w:t>
      </w:r>
      <w:r>
        <w:rPr>
          <w:rFonts w:ascii="Arial"/>
          <w:spacing w:val="54"/>
          <w:sz w:val="24"/>
        </w:rPr>
        <w:t> </w:t>
      </w:r>
      <w:r>
        <w:rPr>
          <w:rFonts w:ascii="Arial"/>
          <w:sz w:val="24"/>
        </w:rPr>
        <w:t>In</w:t>
      </w:r>
      <w:r>
        <w:rPr>
          <w:rFonts w:ascii="Arial"/>
          <w:spacing w:val="54"/>
          <w:sz w:val="24"/>
        </w:rPr>
        <w:t> </w:t>
      </w:r>
      <w:r>
        <w:rPr>
          <w:rFonts w:ascii="Arial"/>
          <w:sz w:val="24"/>
        </w:rPr>
        <w:t>Ettinger</w:t>
      </w:r>
      <w:r>
        <w:rPr>
          <w:rFonts w:ascii="Arial"/>
          <w:spacing w:val="54"/>
          <w:sz w:val="24"/>
        </w:rPr>
        <w:t> </w:t>
      </w:r>
      <w:r>
        <w:rPr>
          <w:rFonts w:ascii="Arial"/>
          <w:sz w:val="24"/>
        </w:rPr>
        <w:t>S,</w:t>
      </w:r>
      <w:r>
        <w:rPr>
          <w:rFonts w:ascii="Arial"/>
          <w:spacing w:val="54"/>
          <w:sz w:val="24"/>
        </w:rPr>
        <w:t> </w:t>
      </w:r>
      <w:r>
        <w:rPr>
          <w:rFonts w:ascii="Arial"/>
          <w:sz w:val="24"/>
        </w:rPr>
        <w:t>Feldman</w:t>
      </w:r>
      <w:r>
        <w:rPr>
          <w:rFonts w:ascii="Arial"/>
          <w:spacing w:val="54"/>
          <w:sz w:val="24"/>
        </w:rPr>
        <w:t> </w:t>
      </w:r>
      <w:r>
        <w:rPr>
          <w:rFonts w:ascii="Arial"/>
          <w:sz w:val="24"/>
        </w:rPr>
        <w:t>EC</w:t>
      </w:r>
      <w:r>
        <w:rPr>
          <w:rFonts w:ascii="Arial"/>
          <w:spacing w:val="54"/>
          <w:sz w:val="24"/>
        </w:rPr>
        <w:t> </w:t>
      </w:r>
      <w:r>
        <w:rPr>
          <w:rFonts w:ascii="Arial"/>
          <w:sz w:val="24"/>
        </w:rPr>
        <w:t>(eds).</w:t>
      </w:r>
    </w:p>
    <w:p>
      <w:pPr>
        <w:pStyle w:val="BodyText"/>
        <w:spacing w:before="4"/>
        <w:rPr>
          <w:sz w:val="23"/>
        </w:rPr>
      </w:pPr>
    </w:p>
    <w:p>
      <w:pPr>
        <w:pStyle w:val="BodyText"/>
        <w:spacing w:line="480" w:lineRule="auto" w:before="1"/>
        <w:ind w:left="864" w:right="944"/>
      </w:pPr>
      <w:r>
        <w:rPr/>
        <w:t>Textbook of Veterinary Internal Medicine, 6th edn, Elsevier Saunders, St Louis. Pp</w:t>
      </w:r>
      <w:r>
        <w:rPr>
          <w:spacing w:val="-1"/>
        </w:rPr>
        <w:t> </w:t>
      </w:r>
      <w:r>
        <w:rPr/>
        <w:t>1787-1800.</w:t>
      </w:r>
    </w:p>
    <w:p>
      <w:pPr>
        <w:pStyle w:val="ListParagraph"/>
        <w:numPr>
          <w:ilvl w:val="1"/>
          <w:numId w:val="3"/>
        </w:numPr>
        <w:tabs>
          <w:tab w:pos="854" w:val="left" w:leader="none"/>
        </w:tabs>
        <w:spacing w:line="470" w:lineRule="auto" w:before="11" w:after="0"/>
        <w:ind w:left="864" w:right="888" w:hanging="360"/>
        <w:jc w:val="both"/>
        <w:rPr>
          <w:rFonts w:ascii="Arial" w:hAnsi="Arial"/>
          <w:sz w:val="24"/>
        </w:rPr>
      </w:pPr>
      <w:r>
        <w:rPr>
          <w:rFonts w:ascii="Arial" w:hAnsi="Arial"/>
          <w:sz w:val="24"/>
        </w:rPr>
        <w:t>Vupputuri S, Soucie JM, McClellan W, Sandler DP (2004). History of kidney stones as a possible risk factor for chronic kidney disease. Ann Epidemiol 14:222–228.</w:t>
      </w:r>
    </w:p>
    <w:p>
      <w:pPr>
        <w:pStyle w:val="ListParagraph"/>
        <w:numPr>
          <w:ilvl w:val="1"/>
          <w:numId w:val="3"/>
        </w:numPr>
        <w:tabs>
          <w:tab w:pos="854" w:val="left" w:leader="none"/>
        </w:tabs>
        <w:spacing w:line="463" w:lineRule="auto" w:before="21" w:after="0"/>
        <w:ind w:left="864" w:right="888" w:hanging="360"/>
        <w:jc w:val="both"/>
        <w:rPr>
          <w:rFonts w:ascii="Arial"/>
          <w:sz w:val="24"/>
        </w:rPr>
      </w:pPr>
      <w:r>
        <w:rPr>
          <w:rFonts w:ascii="Arial"/>
          <w:sz w:val="24"/>
        </w:rPr>
        <w:t>Wadei HM, Mai ML, Ahsan N, Gonwa TA (2006). Hepatorenal syndrome: pathophysiology and management. Clin J Am Soc Nephrol.</w:t>
      </w:r>
      <w:r>
        <w:rPr>
          <w:rFonts w:ascii="Arial"/>
          <w:spacing w:val="-3"/>
          <w:sz w:val="24"/>
        </w:rPr>
        <w:t> </w:t>
      </w:r>
      <w:r>
        <w:rPr>
          <w:rFonts w:ascii="Arial"/>
          <w:sz w:val="24"/>
        </w:rPr>
        <w:t>1:1066-79.</w:t>
      </w:r>
    </w:p>
    <w:p>
      <w:pPr>
        <w:pStyle w:val="ListParagraph"/>
        <w:numPr>
          <w:ilvl w:val="1"/>
          <w:numId w:val="3"/>
        </w:numPr>
        <w:tabs>
          <w:tab w:pos="854" w:val="left" w:leader="none"/>
        </w:tabs>
        <w:spacing w:line="470" w:lineRule="auto" w:before="29" w:after="0"/>
        <w:ind w:left="864" w:right="888" w:hanging="360"/>
        <w:jc w:val="both"/>
        <w:rPr>
          <w:rFonts w:ascii="Arial"/>
          <w:sz w:val="24"/>
        </w:rPr>
      </w:pPr>
      <w:r>
        <w:rPr>
          <w:rFonts w:ascii="Arial"/>
          <w:sz w:val="24"/>
        </w:rPr>
        <w:t>Walters CB, Adams LG, ScottMoncrieff JC, DeNicola DB, Snyder PW, White MR, Gasparini M (1997). Effects of glucocorticoid therapy on urine protein-to- creatinine ratios and renal morphology in dogs. J Vet Intern Med.</w:t>
      </w:r>
      <w:r>
        <w:rPr>
          <w:rFonts w:ascii="Arial"/>
          <w:spacing w:val="-3"/>
          <w:sz w:val="24"/>
        </w:rPr>
        <w:t> </w:t>
      </w:r>
      <w:r>
        <w:rPr>
          <w:rFonts w:ascii="Arial"/>
          <w:sz w:val="24"/>
        </w:rPr>
        <w:t>11:172-7.</w:t>
      </w:r>
    </w:p>
    <w:p>
      <w:pPr>
        <w:spacing w:after="0" w:line="470" w:lineRule="auto"/>
        <w:jc w:val="both"/>
        <w:rPr>
          <w:rFonts w:ascii="Arial"/>
          <w:sz w:val="24"/>
        </w:rPr>
        <w:sectPr>
          <w:pgSz w:w="12240" w:h="15840"/>
          <w:pgMar w:header="742" w:footer="748" w:top="980" w:bottom="940" w:left="1620" w:right="180"/>
        </w:sectPr>
      </w:pPr>
    </w:p>
    <w:p>
      <w:pPr>
        <w:pStyle w:val="BodyText"/>
        <w:rPr>
          <w:sz w:val="20"/>
        </w:rPr>
      </w:pPr>
    </w:p>
    <w:p>
      <w:pPr>
        <w:pStyle w:val="BodyText"/>
        <w:rPr>
          <w:sz w:val="20"/>
        </w:rPr>
      </w:pPr>
    </w:p>
    <w:p>
      <w:pPr>
        <w:pStyle w:val="BodyText"/>
        <w:spacing w:before="7"/>
        <w:rPr>
          <w:sz w:val="16"/>
        </w:rPr>
      </w:pPr>
    </w:p>
    <w:p>
      <w:pPr>
        <w:pStyle w:val="ListParagraph"/>
        <w:numPr>
          <w:ilvl w:val="1"/>
          <w:numId w:val="3"/>
        </w:numPr>
        <w:tabs>
          <w:tab w:pos="854" w:val="left" w:leader="none"/>
        </w:tabs>
        <w:spacing w:line="463" w:lineRule="auto" w:before="53" w:after="0"/>
        <w:ind w:left="864" w:right="888" w:hanging="360"/>
        <w:jc w:val="both"/>
        <w:rPr>
          <w:rFonts w:ascii="Arial"/>
          <w:sz w:val="24"/>
        </w:rPr>
      </w:pPr>
      <w:r>
        <w:rPr>
          <w:rFonts w:ascii="Arial"/>
          <w:sz w:val="24"/>
        </w:rPr>
        <w:t>Watson AD (2001). Indicators of renal insufficiency in dogs and cats presented at a veterinary teaching hospital, Aust Vet Practit</w:t>
      </w:r>
      <w:r>
        <w:rPr>
          <w:rFonts w:ascii="Arial"/>
          <w:spacing w:val="-2"/>
          <w:sz w:val="24"/>
        </w:rPr>
        <w:t> </w:t>
      </w:r>
      <w:r>
        <w:rPr>
          <w:rFonts w:ascii="Arial"/>
          <w:sz w:val="24"/>
        </w:rPr>
        <w:t>31:54-58.</w:t>
      </w:r>
    </w:p>
    <w:p>
      <w:pPr>
        <w:pStyle w:val="ListParagraph"/>
        <w:numPr>
          <w:ilvl w:val="1"/>
          <w:numId w:val="3"/>
        </w:numPr>
        <w:tabs>
          <w:tab w:pos="854" w:val="left" w:leader="none"/>
        </w:tabs>
        <w:spacing w:line="460" w:lineRule="auto" w:before="29" w:after="0"/>
        <w:ind w:left="864" w:right="888" w:hanging="360"/>
        <w:jc w:val="both"/>
        <w:rPr>
          <w:rFonts w:ascii="Arial"/>
          <w:sz w:val="24"/>
        </w:rPr>
      </w:pPr>
      <w:r>
        <w:rPr>
          <w:rFonts w:ascii="Arial"/>
          <w:sz w:val="24"/>
        </w:rPr>
        <w:t>White JD y cols. (2006). Naturally-occurring chronic renal disease in Australian cats: a prospective study of 184 cases. Aust Vet J</w:t>
      </w:r>
      <w:r>
        <w:rPr>
          <w:rFonts w:ascii="Arial"/>
          <w:spacing w:val="-1"/>
          <w:sz w:val="24"/>
        </w:rPr>
        <w:t> </w:t>
      </w:r>
      <w:r>
        <w:rPr>
          <w:rFonts w:ascii="Arial"/>
          <w:sz w:val="24"/>
        </w:rPr>
        <w:t>84:188-94.</w:t>
      </w:r>
    </w:p>
    <w:p>
      <w:pPr>
        <w:pStyle w:val="ListParagraph"/>
        <w:numPr>
          <w:ilvl w:val="1"/>
          <w:numId w:val="3"/>
        </w:numPr>
        <w:tabs>
          <w:tab w:pos="853" w:val="left" w:leader="none"/>
          <w:tab w:pos="854" w:val="left" w:leader="none"/>
        </w:tabs>
        <w:spacing w:line="240" w:lineRule="auto" w:before="32" w:after="0"/>
        <w:ind w:left="853" w:right="0" w:hanging="349"/>
        <w:jc w:val="left"/>
        <w:rPr>
          <w:rFonts w:ascii="Arial"/>
          <w:sz w:val="24"/>
        </w:rPr>
      </w:pPr>
      <w:r>
        <w:rPr>
          <w:rFonts w:ascii="Arial"/>
          <w:sz w:val="24"/>
        </w:rPr>
        <w:t>Weiner DE, Sarnak MJ (2004). Managing dyslipidemia in chronic kidney </w:t>
      </w:r>
      <w:r>
        <w:rPr>
          <w:rFonts w:ascii="Arial"/>
          <w:spacing w:val="33"/>
          <w:sz w:val="24"/>
        </w:rPr>
        <w:t> </w:t>
      </w:r>
      <w:r>
        <w:rPr>
          <w:rFonts w:ascii="Arial"/>
          <w:sz w:val="24"/>
        </w:rPr>
        <w:t>disease.</w:t>
      </w:r>
    </w:p>
    <w:p>
      <w:pPr>
        <w:pStyle w:val="BodyText"/>
        <w:spacing w:before="4"/>
        <w:rPr>
          <w:sz w:val="23"/>
        </w:rPr>
      </w:pPr>
    </w:p>
    <w:p>
      <w:pPr>
        <w:pStyle w:val="BodyText"/>
        <w:spacing w:before="1"/>
        <w:ind w:left="864"/>
      </w:pPr>
      <w:r>
        <w:rPr/>
        <w:t>J Gen Intern Med.19(10):1045-52</w:t>
      </w:r>
    </w:p>
    <w:p>
      <w:pPr>
        <w:pStyle w:val="BodyText"/>
        <w:spacing w:before="3"/>
      </w:pPr>
    </w:p>
    <w:p>
      <w:pPr>
        <w:pStyle w:val="ListParagraph"/>
        <w:numPr>
          <w:ilvl w:val="1"/>
          <w:numId w:val="3"/>
        </w:numPr>
        <w:tabs>
          <w:tab w:pos="854" w:val="left" w:leader="none"/>
        </w:tabs>
        <w:spacing w:line="472" w:lineRule="auto" w:before="0" w:after="0"/>
        <w:ind w:left="864" w:right="888" w:hanging="360"/>
        <w:jc w:val="both"/>
        <w:rPr>
          <w:rFonts w:ascii="Arial"/>
          <w:sz w:val="24"/>
        </w:rPr>
      </w:pPr>
      <w:r>
        <w:rPr>
          <w:rFonts w:ascii="Arial"/>
          <w:sz w:val="24"/>
        </w:rPr>
        <w:t>Yabuki A, Mitani S, Sawa M, Mizukami K, Fujiki M, Yamato O (2012). A comparative study of chronic kidney disease in dos and cats: Induction of cyclooxygenases. Res Vet Sci.</w:t>
      </w:r>
      <w:r>
        <w:rPr>
          <w:rFonts w:ascii="Arial"/>
          <w:spacing w:val="-2"/>
          <w:sz w:val="24"/>
        </w:rPr>
        <w:t> </w:t>
      </w:r>
      <w:r>
        <w:rPr>
          <w:rFonts w:ascii="Arial"/>
          <w:sz w:val="24"/>
        </w:rPr>
        <w:t>93:892-7.</w:t>
      </w:r>
    </w:p>
    <w:p>
      <w:pPr>
        <w:pStyle w:val="ListParagraph"/>
        <w:numPr>
          <w:ilvl w:val="1"/>
          <w:numId w:val="3"/>
        </w:numPr>
        <w:tabs>
          <w:tab w:pos="854" w:val="left" w:leader="none"/>
        </w:tabs>
        <w:spacing w:line="460" w:lineRule="auto" w:before="19" w:after="0"/>
        <w:ind w:left="864" w:right="888" w:hanging="360"/>
        <w:jc w:val="both"/>
        <w:rPr>
          <w:rFonts w:ascii="Arial" w:hAnsi="Arial"/>
          <w:sz w:val="24"/>
        </w:rPr>
      </w:pPr>
      <w:r>
        <w:rPr>
          <w:rFonts w:ascii="Arial" w:hAnsi="Arial"/>
          <w:sz w:val="24"/>
        </w:rPr>
        <w:t>Zatelli A, Paltrinieri S, Nizi F, Roura X, Zini E (2010). Evaluation of urine dipstick test for confirmation or exclusion of proteinúrica in dogs. AJVR;71(2):</w:t>
      </w:r>
      <w:r>
        <w:rPr>
          <w:rFonts w:ascii="Arial" w:hAnsi="Arial"/>
          <w:spacing w:val="-1"/>
          <w:sz w:val="24"/>
        </w:rPr>
        <w:t> </w:t>
      </w:r>
      <w:r>
        <w:rPr>
          <w:rFonts w:ascii="Arial" w:hAnsi="Arial"/>
          <w:sz w:val="24"/>
        </w:rPr>
        <w:t>235-40.</w:t>
      </w:r>
    </w:p>
    <w:p>
      <w:pPr>
        <w:pStyle w:val="ListParagraph"/>
        <w:numPr>
          <w:ilvl w:val="1"/>
          <w:numId w:val="3"/>
        </w:numPr>
        <w:tabs>
          <w:tab w:pos="854" w:val="left" w:leader="none"/>
        </w:tabs>
        <w:spacing w:line="470" w:lineRule="auto" w:before="32" w:after="0"/>
        <w:ind w:left="864" w:right="888" w:hanging="360"/>
        <w:jc w:val="both"/>
        <w:rPr>
          <w:rFonts w:ascii="Arial" w:hAnsi="Arial"/>
          <w:sz w:val="24"/>
        </w:rPr>
      </w:pPr>
      <w:r>
        <w:rPr>
          <w:rFonts w:ascii="Arial" w:hAnsi="Arial"/>
          <w:sz w:val="24"/>
        </w:rPr>
        <w:t>Zimmerman RS, Ryan J, Edwards BS, Klee G, Zimmerman D, Scott N, Burnett Jr JC (1988). Cardiorenal endocrine dynamics during volume expansion in hypothyroid dogs. Am J Physiol.</w:t>
      </w:r>
      <w:r>
        <w:rPr>
          <w:rFonts w:ascii="Arial" w:hAnsi="Arial"/>
          <w:spacing w:val="-2"/>
          <w:sz w:val="24"/>
        </w:rPr>
        <w:t> </w:t>
      </w:r>
      <w:r>
        <w:rPr>
          <w:rFonts w:ascii="Arial" w:hAnsi="Arial"/>
          <w:sz w:val="24"/>
        </w:rPr>
        <w:t>255:61–6.</w:t>
      </w:r>
    </w:p>
    <w:p>
      <w:pPr>
        <w:pStyle w:val="ListParagraph"/>
        <w:numPr>
          <w:ilvl w:val="1"/>
          <w:numId w:val="3"/>
        </w:numPr>
        <w:tabs>
          <w:tab w:pos="854" w:val="left" w:leader="none"/>
        </w:tabs>
        <w:spacing w:line="463" w:lineRule="auto" w:before="21" w:after="0"/>
        <w:ind w:left="864" w:right="888" w:hanging="360"/>
        <w:jc w:val="both"/>
        <w:rPr>
          <w:rFonts w:ascii="Arial"/>
          <w:sz w:val="24"/>
        </w:rPr>
      </w:pPr>
      <w:r>
        <w:rPr>
          <w:rFonts w:ascii="Arial"/>
          <w:sz w:val="24"/>
        </w:rPr>
        <w:t>Zoccali C, Mallamaci F, Tripepi G (2003). Inflammation and atherosclerosis in end-stage renal diease. Blood Purif</w:t>
      </w:r>
      <w:r>
        <w:rPr>
          <w:rFonts w:ascii="Arial"/>
          <w:spacing w:val="-4"/>
          <w:sz w:val="24"/>
        </w:rPr>
        <w:t> </w:t>
      </w:r>
      <w:r>
        <w:rPr>
          <w:rFonts w:ascii="Arial"/>
          <w:sz w:val="24"/>
        </w:rPr>
        <w:t>21(1):29-36.</w:t>
      </w:r>
    </w:p>
    <w:p>
      <w:pPr>
        <w:spacing w:after="0" w:line="463" w:lineRule="auto"/>
        <w:jc w:val="both"/>
        <w:rPr>
          <w:rFonts w:ascii="Arial"/>
          <w:sz w:val="24"/>
        </w:rPr>
        <w:sectPr>
          <w:pgSz w:w="12240" w:h="15840"/>
          <w:pgMar w:header="742" w:footer="748" w:top="980" w:bottom="940" w:left="1620" w:right="180"/>
        </w:sectPr>
      </w:pPr>
    </w:p>
    <w:p>
      <w:pPr>
        <w:pStyle w:val="BodyText"/>
        <w:rPr>
          <w:sz w:val="20"/>
        </w:rPr>
      </w:pPr>
    </w:p>
    <w:p>
      <w:pPr>
        <w:pStyle w:val="BodyText"/>
        <w:rPr>
          <w:sz w:val="20"/>
        </w:rPr>
      </w:pPr>
    </w:p>
    <w:p>
      <w:pPr>
        <w:pStyle w:val="BodyText"/>
        <w:spacing w:before="4"/>
        <w:rPr>
          <w:sz w:val="21"/>
        </w:rPr>
      </w:pPr>
    </w:p>
    <w:p>
      <w:pPr>
        <w:pStyle w:val="Heading1"/>
        <w:spacing w:before="0"/>
        <w:jc w:val="left"/>
      </w:pPr>
      <w:bookmarkStart w:name="_TOC_250001" w:id="26"/>
      <w:bookmarkEnd w:id="26"/>
      <w:r>
        <w:rPr/>
        <w:t>CAPITULO IX</w:t>
      </w:r>
    </w:p>
    <w:p>
      <w:pPr>
        <w:pStyle w:val="BodyText"/>
        <w:rPr>
          <w:b/>
        </w:rPr>
      </w:pPr>
    </w:p>
    <w:p>
      <w:pPr>
        <w:pStyle w:val="BodyText"/>
        <w:rPr>
          <w:b/>
        </w:rPr>
      </w:pPr>
    </w:p>
    <w:p>
      <w:pPr>
        <w:pStyle w:val="BodyText"/>
        <w:rPr>
          <w:b/>
        </w:rPr>
      </w:pPr>
    </w:p>
    <w:p>
      <w:pPr>
        <w:pStyle w:val="Heading1"/>
        <w:spacing w:before="163"/>
        <w:jc w:val="left"/>
      </w:pPr>
      <w:bookmarkStart w:name="_TOC_250000" w:id="27"/>
      <w:bookmarkEnd w:id="27"/>
      <w:r>
        <w:rPr/>
        <w:t>ANEXO: Artículo científico</w:t>
      </w:r>
    </w:p>
    <w:p>
      <w:pPr>
        <w:spacing w:after="0"/>
        <w:jc w:val="left"/>
        <w:sectPr>
          <w:pgSz w:w="12240" w:h="15840"/>
          <w:pgMar w:header="742" w:footer="748" w:top="980" w:bottom="940" w:left="1620" w:right="180"/>
        </w:sectPr>
      </w:pPr>
    </w:p>
    <w:p>
      <w:pPr>
        <w:tabs>
          <w:tab w:pos="10499" w:val="left" w:leader="none"/>
        </w:tabs>
        <w:spacing w:before="46"/>
        <w:ind w:left="100" w:right="0" w:firstLine="0"/>
        <w:jc w:val="left"/>
        <w:rPr>
          <w:rFonts w:ascii="Lucida Sans Unicode"/>
          <w:sz w:val="14"/>
        </w:rPr>
      </w:pPr>
      <w:r>
        <w:rPr>
          <w:rFonts w:ascii="Lucida Sans Unicode"/>
          <w:sz w:val="14"/>
        </w:rPr>
        <w:t>JCR-Web 4.5</w:t>
      </w:r>
      <w:r>
        <w:rPr>
          <w:rFonts w:ascii="Lucida Sans Unicode"/>
          <w:spacing w:val="-1"/>
          <w:sz w:val="14"/>
        </w:rPr>
        <w:t> </w:t>
      </w:r>
      <w:r>
        <w:rPr>
          <w:rFonts w:ascii="Lucida Sans Unicode"/>
          <w:sz w:val="14"/>
        </w:rPr>
        <w:t>Journal</w:t>
      </w:r>
      <w:r>
        <w:rPr>
          <w:rFonts w:ascii="Lucida Sans Unicode"/>
          <w:spacing w:val="-1"/>
          <w:sz w:val="14"/>
        </w:rPr>
        <w:t> </w:t>
      </w:r>
      <w:r>
        <w:rPr>
          <w:rFonts w:ascii="Lucida Sans Unicode"/>
          <w:sz w:val="14"/>
        </w:rPr>
        <w:t>Information</w:t>
        <w:tab/>
        <w:t>01/07/14</w:t>
      </w:r>
      <w:r>
        <w:rPr>
          <w:rFonts w:ascii="Lucida Sans Unicode"/>
          <w:spacing w:val="-7"/>
          <w:sz w:val="14"/>
        </w:rPr>
        <w:t> </w:t>
      </w:r>
      <w:r>
        <w:rPr>
          <w:rFonts w:ascii="Lucida Sans Unicode"/>
          <w:sz w:val="14"/>
        </w:rPr>
        <w:t>21:03</w:t>
      </w:r>
    </w:p>
    <w:p>
      <w:pPr>
        <w:pStyle w:val="BodyText"/>
        <w:spacing w:before="8"/>
        <w:rPr>
          <w:rFonts w:ascii="Lucida Sans Unicode"/>
          <w:sz w:val="21"/>
        </w:rPr>
      </w:pPr>
      <w:r>
        <w:rPr/>
        <w:drawing>
          <wp:anchor distT="0" distB="0" distL="0" distR="0" allowOverlap="1" layoutInCell="1" locked="0" behindDoc="0" simplePos="0" relativeHeight="1408">
            <wp:simplePos x="0" y="0"/>
            <wp:positionH relativeFrom="page">
              <wp:posOffset>312420</wp:posOffset>
            </wp:positionH>
            <wp:positionV relativeFrom="paragraph">
              <wp:posOffset>235209</wp:posOffset>
            </wp:positionV>
            <wp:extent cx="2802731" cy="315944"/>
            <wp:effectExtent l="0" t="0" r="0" b="0"/>
            <wp:wrapTopAndBottom/>
            <wp:docPr id="37" name="image6.png" descr=""/>
            <wp:cNvGraphicFramePr>
              <a:graphicFrameLocks noChangeAspect="1"/>
            </wp:cNvGraphicFramePr>
            <a:graphic>
              <a:graphicData uri="http://schemas.openxmlformats.org/drawingml/2006/picture">
                <pic:pic>
                  <pic:nvPicPr>
                    <pic:cNvPr id="38" name="image6.png"/>
                    <pic:cNvPicPr/>
                  </pic:nvPicPr>
                  <pic:blipFill>
                    <a:blip r:embed="rId30" cstate="print"/>
                    <a:stretch>
                      <a:fillRect/>
                    </a:stretch>
                  </pic:blipFill>
                  <pic:spPr>
                    <a:xfrm>
                      <a:off x="0" y="0"/>
                      <a:ext cx="2802731" cy="315944"/>
                    </a:xfrm>
                    <a:prstGeom prst="rect">
                      <a:avLst/>
                    </a:prstGeom>
                  </pic:spPr>
                </pic:pic>
              </a:graphicData>
            </a:graphic>
          </wp:anchor>
        </w:drawing>
      </w:r>
    </w:p>
    <w:p>
      <w:pPr>
        <w:pStyle w:val="BodyText"/>
        <w:rPr>
          <w:rFonts w:ascii="Lucida Sans Unicode"/>
          <w:sz w:val="20"/>
        </w:rPr>
      </w:pPr>
    </w:p>
    <w:p>
      <w:pPr>
        <w:pStyle w:val="BodyText"/>
        <w:rPr>
          <w:rFonts w:ascii="Lucida Sans Unicode"/>
          <w:sz w:val="20"/>
        </w:rPr>
      </w:pPr>
    </w:p>
    <w:p>
      <w:pPr>
        <w:pStyle w:val="BodyText"/>
        <w:spacing w:before="4"/>
        <w:rPr>
          <w:rFonts w:ascii="Lucida Sans Unicode"/>
          <w:sz w:val="15"/>
        </w:rPr>
      </w:pPr>
    </w:p>
    <w:p>
      <w:pPr>
        <w:spacing w:before="71"/>
        <w:ind w:left="0" w:right="277" w:firstLine="0"/>
        <w:jc w:val="right"/>
        <w:rPr>
          <w:rFonts w:ascii="Verdana"/>
          <w:b/>
          <w:sz w:val="20"/>
        </w:rPr>
      </w:pPr>
      <w:r>
        <w:rPr/>
        <w:pict>
          <v:group style="position:absolute;margin-left:27pt;margin-top:-31.996288pt;width:245.6pt;height:52.8pt;mso-position-horizontal-relative:page;mso-position-vertical-relative:paragraph;z-index:1624" coordorigin="540,-640" coordsize="4912,1056">
            <v:shape style="position:absolute;left:540;top:-640;width:4304;height:496" type="#_x0000_t75" stroked="false">
              <v:imagedata r:id="rId31" o:title=""/>
            </v:shape>
            <v:shape style="position:absolute;left:540;top:-80;width:1216;height:496" type="#_x0000_t75" stroked="false">
              <v:imagedata r:id="rId32" o:title=""/>
            </v:shape>
            <v:shape style="position:absolute;left:1820;top:-80;width:832;height:496" type="#_x0000_t75" stroked="false">
              <v:imagedata r:id="rId33" o:title=""/>
            </v:shape>
            <v:shape style="position:absolute;left:2732;top:-80;width:1328;height:496" type="#_x0000_t75" stroked="false">
              <v:imagedata r:id="rId34" o:title=""/>
            </v:shape>
            <v:shape style="position:absolute;left:4124;top:-80;width:1328;height:496" type="#_x0000_t75" stroked="false">
              <v:imagedata r:id="rId35" o:title=""/>
            </v:shape>
            <w10:wrap type="none"/>
          </v:group>
        </w:pict>
      </w:r>
      <w:r>
        <w:rPr/>
        <w:drawing>
          <wp:anchor distT="0" distB="0" distL="0" distR="0" allowOverlap="1" layoutInCell="1" locked="0" behindDoc="0" simplePos="0" relativeHeight="1648">
            <wp:simplePos x="0" y="0"/>
            <wp:positionH relativeFrom="page">
              <wp:posOffset>3512820</wp:posOffset>
            </wp:positionH>
            <wp:positionV relativeFrom="paragraph">
              <wp:posOffset>-50752</wp:posOffset>
            </wp:positionV>
            <wp:extent cx="843279" cy="314959"/>
            <wp:effectExtent l="0" t="0" r="0" b="0"/>
            <wp:wrapNone/>
            <wp:docPr id="39" name="image12.png" descr=""/>
            <wp:cNvGraphicFramePr>
              <a:graphicFrameLocks noChangeAspect="1"/>
            </wp:cNvGraphicFramePr>
            <a:graphic>
              <a:graphicData uri="http://schemas.openxmlformats.org/drawingml/2006/picture">
                <pic:pic>
                  <pic:nvPicPr>
                    <pic:cNvPr id="40" name="image12.png"/>
                    <pic:cNvPicPr/>
                  </pic:nvPicPr>
                  <pic:blipFill>
                    <a:blip r:embed="rId36" cstate="print"/>
                    <a:stretch>
                      <a:fillRect/>
                    </a:stretch>
                  </pic:blipFill>
                  <pic:spPr>
                    <a:xfrm>
                      <a:off x="0" y="0"/>
                      <a:ext cx="843279" cy="314959"/>
                    </a:xfrm>
                    <a:prstGeom prst="rect">
                      <a:avLst/>
                    </a:prstGeom>
                  </pic:spPr>
                </pic:pic>
              </a:graphicData>
            </a:graphic>
          </wp:anchor>
        </w:drawing>
      </w:r>
      <w:r>
        <w:rPr>
          <w:rFonts w:ascii="Verdana"/>
          <w:b/>
          <w:color w:val="333333"/>
          <w:w w:val="105"/>
          <w:sz w:val="20"/>
        </w:rPr>
        <w:t>2012 JCR Science Edition</w:t>
      </w:r>
    </w:p>
    <w:p>
      <w:pPr>
        <w:pStyle w:val="BodyText"/>
        <w:spacing w:before="11"/>
        <w:rPr>
          <w:rFonts w:ascii="Verdana"/>
          <w:b/>
          <w:sz w:val="14"/>
        </w:rPr>
      </w:pPr>
    </w:p>
    <w:p>
      <w:pPr>
        <w:spacing w:line="247" w:lineRule="auto" w:before="1"/>
        <w:ind w:left="356" w:right="159" w:firstLine="0"/>
        <w:jc w:val="left"/>
        <w:rPr>
          <w:rFonts w:ascii="Verdana"/>
          <w:b/>
          <w:sz w:val="28"/>
        </w:rPr>
      </w:pPr>
      <w:r>
        <w:rPr/>
        <w:drawing>
          <wp:anchor distT="0" distB="0" distL="0" distR="0" allowOverlap="1" layoutInCell="1" locked="0" behindDoc="0" simplePos="0" relativeHeight="1672">
            <wp:simplePos x="0" y="0"/>
            <wp:positionH relativeFrom="page">
              <wp:posOffset>3512820</wp:posOffset>
            </wp:positionH>
            <wp:positionV relativeFrom="paragraph">
              <wp:posOffset>1483994</wp:posOffset>
            </wp:positionV>
            <wp:extent cx="193643" cy="173259"/>
            <wp:effectExtent l="0" t="0" r="0" b="0"/>
            <wp:wrapNone/>
            <wp:docPr id="41" name="image13.png" descr=""/>
            <wp:cNvGraphicFramePr>
              <a:graphicFrameLocks noChangeAspect="1"/>
            </wp:cNvGraphicFramePr>
            <a:graphic>
              <a:graphicData uri="http://schemas.openxmlformats.org/drawingml/2006/picture">
                <pic:pic>
                  <pic:nvPicPr>
                    <pic:cNvPr id="42" name="image13.png"/>
                    <pic:cNvPicPr/>
                  </pic:nvPicPr>
                  <pic:blipFill>
                    <a:blip r:embed="rId37" cstate="print"/>
                    <a:stretch>
                      <a:fillRect/>
                    </a:stretch>
                  </pic:blipFill>
                  <pic:spPr>
                    <a:xfrm>
                      <a:off x="0" y="0"/>
                      <a:ext cx="193643" cy="173259"/>
                    </a:xfrm>
                    <a:prstGeom prst="rect">
                      <a:avLst/>
                    </a:prstGeom>
                  </pic:spPr>
                </pic:pic>
              </a:graphicData>
            </a:graphic>
          </wp:anchor>
        </w:drawing>
      </w:r>
      <w:r>
        <w:rPr/>
        <w:drawing>
          <wp:inline distT="0" distB="0" distL="0" distR="0">
            <wp:extent cx="172719" cy="203200"/>
            <wp:effectExtent l="0" t="0" r="0" b="0"/>
            <wp:docPr id="43" name="image14.png" descr=""/>
            <wp:cNvGraphicFramePr>
              <a:graphicFrameLocks noChangeAspect="1"/>
            </wp:cNvGraphicFramePr>
            <a:graphic>
              <a:graphicData uri="http://schemas.openxmlformats.org/drawingml/2006/picture">
                <pic:pic>
                  <pic:nvPicPr>
                    <pic:cNvPr id="44" name="image14.png"/>
                    <pic:cNvPicPr/>
                  </pic:nvPicPr>
                  <pic:blipFill>
                    <a:blip r:embed="rId38" cstate="print"/>
                    <a:stretch>
                      <a:fillRect/>
                    </a:stretch>
                  </pic:blipFill>
                  <pic:spPr>
                    <a:xfrm>
                      <a:off x="0" y="0"/>
                      <a:ext cx="172719" cy="203200"/>
                    </a:xfrm>
                    <a:prstGeom prst="rect">
                      <a:avLst/>
                    </a:prstGeom>
                  </pic:spPr>
                </pic:pic>
              </a:graphicData>
            </a:graphic>
          </wp:inline>
        </w:drawing>
      </w:r>
      <w:r>
        <w:rPr/>
      </w:r>
      <w:r>
        <w:rPr>
          <w:rFonts w:ascii="Times New Roman"/>
          <w:sz w:val="20"/>
        </w:rPr>
        <w:t> </w:t>
      </w:r>
      <w:r>
        <w:rPr>
          <w:rFonts w:ascii="Verdana"/>
          <w:b/>
          <w:color w:val="5B5B5B"/>
          <w:sz w:val="29"/>
        </w:rPr>
        <w:t>Journal: </w:t>
      </w:r>
      <w:r>
        <w:rPr>
          <w:rFonts w:ascii="Verdana"/>
          <w:b/>
          <w:color w:val="333333"/>
          <w:sz w:val="29"/>
        </w:rPr>
        <w:t>JAVMA-JOURNAL OF THE AMERICAN</w:t>
      </w:r>
      <w:r>
        <w:rPr>
          <w:rFonts w:ascii="Verdana"/>
          <w:b/>
          <w:color w:val="333333"/>
          <w:spacing w:val="-62"/>
          <w:sz w:val="29"/>
        </w:rPr>
        <w:t> </w:t>
      </w:r>
      <w:r>
        <w:rPr>
          <w:rFonts w:ascii="Verdana"/>
          <w:b/>
          <w:color w:val="333333"/>
          <w:sz w:val="29"/>
        </w:rPr>
        <w:t>VETERINARY </w:t>
      </w:r>
      <w:r>
        <w:rPr>
          <w:rFonts w:ascii="Verdana"/>
          <w:b/>
          <w:color w:val="333333"/>
          <w:sz w:val="28"/>
        </w:rPr>
        <w:t>MEDICAL </w:t>
      </w:r>
      <w:r>
        <w:rPr>
          <w:rFonts w:ascii="Verdana"/>
          <w:b/>
          <w:color w:val="333333"/>
          <w:spacing w:val="7"/>
          <w:sz w:val="28"/>
        </w:rPr>
        <w:t> </w:t>
      </w:r>
      <w:r>
        <w:rPr>
          <w:rFonts w:ascii="Verdana"/>
          <w:b/>
          <w:color w:val="333333"/>
          <w:sz w:val="28"/>
        </w:rPr>
        <w:t>ASSOCIATION</w:t>
      </w:r>
    </w:p>
    <w:p>
      <w:pPr>
        <w:pStyle w:val="BodyText"/>
        <w:spacing w:before="11"/>
        <w:rPr>
          <w:rFonts w:ascii="Verdana"/>
          <w:b/>
          <w:sz w:val="23"/>
        </w:rPr>
      </w:pPr>
    </w:p>
    <w:tbl>
      <w:tblPr>
        <w:tblW w:w="0" w:type="auto"/>
        <w:jc w:val="left"/>
        <w:tblInd w:w="220" w:type="dxa"/>
        <w:tblBorders>
          <w:top w:val="single" w:sz="13" w:space="0" w:color="CCCCCC"/>
          <w:left w:val="single" w:sz="13" w:space="0" w:color="CCCCCC"/>
          <w:bottom w:val="single" w:sz="13" w:space="0" w:color="CCCCCC"/>
          <w:right w:val="single" w:sz="13" w:space="0" w:color="CCCCCC"/>
          <w:insideH w:val="single" w:sz="13" w:space="0" w:color="CCCCCC"/>
          <w:insideV w:val="single" w:sz="13" w:space="0" w:color="CCCCCC"/>
        </w:tblBorders>
        <w:tblLayout w:type="fixed"/>
        <w:tblCellMar>
          <w:top w:w="0" w:type="dxa"/>
          <w:left w:w="0" w:type="dxa"/>
          <w:bottom w:w="0" w:type="dxa"/>
          <w:right w:w="0" w:type="dxa"/>
        </w:tblCellMar>
        <w:tblLook w:val="01E0"/>
      </w:tblPr>
      <w:tblGrid>
        <w:gridCol w:w="648"/>
        <w:gridCol w:w="2656"/>
        <w:gridCol w:w="1264"/>
        <w:gridCol w:w="717"/>
        <w:gridCol w:w="531"/>
        <w:gridCol w:w="880"/>
        <w:gridCol w:w="319"/>
        <w:gridCol w:w="561"/>
        <w:gridCol w:w="1312"/>
        <w:gridCol w:w="848"/>
        <w:gridCol w:w="752"/>
        <w:gridCol w:w="760"/>
      </w:tblGrid>
      <w:tr>
        <w:trPr>
          <w:trHeight w:val="824" w:hRule="exact"/>
        </w:trPr>
        <w:tc>
          <w:tcPr>
            <w:tcW w:w="648" w:type="dxa"/>
          </w:tcPr>
          <w:p>
            <w:pPr>
              <w:pStyle w:val="TableParagraph"/>
              <w:rPr>
                <w:rFonts w:ascii="Verdana"/>
                <w:b/>
                <w:sz w:val="18"/>
              </w:rPr>
            </w:pPr>
          </w:p>
          <w:p>
            <w:pPr>
              <w:pStyle w:val="TableParagraph"/>
              <w:spacing w:before="10"/>
              <w:rPr>
                <w:rFonts w:ascii="Verdana"/>
                <w:b/>
                <w:sz w:val="24"/>
              </w:rPr>
            </w:pPr>
          </w:p>
          <w:p>
            <w:pPr>
              <w:pStyle w:val="TableParagraph"/>
              <w:ind w:left="44"/>
              <w:rPr>
                <w:rFonts w:ascii="Verdana"/>
                <w:b/>
                <w:sz w:val="19"/>
              </w:rPr>
            </w:pPr>
            <w:r>
              <w:rPr>
                <w:rFonts w:ascii="Verdana"/>
                <w:b/>
                <w:color w:val="525252"/>
                <w:sz w:val="19"/>
              </w:rPr>
              <w:t>Mark</w:t>
            </w:r>
          </w:p>
        </w:tc>
        <w:tc>
          <w:tcPr>
            <w:tcW w:w="2656" w:type="dxa"/>
          </w:tcPr>
          <w:p>
            <w:pPr>
              <w:pStyle w:val="TableParagraph"/>
              <w:rPr>
                <w:rFonts w:ascii="Verdana"/>
                <w:b/>
                <w:sz w:val="18"/>
              </w:rPr>
            </w:pPr>
          </w:p>
          <w:p>
            <w:pPr>
              <w:pStyle w:val="TableParagraph"/>
              <w:spacing w:before="10"/>
              <w:rPr>
                <w:rFonts w:ascii="Verdana"/>
                <w:b/>
                <w:sz w:val="24"/>
              </w:rPr>
            </w:pPr>
          </w:p>
          <w:p>
            <w:pPr>
              <w:pStyle w:val="TableParagraph"/>
              <w:ind w:left="640"/>
              <w:rPr>
                <w:rFonts w:ascii="Verdana"/>
                <w:b/>
                <w:sz w:val="19"/>
              </w:rPr>
            </w:pPr>
            <w:r>
              <w:rPr>
                <w:rFonts w:ascii="Verdana"/>
                <w:b/>
                <w:color w:val="525252"/>
                <w:sz w:val="19"/>
              </w:rPr>
              <w:t>Journal Title</w:t>
            </w:r>
          </w:p>
        </w:tc>
        <w:tc>
          <w:tcPr>
            <w:tcW w:w="1264" w:type="dxa"/>
          </w:tcPr>
          <w:p>
            <w:pPr>
              <w:pStyle w:val="TableParagraph"/>
              <w:rPr>
                <w:rFonts w:ascii="Verdana"/>
                <w:b/>
                <w:sz w:val="18"/>
              </w:rPr>
            </w:pPr>
          </w:p>
          <w:p>
            <w:pPr>
              <w:pStyle w:val="TableParagraph"/>
              <w:spacing w:before="10"/>
              <w:rPr>
                <w:rFonts w:ascii="Verdana"/>
                <w:b/>
                <w:sz w:val="24"/>
              </w:rPr>
            </w:pPr>
          </w:p>
          <w:p>
            <w:pPr>
              <w:pStyle w:val="TableParagraph"/>
              <w:ind w:left="14" w:right="14"/>
              <w:jc w:val="center"/>
              <w:rPr>
                <w:rFonts w:ascii="Verdana"/>
                <w:b/>
                <w:sz w:val="19"/>
              </w:rPr>
            </w:pPr>
            <w:r>
              <w:rPr>
                <w:rFonts w:ascii="Verdana"/>
                <w:b/>
                <w:color w:val="525252"/>
                <w:sz w:val="19"/>
              </w:rPr>
              <w:t>ISSN</w:t>
            </w:r>
          </w:p>
        </w:tc>
        <w:tc>
          <w:tcPr>
            <w:tcW w:w="1248" w:type="dxa"/>
            <w:gridSpan w:val="2"/>
          </w:tcPr>
          <w:p>
            <w:pPr>
              <w:pStyle w:val="TableParagraph"/>
              <w:rPr>
                <w:rFonts w:ascii="Verdana"/>
                <w:b/>
                <w:sz w:val="18"/>
              </w:rPr>
            </w:pPr>
          </w:p>
          <w:p>
            <w:pPr>
              <w:pStyle w:val="TableParagraph"/>
              <w:spacing w:before="10"/>
              <w:rPr>
                <w:rFonts w:ascii="Verdana"/>
                <w:b/>
                <w:sz w:val="24"/>
              </w:rPr>
            </w:pPr>
          </w:p>
          <w:p>
            <w:pPr>
              <w:pStyle w:val="TableParagraph"/>
              <w:ind w:left="36"/>
              <w:rPr>
                <w:rFonts w:ascii="Verdana"/>
                <w:b/>
                <w:sz w:val="19"/>
              </w:rPr>
            </w:pPr>
            <w:r>
              <w:rPr>
                <w:rFonts w:ascii="Verdana"/>
                <w:b/>
                <w:color w:val="525252"/>
                <w:sz w:val="19"/>
              </w:rPr>
              <w:t>Total Cites</w:t>
            </w:r>
          </w:p>
        </w:tc>
        <w:tc>
          <w:tcPr>
            <w:tcW w:w="880" w:type="dxa"/>
          </w:tcPr>
          <w:p>
            <w:pPr>
              <w:pStyle w:val="TableParagraph"/>
              <w:spacing w:before="1"/>
              <w:rPr>
                <w:rFonts w:ascii="Verdana"/>
                <w:b/>
                <w:sz w:val="23"/>
              </w:rPr>
            </w:pPr>
          </w:p>
          <w:p>
            <w:pPr>
              <w:pStyle w:val="TableParagraph"/>
              <w:spacing w:line="249" w:lineRule="auto"/>
              <w:ind w:left="83" w:right="28" w:hanging="46"/>
              <w:rPr>
                <w:rFonts w:ascii="Verdana"/>
                <w:b/>
                <w:sz w:val="19"/>
              </w:rPr>
            </w:pPr>
            <w:r>
              <w:rPr>
                <w:rFonts w:ascii="Verdana"/>
                <w:b/>
                <w:color w:val="525252"/>
                <w:sz w:val="19"/>
              </w:rPr>
              <w:t>Impact Factor</w:t>
            </w:r>
          </w:p>
        </w:tc>
        <w:tc>
          <w:tcPr>
            <w:tcW w:w="880" w:type="dxa"/>
            <w:gridSpan w:val="2"/>
          </w:tcPr>
          <w:p>
            <w:pPr>
              <w:pStyle w:val="TableParagraph"/>
              <w:spacing w:line="249" w:lineRule="auto" w:before="41"/>
              <w:ind w:left="38" w:right="36" w:firstLine="24"/>
              <w:jc w:val="both"/>
              <w:rPr>
                <w:rFonts w:ascii="Verdana"/>
                <w:b/>
                <w:sz w:val="19"/>
              </w:rPr>
            </w:pPr>
            <w:r>
              <w:rPr>
                <w:rFonts w:ascii="Verdana"/>
                <w:b/>
                <w:color w:val="525252"/>
                <w:sz w:val="19"/>
              </w:rPr>
              <w:t>5-Year Impact Factor</w:t>
            </w:r>
          </w:p>
        </w:tc>
        <w:tc>
          <w:tcPr>
            <w:tcW w:w="1312" w:type="dxa"/>
          </w:tcPr>
          <w:p>
            <w:pPr>
              <w:pStyle w:val="TableParagraph"/>
              <w:spacing w:before="1"/>
              <w:rPr>
                <w:rFonts w:ascii="Verdana"/>
                <w:b/>
                <w:sz w:val="23"/>
              </w:rPr>
            </w:pPr>
          </w:p>
          <w:p>
            <w:pPr>
              <w:pStyle w:val="TableParagraph"/>
              <w:spacing w:line="249" w:lineRule="auto"/>
              <w:ind w:left="324" w:right="30" w:hanging="287"/>
              <w:rPr>
                <w:rFonts w:ascii="Verdana"/>
                <w:b/>
                <w:sz w:val="19"/>
              </w:rPr>
            </w:pPr>
            <w:r>
              <w:rPr>
                <w:rFonts w:ascii="Verdana"/>
                <w:b/>
                <w:color w:val="525252"/>
                <w:sz w:val="19"/>
              </w:rPr>
              <w:t>Immediacy Index</w:t>
            </w:r>
          </w:p>
        </w:tc>
        <w:tc>
          <w:tcPr>
            <w:tcW w:w="848" w:type="dxa"/>
          </w:tcPr>
          <w:p>
            <w:pPr>
              <w:pStyle w:val="TableParagraph"/>
              <w:spacing w:before="1"/>
              <w:rPr>
                <w:rFonts w:ascii="Verdana"/>
                <w:b/>
                <w:sz w:val="23"/>
              </w:rPr>
            </w:pPr>
          </w:p>
          <w:p>
            <w:pPr>
              <w:pStyle w:val="TableParagraph"/>
              <w:spacing w:line="249" w:lineRule="auto"/>
              <w:ind w:left="89" w:right="23" w:hanging="56"/>
              <w:rPr>
                <w:rFonts w:ascii="Verdana"/>
                <w:b/>
                <w:sz w:val="19"/>
              </w:rPr>
            </w:pPr>
            <w:r>
              <w:rPr>
                <w:rFonts w:ascii="Verdana"/>
                <w:b/>
                <w:color w:val="525252"/>
                <w:sz w:val="19"/>
              </w:rPr>
              <w:t>Citable Items</w:t>
            </w:r>
          </w:p>
        </w:tc>
        <w:tc>
          <w:tcPr>
            <w:tcW w:w="752" w:type="dxa"/>
          </w:tcPr>
          <w:p>
            <w:pPr>
              <w:pStyle w:val="TableParagraph"/>
              <w:spacing w:line="249" w:lineRule="auto" w:before="41"/>
              <w:ind w:left="96" w:right="81" w:hanging="13"/>
              <w:jc w:val="both"/>
              <w:rPr>
                <w:rFonts w:ascii="Verdana"/>
                <w:b/>
                <w:sz w:val="19"/>
              </w:rPr>
            </w:pPr>
            <w:r>
              <w:rPr>
                <w:rFonts w:ascii="Verdana"/>
                <w:b/>
                <w:color w:val="525252"/>
                <w:sz w:val="19"/>
              </w:rPr>
              <w:t>Cited Half- life</w:t>
            </w:r>
          </w:p>
        </w:tc>
        <w:tc>
          <w:tcPr>
            <w:tcW w:w="760" w:type="dxa"/>
          </w:tcPr>
          <w:p>
            <w:pPr>
              <w:pStyle w:val="TableParagraph"/>
              <w:spacing w:line="249" w:lineRule="auto" w:before="41"/>
              <w:ind w:left="96" w:right="51" w:hanging="51"/>
              <w:jc w:val="both"/>
              <w:rPr>
                <w:rFonts w:ascii="Verdana"/>
                <w:b/>
                <w:sz w:val="19"/>
              </w:rPr>
            </w:pPr>
            <w:r>
              <w:rPr>
                <w:rFonts w:ascii="Verdana"/>
                <w:b/>
                <w:color w:val="525252"/>
                <w:sz w:val="19"/>
              </w:rPr>
              <w:t>Citing Half- life</w:t>
            </w:r>
          </w:p>
        </w:tc>
      </w:tr>
      <w:tr>
        <w:trPr>
          <w:trHeight w:val="424" w:hRule="exact"/>
        </w:trPr>
        <w:tc>
          <w:tcPr>
            <w:tcW w:w="648" w:type="dxa"/>
            <w:tcBorders>
              <w:bottom w:val="single" w:sz="6" w:space="0" w:color="CCCCCC"/>
            </w:tcBorders>
          </w:tcPr>
          <w:p>
            <w:pPr>
              <w:pStyle w:val="TableParagraph"/>
              <w:spacing w:before="7"/>
              <w:rPr>
                <w:rFonts w:ascii="Verdana"/>
                <w:b/>
                <w:sz w:val="2"/>
              </w:rPr>
            </w:pPr>
          </w:p>
          <w:p>
            <w:pPr>
              <w:pStyle w:val="TableParagraph"/>
              <w:ind w:left="152"/>
              <w:rPr>
                <w:rFonts w:ascii="Verdana"/>
                <w:sz w:val="20"/>
              </w:rPr>
            </w:pPr>
            <w:r>
              <w:rPr>
                <w:rFonts w:ascii="Verdana"/>
                <w:sz w:val="20"/>
              </w:rPr>
              <w:drawing>
                <wp:inline distT="0" distB="0" distL="0" distR="0">
                  <wp:extent cx="203835" cy="203834"/>
                  <wp:effectExtent l="0" t="0" r="0" b="0"/>
                  <wp:docPr id="45" name="image15.png" descr=""/>
                  <wp:cNvGraphicFramePr>
                    <a:graphicFrameLocks noChangeAspect="1"/>
                  </wp:cNvGraphicFramePr>
                  <a:graphic>
                    <a:graphicData uri="http://schemas.openxmlformats.org/drawingml/2006/picture">
                      <pic:pic>
                        <pic:nvPicPr>
                          <pic:cNvPr id="46" name="image15.png"/>
                          <pic:cNvPicPr/>
                        </pic:nvPicPr>
                        <pic:blipFill>
                          <a:blip r:embed="rId39" cstate="print"/>
                          <a:stretch>
                            <a:fillRect/>
                          </a:stretch>
                        </pic:blipFill>
                        <pic:spPr>
                          <a:xfrm>
                            <a:off x="0" y="0"/>
                            <a:ext cx="203835" cy="203834"/>
                          </a:xfrm>
                          <a:prstGeom prst="rect">
                            <a:avLst/>
                          </a:prstGeom>
                        </pic:spPr>
                      </pic:pic>
                    </a:graphicData>
                  </a:graphic>
                </wp:inline>
              </w:drawing>
            </w:r>
            <w:r>
              <w:rPr>
                <w:rFonts w:ascii="Verdana"/>
                <w:sz w:val="20"/>
              </w:rPr>
            </w:r>
          </w:p>
        </w:tc>
        <w:tc>
          <w:tcPr>
            <w:tcW w:w="2656" w:type="dxa"/>
            <w:tcBorders>
              <w:bottom w:val="single" w:sz="6" w:space="0" w:color="CCCCCC"/>
            </w:tcBorders>
          </w:tcPr>
          <w:p>
            <w:pPr>
              <w:pStyle w:val="TableParagraph"/>
              <w:spacing w:before="61"/>
              <w:ind w:left="64"/>
              <w:rPr>
                <w:rFonts w:ascii="Verdana"/>
                <w:sz w:val="21"/>
              </w:rPr>
            </w:pPr>
            <w:r>
              <w:rPr>
                <w:rFonts w:ascii="Verdana"/>
                <w:color w:val="0000FF"/>
                <w:sz w:val="21"/>
                <w:u w:val="single" w:color="0000FF"/>
              </w:rPr>
              <w:t>JAVMA-J AM VET MED A</w:t>
            </w:r>
          </w:p>
        </w:tc>
        <w:tc>
          <w:tcPr>
            <w:tcW w:w="1264" w:type="dxa"/>
            <w:tcBorders>
              <w:bottom w:val="single" w:sz="6" w:space="0" w:color="CCCCCC"/>
            </w:tcBorders>
          </w:tcPr>
          <w:p>
            <w:pPr>
              <w:pStyle w:val="TableParagraph"/>
              <w:spacing w:before="61"/>
              <w:ind w:left="14" w:right="14"/>
              <w:jc w:val="center"/>
              <w:rPr>
                <w:rFonts w:ascii="Verdana"/>
                <w:sz w:val="21"/>
              </w:rPr>
            </w:pPr>
            <w:r>
              <w:rPr>
                <w:rFonts w:ascii="Verdana"/>
                <w:sz w:val="21"/>
              </w:rPr>
              <w:t>0003-1488</w:t>
            </w:r>
          </w:p>
        </w:tc>
        <w:tc>
          <w:tcPr>
            <w:tcW w:w="1248" w:type="dxa"/>
            <w:gridSpan w:val="2"/>
            <w:tcBorders>
              <w:bottom w:val="single" w:sz="6" w:space="0" w:color="CCCCCC"/>
            </w:tcBorders>
          </w:tcPr>
          <w:p>
            <w:pPr>
              <w:pStyle w:val="TableParagraph"/>
              <w:spacing w:before="61"/>
              <w:ind w:left="277"/>
              <w:rPr>
                <w:rFonts w:ascii="Verdana"/>
                <w:sz w:val="21"/>
              </w:rPr>
            </w:pPr>
            <w:r>
              <w:rPr>
                <w:rFonts w:ascii="Verdana"/>
                <w:sz w:val="21"/>
              </w:rPr>
              <w:t>11532</w:t>
            </w:r>
          </w:p>
        </w:tc>
        <w:tc>
          <w:tcPr>
            <w:tcW w:w="880" w:type="dxa"/>
            <w:tcBorders>
              <w:bottom w:val="single" w:sz="6" w:space="0" w:color="CCCCCC"/>
            </w:tcBorders>
          </w:tcPr>
          <w:p>
            <w:pPr>
              <w:pStyle w:val="TableParagraph"/>
              <w:spacing w:before="61"/>
              <w:ind w:left="121" w:right="28"/>
              <w:rPr>
                <w:rFonts w:ascii="Verdana"/>
                <w:sz w:val="21"/>
              </w:rPr>
            </w:pPr>
            <w:r>
              <w:rPr>
                <w:rFonts w:ascii="Verdana"/>
                <w:color w:val="0000FF"/>
                <w:sz w:val="21"/>
                <w:u w:val="single" w:color="0000FF"/>
              </w:rPr>
              <w:t>1.715</w:t>
            </w:r>
          </w:p>
        </w:tc>
        <w:tc>
          <w:tcPr>
            <w:tcW w:w="880" w:type="dxa"/>
            <w:gridSpan w:val="2"/>
            <w:tcBorders>
              <w:bottom w:val="single" w:sz="6" w:space="0" w:color="CCCCCC"/>
            </w:tcBorders>
          </w:tcPr>
          <w:p>
            <w:pPr>
              <w:pStyle w:val="TableParagraph"/>
              <w:spacing w:before="61"/>
              <w:ind w:left="121" w:right="28"/>
              <w:rPr>
                <w:rFonts w:ascii="Verdana"/>
                <w:sz w:val="21"/>
              </w:rPr>
            </w:pPr>
            <w:r>
              <w:rPr>
                <w:rFonts w:ascii="Verdana"/>
                <w:color w:val="0000FF"/>
                <w:sz w:val="21"/>
                <w:u w:val="single" w:color="0000FF"/>
              </w:rPr>
              <w:t>1.954</w:t>
            </w:r>
          </w:p>
        </w:tc>
        <w:tc>
          <w:tcPr>
            <w:tcW w:w="1312" w:type="dxa"/>
            <w:tcBorders>
              <w:bottom w:val="single" w:sz="6" w:space="0" w:color="CCCCCC"/>
            </w:tcBorders>
          </w:tcPr>
          <w:p>
            <w:pPr>
              <w:pStyle w:val="TableParagraph"/>
              <w:spacing w:before="61"/>
              <w:ind w:left="337" w:right="30"/>
              <w:rPr>
                <w:rFonts w:ascii="Verdana"/>
                <w:sz w:val="21"/>
              </w:rPr>
            </w:pPr>
            <w:r>
              <w:rPr>
                <w:rFonts w:ascii="Verdana"/>
                <w:color w:val="0000FF"/>
                <w:sz w:val="21"/>
                <w:u w:val="single" w:color="0000FF"/>
              </w:rPr>
              <w:t>0.668</w:t>
            </w:r>
          </w:p>
        </w:tc>
        <w:tc>
          <w:tcPr>
            <w:tcW w:w="848" w:type="dxa"/>
            <w:tcBorders>
              <w:bottom w:val="single" w:sz="6" w:space="0" w:color="CCCCCC"/>
            </w:tcBorders>
          </w:tcPr>
          <w:p>
            <w:pPr>
              <w:pStyle w:val="TableParagraph"/>
              <w:spacing w:before="61"/>
              <w:ind w:left="209" w:right="23"/>
              <w:rPr>
                <w:rFonts w:ascii="Verdana"/>
                <w:sz w:val="21"/>
              </w:rPr>
            </w:pPr>
            <w:r>
              <w:rPr>
                <w:rFonts w:ascii="Verdana"/>
                <w:sz w:val="21"/>
              </w:rPr>
              <w:t>196</w:t>
            </w:r>
          </w:p>
        </w:tc>
        <w:tc>
          <w:tcPr>
            <w:tcW w:w="752" w:type="dxa"/>
            <w:tcBorders>
              <w:bottom w:val="single" w:sz="6" w:space="0" w:color="CCCCCC"/>
            </w:tcBorders>
          </w:tcPr>
          <w:p>
            <w:pPr>
              <w:pStyle w:val="TableParagraph"/>
              <w:spacing w:before="61"/>
              <w:ind w:left="38"/>
              <w:rPr>
                <w:rFonts w:ascii="Verdana"/>
                <w:sz w:val="21"/>
              </w:rPr>
            </w:pPr>
            <w:r>
              <w:rPr>
                <w:rFonts w:ascii="Verdana"/>
                <w:color w:val="0000FF"/>
                <w:sz w:val="21"/>
                <w:u w:val="single" w:color="0000FF"/>
              </w:rPr>
              <w:t>&gt;10.0</w:t>
            </w:r>
          </w:p>
        </w:tc>
        <w:tc>
          <w:tcPr>
            <w:tcW w:w="760" w:type="dxa"/>
            <w:tcBorders>
              <w:bottom w:val="single" w:sz="6" w:space="0" w:color="CCCCCC"/>
            </w:tcBorders>
          </w:tcPr>
          <w:p>
            <w:pPr>
              <w:pStyle w:val="TableParagraph"/>
              <w:spacing w:before="61"/>
              <w:ind w:left="38"/>
              <w:rPr>
                <w:rFonts w:ascii="Verdana"/>
                <w:sz w:val="21"/>
              </w:rPr>
            </w:pPr>
            <w:r>
              <w:rPr>
                <w:rFonts w:ascii="Verdana"/>
                <w:color w:val="0000FF"/>
                <w:sz w:val="21"/>
                <w:u w:val="single" w:color="0000FF"/>
              </w:rPr>
              <w:t>&gt;10.0</w:t>
            </w:r>
          </w:p>
        </w:tc>
      </w:tr>
      <w:tr>
        <w:trPr>
          <w:trHeight w:val="360" w:hRule="exact"/>
        </w:trPr>
        <w:tc>
          <w:tcPr>
            <w:tcW w:w="648" w:type="dxa"/>
            <w:tcBorders>
              <w:top w:val="single" w:sz="6" w:space="0" w:color="CCCCCC"/>
              <w:right w:val="nil"/>
            </w:tcBorders>
          </w:tcPr>
          <w:p>
            <w:pPr/>
          </w:p>
        </w:tc>
        <w:tc>
          <w:tcPr>
            <w:tcW w:w="2656" w:type="dxa"/>
            <w:tcBorders>
              <w:top w:val="single" w:sz="6" w:space="0" w:color="CCCCCC"/>
              <w:left w:val="nil"/>
              <w:right w:val="nil"/>
            </w:tcBorders>
          </w:tcPr>
          <w:p>
            <w:pPr>
              <w:pStyle w:val="TableParagraph"/>
              <w:spacing w:before="32"/>
              <w:ind w:left="909" w:right="-17"/>
              <w:rPr>
                <w:rFonts w:ascii="Verdana"/>
                <w:sz w:val="21"/>
              </w:rPr>
            </w:pPr>
            <w:r>
              <w:rPr>
                <w:rFonts w:ascii="Verdana"/>
                <w:color w:val="0000FF"/>
                <w:sz w:val="21"/>
                <w:u w:val="single" w:color="0000FF"/>
              </w:rPr>
              <w:t>Cited</w:t>
            </w:r>
            <w:r>
              <w:rPr>
                <w:rFonts w:ascii="Verdana"/>
                <w:color w:val="0000FF"/>
                <w:spacing w:val="-14"/>
                <w:sz w:val="21"/>
                <w:u w:val="single" w:color="0000FF"/>
              </w:rPr>
              <w:t> </w:t>
            </w:r>
            <w:r>
              <w:rPr>
                <w:rFonts w:ascii="Verdana"/>
                <w:color w:val="0000FF"/>
                <w:sz w:val="21"/>
                <w:u w:val="single" w:color="0000FF"/>
              </w:rPr>
              <w:t>Journal </w:t>
            </w:r>
            <w:r>
              <w:rPr>
                <w:rFonts w:ascii="Verdana"/>
                <w:color w:val="0000FF"/>
                <w:spacing w:val="-1"/>
                <w:position w:val="-4"/>
                <w:sz w:val="21"/>
              </w:rPr>
              <w:drawing>
                <wp:inline distT="0" distB="0" distL="0" distR="0">
                  <wp:extent cx="193643" cy="173259"/>
                  <wp:effectExtent l="0" t="0" r="0" b="0"/>
                  <wp:docPr id="47" name="image13.png" descr=""/>
                  <wp:cNvGraphicFramePr>
                    <a:graphicFrameLocks noChangeAspect="1"/>
                  </wp:cNvGraphicFramePr>
                  <a:graphic>
                    <a:graphicData uri="http://schemas.openxmlformats.org/drawingml/2006/picture">
                      <pic:pic>
                        <pic:nvPicPr>
                          <pic:cNvPr id="48" name="image13.png"/>
                          <pic:cNvPicPr/>
                        </pic:nvPicPr>
                        <pic:blipFill>
                          <a:blip r:embed="rId37" cstate="print"/>
                          <a:stretch>
                            <a:fillRect/>
                          </a:stretch>
                        </pic:blipFill>
                        <pic:spPr>
                          <a:xfrm>
                            <a:off x="0" y="0"/>
                            <a:ext cx="193643" cy="173259"/>
                          </a:xfrm>
                          <a:prstGeom prst="rect">
                            <a:avLst/>
                          </a:prstGeom>
                        </pic:spPr>
                      </pic:pic>
                    </a:graphicData>
                  </a:graphic>
                </wp:inline>
              </w:drawing>
            </w:r>
            <w:r>
              <w:rPr>
                <w:rFonts w:ascii="Verdana"/>
                <w:color w:val="0000FF"/>
                <w:spacing w:val="-1"/>
                <w:position w:val="-4"/>
                <w:sz w:val="21"/>
              </w:rPr>
            </w:r>
          </w:p>
        </w:tc>
        <w:tc>
          <w:tcPr>
            <w:tcW w:w="1981" w:type="dxa"/>
            <w:gridSpan w:val="2"/>
            <w:tcBorders>
              <w:top w:val="single" w:sz="6" w:space="0" w:color="CCCCCC"/>
              <w:left w:val="nil"/>
              <w:right w:val="nil"/>
            </w:tcBorders>
          </w:tcPr>
          <w:p>
            <w:pPr>
              <w:pStyle w:val="TableParagraph"/>
              <w:spacing w:before="45"/>
              <w:ind w:left="215"/>
              <w:rPr>
                <w:rFonts w:ascii="Verdana"/>
                <w:sz w:val="21"/>
              </w:rPr>
            </w:pPr>
            <w:r>
              <w:rPr>
                <w:rFonts w:ascii="Verdana"/>
                <w:color w:val="0000FF"/>
                <w:sz w:val="21"/>
                <w:u w:val="single" w:color="0000FF"/>
              </w:rPr>
              <w:t>Citing Journal </w:t>
            </w:r>
          </w:p>
        </w:tc>
        <w:tc>
          <w:tcPr>
            <w:tcW w:w="1731" w:type="dxa"/>
            <w:gridSpan w:val="3"/>
            <w:tcBorders>
              <w:top w:val="single" w:sz="6" w:space="0" w:color="CCCCCC"/>
              <w:left w:val="nil"/>
              <w:right w:val="nil"/>
            </w:tcBorders>
          </w:tcPr>
          <w:p>
            <w:pPr>
              <w:pStyle w:val="TableParagraph"/>
              <w:spacing w:before="45"/>
              <w:ind w:left="334"/>
              <w:rPr>
                <w:rFonts w:ascii="Verdana"/>
                <w:sz w:val="21"/>
              </w:rPr>
            </w:pPr>
            <w:r>
              <w:rPr>
                <w:rFonts w:ascii="Verdana"/>
                <w:color w:val="0000FF"/>
                <w:sz w:val="21"/>
                <w:u w:val="single" w:color="0000FF"/>
              </w:rPr>
              <w:t>Source Data</w:t>
            </w:r>
          </w:p>
        </w:tc>
        <w:tc>
          <w:tcPr>
            <w:tcW w:w="2721" w:type="dxa"/>
            <w:gridSpan w:val="3"/>
            <w:tcBorders>
              <w:top w:val="single" w:sz="6" w:space="0" w:color="CCCCCC"/>
              <w:left w:val="nil"/>
              <w:right w:val="nil"/>
            </w:tcBorders>
          </w:tcPr>
          <w:p>
            <w:pPr>
              <w:pStyle w:val="TableParagraph"/>
              <w:spacing w:before="45"/>
              <w:ind w:left="109"/>
              <w:rPr>
                <w:rFonts w:ascii="Verdana"/>
                <w:sz w:val="21"/>
              </w:rPr>
            </w:pPr>
            <w:r>
              <w:rPr>
                <w:rFonts w:ascii="Verdana"/>
                <w:color w:val="0000FF"/>
                <w:sz w:val="21"/>
                <w:u w:val="single" w:color="0000FF"/>
              </w:rPr>
              <w:t>Journal Self Cites</w:t>
            </w:r>
          </w:p>
        </w:tc>
        <w:tc>
          <w:tcPr>
            <w:tcW w:w="752" w:type="dxa"/>
            <w:tcBorders>
              <w:top w:val="single" w:sz="6" w:space="0" w:color="CCCCCC"/>
              <w:left w:val="nil"/>
              <w:right w:val="single" w:sz="6" w:space="0" w:color="CCCCCC"/>
            </w:tcBorders>
          </w:tcPr>
          <w:p>
            <w:pPr/>
          </w:p>
        </w:tc>
        <w:tc>
          <w:tcPr>
            <w:tcW w:w="760" w:type="dxa"/>
            <w:tcBorders>
              <w:top w:val="single" w:sz="6" w:space="0" w:color="CCCCCC"/>
              <w:left w:val="single" w:sz="6" w:space="0" w:color="CCCCCC"/>
              <w:bottom w:val="single" w:sz="6" w:space="0" w:color="CCCCCC"/>
              <w:right w:val="single" w:sz="6" w:space="0" w:color="CCCCCC"/>
            </w:tcBorders>
          </w:tcPr>
          <w:p>
            <w:pPr/>
          </w:p>
        </w:tc>
      </w:tr>
    </w:tbl>
    <w:p>
      <w:pPr>
        <w:pStyle w:val="BodyText"/>
        <w:spacing w:before="7"/>
        <w:rPr>
          <w:rFonts w:ascii="Verdana"/>
          <w:b/>
          <w:sz w:val="12"/>
        </w:rPr>
      </w:pPr>
      <w:r>
        <w:rPr/>
        <w:drawing>
          <wp:anchor distT="0" distB="0" distL="0" distR="0" allowOverlap="1" layoutInCell="1" locked="0" behindDoc="0" simplePos="0" relativeHeight="1432">
            <wp:simplePos x="0" y="0"/>
            <wp:positionH relativeFrom="page">
              <wp:posOffset>1135380</wp:posOffset>
            </wp:positionH>
            <wp:positionV relativeFrom="paragraph">
              <wp:posOffset>121920</wp:posOffset>
            </wp:positionV>
            <wp:extent cx="1253585" cy="224218"/>
            <wp:effectExtent l="0" t="0" r="0" b="0"/>
            <wp:wrapTopAndBottom/>
            <wp:docPr id="49" name="image16.png" descr=""/>
            <wp:cNvGraphicFramePr>
              <a:graphicFrameLocks noChangeAspect="1"/>
            </wp:cNvGraphicFramePr>
            <a:graphic>
              <a:graphicData uri="http://schemas.openxmlformats.org/drawingml/2006/picture">
                <pic:pic>
                  <pic:nvPicPr>
                    <pic:cNvPr id="50" name="image16.png"/>
                    <pic:cNvPicPr/>
                  </pic:nvPicPr>
                  <pic:blipFill>
                    <a:blip r:embed="rId40" cstate="print"/>
                    <a:stretch>
                      <a:fillRect/>
                    </a:stretch>
                  </pic:blipFill>
                  <pic:spPr>
                    <a:xfrm>
                      <a:off x="0" y="0"/>
                      <a:ext cx="1253585" cy="224218"/>
                    </a:xfrm>
                    <a:prstGeom prst="rect">
                      <a:avLst/>
                    </a:prstGeom>
                  </pic:spPr>
                </pic:pic>
              </a:graphicData>
            </a:graphic>
          </wp:anchor>
        </w:drawing>
      </w:r>
      <w:r>
        <w:rPr/>
        <w:drawing>
          <wp:anchor distT="0" distB="0" distL="0" distR="0" allowOverlap="1" layoutInCell="1" locked="0" behindDoc="0" simplePos="0" relativeHeight="1456">
            <wp:simplePos x="0" y="0"/>
            <wp:positionH relativeFrom="page">
              <wp:posOffset>2567939</wp:posOffset>
            </wp:positionH>
            <wp:positionV relativeFrom="paragraph">
              <wp:posOffset>121920</wp:posOffset>
            </wp:positionV>
            <wp:extent cx="1253585" cy="224218"/>
            <wp:effectExtent l="0" t="0" r="0" b="0"/>
            <wp:wrapTopAndBottom/>
            <wp:docPr id="51" name="image17.png" descr=""/>
            <wp:cNvGraphicFramePr>
              <a:graphicFrameLocks noChangeAspect="1"/>
            </wp:cNvGraphicFramePr>
            <a:graphic>
              <a:graphicData uri="http://schemas.openxmlformats.org/drawingml/2006/picture">
                <pic:pic>
                  <pic:nvPicPr>
                    <pic:cNvPr id="52" name="image17.png"/>
                    <pic:cNvPicPr/>
                  </pic:nvPicPr>
                  <pic:blipFill>
                    <a:blip r:embed="rId41" cstate="print"/>
                    <a:stretch>
                      <a:fillRect/>
                    </a:stretch>
                  </pic:blipFill>
                  <pic:spPr>
                    <a:xfrm>
                      <a:off x="0" y="0"/>
                      <a:ext cx="1253585" cy="224218"/>
                    </a:xfrm>
                    <a:prstGeom prst="rect">
                      <a:avLst/>
                    </a:prstGeom>
                  </pic:spPr>
                </pic:pic>
              </a:graphicData>
            </a:graphic>
          </wp:anchor>
        </w:drawing>
      </w:r>
      <w:r>
        <w:rPr/>
        <w:drawing>
          <wp:anchor distT="0" distB="0" distL="0" distR="0" allowOverlap="1" layoutInCell="1" locked="0" behindDoc="0" simplePos="0" relativeHeight="1480">
            <wp:simplePos x="0" y="0"/>
            <wp:positionH relativeFrom="page">
              <wp:posOffset>4000500</wp:posOffset>
            </wp:positionH>
            <wp:positionV relativeFrom="paragraph">
              <wp:posOffset>121920</wp:posOffset>
            </wp:positionV>
            <wp:extent cx="1375886" cy="224218"/>
            <wp:effectExtent l="0" t="0" r="0" b="0"/>
            <wp:wrapTopAndBottom/>
            <wp:docPr id="53" name="image18.png" descr=""/>
            <wp:cNvGraphicFramePr>
              <a:graphicFrameLocks noChangeAspect="1"/>
            </wp:cNvGraphicFramePr>
            <a:graphic>
              <a:graphicData uri="http://schemas.openxmlformats.org/drawingml/2006/picture">
                <pic:pic>
                  <pic:nvPicPr>
                    <pic:cNvPr id="54" name="image18.png"/>
                    <pic:cNvPicPr/>
                  </pic:nvPicPr>
                  <pic:blipFill>
                    <a:blip r:embed="rId42" cstate="print"/>
                    <a:stretch>
                      <a:fillRect/>
                    </a:stretch>
                  </pic:blipFill>
                  <pic:spPr>
                    <a:xfrm>
                      <a:off x="0" y="0"/>
                      <a:ext cx="1375886" cy="224218"/>
                    </a:xfrm>
                    <a:prstGeom prst="rect">
                      <a:avLst/>
                    </a:prstGeom>
                  </pic:spPr>
                </pic:pic>
              </a:graphicData>
            </a:graphic>
          </wp:anchor>
        </w:drawing>
      </w:r>
      <w:r>
        <w:rPr/>
        <w:drawing>
          <wp:anchor distT="0" distB="0" distL="0" distR="0" allowOverlap="1" layoutInCell="1" locked="0" behindDoc="0" simplePos="0" relativeHeight="1504">
            <wp:simplePos x="0" y="0"/>
            <wp:positionH relativeFrom="page">
              <wp:posOffset>5554979</wp:posOffset>
            </wp:positionH>
            <wp:positionV relativeFrom="paragraph">
              <wp:posOffset>121920</wp:posOffset>
            </wp:positionV>
            <wp:extent cx="1110900" cy="224218"/>
            <wp:effectExtent l="0" t="0" r="0" b="0"/>
            <wp:wrapTopAndBottom/>
            <wp:docPr id="55" name="image19.png" descr=""/>
            <wp:cNvGraphicFramePr>
              <a:graphicFrameLocks noChangeAspect="1"/>
            </wp:cNvGraphicFramePr>
            <a:graphic>
              <a:graphicData uri="http://schemas.openxmlformats.org/drawingml/2006/picture">
                <pic:pic>
                  <pic:nvPicPr>
                    <pic:cNvPr id="56" name="image19.png"/>
                    <pic:cNvPicPr/>
                  </pic:nvPicPr>
                  <pic:blipFill>
                    <a:blip r:embed="rId43" cstate="print"/>
                    <a:stretch>
                      <a:fillRect/>
                    </a:stretch>
                  </pic:blipFill>
                  <pic:spPr>
                    <a:xfrm>
                      <a:off x="0" y="0"/>
                      <a:ext cx="1110900" cy="224218"/>
                    </a:xfrm>
                    <a:prstGeom prst="rect">
                      <a:avLst/>
                    </a:prstGeom>
                  </pic:spPr>
                </pic:pic>
              </a:graphicData>
            </a:graphic>
          </wp:anchor>
        </w:drawing>
      </w:r>
    </w:p>
    <w:p>
      <w:pPr>
        <w:pStyle w:val="BodyText"/>
        <w:rPr>
          <w:rFonts w:ascii="Verdana"/>
          <w:b/>
          <w:sz w:val="20"/>
        </w:rPr>
      </w:pPr>
    </w:p>
    <w:p>
      <w:pPr>
        <w:pStyle w:val="BodyText"/>
        <w:rPr>
          <w:rFonts w:ascii="Verdana"/>
          <w:b/>
          <w:sz w:val="19"/>
        </w:rPr>
      </w:pPr>
      <w:r>
        <w:rPr/>
        <w:pict>
          <v:group style="position:absolute;margin-left:25pt;margin-top:13.541679pt;width:564pt;height:16.3500pt;mso-position-horizontal-relative:page;mso-position-vertical-relative:paragraph;z-index:1552;mso-wrap-distance-left:0;mso-wrap-distance-right:0" coordorigin="500,271" coordsize="11280,327">
            <v:line style="position:absolute" from="508,279" to="11772,279" stroked="true" strokeweight=".8pt" strokecolor="#999999"/>
            <v:shape style="position:absolute;left:11484;top:335;width:256;height:208" type="#_x0000_t75" stroked="false">
              <v:imagedata r:id="rId44" o:title=""/>
            </v:shape>
            <v:shape style="position:absolute;left:3180;top:335;width:224;height:224" type="#_x0000_t75" stroked="false">
              <v:imagedata r:id="rId45" o:title=""/>
            </v:shape>
            <v:shape style="position:absolute;left:500;top:271;width:11280;height:327" type="#_x0000_t202" filled="false" stroked="false">
              <v:textbox inset="0,0,0,0">
                <w:txbxContent>
                  <w:p>
                    <w:pPr>
                      <w:spacing w:line="260" w:lineRule="exact" w:before="67"/>
                      <w:ind w:left="56" w:right="0" w:firstLine="0"/>
                      <w:jc w:val="left"/>
                      <w:rPr>
                        <w:rFonts w:ascii="Verdana"/>
                        <w:b/>
                        <w:sz w:val="22"/>
                      </w:rPr>
                    </w:pPr>
                    <w:r>
                      <w:rPr>
                        <w:rFonts w:ascii="Verdana"/>
                        <w:b/>
                        <w:color w:val="333333"/>
                        <w:sz w:val="22"/>
                      </w:rPr>
                      <w:t>Journal Information</w:t>
                    </w:r>
                  </w:p>
                </w:txbxContent>
              </v:textbox>
              <w10:wrap type="none"/>
            </v:shape>
            <w10:wrap type="topAndBottom"/>
          </v:group>
        </w:pict>
      </w:r>
    </w:p>
    <w:p>
      <w:pPr>
        <w:spacing w:line="242" w:lineRule="auto" w:before="67"/>
        <w:ind w:left="3524" w:right="3018" w:hanging="2069"/>
        <w:jc w:val="left"/>
        <w:rPr>
          <w:rFonts w:ascii="Verdana"/>
          <w:sz w:val="21"/>
        </w:rPr>
      </w:pPr>
      <w:r>
        <w:rPr>
          <w:rFonts w:ascii="Verdana"/>
          <w:b/>
          <w:w w:val="105"/>
          <w:sz w:val="20"/>
        </w:rPr>
        <w:t>Full</w:t>
      </w:r>
      <w:r>
        <w:rPr>
          <w:rFonts w:ascii="Verdana"/>
          <w:b/>
          <w:spacing w:val="-16"/>
          <w:w w:val="105"/>
          <w:sz w:val="20"/>
        </w:rPr>
        <w:t> </w:t>
      </w:r>
      <w:r>
        <w:rPr>
          <w:rFonts w:ascii="Verdana"/>
          <w:b/>
          <w:w w:val="105"/>
          <w:sz w:val="20"/>
        </w:rPr>
        <w:t>Journal</w:t>
      </w:r>
      <w:r>
        <w:rPr>
          <w:rFonts w:ascii="Verdana"/>
          <w:b/>
          <w:spacing w:val="-16"/>
          <w:w w:val="105"/>
          <w:sz w:val="20"/>
        </w:rPr>
        <w:t> </w:t>
      </w:r>
      <w:r>
        <w:rPr>
          <w:rFonts w:ascii="Verdana"/>
          <w:b/>
          <w:w w:val="105"/>
          <w:sz w:val="20"/>
        </w:rPr>
        <w:t>Title:</w:t>
      </w:r>
      <w:r>
        <w:rPr>
          <w:rFonts w:ascii="Verdana"/>
          <w:b/>
          <w:spacing w:val="-47"/>
          <w:w w:val="105"/>
          <w:sz w:val="20"/>
        </w:rPr>
        <w:t> </w:t>
      </w:r>
      <w:r>
        <w:rPr>
          <w:rFonts w:ascii="Verdana"/>
          <w:w w:val="105"/>
          <w:sz w:val="20"/>
        </w:rPr>
        <w:t>JAVMA-JOURNAL</w:t>
      </w:r>
      <w:r>
        <w:rPr>
          <w:rFonts w:ascii="Verdana"/>
          <w:spacing w:val="-16"/>
          <w:w w:val="105"/>
          <w:sz w:val="20"/>
        </w:rPr>
        <w:t> </w:t>
      </w:r>
      <w:r>
        <w:rPr>
          <w:rFonts w:ascii="Verdana"/>
          <w:w w:val="105"/>
          <w:sz w:val="20"/>
        </w:rPr>
        <w:t>OF</w:t>
      </w:r>
      <w:r>
        <w:rPr>
          <w:rFonts w:ascii="Verdana"/>
          <w:spacing w:val="-16"/>
          <w:w w:val="105"/>
          <w:sz w:val="20"/>
        </w:rPr>
        <w:t> </w:t>
      </w:r>
      <w:r>
        <w:rPr>
          <w:rFonts w:ascii="Verdana"/>
          <w:w w:val="105"/>
          <w:sz w:val="20"/>
        </w:rPr>
        <w:t>THE</w:t>
      </w:r>
      <w:r>
        <w:rPr>
          <w:rFonts w:ascii="Verdana"/>
          <w:spacing w:val="-16"/>
          <w:w w:val="105"/>
          <w:sz w:val="20"/>
        </w:rPr>
        <w:t> </w:t>
      </w:r>
      <w:r>
        <w:rPr>
          <w:rFonts w:ascii="Verdana"/>
          <w:w w:val="105"/>
          <w:sz w:val="20"/>
        </w:rPr>
        <w:t>AMERICAN</w:t>
      </w:r>
      <w:r>
        <w:rPr>
          <w:rFonts w:ascii="Verdana"/>
          <w:spacing w:val="-16"/>
          <w:w w:val="105"/>
          <w:sz w:val="20"/>
        </w:rPr>
        <w:t> </w:t>
      </w:r>
      <w:r>
        <w:rPr>
          <w:rFonts w:ascii="Verdana"/>
          <w:w w:val="105"/>
          <w:sz w:val="20"/>
        </w:rPr>
        <w:t>VETERINARY </w:t>
      </w:r>
      <w:r>
        <w:rPr>
          <w:rFonts w:ascii="Verdana"/>
          <w:sz w:val="21"/>
        </w:rPr>
        <w:t>MEDICAL</w:t>
      </w:r>
      <w:r>
        <w:rPr>
          <w:rFonts w:ascii="Verdana"/>
          <w:spacing w:val="-42"/>
          <w:sz w:val="21"/>
        </w:rPr>
        <w:t> </w:t>
      </w:r>
      <w:r>
        <w:rPr>
          <w:rFonts w:ascii="Verdana"/>
          <w:sz w:val="21"/>
        </w:rPr>
        <w:t>ASSOCIATION</w:t>
      </w:r>
    </w:p>
    <w:p>
      <w:pPr>
        <w:spacing w:before="30"/>
        <w:ind w:left="1406" w:right="0" w:firstLine="0"/>
        <w:jc w:val="left"/>
        <w:rPr>
          <w:rFonts w:ascii="Verdana"/>
          <w:sz w:val="21"/>
        </w:rPr>
      </w:pPr>
      <w:r>
        <w:rPr/>
        <w:pict>
          <v:shape style="position:absolute;margin-left:457.799988pt;margin-top:-25.14361pt;width:128.8pt;height:97.6pt;mso-position-horizontal-relative:page;mso-position-vertical-relative:paragraph;z-index:1744" type="#_x0000_t202" filled="false" stroked="true" strokeweight=".8pt" strokecolor="#999999">
            <v:textbox inset="0,0,0,0">
              <w:txbxContent>
                <w:p>
                  <w:pPr>
                    <w:spacing w:line="268" w:lineRule="auto" w:before="69"/>
                    <w:ind w:left="64" w:right="52" w:firstLine="0"/>
                    <w:jc w:val="left"/>
                    <w:rPr>
                      <w:rFonts w:ascii="Verdana" w:hAnsi="Verdana"/>
                      <w:sz w:val="20"/>
                    </w:rPr>
                  </w:pPr>
                  <w:r>
                    <w:rPr>
                      <w:rFonts w:ascii="Verdana" w:hAnsi="Verdana"/>
                      <w:b/>
                      <w:i/>
                      <w:color w:val="333333"/>
                      <w:w w:val="105"/>
                      <w:sz w:val="20"/>
                    </w:rPr>
                    <w:t>Eigenfactor</w:t>
                  </w:r>
                  <w:r>
                    <w:rPr>
                      <w:rFonts w:ascii="Verdana" w:hAnsi="Verdana"/>
                      <w:b/>
                      <w:color w:val="333333"/>
                      <w:w w:val="105"/>
                      <w:position w:val="8"/>
                      <w:sz w:val="17"/>
                    </w:rPr>
                    <w:t>® </w:t>
                  </w:r>
                  <w:r>
                    <w:rPr>
                      <w:rFonts w:ascii="Verdana" w:hAnsi="Verdana"/>
                      <w:b/>
                      <w:color w:val="333333"/>
                      <w:w w:val="105"/>
                      <w:sz w:val="20"/>
                    </w:rPr>
                    <w:t>Metrics </w:t>
                  </w:r>
                  <w:r>
                    <w:rPr>
                      <w:rFonts w:ascii="Verdana" w:hAnsi="Verdana"/>
                      <w:b/>
                      <w:i/>
                      <w:color w:val="666666"/>
                      <w:w w:val="105"/>
                      <w:sz w:val="20"/>
                    </w:rPr>
                    <w:t>Eigenfactor</w:t>
                  </w:r>
                  <w:r>
                    <w:rPr>
                      <w:rFonts w:ascii="Verdana" w:hAnsi="Verdana"/>
                      <w:b/>
                      <w:color w:val="666666"/>
                      <w:w w:val="105"/>
                      <w:position w:val="8"/>
                      <w:sz w:val="17"/>
                    </w:rPr>
                    <w:t>® </w:t>
                  </w:r>
                  <w:r>
                    <w:rPr>
                      <w:rFonts w:ascii="Verdana" w:hAnsi="Verdana"/>
                      <w:b/>
                      <w:color w:val="666666"/>
                      <w:w w:val="105"/>
                      <w:sz w:val="20"/>
                    </w:rPr>
                    <w:t>Score </w:t>
                  </w:r>
                  <w:r>
                    <w:rPr>
                      <w:rFonts w:ascii="Verdana" w:hAnsi="Verdana"/>
                      <w:w w:val="105"/>
                      <w:sz w:val="20"/>
                    </w:rPr>
                    <w:t>0.00839</w:t>
                  </w:r>
                </w:p>
                <w:p>
                  <w:pPr>
                    <w:spacing w:before="14"/>
                    <w:ind w:left="64" w:right="52" w:firstLine="0"/>
                    <w:jc w:val="left"/>
                    <w:rPr>
                      <w:rFonts w:ascii="Verdana" w:hAnsi="Verdana"/>
                      <w:b/>
                      <w:sz w:val="17"/>
                    </w:rPr>
                  </w:pPr>
                  <w:r>
                    <w:rPr>
                      <w:rFonts w:ascii="Verdana" w:hAnsi="Verdana"/>
                      <w:b/>
                      <w:i/>
                      <w:color w:val="666666"/>
                      <w:sz w:val="21"/>
                    </w:rPr>
                    <w:t>Article Influence</w:t>
                  </w:r>
                  <w:r>
                    <w:rPr>
                      <w:rFonts w:ascii="Verdana" w:hAnsi="Verdana"/>
                      <w:b/>
                      <w:color w:val="666666"/>
                      <w:position w:val="8"/>
                      <w:sz w:val="17"/>
                    </w:rPr>
                    <w:t>®</w:t>
                  </w:r>
                </w:p>
                <w:p>
                  <w:pPr>
                    <w:spacing w:before="11"/>
                    <w:ind w:left="64" w:right="52" w:firstLine="0"/>
                    <w:jc w:val="left"/>
                    <w:rPr>
                      <w:rFonts w:ascii="Verdana"/>
                      <w:b/>
                      <w:sz w:val="20"/>
                    </w:rPr>
                  </w:pPr>
                  <w:r>
                    <w:rPr>
                      <w:rFonts w:ascii="Verdana"/>
                      <w:b/>
                      <w:color w:val="666666"/>
                      <w:w w:val="105"/>
                      <w:sz w:val="20"/>
                    </w:rPr>
                    <w:t>Score</w:t>
                  </w:r>
                </w:p>
                <w:p>
                  <w:pPr>
                    <w:spacing w:before="45"/>
                    <w:ind w:left="128" w:right="52" w:firstLine="0"/>
                    <w:jc w:val="left"/>
                    <w:rPr>
                      <w:rFonts w:ascii="Verdana"/>
                      <w:sz w:val="20"/>
                    </w:rPr>
                  </w:pPr>
                  <w:r>
                    <w:rPr>
                      <w:rFonts w:ascii="Verdana"/>
                      <w:w w:val="105"/>
                      <w:sz w:val="20"/>
                    </w:rPr>
                    <w:t>0.503</w:t>
                  </w:r>
                </w:p>
              </w:txbxContent>
            </v:textbox>
            <w10:wrap type="none"/>
          </v:shape>
        </w:pict>
      </w:r>
      <w:r>
        <w:rPr>
          <w:rFonts w:ascii="Verdana"/>
          <w:b/>
          <w:sz w:val="21"/>
        </w:rPr>
        <w:t>ISO Abbrev. Title: </w:t>
      </w:r>
      <w:r>
        <w:rPr>
          <w:rFonts w:ascii="Verdana"/>
          <w:sz w:val="21"/>
        </w:rPr>
        <w:t>JAVMA-J. Am. Vet. Med. Assoc.</w:t>
      </w:r>
    </w:p>
    <w:p>
      <w:pPr>
        <w:spacing w:before="43"/>
        <w:ind w:left="1416" w:right="0" w:firstLine="0"/>
        <w:jc w:val="left"/>
        <w:rPr>
          <w:rFonts w:ascii="Verdana"/>
          <w:sz w:val="20"/>
        </w:rPr>
      </w:pPr>
      <w:r>
        <w:rPr>
          <w:rFonts w:ascii="Verdana"/>
          <w:b/>
          <w:w w:val="105"/>
          <w:sz w:val="20"/>
        </w:rPr>
        <w:t>JCR Abbrev. Title: </w:t>
      </w:r>
      <w:r>
        <w:rPr>
          <w:rFonts w:ascii="Verdana"/>
          <w:w w:val="105"/>
          <w:sz w:val="20"/>
        </w:rPr>
        <w:t>JAVMA-J AM VET MED A</w:t>
      </w:r>
    </w:p>
    <w:p>
      <w:pPr>
        <w:spacing w:before="45"/>
        <w:ind w:left="294" w:right="4532" w:firstLine="0"/>
        <w:jc w:val="center"/>
        <w:rPr>
          <w:rFonts w:ascii="Verdana"/>
          <w:sz w:val="20"/>
        </w:rPr>
      </w:pPr>
      <w:r>
        <w:rPr>
          <w:rFonts w:ascii="Verdana"/>
          <w:b/>
          <w:w w:val="105"/>
          <w:sz w:val="20"/>
        </w:rPr>
        <w:t>ISSN:</w:t>
      </w:r>
      <w:r>
        <w:rPr>
          <w:rFonts w:ascii="Verdana"/>
          <w:b/>
          <w:spacing w:val="-58"/>
          <w:w w:val="105"/>
          <w:sz w:val="20"/>
        </w:rPr>
        <w:t> </w:t>
      </w:r>
      <w:r>
        <w:rPr>
          <w:rFonts w:ascii="Verdana"/>
          <w:w w:val="105"/>
          <w:sz w:val="20"/>
        </w:rPr>
        <w:t>0003-1488</w:t>
      </w:r>
    </w:p>
    <w:p>
      <w:pPr>
        <w:spacing w:before="45"/>
        <w:ind w:left="294" w:right="6282" w:firstLine="0"/>
        <w:jc w:val="center"/>
        <w:rPr>
          <w:rFonts w:ascii="Verdana"/>
          <w:sz w:val="20"/>
        </w:rPr>
      </w:pPr>
      <w:r>
        <w:rPr>
          <w:rFonts w:ascii="Verdana"/>
          <w:b/>
          <w:w w:val="105"/>
          <w:sz w:val="20"/>
        </w:rPr>
        <w:t>Issues/Year:</w:t>
      </w:r>
      <w:r>
        <w:rPr>
          <w:rFonts w:ascii="Verdana"/>
          <w:b/>
          <w:spacing w:val="-58"/>
          <w:w w:val="105"/>
          <w:sz w:val="20"/>
        </w:rPr>
        <w:t> </w:t>
      </w:r>
      <w:r>
        <w:rPr>
          <w:rFonts w:ascii="Verdana"/>
          <w:w w:val="105"/>
          <w:sz w:val="20"/>
        </w:rPr>
        <w:t>24</w:t>
      </w:r>
    </w:p>
    <w:p>
      <w:pPr>
        <w:spacing w:before="35"/>
        <w:ind w:left="2272" w:right="0" w:firstLine="0"/>
        <w:jc w:val="left"/>
        <w:rPr>
          <w:rFonts w:ascii="Verdana"/>
          <w:sz w:val="21"/>
        </w:rPr>
      </w:pPr>
      <w:r>
        <w:rPr>
          <w:rFonts w:ascii="Verdana"/>
          <w:b/>
          <w:sz w:val="21"/>
        </w:rPr>
        <w:t>Language:</w:t>
      </w:r>
      <w:r>
        <w:rPr>
          <w:rFonts w:ascii="Verdana"/>
          <w:b/>
          <w:spacing w:val="-61"/>
          <w:sz w:val="21"/>
        </w:rPr>
        <w:t> </w:t>
      </w:r>
      <w:r>
        <w:rPr>
          <w:rFonts w:ascii="Verdana"/>
          <w:sz w:val="21"/>
        </w:rPr>
        <w:t>ENGLISH</w:t>
      </w:r>
    </w:p>
    <w:p>
      <w:pPr>
        <w:spacing w:before="32"/>
        <w:ind w:left="294" w:right="6461" w:firstLine="0"/>
        <w:jc w:val="center"/>
        <w:rPr>
          <w:rFonts w:ascii="Verdana"/>
          <w:sz w:val="21"/>
        </w:rPr>
      </w:pPr>
      <w:r>
        <w:rPr>
          <w:rFonts w:ascii="Verdana"/>
          <w:b/>
          <w:sz w:val="21"/>
        </w:rPr>
        <w:t>Journal Country/Territory: </w:t>
      </w:r>
      <w:r>
        <w:rPr>
          <w:rFonts w:ascii="Verdana"/>
          <w:sz w:val="21"/>
        </w:rPr>
        <w:t>UNITED STATES</w:t>
      </w:r>
    </w:p>
    <w:p>
      <w:pPr>
        <w:spacing w:before="43"/>
        <w:ind w:left="2306" w:right="0" w:firstLine="0"/>
        <w:jc w:val="left"/>
        <w:rPr>
          <w:rFonts w:ascii="Verdana"/>
          <w:sz w:val="20"/>
        </w:rPr>
      </w:pPr>
      <w:r>
        <w:rPr>
          <w:rFonts w:ascii="Verdana"/>
          <w:b/>
          <w:w w:val="105"/>
          <w:sz w:val="20"/>
        </w:rPr>
        <w:t>Publisher: </w:t>
      </w:r>
      <w:r>
        <w:rPr>
          <w:rFonts w:ascii="Verdana"/>
          <w:w w:val="105"/>
          <w:sz w:val="20"/>
        </w:rPr>
        <w:t>AMER VETERINARY MEDICAL ASSOC</w:t>
      </w:r>
    </w:p>
    <w:p>
      <w:pPr>
        <w:spacing w:before="45"/>
        <w:ind w:left="1295" w:right="0" w:firstLine="0"/>
        <w:jc w:val="left"/>
        <w:rPr>
          <w:rFonts w:ascii="Verdana"/>
          <w:sz w:val="20"/>
        </w:rPr>
      </w:pPr>
      <w:r>
        <w:rPr>
          <w:rFonts w:ascii="Verdana"/>
          <w:b/>
          <w:w w:val="105"/>
          <w:sz w:val="20"/>
        </w:rPr>
        <w:t>Publisher Address: </w:t>
      </w:r>
      <w:r>
        <w:rPr>
          <w:rFonts w:ascii="Verdana"/>
          <w:w w:val="105"/>
          <w:sz w:val="20"/>
        </w:rPr>
        <w:t>1931 N MEACHAM RD SUITE 100, SCHAUMBURG,</w:t>
      </w:r>
    </w:p>
    <w:p>
      <w:pPr>
        <w:spacing w:before="3"/>
        <w:ind w:left="3524" w:right="0" w:firstLine="0"/>
        <w:jc w:val="left"/>
        <w:rPr>
          <w:rFonts w:ascii="Verdana"/>
          <w:sz w:val="21"/>
        </w:rPr>
      </w:pPr>
      <w:r>
        <w:rPr>
          <w:rFonts w:ascii="Verdana"/>
          <w:sz w:val="21"/>
        </w:rPr>
        <w:t>IL 60173-4360</w:t>
      </w:r>
    </w:p>
    <w:p>
      <w:pPr>
        <w:spacing w:before="32"/>
        <w:ind w:left="1210" w:right="0" w:firstLine="0"/>
        <w:jc w:val="left"/>
        <w:rPr>
          <w:rFonts w:ascii="Verdana"/>
          <w:sz w:val="21"/>
        </w:rPr>
      </w:pPr>
      <w:r>
        <w:rPr/>
        <w:pict>
          <v:group style="position:absolute;margin-left:190.199997pt;margin-top:3.35639pt;width:242.4pt;height:36.8pt;mso-position-horizontal-relative:page;mso-position-vertical-relative:paragraph;z-index:-123376" coordorigin="3804,67" coordsize="4848,736">
            <v:shape style="position:absolute;left:6444;top:67;width:1344;height:352" type="#_x0000_t75" stroked="false">
              <v:imagedata r:id="rId46" o:title=""/>
            </v:shape>
            <v:shape style="position:absolute;left:3804;top:451;width:2672;height:352" type="#_x0000_t75" stroked="false">
              <v:imagedata r:id="rId47" o:title=""/>
            </v:shape>
            <v:shape style="position:absolute;left:6556;top:451;width:2096;height:352" type="#_x0000_t75" stroked="false">
              <v:imagedata r:id="rId48" o:title=""/>
            </v:shape>
            <w10:wrap type="none"/>
          </v:group>
        </w:pict>
      </w:r>
      <w:r>
        <w:rPr>
          <w:rFonts w:ascii="Verdana"/>
          <w:b/>
          <w:sz w:val="21"/>
        </w:rPr>
        <w:t>Subject Categories: </w:t>
      </w:r>
      <w:r>
        <w:rPr>
          <w:rFonts w:ascii="Verdana"/>
          <w:sz w:val="21"/>
        </w:rPr>
        <w:t>VETERINARY SCIENCES</w:t>
      </w:r>
    </w:p>
    <w:p>
      <w:pPr>
        <w:pStyle w:val="BodyText"/>
        <w:rPr>
          <w:rFonts w:ascii="Verdana"/>
          <w:sz w:val="20"/>
        </w:rPr>
      </w:pPr>
    </w:p>
    <w:p>
      <w:pPr>
        <w:pStyle w:val="BodyText"/>
        <w:rPr>
          <w:rFonts w:ascii="Verdana"/>
          <w:sz w:val="20"/>
        </w:rPr>
      </w:pPr>
    </w:p>
    <w:p>
      <w:pPr>
        <w:pStyle w:val="BodyText"/>
        <w:spacing w:before="10"/>
        <w:rPr>
          <w:rFonts w:ascii="Verdana"/>
          <w:sz w:val="20"/>
        </w:rPr>
      </w:pPr>
    </w:p>
    <w:p>
      <w:pPr>
        <w:spacing w:before="71"/>
        <w:ind w:left="271" w:right="0" w:firstLine="0"/>
        <w:jc w:val="left"/>
        <w:rPr>
          <w:rFonts w:ascii="Verdana"/>
          <w:b/>
          <w:sz w:val="20"/>
        </w:rPr>
      </w:pPr>
      <w:r>
        <w:rPr/>
        <w:drawing>
          <wp:anchor distT="0" distB="0" distL="0" distR="0" allowOverlap="1" layoutInCell="1" locked="0" behindDoc="0" simplePos="0" relativeHeight="1720">
            <wp:simplePos x="0" y="0"/>
            <wp:positionH relativeFrom="page">
              <wp:posOffset>2415539</wp:posOffset>
            </wp:positionH>
            <wp:positionV relativeFrom="paragraph">
              <wp:posOffset>40687</wp:posOffset>
            </wp:positionV>
            <wp:extent cx="1168400" cy="223519"/>
            <wp:effectExtent l="0" t="0" r="0" b="0"/>
            <wp:wrapNone/>
            <wp:docPr id="57" name="image25.png" descr=""/>
            <wp:cNvGraphicFramePr>
              <a:graphicFrameLocks noChangeAspect="1"/>
            </wp:cNvGraphicFramePr>
            <a:graphic>
              <a:graphicData uri="http://schemas.openxmlformats.org/drawingml/2006/picture">
                <pic:pic>
                  <pic:nvPicPr>
                    <pic:cNvPr id="58" name="image25.png"/>
                    <pic:cNvPicPr/>
                  </pic:nvPicPr>
                  <pic:blipFill>
                    <a:blip r:embed="rId49" cstate="print"/>
                    <a:stretch>
                      <a:fillRect/>
                    </a:stretch>
                  </pic:blipFill>
                  <pic:spPr>
                    <a:xfrm>
                      <a:off x="0" y="0"/>
                      <a:ext cx="1168400" cy="223519"/>
                    </a:xfrm>
                    <a:prstGeom prst="rect">
                      <a:avLst/>
                    </a:prstGeom>
                  </pic:spPr>
                </pic:pic>
              </a:graphicData>
            </a:graphic>
          </wp:anchor>
        </w:drawing>
      </w:r>
      <w:r>
        <w:rPr>
          <w:rFonts w:ascii="Verdana"/>
          <w:b/>
          <w:w w:val="105"/>
          <w:sz w:val="20"/>
        </w:rPr>
        <w:t>Journal Rank in Categories:</w:t>
      </w:r>
    </w:p>
    <w:p>
      <w:pPr>
        <w:pStyle w:val="BodyText"/>
        <w:rPr>
          <w:rFonts w:ascii="Verdana"/>
          <w:b/>
          <w:sz w:val="20"/>
        </w:rPr>
      </w:pPr>
    </w:p>
    <w:p>
      <w:pPr>
        <w:pStyle w:val="BodyText"/>
        <w:rPr>
          <w:rFonts w:ascii="Verdana"/>
          <w:b/>
          <w:sz w:val="20"/>
        </w:rPr>
      </w:pPr>
    </w:p>
    <w:p>
      <w:pPr>
        <w:pStyle w:val="BodyText"/>
        <w:rPr>
          <w:rFonts w:ascii="Verdana"/>
          <w:b/>
          <w:sz w:val="20"/>
        </w:rPr>
      </w:pPr>
    </w:p>
    <w:p>
      <w:pPr>
        <w:pStyle w:val="BodyText"/>
        <w:spacing w:before="7"/>
        <w:rPr>
          <w:rFonts w:ascii="Verdana"/>
          <w:b/>
          <w:sz w:val="13"/>
        </w:rPr>
      </w:pPr>
      <w:r>
        <w:rPr/>
        <w:pict>
          <v:group style="position:absolute;margin-left:25pt;margin-top:10.240436pt;width:564pt;height:16.3500pt;mso-position-horizontal-relative:page;mso-position-vertical-relative:paragraph;z-index:1600;mso-wrap-distance-left:0;mso-wrap-distance-right:0" coordorigin="500,205" coordsize="11280,327">
            <v:line style="position:absolute" from="508,213" to="11772,213" stroked="true" strokeweight=".8pt" strokecolor="#999999"/>
            <v:shape style="position:absolute;left:11484;top:269;width:256;height:208" type="#_x0000_t75" stroked="false">
              <v:imagedata r:id="rId44" o:title=""/>
            </v:shape>
            <v:shape style="position:absolute;left:3436;top:269;width:224;height:224" type="#_x0000_t75" stroked="false">
              <v:imagedata r:id="rId45" o:title=""/>
            </v:shape>
            <v:shape style="position:absolute;left:500;top:205;width:11280;height:327" type="#_x0000_t202" filled="false" stroked="false">
              <v:textbox inset="0,0,0,0">
                <w:txbxContent>
                  <w:p>
                    <w:pPr>
                      <w:spacing w:line="260" w:lineRule="exact" w:before="67"/>
                      <w:ind w:left="56" w:right="0" w:firstLine="0"/>
                      <w:jc w:val="left"/>
                      <w:rPr>
                        <w:rFonts w:ascii="Verdana"/>
                        <w:b/>
                        <w:sz w:val="22"/>
                      </w:rPr>
                    </w:pPr>
                    <w:r>
                      <w:rPr>
                        <w:rFonts w:ascii="Verdana"/>
                        <w:b/>
                        <w:color w:val="333333"/>
                        <w:sz w:val="22"/>
                      </w:rPr>
                      <w:t>Journal Impact Factor</w:t>
                    </w:r>
                  </w:p>
                </w:txbxContent>
              </v:textbox>
              <w10:wrap type="none"/>
            </v:shape>
            <w10:wrap type="topAndBottom"/>
          </v:group>
        </w:pict>
      </w:r>
    </w:p>
    <w:p>
      <w:pPr>
        <w:pStyle w:val="BodyText"/>
        <w:spacing w:before="4"/>
        <w:rPr>
          <w:rFonts w:ascii="Verdana"/>
          <w:b/>
          <w:sz w:val="23"/>
        </w:rPr>
      </w:pPr>
    </w:p>
    <w:p>
      <w:pPr>
        <w:tabs>
          <w:tab w:pos="5475" w:val="left" w:leader="none"/>
        </w:tabs>
        <w:spacing w:before="61"/>
        <w:ind w:left="260" w:right="0" w:firstLine="0"/>
        <w:jc w:val="left"/>
        <w:rPr>
          <w:rFonts w:ascii="Verdana"/>
          <w:sz w:val="21"/>
        </w:rPr>
      </w:pPr>
      <w:r>
        <w:rPr>
          <w:rFonts w:ascii="Verdana"/>
          <w:sz w:val="21"/>
        </w:rPr>
        <w:t>Cites</w:t>
      </w:r>
      <w:r>
        <w:rPr>
          <w:rFonts w:ascii="Verdana"/>
          <w:spacing w:val="-6"/>
          <w:sz w:val="21"/>
        </w:rPr>
        <w:t> </w:t>
      </w:r>
      <w:r>
        <w:rPr>
          <w:rFonts w:ascii="Verdana"/>
          <w:sz w:val="21"/>
        </w:rPr>
        <w:t>in</w:t>
      </w:r>
      <w:r>
        <w:rPr>
          <w:rFonts w:ascii="Verdana"/>
          <w:spacing w:val="-6"/>
          <w:sz w:val="21"/>
        </w:rPr>
        <w:t> </w:t>
      </w:r>
      <w:r>
        <w:rPr>
          <w:rFonts w:ascii="Verdana"/>
          <w:sz w:val="21"/>
        </w:rPr>
        <w:t>2012</w:t>
      </w:r>
      <w:r>
        <w:rPr>
          <w:rFonts w:ascii="Verdana"/>
          <w:spacing w:val="-6"/>
          <w:sz w:val="21"/>
        </w:rPr>
        <w:t> </w:t>
      </w:r>
      <w:r>
        <w:rPr>
          <w:rFonts w:ascii="Verdana"/>
          <w:sz w:val="21"/>
        </w:rPr>
        <w:t>to</w:t>
      </w:r>
      <w:r>
        <w:rPr>
          <w:rFonts w:ascii="Verdana"/>
          <w:spacing w:val="-6"/>
          <w:sz w:val="21"/>
        </w:rPr>
        <w:t> </w:t>
      </w:r>
      <w:r>
        <w:rPr>
          <w:rFonts w:ascii="Verdana"/>
          <w:sz w:val="21"/>
        </w:rPr>
        <w:t>items</w:t>
      </w:r>
      <w:r>
        <w:rPr>
          <w:rFonts w:ascii="Verdana"/>
          <w:spacing w:val="-6"/>
          <w:sz w:val="21"/>
        </w:rPr>
        <w:t> </w:t>
      </w:r>
      <w:r>
        <w:rPr>
          <w:rFonts w:ascii="Verdana"/>
          <w:sz w:val="21"/>
        </w:rPr>
        <w:t>published</w:t>
      </w:r>
      <w:r>
        <w:rPr>
          <w:rFonts w:ascii="Verdana"/>
          <w:spacing w:val="-6"/>
          <w:sz w:val="21"/>
        </w:rPr>
        <w:t> </w:t>
      </w:r>
      <w:r>
        <w:rPr>
          <w:rFonts w:ascii="Verdana"/>
          <w:sz w:val="21"/>
        </w:rPr>
        <w:t>in:</w:t>
      </w:r>
      <w:r>
        <w:rPr>
          <w:rFonts w:ascii="Verdana"/>
          <w:spacing w:val="-38"/>
          <w:sz w:val="21"/>
        </w:rPr>
        <w:t> </w:t>
      </w:r>
      <w:r>
        <w:rPr>
          <w:rFonts w:ascii="Verdana"/>
          <w:sz w:val="21"/>
        </w:rPr>
        <w:t>2011</w:t>
      </w:r>
      <w:r>
        <w:rPr>
          <w:rFonts w:ascii="Verdana"/>
          <w:spacing w:val="-6"/>
          <w:sz w:val="21"/>
        </w:rPr>
        <w:t> </w:t>
      </w:r>
      <w:r>
        <w:rPr>
          <w:rFonts w:ascii="Verdana"/>
          <w:sz w:val="21"/>
        </w:rPr>
        <w:t>=</w:t>
      </w:r>
      <w:r>
        <w:rPr>
          <w:rFonts w:ascii="Verdana"/>
          <w:spacing w:val="-34"/>
          <w:sz w:val="21"/>
        </w:rPr>
        <w:t> </w:t>
      </w:r>
      <w:r>
        <w:rPr>
          <w:rFonts w:ascii="Verdana"/>
          <w:sz w:val="21"/>
        </w:rPr>
        <w:t>299</w:t>
        <w:tab/>
        <w:t>Number</w:t>
      </w:r>
      <w:r>
        <w:rPr>
          <w:rFonts w:ascii="Verdana"/>
          <w:spacing w:val="-8"/>
          <w:sz w:val="21"/>
        </w:rPr>
        <w:t> </w:t>
      </w:r>
      <w:r>
        <w:rPr>
          <w:rFonts w:ascii="Verdana"/>
          <w:sz w:val="21"/>
        </w:rPr>
        <w:t>of</w:t>
      </w:r>
      <w:r>
        <w:rPr>
          <w:rFonts w:ascii="Verdana"/>
          <w:spacing w:val="-8"/>
          <w:sz w:val="21"/>
        </w:rPr>
        <w:t> </w:t>
      </w:r>
      <w:r>
        <w:rPr>
          <w:rFonts w:ascii="Verdana"/>
          <w:sz w:val="21"/>
        </w:rPr>
        <w:t>items</w:t>
      </w:r>
      <w:r>
        <w:rPr>
          <w:rFonts w:ascii="Verdana"/>
          <w:spacing w:val="-8"/>
          <w:sz w:val="21"/>
        </w:rPr>
        <w:t> </w:t>
      </w:r>
      <w:r>
        <w:rPr>
          <w:rFonts w:ascii="Verdana"/>
          <w:sz w:val="21"/>
        </w:rPr>
        <w:t>published</w:t>
      </w:r>
      <w:r>
        <w:rPr>
          <w:rFonts w:ascii="Verdana"/>
          <w:spacing w:val="-8"/>
          <w:sz w:val="21"/>
        </w:rPr>
        <w:t> </w:t>
      </w:r>
      <w:r>
        <w:rPr>
          <w:rFonts w:ascii="Verdana"/>
          <w:sz w:val="21"/>
        </w:rPr>
        <w:t>in:</w:t>
      </w:r>
      <w:r>
        <w:rPr>
          <w:rFonts w:ascii="Verdana"/>
          <w:spacing w:val="-41"/>
          <w:sz w:val="21"/>
        </w:rPr>
        <w:t> </w:t>
      </w:r>
      <w:r>
        <w:rPr>
          <w:rFonts w:ascii="Verdana"/>
          <w:sz w:val="21"/>
        </w:rPr>
        <w:t>2011</w:t>
      </w:r>
      <w:r>
        <w:rPr>
          <w:rFonts w:ascii="Verdana"/>
          <w:spacing w:val="-8"/>
          <w:sz w:val="21"/>
        </w:rPr>
        <w:t> </w:t>
      </w:r>
      <w:r>
        <w:rPr>
          <w:rFonts w:ascii="Verdana"/>
          <w:sz w:val="21"/>
        </w:rPr>
        <w:t>=</w:t>
      </w:r>
      <w:r>
        <w:rPr>
          <w:rFonts w:ascii="Verdana"/>
          <w:spacing w:val="-35"/>
          <w:sz w:val="21"/>
        </w:rPr>
        <w:t> </w:t>
      </w:r>
      <w:r>
        <w:rPr>
          <w:rFonts w:ascii="Verdana"/>
          <w:sz w:val="21"/>
        </w:rPr>
        <w:t>182</w:t>
      </w:r>
    </w:p>
    <w:p>
      <w:pPr>
        <w:tabs>
          <w:tab w:pos="8691" w:val="left" w:leader="none"/>
        </w:tabs>
        <w:spacing w:before="43"/>
        <w:ind w:left="4036" w:right="0" w:firstLine="0"/>
        <w:jc w:val="left"/>
        <w:rPr>
          <w:rFonts w:ascii="Verdana"/>
          <w:sz w:val="20"/>
        </w:rPr>
      </w:pPr>
      <w:r>
        <w:rPr>
          <w:rFonts w:ascii="Verdana"/>
          <w:w w:val="105"/>
          <w:sz w:val="20"/>
        </w:rPr>
        <w:t>2010</w:t>
      </w:r>
      <w:r>
        <w:rPr>
          <w:rFonts w:ascii="Verdana"/>
          <w:spacing w:val="-5"/>
          <w:w w:val="105"/>
          <w:sz w:val="20"/>
        </w:rPr>
        <w:t> </w:t>
      </w:r>
      <w:r>
        <w:rPr>
          <w:rFonts w:ascii="Verdana"/>
          <w:w w:val="105"/>
          <w:sz w:val="20"/>
        </w:rPr>
        <w:t>=</w:t>
      </w:r>
      <w:r>
        <w:rPr>
          <w:rFonts w:ascii="Verdana"/>
          <w:spacing w:val="-33"/>
          <w:w w:val="105"/>
          <w:sz w:val="20"/>
        </w:rPr>
        <w:t> </w:t>
      </w:r>
      <w:r>
        <w:rPr>
          <w:rFonts w:ascii="Verdana"/>
          <w:w w:val="105"/>
          <w:sz w:val="20"/>
        </w:rPr>
        <w:t>284</w:t>
        <w:tab/>
        <w:t>2010 =</w:t>
      </w:r>
      <w:r>
        <w:rPr>
          <w:rFonts w:ascii="Verdana"/>
          <w:spacing w:val="-43"/>
          <w:w w:val="105"/>
          <w:sz w:val="20"/>
        </w:rPr>
        <w:t> </w:t>
      </w:r>
      <w:r>
        <w:rPr>
          <w:rFonts w:ascii="Verdana"/>
          <w:w w:val="105"/>
          <w:sz w:val="20"/>
        </w:rPr>
        <w:t>158</w:t>
      </w:r>
    </w:p>
    <w:p>
      <w:pPr>
        <w:tabs>
          <w:tab w:pos="4851" w:val="left" w:leader="none"/>
          <w:tab w:pos="8691" w:val="left" w:leader="none"/>
          <w:tab w:pos="9507" w:val="left" w:leader="none"/>
        </w:tabs>
        <w:spacing w:before="45"/>
        <w:ind w:left="4036" w:right="0" w:firstLine="0"/>
        <w:jc w:val="left"/>
        <w:rPr>
          <w:rFonts w:ascii="Verdana"/>
          <w:sz w:val="20"/>
        </w:rPr>
      </w:pPr>
      <w:r>
        <w:rPr>
          <w:rFonts w:ascii="Verdana"/>
          <w:w w:val="105"/>
          <w:sz w:val="20"/>
        </w:rPr>
        <w:t>Sum:</w:t>
        <w:tab/>
        <w:t>583</w:t>
        <w:tab/>
        <w:t>Sum:</w:t>
        <w:tab/>
        <w:t>340</w:t>
      </w:r>
    </w:p>
    <w:p>
      <w:pPr>
        <w:tabs>
          <w:tab w:pos="4787" w:val="left" w:leader="none"/>
          <w:tab w:pos="5411" w:val="left" w:leader="none"/>
        </w:tabs>
        <w:spacing w:before="45"/>
        <w:ind w:left="227" w:right="0" w:firstLine="0"/>
        <w:jc w:val="left"/>
        <w:rPr>
          <w:rFonts w:ascii="Verdana"/>
          <w:b/>
          <w:sz w:val="20"/>
        </w:rPr>
      </w:pPr>
      <w:r>
        <w:rPr>
          <w:rFonts w:ascii="Verdana"/>
          <w:w w:val="105"/>
          <w:sz w:val="20"/>
        </w:rPr>
        <w:t>Calculation:</w:t>
      </w:r>
      <w:r>
        <w:rPr>
          <w:rFonts w:ascii="Verdana"/>
          <w:w w:val="105"/>
          <w:sz w:val="20"/>
          <w:u w:val="single"/>
        </w:rPr>
        <w:t>Cites to</w:t>
      </w:r>
      <w:r>
        <w:rPr>
          <w:rFonts w:ascii="Verdana"/>
          <w:spacing w:val="-14"/>
          <w:w w:val="105"/>
          <w:sz w:val="20"/>
          <w:u w:val="single"/>
        </w:rPr>
        <w:t> </w:t>
      </w:r>
      <w:r>
        <w:rPr>
          <w:rFonts w:ascii="Verdana"/>
          <w:w w:val="105"/>
          <w:sz w:val="20"/>
          <w:u w:val="single"/>
        </w:rPr>
        <w:t>recent</w:t>
      </w:r>
      <w:r>
        <w:rPr>
          <w:rFonts w:ascii="Verdana"/>
          <w:spacing w:val="-7"/>
          <w:w w:val="105"/>
          <w:sz w:val="20"/>
          <w:u w:val="single"/>
        </w:rPr>
        <w:t> </w:t>
      </w:r>
      <w:r>
        <w:rPr>
          <w:rFonts w:ascii="Verdana"/>
          <w:w w:val="105"/>
          <w:sz w:val="20"/>
          <w:u w:val="single"/>
        </w:rPr>
        <w:t>items</w:t>
      </w:r>
      <w:r>
        <w:rPr>
          <w:rFonts w:ascii="Verdana"/>
          <w:w w:val="105"/>
          <w:sz w:val="20"/>
        </w:rPr>
        <w:tab/>
      </w:r>
      <w:r>
        <w:rPr>
          <w:rFonts w:ascii="Verdana"/>
          <w:w w:val="105"/>
          <w:sz w:val="20"/>
          <w:u w:val="single"/>
        </w:rPr>
        <w:t>583</w:t>
      </w:r>
      <w:r>
        <w:rPr>
          <w:rFonts w:ascii="Verdana"/>
          <w:w w:val="105"/>
          <w:sz w:val="20"/>
        </w:rPr>
        <w:tab/>
        <w:t>=</w:t>
      </w:r>
      <w:r>
        <w:rPr>
          <w:rFonts w:ascii="Verdana"/>
          <w:spacing w:val="-29"/>
          <w:w w:val="105"/>
          <w:sz w:val="20"/>
        </w:rPr>
        <w:t> </w:t>
      </w:r>
      <w:r>
        <w:rPr>
          <w:rFonts w:ascii="Verdana"/>
          <w:b/>
          <w:w w:val="105"/>
          <w:sz w:val="20"/>
        </w:rPr>
        <w:t>1.715</w:t>
      </w:r>
    </w:p>
    <w:p>
      <w:pPr>
        <w:tabs>
          <w:tab w:pos="5184" w:val="right" w:leader="none"/>
        </w:tabs>
        <w:spacing w:before="3"/>
        <w:ind w:left="1476" w:right="0" w:firstLine="0"/>
        <w:jc w:val="left"/>
        <w:rPr>
          <w:rFonts w:ascii="Verdana"/>
          <w:sz w:val="21"/>
        </w:rPr>
      </w:pPr>
      <w:r>
        <w:rPr>
          <w:rFonts w:ascii="Verdana"/>
          <w:sz w:val="21"/>
        </w:rPr>
        <w:t>Number of</w:t>
      </w:r>
      <w:r>
        <w:rPr>
          <w:rFonts w:ascii="Verdana"/>
          <w:spacing w:val="-6"/>
          <w:sz w:val="21"/>
        </w:rPr>
        <w:t> </w:t>
      </w:r>
      <w:r>
        <w:rPr>
          <w:rFonts w:ascii="Verdana"/>
          <w:sz w:val="21"/>
        </w:rPr>
        <w:t>recent</w:t>
      </w:r>
      <w:r>
        <w:rPr>
          <w:rFonts w:ascii="Verdana"/>
          <w:spacing w:val="-3"/>
          <w:sz w:val="21"/>
        </w:rPr>
        <w:t> </w:t>
      </w:r>
      <w:r>
        <w:rPr>
          <w:rFonts w:ascii="Verdana"/>
          <w:sz w:val="21"/>
        </w:rPr>
        <w:t>items</w:t>
        <w:tab/>
        <w:t>340</w:t>
      </w:r>
    </w:p>
    <w:p>
      <w:pPr>
        <w:tabs>
          <w:tab w:pos="10697" w:val="left" w:leader="none"/>
        </w:tabs>
        <w:spacing w:before="446"/>
        <w:ind w:left="100" w:right="0" w:firstLine="0"/>
        <w:jc w:val="left"/>
        <w:rPr>
          <w:rFonts w:ascii="Lucida Sans Unicode" w:hAnsi="Lucida Sans Unicode"/>
          <w:sz w:val="14"/>
        </w:rPr>
      </w:pPr>
      <w:hyperlink r:id="rId50">
        <w:r>
          <w:rPr>
            <w:rFonts w:ascii="Lucida Sans Unicode" w:hAnsi="Lucida Sans Unicode"/>
            <w:sz w:val="14"/>
          </w:rPr>
          <w:t>http://admin-apps.webofknowledge.com/JCR/JCR?RQ=RECORD&amp;rank=75&amp;journal=JAVMA-J+AM+VET+MED+A</w:t>
        </w:r>
      </w:hyperlink>
      <w:r>
        <w:rPr>
          <w:rFonts w:ascii="Lucida Sans Unicode" w:hAnsi="Lucida Sans Unicode"/>
          <w:sz w:val="14"/>
        </w:rPr>
        <w:tab/>
        <w:t>Página 1 de</w:t>
      </w:r>
      <w:r>
        <w:rPr>
          <w:rFonts w:ascii="Lucida Sans Unicode" w:hAnsi="Lucida Sans Unicode"/>
          <w:spacing w:val="-3"/>
          <w:sz w:val="14"/>
        </w:rPr>
        <w:t> </w:t>
      </w:r>
      <w:r>
        <w:rPr>
          <w:rFonts w:ascii="Lucida Sans Unicode" w:hAnsi="Lucida Sans Unicode"/>
          <w:sz w:val="14"/>
        </w:rPr>
        <w:t>4</w:t>
      </w:r>
    </w:p>
    <w:p>
      <w:pPr>
        <w:spacing w:after="0"/>
        <w:jc w:val="left"/>
        <w:rPr>
          <w:rFonts w:ascii="Lucida Sans Unicode" w:hAnsi="Lucida Sans Unicode"/>
          <w:sz w:val="14"/>
        </w:rPr>
        <w:sectPr>
          <w:headerReference w:type="default" r:id="rId28"/>
          <w:footerReference w:type="default" r:id="rId29"/>
          <w:pgSz w:w="12240" w:h="15840"/>
          <w:pgMar w:header="0" w:footer="0" w:top="280" w:bottom="280" w:left="280" w:right="220"/>
        </w:sectPr>
      </w:pPr>
    </w:p>
    <w:p>
      <w:pPr>
        <w:tabs>
          <w:tab w:pos="10499" w:val="left" w:leader="none"/>
        </w:tabs>
        <w:spacing w:before="46"/>
        <w:ind w:left="100" w:right="0" w:firstLine="0"/>
        <w:jc w:val="left"/>
        <w:rPr>
          <w:rFonts w:ascii="Lucida Sans Unicode"/>
          <w:sz w:val="14"/>
        </w:rPr>
      </w:pPr>
      <w:r>
        <w:rPr>
          <w:rFonts w:ascii="Lucida Sans Unicode"/>
          <w:sz w:val="14"/>
        </w:rPr>
        <w:t>ScholarOne</w:t>
      </w:r>
      <w:r>
        <w:rPr>
          <w:rFonts w:ascii="Lucida Sans Unicode"/>
          <w:spacing w:val="-4"/>
          <w:sz w:val="14"/>
        </w:rPr>
        <w:t> </w:t>
      </w:r>
      <w:r>
        <w:rPr>
          <w:rFonts w:ascii="Lucida Sans Unicode"/>
          <w:sz w:val="14"/>
        </w:rPr>
        <w:t>Manuscripts</w:t>
        <w:tab/>
        <w:t>06/05/14</w:t>
      </w:r>
      <w:r>
        <w:rPr>
          <w:rFonts w:ascii="Lucida Sans Unicode"/>
          <w:spacing w:val="-7"/>
          <w:sz w:val="14"/>
        </w:rPr>
        <w:t> </w:t>
      </w:r>
      <w:r>
        <w:rPr>
          <w:rFonts w:ascii="Lucida Sans Unicode"/>
          <w:sz w:val="14"/>
        </w:rPr>
        <w:t>15:47</w:t>
      </w:r>
    </w:p>
    <w:p>
      <w:pPr>
        <w:pStyle w:val="BodyText"/>
        <w:spacing w:before="2"/>
        <w:rPr>
          <w:rFonts w:ascii="Lucida Sans Unicode"/>
          <w:sz w:val="18"/>
        </w:rPr>
      </w:pPr>
      <w:r>
        <w:rPr/>
        <w:pict>
          <v:group style="position:absolute;margin-left:21pt;margin-top:15.92041pt;width:576pt;height:77.2pt;mso-position-horizontal-relative:page;mso-position-vertical-relative:paragraph;z-index:1792;mso-wrap-distance-left:0;mso-wrap-distance-right:0" coordorigin="420,318" coordsize="11520,1544">
            <v:shape style="position:absolute;left:420;top:318;width:5760;height:1164" type="#_x0000_t75" stroked="false">
              <v:imagedata r:id="rId53" o:title=""/>
            </v:shape>
            <v:shape style="position:absolute;left:6180;top:318;width:5760;height:316" type="#_x0000_t75" stroked="false">
              <v:imagedata r:id="rId54" o:title=""/>
            </v:shape>
            <v:shape style="position:absolute;left:9318;top:634;width:2622;height:849" type="#_x0000_t75" stroked="false">
              <v:imagedata r:id="rId55" o:title=""/>
            </v:shape>
            <v:shape style="position:absolute;left:420;top:1483;width:45;height:379" type="#_x0000_t75" stroked="false">
              <v:imagedata r:id="rId56" o:title=""/>
            </v:shape>
            <v:shape style="position:absolute;left:1375;top:1634;width:333;height:76" type="#_x0000_t75" stroked="false">
              <v:imagedata r:id="rId57" o:title=""/>
            </v:shape>
            <v:shape style="position:absolute;left:3239;top:1634;width:333;height:76" type="#_x0000_t75" stroked="false">
              <v:imagedata r:id="rId57" o:title=""/>
            </v:shape>
            <v:shape style="position:absolute;left:465;top:1603;width:5203;height:167" type="#_x0000_t202" filled="false" stroked="false">
              <v:textbox inset="0,0,0,0">
                <w:txbxContent>
                  <w:p>
                    <w:pPr>
                      <w:tabs>
                        <w:tab w:pos="1242" w:val="left" w:leader="none"/>
                        <w:tab w:pos="3107" w:val="left" w:leader="none"/>
                      </w:tabs>
                      <w:spacing w:line="167" w:lineRule="exact" w:before="0"/>
                      <w:ind w:left="0" w:right="0" w:firstLine="0"/>
                      <w:jc w:val="left"/>
                      <w:rPr>
                        <w:rFonts w:ascii="Verdana"/>
                        <w:sz w:val="16"/>
                      </w:rPr>
                    </w:pPr>
                    <w:r>
                      <w:rPr>
                        <w:rFonts w:ascii="Verdana"/>
                        <w:w w:val="105"/>
                        <w:sz w:val="16"/>
                        <w:u w:val="single"/>
                      </w:rPr>
                      <w:t>Main</w:t>
                    </w:r>
                    <w:r>
                      <w:rPr>
                        <w:rFonts w:ascii="Verdana"/>
                        <w:spacing w:val="-4"/>
                        <w:w w:val="105"/>
                        <w:sz w:val="16"/>
                        <w:u w:val="single"/>
                      </w:rPr>
                      <w:t> </w:t>
                    </w:r>
                    <w:r>
                      <w:rPr>
                        <w:rFonts w:ascii="Verdana"/>
                        <w:w w:val="105"/>
                        <w:sz w:val="16"/>
                        <w:u w:val="single"/>
                      </w:rPr>
                      <w:t>Menu</w:t>
                    </w:r>
                    <w:r>
                      <w:rPr>
                        <w:rFonts w:ascii="Verdana"/>
                        <w:w w:val="105"/>
                        <w:sz w:val="16"/>
                      </w:rPr>
                      <w:tab/>
                    </w:r>
                    <w:r>
                      <w:rPr>
                        <w:rFonts w:ascii="Verdana"/>
                        <w:w w:val="105"/>
                        <w:sz w:val="16"/>
                        <w:u w:val="single"/>
                      </w:rPr>
                      <w:t>Author</w:t>
                    </w:r>
                    <w:r>
                      <w:rPr>
                        <w:rFonts w:ascii="Verdana"/>
                        <w:spacing w:val="-6"/>
                        <w:w w:val="105"/>
                        <w:sz w:val="16"/>
                        <w:u w:val="single"/>
                      </w:rPr>
                      <w:t> </w:t>
                    </w:r>
                    <w:r>
                      <w:rPr>
                        <w:rFonts w:ascii="Verdana"/>
                        <w:w w:val="105"/>
                        <w:sz w:val="16"/>
                        <w:u w:val="single"/>
                      </w:rPr>
                      <w:t>Dashboard</w:t>
                    </w:r>
                    <w:r>
                      <w:rPr>
                        <w:rFonts w:ascii="Verdana"/>
                        <w:w w:val="105"/>
                        <w:sz w:val="16"/>
                      </w:rPr>
                      <w:tab/>
                      <w:t>Submission</w:t>
                    </w:r>
                    <w:r>
                      <w:rPr>
                        <w:rFonts w:ascii="Verdana"/>
                        <w:spacing w:val="-17"/>
                        <w:w w:val="105"/>
                        <w:sz w:val="16"/>
                      </w:rPr>
                      <w:t> </w:t>
                    </w:r>
                    <w:r>
                      <w:rPr>
                        <w:rFonts w:ascii="Verdana"/>
                        <w:w w:val="105"/>
                        <w:sz w:val="16"/>
                      </w:rPr>
                      <w:t>Confirmation</w:t>
                    </w:r>
                  </w:p>
                </w:txbxContent>
              </v:textbox>
              <w10:wrap type="none"/>
            </v:shape>
            <w10:wrap type="topAndBottom"/>
          </v:group>
        </w:pict>
      </w:r>
    </w:p>
    <w:p>
      <w:pPr>
        <w:spacing w:line="171" w:lineRule="exact" w:before="0"/>
        <w:ind w:left="7805" w:right="0" w:firstLine="0"/>
        <w:jc w:val="left"/>
        <w:rPr>
          <w:rFonts w:ascii="Verdana"/>
          <w:sz w:val="16"/>
        </w:rPr>
      </w:pPr>
      <w:r>
        <w:rPr>
          <w:rFonts w:ascii="Verdana"/>
          <w:w w:val="105"/>
          <w:sz w:val="16"/>
        </w:rPr>
        <w:t>You are logged in as Javier Del Angel-Caraza</w:t>
      </w:r>
    </w:p>
    <w:p>
      <w:pPr>
        <w:pStyle w:val="BodyText"/>
        <w:spacing w:before="5"/>
        <w:rPr>
          <w:rFonts w:ascii="Verdana"/>
          <w:sz w:val="21"/>
        </w:rPr>
      </w:pPr>
      <w:r>
        <w:rPr/>
        <w:drawing>
          <wp:anchor distT="0" distB="0" distL="0" distR="0" allowOverlap="1" layoutInCell="1" locked="0" behindDoc="0" simplePos="0" relativeHeight="1816">
            <wp:simplePos x="0" y="0"/>
            <wp:positionH relativeFrom="page">
              <wp:posOffset>362952</wp:posOffset>
            </wp:positionH>
            <wp:positionV relativeFrom="paragraph">
              <wp:posOffset>190424</wp:posOffset>
            </wp:positionV>
            <wp:extent cx="1038986" cy="365569"/>
            <wp:effectExtent l="0" t="0" r="0" b="0"/>
            <wp:wrapTopAndBottom/>
            <wp:docPr id="59" name="image31.png" descr=""/>
            <wp:cNvGraphicFramePr>
              <a:graphicFrameLocks noChangeAspect="1"/>
            </wp:cNvGraphicFramePr>
            <a:graphic>
              <a:graphicData uri="http://schemas.openxmlformats.org/drawingml/2006/picture">
                <pic:pic>
                  <pic:nvPicPr>
                    <pic:cNvPr id="60" name="image31.png"/>
                    <pic:cNvPicPr/>
                  </pic:nvPicPr>
                  <pic:blipFill>
                    <a:blip r:embed="rId58" cstate="print"/>
                    <a:stretch>
                      <a:fillRect/>
                    </a:stretch>
                  </pic:blipFill>
                  <pic:spPr>
                    <a:xfrm>
                      <a:off x="0" y="0"/>
                      <a:ext cx="1038986" cy="365569"/>
                    </a:xfrm>
                    <a:prstGeom prst="rect">
                      <a:avLst/>
                    </a:prstGeom>
                  </pic:spPr>
                </pic:pic>
              </a:graphicData>
            </a:graphic>
          </wp:anchor>
        </w:drawing>
      </w:r>
    </w:p>
    <w:p>
      <w:pPr>
        <w:pStyle w:val="BodyText"/>
        <w:rPr>
          <w:rFonts w:ascii="Verdana"/>
          <w:sz w:val="23"/>
        </w:rPr>
      </w:pPr>
    </w:p>
    <w:p>
      <w:pPr>
        <w:spacing w:before="1"/>
        <w:ind w:left="1979" w:right="0" w:firstLine="0"/>
        <w:jc w:val="left"/>
        <w:rPr>
          <w:rFonts w:ascii="Verdana"/>
          <w:sz w:val="16"/>
        </w:rPr>
      </w:pPr>
      <w:r>
        <w:rPr>
          <w:rFonts w:ascii="Verdana"/>
          <w:w w:val="105"/>
          <w:sz w:val="16"/>
        </w:rPr>
        <w:t>Thank you for submitting your manuscript to </w:t>
      </w:r>
      <w:r>
        <w:rPr>
          <w:rFonts w:ascii="Verdana"/>
          <w:i/>
          <w:w w:val="105"/>
          <w:sz w:val="16"/>
        </w:rPr>
        <w:t>Journal of the American Veterinary Medical Association</w:t>
      </w:r>
      <w:r>
        <w:rPr>
          <w:rFonts w:ascii="Verdana"/>
          <w:w w:val="105"/>
          <w:sz w:val="16"/>
        </w:rPr>
        <w:t>.</w:t>
      </w:r>
    </w:p>
    <w:p>
      <w:pPr>
        <w:pStyle w:val="BodyText"/>
        <w:rPr>
          <w:rFonts w:ascii="Verdana"/>
          <w:sz w:val="16"/>
        </w:rPr>
      </w:pPr>
    </w:p>
    <w:p>
      <w:pPr>
        <w:pStyle w:val="BodyText"/>
        <w:rPr>
          <w:rFonts w:ascii="Verdana"/>
          <w:sz w:val="16"/>
        </w:rPr>
      </w:pPr>
    </w:p>
    <w:p>
      <w:pPr>
        <w:pStyle w:val="BodyText"/>
        <w:rPr>
          <w:rFonts w:ascii="Verdana"/>
          <w:sz w:val="16"/>
        </w:rPr>
      </w:pPr>
    </w:p>
    <w:p>
      <w:pPr>
        <w:pStyle w:val="BodyText"/>
        <w:rPr>
          <w:rFonts w:ascii="Verdana"/>
          <w:sz w:val="16"/>
        </w:rPr>
      </w:pPr>
    </w:p>
    <w:p>
      <w:pPr>
        <w:pStyle w:val="BodyText"/>
        <w:rPr>
          <w:rFonts w:ascii="Verdana"/>
          <w:sz w:val="16"/>
        </w:rPr>
      </w:pPr>
    </w:p>
    <w:p>
      <w:pPr>
        <w:pStyle w:val="BodyText"/>
        <w:spacing w:before="3"/>
        <w:rPr>
          <w:rFonts w:ascii="Verdana"/>
          <w:sz w:val="16"/>
        </w:rPr>
      </w:pPr>
    </w:p>
    <w:p>
      <w:pPr>
        <w:spacing w:before="0"/>
        <w:ind w:left="3099" w:right="0" w:firstLine="0"/>
        <w:jc w:val="left"/>
        <w:rPr>
          <w:rFonts w:ascii="Verdana"/>
          <w:sz w:val="16"/>
        </w:rPr>
      </w:pPr>
      <w:r>
        <w:rPr>
          <w:rFonts w:ascii="Verdana"/>
          <w:w w:val="105"/>
          <w:sz w:val="16"/>
        </w:rPr>
        <w:t>Manuscript ID:</w:t>
      </w:r>
      <w:r>
        <w:rPr>
          <w:rFonts w:ascii="Verdana"/>
          <w:spacing w:val="55"/>
          <w:w w:val="105"/>
          <w:sz w:val="16"/>
        </w:rPr>
        <w:t> </w:t>
      </w:r>
      <w:r>
        <w:rPr>
          <w:rFonts w:ascii="Verdana"/>
          <w:w w:val="105"/>
          <w:sz w:val="16"/>
        </w:rPr>
        <w:t>JAVMA-14-05-0263</w:t>
      </w:r>
    </w:p>
    <w:p>
      <w:pPr>
        <w:pStyle w:val="BodyText"/>
        <w:spacing w:before="8"/>
        <w:rPr>
          <w:rFonts w:ascii="Verdana"/>
          <w:sz w:val="12"/>
        </w:rPr>
      </w:pPr>
    </w:p>
    <w:p>
      <w:pPr>
        <w:spacing w:before="0"/>
        <w:ind w:left="3909" w:right="0" w:firstLine="0"/>
        <w:jc w:val="left"/>
        <w:rPr>
          <w:rFonts w:ascii="Verdana"/>
          <w:sz w:val="16"/>
        </w:rPr>
      </w:pPr>
      <w:r>
        <w:rPr>
          <w:rFonts w:ascii="Verdana"/>
          <w:w w:val="105"/>
          <w:sz w:val="16"/>
        </w:rPr>
        <w:t>Title:  Chronic kidney disease and its risk factors for dogs in Mexico</w:t>
      </w:r>
    </w:p>
    <w:p>
      <w:pPr>
        <w:spacing w:after="0"/>
        <w:jc w:val="left"/>
        <w:rPr>
          <w:rFonts w:ascii="Verdana"/>
          <w:sz w:val="16"/>
        </w:rPr>
        <w:sectPr>
          <w:headerReference w:type="default" r:id="rId51"/>
          <w:footerReference w:type="default" r:id="rId52"/>
          <w:pgSz w:w="12240" w:h="15840"/>
          <w:pgMar w:header="0" w:footer="0" w:top="280" w:bottom="280" w:left="320" w:right="180"/>
        </w:sectPr>
      </w:pPr>
    </w:p>
    <w:p>
      <w:pPr>
        <w:pStyle w:val="BodyText"/>
        <w:rPr>
          <w:rFonts w:ascii="Verdana"/>
          <w:sz w:val="16"/>
        </w:rPr>
      </w:pPr>
    </w:p>
    <w:p>
      <w:pPr>
        <w:pStyle w:val="BodyText"/>
        <w:spacing w:before="4"/>
        <w:rPr>
          <w:rFonts w:ascii="Verdana"/>
          <w:sz w:val="20"/>
        </w:rPr>
      </w:pPr>
    </w:p>
    <w:p>
      <w:pPr>
        <w:spacing w:before="0"/>
        <w:ind w:left="0" w:right="0" w:firstLine="0"/>
        <w:jc w:val="right"/>
        <w:rPr>
          <w:rFonts w:ascii="Verdana"/>
          <w:sz w:val="16"/>
        </w:rPr>
      </w:pPr>
      <w:r>
        <w:rPr>
          <w:rFonts w:ascii="Verdana"/>
          <w:w w:val="105"/>
          <w:sz w:val="16"/>
        </w:rPr>
        <w:t>Authors:</w:t>
      </w:r>
    </w:p>
    <w:p>
      <w:pPr>
        <w:pStyle w:val="BodyText"/>
        <w:spacing w:before="8"/>
        <w:rPr>
          <w:rFonts w:ascii="Verdana"/>
          <w:sz w:val="12"/>
        </w:rPr>
      </w:pPr>
      <w:r>
        <w:rPr/>
        <w:br w:type="column"/>
      </w:r>
      <w:r>
        <w:rPr>
          <w:rFonts w:ascii="Verdana"/>
          <w:sz w:val="12"/>
        </w:rPr>
      </w:r>
    </w:p>
    <w:p>
      <w:pPr>
        <w:spacing w:line="242" w:lineRule="auto" w:before="0"/>
        <w:ind w:left="111" w:right="4983" w:firstLine="0"/>
        <w:jc w:val="left"/>
        <w:rPr>
          <w:rFonts w:ascii="Verdana" w:hAnsi="Verdana"/>
          <w:sz w:val="16"/>
        </w:rPr>
      </w:pPr>
      <w:r>
        <w:rPr>
          <w:rFonts w:ascii="Verdana" w:hAnsi="Verdana"/>
          <w:w w:val="105"/>
          <w:sz w:val="16"/>
        </w:rPr>
        <w:t>Del Angel-Caraza, Javier Quijano-Hernández, Israel</w:t>
      </w:r>
      <w:r>
        <w:rPr>
          <w:rFonts w:ascii="Verdana" w:hAnsi="Verdana"/>
          <w:w w:val="104"/>
          <w:sz w:val="16"/>
        </w:rPr>
        <w:t> </w:t>
      </w:r>
      <w:r>
        <w:rPr>
          <w:rFonts w:ascii="Verdana" w:hAnsi="Verdana"/>
          <w:w w:val="105"/>
          <w:sz w:val="16"/>
        </w:rPr>
        <w:t>García-Gonzalez, Elsa Barbosa-Mireles, Marco</w:t>
      </w:r>
    </w:p>
    <w:p>
      <w:pPr>
        <w:spacing w:after="0" w:line="242" w:lineRule="auto"/>
        <w:jc w:val="left"/>
        <w:rPr>
          <w:rFonts w:ascii="Verdana" w:hAnsi="Verdana"/>
          <w:sz w:val="16"/>
        </w:rPr>
        <w:sectPr>
          <w:type w:val="continuous"/>
          <w:pgSz w:w="12240" w:h="15840"/>
          <w:pgMar w:top="1360" w:bottom="280" w:left="320" w:right="180"/>
          <w:cols w:num="2" w:equalWidth="0">
            <w:col w:w="4345" w:space="40"/>
            <w:col w:w="7355"/>
          </w:cols>
        </w:sectPr>
      </w:pPr>
    </w:p>
    <w:p>
      <w:pPr>
        <w:pStyle w:val="BodyText"/>
        <w:spacing w:before="6"/>
        <w:rPr>
          <w:rFonts w:ascii="Verdana"/>
          <w:sz w:val="12"/>
        </w:rPr>
      </w:pPr>
    </w:p>
    <w:p>
      <w:pPr>
        <w:spacing w:before="0"/>
        <w:ind w:left="2950" w:right="0" w:firstLine="0"/>
        <w:jc w:val="left"/>
        <w:rPr>
          <w:rFonts w:ascii="Verdana"/>
          <w:sz w:val="16"/>
        </w:rPr>
      </w:pPr>
      <w:r>
        <w:rPr>
          <w:rFonts w:ascii="Verdana"/>
          <w:w w:val="105"/>
          <w:sz w:val="16"/>
        </w:rPr>
        <w:t>Date Submitted:  06-May-2014</w:t>
      </w:r>
    </w:p>
    <w:p>
      <w:pPr>
        <w:pStyle w:val="BodyText"/>
        <w:spacing w:before="11"/>
        <w:rPr>
          <w:rFonts w:ascii="Verdana"/>
          <w:sz w:val="23"/>
        </w:rPr>
      </w:pPr>
      <w:r>
        <w:rPr/>
        <w:drawing>
          <wp:anchor distT="0" distB="0" distL="0" distR="0" allowOverlap="1" layoutInCell="1" locked="0" behindDoc="0" simplePos="0" relativeHeight="1840">
            <wp:simplePos x="0" y="0"/>
            <wp:positionH relativeFrom="page">
              <wp:posOffset>5396965</wp:posOffset>
            </wp:positionH>
            <wp:positionV relativeFrom="paragraph">
              <wp:posOffset>209674</wp:posOffset>
            </wp:positionV>
            <wp:extent cx="500252" cy="173164"/>
            <wp:effectExtent l="0" t="0" r="0" b="0"/>
            <wp:wrapTopAndBottom/>
            <wp:docPr id="61" name="image32.png" descr=""/>
            <wp:cNvGraphicFramePr>
              <a:graphicFrameLocks noChangeAspect="1"/>
            </wp:cNvGraphicFramePr>
            <a:graphic>
              <a:graphicData uri="http://schemas.openxmlformats.org/drawingml/2006/picture">
                <pic:pic>
                  <pic:nvPicPr>
                    <pic:cNvPr id="62" name="image32.png"/>
                    <pic:cNvPicPr/>
                  </pic:nvPicPr>
                  <pic:blipFill>
                    <a:blip r:embed="rId59" cstate="print"/>
                    <a:stretch>
                      <a:fillRect/>
                    </a:stretch>
                  </pic:blipFill>
                  <pic:spPr>
                    <a:xfrm>
                      <a:off x="0" y="0"/>
                      <a:ext cx="500252" cy="173164"/>
                    </a:xfrm>
                    <a:prstGeom prst="rect">
                      <a:avLst/>
                    </a:prstGeom>
                  </pic:spPr>
                </pic:pic>
              </a:graphicData>
            </a:graphic>
          </wp:anchor>
        </w:drawing>
      </w:r>
      <w:r>
        <w:rPr/>
        <w:drawing>
          <wp:anchor distT="0" distB="0" distL="0" distR="0" allowOverlap="1" layoutInCell="1" locked="0" behindDoc="0" simplePos="0" relativeHeight="1864">
            <wp:simplePos x="0" y="0"/>
            <wp:positionH relativeFrom="page">
              <wp:posOffset>6012982</wp:posOffset>
            </wp:positionH>
            <wp:positionV relativeFrom="paragraph">
              <wp:posOffset>209674</wp:posOffset>
            </wp:positionV>
            <wp:extent cx="1346835" cy="173164"/>
            <wp:effectExtent l="0" t="0" r="0" b="0"/>
            <wp:wrapTopAndBottom/>
            <wp:docPr id="63" name="image33.png" descr=""/>
            <wp:cNvGraphicFramePr>
              <a:graphicFrameLocks noChangeAspect="1"/>
            </wp:cNvGraphicFramePr>
            <a:graphic>
              <a:graphicData uri="http://schemas.openxmlformats.org/drawingml/2006/picture">
                <pic:pic>
                  <pic:nvPicPr>
                    <pic:cNvPr id="64" name="image33.png"/>
                    <pic:cNvPicPr/>
                  </pic:nvPicPr>
                  <pic:blipFill>
                    <a:blip r:embed="rId60" cstate="print"/>
                    <a:stretch>
                      <a:fillRect/>
                    </a:stretch>
                  </pic:blipFill>
                  <pic:spPr>
                    <a:xfrm>
                      <a:off x="0" y="0"/>
                      <a:ext cx="1346835" cy="173164"/>
                    </a:xfrm>
                    <a:prstGeom prst="rect">
                      <a:avLst/>
                    </a:prstGeom>
                  </pic:spPr>
                </pic:pic>
              </a:graphicData>
            </a:graphic>
          </wp:anchor>
        </w:drawing>
      </w:r>
    </w:p>
    <w:p>
      <w:pPr>
        <w:pStyle w:val="BodyText"/>
        <w:rPr>
          <w:rFonts w:ascii="Verdana"/>
          <w:sz w:val="16"/>
        </w:rPr>
      </w:pPr>
    </w:p>
    <w:p>
      <w:pPr>
        <w:pStyle w:val="BodyText"/>
        <w:rPr>
          <w:rFonts w:ascii="Verdana"/>
          <w:sz w:val="16"/>
        </w:rPr>
      </w:pPr>
    </w:p>
    <w:p>
      <w:pPr>
        <w:pStyle w:val="BodyText"/>
        <w:rPr>
          <w:rFonts w:ascii="Verdana"/>
          <w:sz w:val="16"/>
        </w:rPr>
      </w:pPr>
    </w:p>
    <w:p>
      <w:pPr>
        <w:pStyle w:val="BodyText"/>
        <w:spacing w:before="3"/>
        <w:rPr>
          <w:rFonts w:ascii="Verdana"/>
          <w:sz w:val="18"/>
        </w:rPr>
      </w:pPr>
    </w:p>
    <w:p>
      <w:pPr>
        <w:spacing w:before="1"/>
        <w:ind w:left="1239" w:right="1257" w:firstLine="0"/>
        <w:jc w:val="center"/>
        <w:rPr>
          <w:rFonts w:ascii="Verdana" w:hAnsi="Verdana"/>
          <w:sz w:val="15"/>
        </w:rPr>
      </w:pPr>
      <w:r>
        <w:rPr>
          <w:rFonts w:ascii="Verdana" w:hAnsi="Verdana"/>
          <w:color w:val="333333"/>
          <w:sz w:val="15"/>
        </w:rPr>
        <w:t>ScholarOne Manuscripts</w:t>
      </w:r>
      <w:r>
        <w:rPr>
          <w:rFonts w:ascii="Verdana" w:hAnsi="Verdana"/>
          <w:color w:val="333333"/>
          <w:position w:val="6"/>
          <w:sz w:val="12"/>
        </w:rPr>
        <w:t>TM </w:t>
      </w:r>
      <w:r>
        <w:rPr>
          <w:rFonts w:ascii="Verdana" w:hAnsi="Verdana"/>
          <w:color w:val="333333"/>
          <w:sz w:val="15"/>
        </w:rPr>
        <w:t>v4.14.1 (patent #7,257,767 and #7,263,655). © ScholarOne, Inc., 2014. All Rights Reserved. ScholarOne Manuscripts is a trademark of ScholarOne, Inc. ScholarOne is a registered trademark of ScholarOne,  Inc.</w:t>
      </w:r>
    </w:p>
    <w:p>
      <w:pPr>
        <w:pStyle w:val="BodyText"/>
        <w:spacing w:before="10"/>
        <w:rPr>
          <w:rFonts w:ascii="Verdana"/>
          <w:sz w:val="14"/>
        </w:rPr>
      </w:pPr>
    </w:p>
    <w:p>
      <w:pPr>
        <w:spacing w:before="0"/>
        <w:ind w:left="294" w:right="314" w:firstLine="0"/>
        <w:jc w:val="center"/>
        <w:rPr>
          <w:rFonts w:ascii="Verdana"/>
          <w:sz w:val="15"/>
        </w:rPr>
      </w:pPr>
      <w:r>
        <w:rPr/>
        <w:drawing>
          <wp:inline distT="0" distB="0" distL="0" distR="0">
            <wp:extent cx="173254" cy="173254"/>
            <wp:effectExtent l="0" t="0" r="0" b="0"/>
            <wp:docPr id="65" name="image34.png" descr=""/>
            <wp:cNvGraphicFramePr>
              <a:graphicFrameLocks noChangeAspect="1"/>
            </wp:cNvGraphicFramePr>
            <a:graphic>
              <a:graphicData uri="http://schemas.openxmlformats.org/drawingml/2006/picture">
                <pic:pic>
                  <pic:nvPicPr>
                    <pic:cNvPr id="66" name="image34.png"/>
                    <pic:cNvPicPr/>
                  </pic:nvPicPr>
                  <pic:blipFill>
                    <a:blip r:embed="rId61" cstate="print"/>
                    <a:stretch>
                      <a:fillRect/>
                    </a:stretch>
                  </pic:blipFill>
                  <pic:spPr>
                    <a:xfrm>
                      <a:off x="0" y="0"/>
                      <a:ext cx="173254" cy="173254"/>
                    </a:xfrm>
                    <a:prstGeom prst="rect">
                      <a:avLst/>
                    </a:prstGeom>
                  </pic:spPr>
                </pic:pic>
              </a:graphicData>
            </a:graphic>
          </wp:inline>
        </w:drawing>
      </w:r>
      <w:r>
        <w:rPr/>
      </w:r>
      <w:r>
        <w:rPr>
          <w:rFonts w:ascii="Verdana"/>
          <w:color w:val="333333"/>
          <w:sz w:val="15"/>
        </w:rPr>
        <w:t>Follow ScholarOne on</w:t>
      </w:r>
      <w:r>
        <w:rPr>
          <w:rFonts w:ascii="Verdana"/>
          <w:color w:val="333333"/>
          <w:spacing w:val="23"/>
          <w:sz w:val="15"/>
        </w:rPr>
        <w:t> </w:t>
      </w:r>
      <w:r>
        <w:rPr>
          <w:rFonts w:ascii="Verdana"/>
          <w:color w:val="333333"/>
          <w:spacing w:val="-3"/>
          <w:sz w:val="15"/>
        </w:rPr>
        <w:t>Twitter</w:t>
      </w:r>
    </w:p>
    <w:p>
      <w:pPr>
        <w:spacing w:before="181"/>
        <w:ind w:left="294" w:right="313" w:firstLine="0"/>
        <w:jc w:val="center"/>
        <w:rPr>
          <w:rFonts w:ascii="Verdana"/>
          <w:b/>
          <w:sz w:val="15"/>
        </w:rPr>
      </w:pPr>
      <w:r>
        <w:rPr>
          <w:rFonts w:ascii="Verdana"/>
          <w:color w:val="666666"/>
          <w:sz w:val="15"/>
          <w:u w:val="single" w:color="666666"/>
        </w:rPr>
        <w:t>Terms and Conditions of Use </w:t>
      </w:r>
      <w:r>
        <w:rPr>
          <w:rFonts w:ascii="Verdana"/>
          <w:color w:val="333333"/>
          <w:sz w:val="15"/>
        </w:rPr>
        <w:t>- </w:t>
      </w:r>
      <w:r>
        <w:rPr>
          <w:rFonts w:ascii="Verdana"/>
          <w:color w:val="666666"/>
          <w:sz w:val="15"/>
          <w:u w:val="single" w:color="666666"/>
        </w:rPr>
        <w:t>ScholarOne Privacy Policy </w:t>
      </w:r>
      <w:r>
        <w:rPr>
          <w:rFonts w:ascii="Verdana"/>
          <w:color w:val="333333"/>
          <w:sz w:val="15"/>
        </w:rPr>
        <w:t>- </w:t>
      </w:r>
      <w:r>
        <w:rPr>
          <w:rFonts w:ascii="Verdana"/>
          <w:b/>
          <w:color w:val="FFA500"/>
          <w:sz w:val="15"/>
          <w:u w:val="single" w:color="FFA500"/>
        </w:rPr>
        <w:t>Get Help  Now</w:t>
      </w:r>
    </w:p>
    <w:p>
      <w:pPr>
        <w:pStyle w:val="BodyText"/>
        <w:rPr>
          <w:rFonts w:ascii="Verdana"/>
          <w:b/>
          <w:sz w:val="20"/>
        </w:rPr>
      </w:pPr>
    </w:p>
    <w:p>
      <w:pPr>
        <w:pStyle w:val="BodyText"/>
        <w:rPr>
          <w:rFonts w:ascii="Verdana"/>
          <w:b/>
          <w:sz w:val="20"/>
        </w:rPr>
      </w:pPr>
    </w:p>
    <w:p>
      <w:pPr>
        <w:pStyle w:val="BodyText"/>
        <w:rPr>
          <w:rFonts w:ascii="Verdana"/>
          <w:b/>
          <w:sz w:val="20"/>
        </w:rPr>
      </w:pPr>
    </w:p>
    <w:p>
      <w:pPr>
        <w:pStyle w:val="BodyText"/>
        <w:rPr>
          <w:rFonts w:ascii="Verdana"/>
          <w:b/>
          <w:sz w:val="20"/>
        </w:rPr>
      </w:pPr>
    </w:p>
    <w:p>
      <w:pPr>
        <w:pStyle w:val="BodyText"/>
        <w:rPr>
          <w:rFonts w:ascii="Verdana"/>
          <w:b/>
          <w:sz w:val="20"/>
        </w:rPr>
      </w:pPr>
    </w:p>
    <w:p>
      <w:pPr>
        <w:pStyle w:val="BodyText"/>
        <w:rPr>
          <w:rFonts w:ascii="Verdana"/>
          <w:b/>
          <w:sz w:val="20"/>
        </w:rPr>
      </w:pPr>
    </w:p>
    <w:p>
      <w:pPr>
        <w:pStyle w:val="BodyText"/>
        <w:rPr>
          <w:rFonts w:ascii="Verdana"/>
          <w:b/>
          <w:sz w:val="20"/>
        </w:rPr>
      </w:pPr>
    </w:p>
    <w:p>
      <w:pPr>
        <w:pStyle w:val="BodyText"/>
        <w:rPr>
          <w:rFonts w:ascii="Verdana"/>
          <w:b/>
          <w:sz w:val="20"/>
        </w:rPr>
      </w:pPr>
    </w:p>
    <w:p>
      <w:pPr>
        <w:pStyle w:val="BodyText"/>
        <w:rPr>
          <w:rFonts w:ascii="Verdana"/>
          <w:b/>
          <w:sz w:val="20"/>
        </w:rPr>
      </w:pPr>
    </w:p>
    <w:p>
      <w:pPr>
        <w:pStyle w:val="BodyText"/>
        <w:rPr>
          <w:rFonts w:ascii="Verdana"/>
          <w:b/>
          <w:sz w:val="20"/>
        </w:rPr>
      </w:pPr>
    </w:p>
    <w:p>
      <w:pPr>
        <w:pStyle w:val="BodyText"/>
        <w:rPr>
          <w:rFonts w:ascii="Verdana"/>
          <w:b/>
          <w:sz w:val="20"/>
        </w:rPr>
      </w:pPr>
    </w:p>
    <w:p>
      <w:pPr>
        <w:pStyle w:val="BodyText"/>
        <w:rPr>
          <w:rFonts w:ascii="Verdana"/>
          <w:b/>
          <w:sz w:val="20"/>
        </w:rPr>
      </w:pPr>
    </w:p>
    <w:p>
      <w:pPr>
        <w:pStyle w:val="BodyText"/>
        <w:rPr>
          <w:rFonts w:ascii="Verdana"/>
          <w:b/>
          <w:sz w:val="20"/>
        </w:rPr>
      </w:pPr>
    </w:p>
    <w:p>
      <w:pPr>
        <w:pStyle w:val="BodyText"/>
        <w:rPr>
          <w:rFonts w:ascii="Verdana"/>
          <w:b/>
          <w:sz w:val="20"/>
        </w:rPr>
      </w:pPr>
    </w:p>
    <w:p>
      <w:pPr>
        <w:pStyle w:val="BodyText"/>
        <w:rPr>
          <w:rFonts w:ascii="Verdana"/>
          <w:b/>
          <w:sz w:val="20"/>
        </w:rPr>
      </w:pPr>
    </w:p>
    <w:p>
      <w:pPr>
        <w:pStyle w:val="BodyText"/>
        <w:rPr>
          <w:rFonts w:ascii="Verdana"/>
          <w:b/>
          <w:sz w:val="20"/>
        </w:rPr>
      </w:pPr>
    </w:p>
    <w:p>
      <w:pPr>
        <w:pStyle w:val="BodyText"/>
        <w:rPr>
          <w:rFonts w:ascii="Verdana"/>
          <w:b/>
          <w:sz w:val="20"/>
        </w:rPr>
      </w:pPr>
    </w:p>
    <w:p>
      <w:pPr>
        <w:pStyle w:val="BodyText"/>
        <w:rPr>
          <w:rFonts w:ascii="Verdana"/>
          <w:b/>
          <w:sz w:val="20"/>
        </w:rPr>
      </w:pPr>
    </w:p>
    <w:p>
      <w:pPr>
        <w:pStyle w:val="BodyText"/>
        <w:rPr>
          <w:rFonts w:ascii="Verdana"/>
          <w:b/>
          <w:sz w:val="20"/>
        </w:rPr>
      </w:pPr>
    </w:p>
    <w:p>
      <w:pPr>
        <w:pStyle w:val="BodyText"/>
        <w:rPr>
          <w:rFonts w:ascii="Verdana"/>
          <w:b/>
          <w:sz w:val="20"/>
        </w:rPr>
      </w:pPr>
    </w:p>
    <w:p>
      <w:pPr>
        <w:pStyle w:val="BodyText"/>
        <w:spacing w:before="7"/>
        <w:rPr>
          <w:rFonts w:ascii="Verdana"/>
          <w:b/>
          <w:sz w:val="19"/>
        </w:rPr>
      </w:pPr>
    </w:p>
    <w:p>
      <w:pPr>
        <w:tabs>
          <w:tab w:pos="10697" w:val="left" w:leader="none"/>
        </w:tabs>
        <w:spacing w:before="62"/>
        <w:ind w:left="100" w:right="0" w:firstLine="0"/>
        <w:jc w:val="left"/>
        <w:rPr>
          <w:rFonts w:ascii="Lucida Sans Unicode" w:hAnsi="Lucida Sans Unicode"/>
          <w:sz w:val="14"/>
        </w:rPr>
      </w:pPr>
      <w:hyperlink r:id="rId62">
        <w:r>
          <w:rPr>
            <w:rFonts w:ascii="Lucida Sans Unicode" w:hAnsi="Lucida Sans Unicode"/>
            <w:sz w:val="14"/>
          </w:rPr>
          <w:t>http://mc.manuscriptcentral.com/javma</w:t>
        </w:r>
      </w:hyperlink>
      <w:r>
        <w:rPr>
          <w:rFonts w:ascii="Lucida Sans Unicode" w:hAnsi="Lucida Sans Unicode"/>
          <w:sz w:val="14"/>
        </w:rPr>
        <w:tab/>
        <w:t>Página 1 de</w:t>
      </w:r>
      <w:r>
        <w:rPr>
          <w:rFonts w:ascii="Lucida Sans Unicode" w:hAnsi="Lucida Sans Unicode"/>
          <w:spacing w:val="-3"/>
          <w:sz w:val="14"/>
        </w:rPr>
        <w:t> </w:t>
      </w:r>
      <w:r>
        <w:rPr>
          <w:rFonts w:ascii="Lucida Sans Unicode" w:hAnsi="Lucida Sans Unicode"/>
          <w:sz w:val="14"/>
        </w:rPr>
        <w:t>1</w:t>
      </w:r>
    </w:p>
    <w:p>
      <w:pPr>
        <w:spacing w:after="0"/>
        <w:jc w:val="left"/>
        <w:rPr>
          <w:rFonts w:ascii="Lucida Sans Unicode" w:hAnsi="Lucida Sans Unicode"/>
          <w:sz w:val="14"/>
        </w:rPr>
        <w:sectPr>
          <w:type w:val="continuous"/>
          <w:pgSz w:w="12240" w:h="15840"/>
          <w:pgMar w:top="1360" w:bottom="280" w:left="320" w:right="180"/>
        </w:sectPr>
      </w:pPr>
    </w:p>
    <w:p>
      <w:pPr>
        <w:tabs>
          <w:tab w:pos="3549" w:val="left" w:leader="none"/>
        </w:tabs>
        <w:spacing w:before="56"/>
        <w:ind w:left="373" w:right="0" w:firstLine="0"/>
        <w:jc w:val="left"/>
        <w:rPr>
          <w:b/>
          <w:sz w:val="20"/>
        </w:rPr>
      </w:pPr>
      <w:r>
        <w:rPr>
          <w:b/>
          <w:sz w:val="20"/>
        </w:rPr>
        <w:t>age 1</w:t>
      </w:r>
      <w:r>
        <w:rPr>
          <w:b/>
          <w:spacing w:val="-1"/>
          <w:sz w:val="20"/>
        </w:rPr>
        <w:t> </w:t>
      </w:r>
      <w:r>
        <w:rPr>
          <w:b/>
          <w:sz w:val="20"/>
        </w:rPr>
        <w:t>of</w:t>
      </w:r>
      <w:r>
        <w:rPr>
          <w:b/>
          <w:spacing w:val="-1"/>
          <w:sz w:val="20"/>
        </w:rPr>
        <w:t> </w:t>
      </w:r>
      <w:r>
        <w:rPr>
          <w:b/>
          <w:sz w:val="20"/>
        </w:rPr>
        <w:t>16</w:t>
        <w:tab/>
        <w:t>Journal of the American Veterinary Medical</w:t>
      </w:r>
      <w:r>
        <w:rPr>
          <w:b/>
          <w:spacing w:val="-25"/>
          <w:sz w:val="20"/>
        </w:rPr>
        <w:t> </w:t>
      </w:r>
      <w:r>
        <w:rPr>
          <w:b/>
          <w:sz w:val="20"/>
        </w:rPr>
        <w:t>Association</w:t>
      </w:r>
    </w:p>
    <w:p>
      <w:pPr>
        <w:pStyle w:val="BodyText"/>
        <w:rPr>
          <w:b/>
          <w:sz w:val="20"/>
        </w:rPr>
      </w:pPr>
    </w:p>
    <w:p>
      <w:pPr>
        <w:pStyle w:val="BodyText"/>
        <w:rPr>
          <w:b/>
          <w:sz w:val="20"/>
        </w:rPr>
      </w:pPr>
    </w:p>
    <w:p>
      <w:pPr>
        <w:pStyle w:val="BodyText"/>
        <w:rPr>
          <w:b/>
          <w:sz w:val="20"/>
        </w:rPr>
      </w:pPr>
    </w:p>
    <w:p>
      <w:pPr>
        <w:pStyle w:val="BodyText"/>
        <w:spacing w:before="9"/>
        <w:rPr>
          <w:b/>
          <w:sz w:val="20"/>
        </w:rPr>
      </w:pPr>
    </w:p>
    <w:p>
      <w:pPr>
        <w:pStyle w:val="ListParagraph"/>
        <w:numPr>
          <w:ilvl w:val="0"/>
          <w:numId w:val="4"/>
        </w:numPr>
        <w:tabs>
          <w:tab w:pos="1937" w:val="left" w:leader="none"/>
          <w:tab w:pos="1938" w:val="left" w:leader="none"/>
        </w:tabs>
        <w:spacing w:line="240" w:lineRule="auto" w:before="76" w:after="0"/>
        <w:ind w:left="1937" w:right="0" w:hanging="453"/>
        <w:jc w:val="left"/>
        <w:rPr>
          <w:b/>
          <w:sz w:val="22"/>
        </w:rPr>
      </w:pPr>
      <w:r>
        <w:rPr>
          <w:b/>
          <w:sz w:val="22"/>
        </w:rPr>
        <w:t>Chronic kidney disease and its risk factors for dogs in  </w:t>
      </w:r>
      <w:r>
        <w:rPr>
          <w:b/>
          <w:spacing w:val="15"/>
          <w:sz w:val="22"/>
        </w:rPr>
        <w:t> </w:t>
      </w:r>
      <w:r>
        <w:rPr>
          <w:b/>
          <w:sz w:val="22"/>
        </w:rPr>
        <w:t>Mexico</w:t>
      </w:r>
    </w:p>
    <w:p>
      <w:pPr>
        <w:pStyle w:val="BodyText"/>
        <w:spacing w:before="10"/>
        <w:rPr>
          <w:rFonts w:ascii="Times New Roman"/>
          <w:b/>
          <w:sz w:val="12"/>
        </w:rPr>
      </w:pPr>
    </w:p>
    <w:p>
      <w:pPr>
        <w:pStyle w:val="ListParagraph"/>
        <w:numPr>
          <w:ilvl w:val="0"/>
          <w:numId w:val="4"/>
        </w:numPr>
        <w:tabs>
          <w:tab w:pos="1937" w:val="left" w:leader="none"/>
          <w:tab w:pos="1938" w:val="left" w:leader="none"/>
        </w:tabs>
        <w:spacing w:line="240" w:lineRule="auto" w:before="76" w:after="0"/>
        <w:ind w:left="1937" w:right="0" w:hanging="453"/>
        <w:jc w:val="left"/>
        <w:rPr>
          <w:sz w:val="22"/>
        </w:rPr>
      </w:pPr>
      <w:r>
        <w:rPr>
          <w:sz w:val="22"/>
        </w:rPr>
        <w:t>Elsa Macarena Garcia-Gonzalez, DVM, DM&amp;S-SA; Javier Del-Angel-Caraza DVM,   </w:t>
      </w:r>
      <w:r>
        <w:rPr>
          <w:spacing w:val="7"/>
          <w:sz w:val="22"/>
        </w:rPr>
        <w:t> </w:t>
      </w:r>
      <w:r>
        <w:rPr>
          <w:sz w:val="22"/>
        </w:rPr>
        <w:t>DM&amp;S-</w:t>
      </w:r>
    </w:p>
    <w:p>
      <w:pPr>
        <w:pStyle w:val="ListParagraph"/>
        <w:numPr>
          <w:ilvl w:val="0"/>
          <w:numId w:val="4"/>
        </w:numPr>
        <w:tabs>
          <w:tab w:pos="1937" w:val="left" w:leader="none"/>
          <w:tab w:pos="1938" w:val="left" w:leader="none"/>
        </w:tabs>
        <w:spacing w:line="240" w:lineRule="auto" w:before="133" w:after="0"/>
        <w:ind w:left="1937" w:right="0" w:hanging="453"/>
        <w:jc w:val="left"/>
        <w:rPr>
          <w:sz w:val="22"/>
        </w:rPr>
      </w:pPr>
      <w:r>
        <w:rPr>
          <w:sz w:val="22"/>
        </w:rPr>
        <w:t>SA, PhD; Israel Alejandro Quijano-Hernandez DVM, DM&amp;S-SA, MSc, PhD,   </w:t>
      </w:r>
      <w:r>
        <w:rPr>
          <w:spacing w:val="13"/>
          <w:sz w:val="22"/>
        </w:rPr>
        <w:t> </w:t>
      </w:r>
      <w:r>
        <w:rPr>
          <w:sz w:val="22"/>
        </w:rPr>
        <w:t>Marco Antonio</w:t>
      </w:r>
    </w:p>
    <w:p>
      <w:pPr>
        <w:pStyle w:val="ListParagraph"/>
        <w:numPr>
          <w:ilvl w:val="0"/>
          <w:numId w:val="4"/>
        </w:numPr>
        <w:tabs>
          <w:tab w:pos="1937" w:val="left" w:leader="none"/>
          <w:tab w:pos="1938" w:val="left" w:leader="none"/>
        </w:tabs>
        <w:spacing w:line="240" w:lineRule="auto" w:before="138" w:after="0"/>
        <w:ind w:left="1937" w:right="0" w:hanging="453"/>
        <w:jc w:val="left"/>
        <w:rPr>
          <w:sz w:val="22"/>
        </w:rPr>
      </w:pPr>
      <w:r>
        <w:rPr>
          <w:sz w:val="22"/>
        </w:rPr>
        <w:t>Barbosa-Mireles, DVM, DM&amp;S-SA, </w:t>
      </w:r>
      <w:r>
        <w:rPr>
          <w:spacing w:val="26"/>
          <w:sz w:val="22"/>
        </w:rPr>
        <w:t> </w:t>
      </w:r>
      <w:r>
        <w:rPr>
          <w:sz w:val="22"/>
        </w:rPr>
        <w:t>MSc.</w:t>
      </w:r>
    </w:p>
    <w:p>
      <w:pPr>
        <w:pStyle w:val="BodyText"/>
        <w:spacing w:before="3"/>
        <w:rPr>
          <w:rFonts w:ascii="Times New Roman"/>
          <w:sz w:val="21"/>
        </w:rPr>
      </w:pPr>
    </w:p>
    <w:p>
      <w:pPr>
        <w:spacing w:before="0"/>
        <w:ind w:left="1484" w:right="0" w:firstLine="0"/>
        <w:jc w:val="left"/>
        <w:rPr>
          <w:rFonts w:ascii="Cambria"/>
          <w:sz w:val="20"/>
        </w:rPr>
      </w:pPr>
      <w:r>
        <w:rPr>
          <w:rFonts w:ascii="Cambria"/>
          <w:w w:val="103"/>
          <w:sz w:val="20"/>
        </w:rPr>
        <w:t>5</w:t>
      </w:r>
    </w:p>
    <w:p>
      <w:pPr>
        <w:pStyle w:val="BodyText"/>
        <w:spacing w:before="4"/>
        <w:rPr>
          <w:rFonts w:ascii="Cambria"/>
          <w:sz w:val="13"/>
        </w:rPr>
      </w:pPr>
    </w:p>
    <w:p>
      <w:pPr>
        <w:pStyle w:val="ListParagraph"/>
        <w:numPr>
          <w:ilvl w:val="0"/>
          <w:numId w:val="5"/>
        </w:numPr>
        <w:tabs>
          <w:tab w:pos="1937" w:val="left" w:leader="none"/>
          <w:tab w:pos="1938" w:val="left" w:leader="none"/>
        </w:tabs>
        <w:spacing w:line="240" w:lineRule="auto" w:before="76" w:after="0"/>
        <w:ind w:left="1937" w:right="0" w:hanging="453"/>
        <w:jc w:val="left"/>
        <w:rPr>
          <w:sz w:val="22"/>
        </w:rPr>
      </w:pPr>
      <w:r>
        <w:rPr>
          <w:sz w:val="22"/>
        </w:rPr>
        <w:t>From Hospital Veterinario para Pequeñas Especies de la Facultad de Medicina Veterinaria   </w:t>
      </w:r>
      <w:r>
        <w:rPr>
          <w:spacing w:val="1"/>
          <w:sz w:val="22"/>
        </w:rPr>
        <w:t> </w:t>
      </w:r>
      <w:r>
        <w:rPr>
          <w:sz w:val="22"/>
        </w:rPr>
        <w:t>y</w:t>
      </w:r>
    </w:p>
    <w:p>
      <w:pPr>
        <w:pStyle w:val="ListParagraph"/>
        <w:numPr>
          <w:ilvl w:val="0"/>
          <w:numId w:val="5"/>
        </w:numPr>
        <w:tabs>
          <w:tab w:pos="1937" w:val="left" w:leader="none"/>
          <w:tab w:pos="1938" w:val="left" w:leader="none"/>
        </w:tabs>
        <w:spacing w:line="240" w:lineRule="auto" w:before="136" w:after="0"/>
        <w:ind w:left="1937" w:right="0" w:hanging="453"/>
        <w:jc w:val="left"/>
        <w:rPr>
          <w:sz w:val="22"/>
        </w:rPr>
      </w:pPr>
      <w:r>
        <w:rPr/>
        <w:pict>
          <v:shape style="position:absolute;margin-left:120.872412pt;margin-top:172.530573pt;width:376.45pt;height:48pt;mso-position-horizontal-relative:page;mso-position-vertical-relative:paragraph;z-index:-123184;rotation:51" type="#_x0000_t136" fillcolor="#d6f1fe" stroked="f">
            <o:extrusion v:ext="view" autorotationcenter="t"/>
            <v:textpath style="font-family:&amp;quot;Arial&amp;quot;;font-size:48pt;v-text-kern:t;mso-text-shadow:auto;font-weight:bold" string="For Review Only"/>
            <w10:wrap type="none"/>
          </v:shape>
        </w:pict>
      </w:r>
      <w:r>
        <w:rPr>
          <w:sz w:val="22"/>
        </w:rPr>
        <w:t>Zootecnia de la Universidad Autónoma del Estado de Mexico. Jesús Carranza # 203.  </w:t>
      </w:r>
      <w:r>
        <w:rPr>
          <w:spacing w:val="51"/>
          <w:sz w:val="22"/>
        </w:rPr>
        <w:t> </w:t>
      </w:r>
      <w:r>
        <w:rPr>
          <w:sz w:val="22"/>
        </w:rPr>
        <w:t>Col.</w:t>
      </w:r>
    </w:p>
    <w:p>
      <w:pPr>
        <w:pStyle w:val="ListParagraph"/>
        <w:numPr>
          <w:ilvl w:val="0"/>
          <w:numId w:val="5"/>
        </w:numPr>
        <w:tabs>
          <w:tab w:pos="1937" w:val="left" w:leader="none"/>
          <w:tab w:pos="1938" w:val="left" w:leader="none"/>
        </w:tabs>
        <w:spacing w:line="240" w:lineRule="auto" w:before="138" w:after="0"/>
        <w:ind w:left="1937" w:right="0" w:hanging="453"/>
        <w:jc w:val="left"/>
        <w:rPr>
          <w:sz w:val="22"/>
        </w:rPr>
      </w:pPr>
      <w:r>
        <w:rPr>
          <w:sz w:val="22"/>
        </w:rPr>
        <w:t>Universidad  CP 5103.  Toluca-México (Garcia-Gonzalez,  Del-Angel-Caraza,</w:t>
      </w:r>
      <w:r>
        <w:rPr>
          <w:spacing w:val="-3"/>
          <w:sz w:val="22"/>
        </w:rPr>
        <w:t> </w:t>
      </w:r>
      <w:r>
        <w:rPr>
          <w:sz w:val="22"/>
        </w:rPr>
        <w:t>Quijano-</w:t>
      </w:r>
    </w:p>
    <w:p>
      <w:pPr>
        <w:pStyle w:val="ListParagraph"/>
        <w:numPr>
          <w:ilvl w:val="0"/>
          <w:numId w:val="5"/>
        </w:numPr>
        <w:tabs>
          <w:tab w:pos="1937" w:val="left" w:leader="none"/>
          <w:tab w:pos="1938" w:val="left" w:leader="none"/>
        </w:tabs>
        <w:spacing w:line="240" w:lineRule="auto" w:before="133" w:after="0"/>
        <w:ind w:left="1937" w:right="0" w:hanging="453"/>
        <w:jc w:val="left"/>
        <w:rPr>
          <w:sz w:val="22"/>
        </w:rPr>
      </w:pPr>
      <w:r>
        <w:rPr>
          <w:sz w:val="22"/>
        </w:rPr>
        <w:t>Hernandez, </w:t>
      </w:r>
      <w:r>
        <w:rPr>
          <w:spacing w:val="2"/>
          <w:sz w:val="22"/>
        </w:rPr>
        <w:t> </w:t>
      </w:r>
      <w:r>
        <w:rPr>
          <w:sz w:val="22"/>
        </w:rPr>
        <w:t>Barbosa-Mireles).</w:t>
      </w:r>
    </w:p>
    <w:p>
      <w:pPr>
        <w:pStyle w:val="BodyText"/>
        <w:spacing w:before="8"/>
        <w:rPr>
          <w:rFonts w:ascii="Times New Roman"/>
          <w:sz w:val="13"/>
        </w:rPr>
      </w:pPr>
    </w:p>
    <w:p>
      <w:pPr>
        <w:pStyle w:val="ListParagraph"/>
        <w:numPr>
          <w:ilvl w:val="0"/>
          <w:numId w:val="5"/>
        </w:numPr>
        <w:tabs>
          <w:tab w:pos="1937" w:val="left" w:leader="none"/>
          <w:tab w:pos="1938" w:val="left" w:leader="none"/>
        </w:tabs>
        <w:spacing w:line="240" w:lineRule="auto" w:before="76" w:after="0"/>
        <w:ind w:left="1937" w:right="0" w:hanging="569"/>
        <w:jc w:val="left"/>
        <w:rPr>
          <w:sz w:val="22"/>
        </w:rPr>
      </w:pPr>
      <w:r>
        <w:rPr>
          <w:sz w:val="22"/>
        </w:rPr>
        <w:t>Supported in part by Consejo Nacional de Ciencia y Tecnología de México  </w:t>
      </w:r>
      <w:r>
        <w:rPr>
          <w:spacing w:val="54"/>
          <w:sz w:val="22"/>
        </w:rPr>
        <w:t> </w:t>
      </w:r>
      <w:r>
        <w:rPr>
          <w:sz w:val="22"/>
        </w:rPr>
        <w:t>(CONACyT).</w:t>
      </w:r>
    </w:p>
    <w:p>
      <w:pPr>
        <w:pStyle w:val="BodyText"/>
        <w:spacing w:before="3"/>
        <w:rPr>
          <w:rFonts w:ascii="Times New Roman"/>
          <w:sz w:val="13"/>
        </w:rPr>
      </w:pPr>
    </w:p>
    <w:p>
      <w:pPr>
        <w:pStyle w:val="ListParagraph"/>
        <w:numPr>
          <w:ilvl w:val="0"/>
          <w:numId w:val="5"/>
        </w:numPr>
        <w:tabs>
          <w:tab w:pos="1937" w:val="left" w:leader="none"/>
          <w:tab w:pos="1938" w:val="left" w:leader="none"/>
        </w:tabs>
        <w:spacing w:line="240" w:lineRule="auto" w:before="77" w:after="0"/>
        <w:ind w:left="1937" w:right="0" w:hanging="569"/>
        <w:jc w:val="left"/>
        <w:rPr>
          <w:sz w:val="22"/>
        </w:rPr>
      </w:pPr>
      <w:r>
        <w:rPr>
          <w:sz w:val="22"/>
        </w:rPr>
        <w:t>The authors thank Dr. Jose Simón Martínez-Castañeda for technical  </w:t>
      </w:r>
      <w:r>
        <w:rPr>
          <w:spacing w:val="36"/>
          <w:sz w:val="22"/>
        </w:rPr>
        <w:t> </w:t>
      </w:r>
      <w:r>
        <w:rPr>
          <w:sz w:val="22"/>
        </w:rPr>
        <w:t>assistance.</w:t>
      </w:r>
    </w:p>
    <w:p>
      <w:pPr>
        <w:pStyle w:val="BodyText"/>
        <w:spacing w:before="3"/>
        <w:rPr>
          <w:rFonts w:ascii="Times New Roman"/>
          <w:sz w:val="13"/>
        </w:rPr>
      </w:pPr>
    </w:p>
    <w:p>
      <w:pPr>
        <w:pStyle w:val="ListParagraph"/>
        <w:numPr>
          <w:ilvl w:val="0"/>
          <w:numId w:val="5"/>
        </w:numPr>
        <w:tabs>
          <w:tab w:pos="1937" w:val="left" w:leader="none"/>
          <w:tab w:pos="1938" w:val="left" w:leader="none"/>
        </w:tabs>
        <w:spacing w:line="240" w:lineRule="auto" w:before="77" w:after="0"/>
        <w:ind w:left="1937" w:right="0" w:hanging="569"/>
        <w:jc w:val="left"/>
        <w:rPr>
          <w:sz w:val="22"/>
        </w:rPr>
      </w:pPr>
      <w:r>
        <w:rPr>
          <w:sz w:val="22"/>
        </w:rPr>
        <w:t>Address correspondence to  Dr.  Del-Angel-Caraza</w:t>
      </w:r>
      <w:r>
        <w:rPr>
          <w:spacing w:val="29"/>
          <w:sz w:val="22"/>
        </w:rPr>
        <w:t> </w:t>
      </w:r>
      <w:r>
        <w:rPr>
          <w:sz w:val="22"/>
        </w:rPr>
        <w:t>(dlangel@uaemex.mx)</w:t>
      </w:r>
    </w:p>
    <w:p>
      <w:pPr>
        <w:pStyle w:val="BodyText"/>
        <w:spacing w:before="10"/>
        <w:rPr>
          <w:rFonts w:ascii="Times New Roman"/>
          <w:sz w:val="21"/>
        </w:rPr>
      </w:pPr>
    </w:p>
    <w:p>
      <w:pPr>
        <w:spacing w:before="0"/>
        <w:ind w:left="1368" w:right="0" w:firstLine="0"/>
        <w:jc w:val="left"/>
        <w:rPr>
          <w:rFonts w:ascii="Cambria"/>
          <w:sz w:val="20"/>
        </w:rPr>
      </w:pPr>
      <w:r>
        <w:rPr>
          <w:rFonts w:ascii="Cambria"/>
          <w:w w:val="105"/>
          <w:sz w:val="20"/>
        </w:rPr>
        <w:t>13</w:t>
      </w:r>
    </w:p>
    <w:p>
      <w:pPr>
        <w:pStyle w:val="BodyText"/>
        <w:spacing w:before="4"/>
        <w:rPr>
          <w:rFonts w:ascii="Cambria"/>
          <w:sz w:val="13"/>
        </w:rPr>
      </w:pPr>
    </w:p>
    <w:p>
      <w:pPr>
        <w:pStyle w:val="ListParagraph"/>
        <w:numPr>
          <w:ilvl w:val="0"/>
          <w:numId w:val="6"/>
        </w:numPr>
        <w:tabs>
          <w:tab w:pos="1937" w:val="left" w:leader="none"/>
          <w:tab w:pos="1938" w:val="left" w:leader="none"/>
        </w:tabs>
        <w:spacing w:line="240" w:lineRule="auto" w:before="76" w:after="0"/>
        <w:ind w:left="1937" w:right="0" w:hanging="569"/>
        <w:jc w:val="left"/>
        <w:rPr>
          <w:b/>
          <w:sz w:val="22"/>
        </w:rPr>
      </w:pPr>
      <w:r>
        <w:rPr>
          <w:b/>
          <w:sz w:val="22"/>
        </w:rPr>
        <w:t>Abstract</w:t>
      </w:r>
    </w:p>
    <w:p>
      <w:pPr>
        <w:pStyle w:val="BodyText"/>
        <w:rPr>
          <w:rFonts w:ascii="Times New Roman"/>
          <w:b/>
          <w:sz w:val="21"/>
        </w:rPr>
      </w:pPr>
    </w:p>
    <w:p>
      <w:pPr>
        <w:pStyle w:val="ListParagraph"/>
        <w:numPr>
          <w:ilvl w:val="0"/>
          <w:numId w:val="6"/>
        </w:numPr>
        <w:tabs>
          <w:tab w:pos="1937" w:val="left" w:leader="none"/>
          <w:tab w:pos="1938" w:val="left" w:leader="none"/>
        </w:tabs>
        <w:spacing w:line="240" w:lineRule="auto" w:before="76" w:after="0"/>
        <w:ind w:left="1937" w:right="0" w:hanging="569"/>
        <w:jc w:val="left"/>
        <w:rPr>
          <w:sz w:val="22"/>
        </w:rPr>
      </w:pPr>
      <w:r>
        <w:rPr>
          <w:b/>
          <w:sz w:val="22"/>
        </w:rPr>
        <w:t>Objective: </w:t>
      </w:r>
      <w:r>
        <w:rPr>
          <w:sz w:val="22"/>
        </w:rPr>
        <w:t>The purpose of this study was to determine the frequency of chronic   </w:t>
      </w:r>
      <w:r>
        <w:rPr>
          <w:spacing w:val="4"/>
          <w:sz w:val="22"/>
        </w:rPr>
        <w:t> </w:t>
      </w:r>
      <w:r>
        <w:rPr>
          <w:sz w:val="22"/>
        </w:rPr>
        <w:t>kidney</w:t>
      </w:r>
    </w:p>
    <w:p>
      <w:pPr>
        <w:pStyle w:val="ListParagraph"/>
        <w:numPr>
          <w:ilvl w:val="0"/>
          <w:numId w:val="6"/>
        </w:numPr>
        <w:tabs>
          <w:tab w:pos="1937" w:val="left" w:leader="none"/>
          <w:tab w:pos="1938" w:val="left" w:leader="none"/>
        </w:tabs>
        <w:spacing w:line="240" w:lineRule="auto" w:before="133" w:after="0"/>
        <w:ind w:left="1937" w:right="0" w:hanging="569"/>
        <w:jc w:val="left"/>
        <w:rPr>
          <w:sz w:val="22"/>
        </w:rPr>
      </w:pPr>
      <w:r>
        <w:rPr>
          <w:sz w:val="22"/>
        </w:rPr>
        <w:t>disease (CKD) in dogs   </w:t>
      </w:r>
      <w:r>
        <w:rPr>
          <w:spacing w:val="15"/>
          <w:sz w:val="22"/>
        </w:rPr>
        <w:t> </w:t>
      </w:r>
      <w:r>
        <w:rPr>
          <w:sz w:val="22"/>
        </w:rPr>
        <w:t>and its distribution among the different stages of the disease, as well as</w:t>
      </w:r>
    </w:p>
    <w:p>
      <w:pPr>
        <w:pStyle w:val="ListParagraph"/>
        <w:numPr>
          <w:ilvl w:val="0"/>
          <w:numId w:val="6"/>
        </w:numPr>
        <w:tabs>
          <w:tab w:pos="1937" w:val="left" w:leader="none"/>
          <w:tab w:pos="1938" w:val="left" w:leader="none"/>
        </w:tabs>
        <w:spacing w:line="240" w:lineRule="auto" w:before="138" w:after="0"/>
        <w:ind w:left="1937" w:right="0" w:hanging="569"/>
        <w:jc w:val="left"/>
        <w:rPr>
          <w:sz w:val="22"/>
        </w:rPr>
      </w:pPr>
      <w:r>
        <w:rPr>
          <w:sz w:val="22"/>
        </w:rPr>
        <w:t>relate it with some possible risk factors and </w:t>
      </w:r>
      <w:r>
        <w:rPr>
          <w:spacing w:val="47"/>
          <w:sz w:val="22"/>
        </w:rPr>
        <w:t> </w:t>
      </w:r>
      <w:r>
        <w:rPr>
          <w:sz w:val="22"/>
        </w:rPr>
        <w:t>comorbidities.</w:t>
      </w:r>
    </w:p>
    <w:p>
      <w:pPr>
        <w:spacing w:before="158"/>
        <w:ind w:left="1368" w:right="0" w:firstLine="0"/>
        <w:jc w:val="left"/>
        <w:rPr>
          <w:rFonts w:ascii="Cambria"/>
          <w:sz w:val="20"/>
        </w:rPr>
      </w:pPr>
      <w:r>
        <w:rPr>
          <w:rFonts w:ascii="Cambria"/>
          <w:w w:val="105"/>
          <w:sz w:val="20"/>
        </w:rPr>
        <w:t>18</w:t>
      </w:r>
    </w:p>
    <w:p>
      <w:pPr>
        <w:tabs>
          <w:tab w:pos="1937" w:val="left" w:leader="none"/>
        </w:tabs>
        <w:spacing w:before="131"/>
        <w:ind w:left="1368" w:right="0" w:firstLine="0"/>
        <w:jc w:val="left"/>
        <w:rPr>
          <w:rFonts w:ascii="Times New Roman"/>
          <w:sz w:val="22"/>
        </w:rPr>
      </w:pPr>
      <w:r>
        <w:rPr>
          <w:rFonts w:ascii="Cambria"/>
          <w:w w:val="105"/>
          <w:sz w:val="20"/>
        </w:rPr>
        <w:t>19</w:t>
        <w:tab/>
      </w:r>
      <w:r>
        <w:rPr>
          <w:rFonts w:ascii="Times New Roman"/>
          <w:b/>
          <w:w w:val="105"/>
          <w:sz w:val="22"/>
        </w:rPr>
        <w:t>Design:</w:t>
      </w:r>
      <w:r>
        <w:rPr>
          <w:rFonts w:ascii="Times New Roman"/>
          <w:b/>
          <w:spacing w:val="-36"/>
          <w:w w:val="105"/>
          <w:sz w:val="22"/>
        </w:rPr>
        <w:t> </w:t>
      </w:r>
      <w:r>
        <w:rPr>
          <w:rFonts w:ascii="Times New Roman"/>
          <w:w w:val="105"/>
          <w:sz w:val="22"/>
        </w:rPr>
        <w:t>Prospective</w:t>
      </w:r>
      <w:r>
        <w:rPr>
          <w:rFonts w:ascii="Times New Roman"/>
          <w:spacing w:val="-36"/>
          <w:w w:val="105"/>
          <w:sz w:val="22"/>
        </w:rPr>
        <w:t> </w:t>
      </w:r>
      <w:r>
        <w:rPr>
          <w:rFonts w:ascii="Times New Roman"/>
          <w:w w:val="105"/>
          <w:sz w:val="22"/>
        </w:rPr>
        <w:t>observational</w:t>
      </w:r>
      <w:r>
        <w:rPr>
          <w:rFonts w:ascii="Times New Roman"/>
          <w:spacing w:val="-38"/>
          <w:w w:val="105"/>
          <w:sz w:val="22"/>
        </w:rPr>
        <w:t> </w:t>
      </w:r>
      <w:r>
        <w:rPr>
          <w:rFonts w:ascii="Times New Roman"/>
          <w:w w:val="105"/>
          <w:sz w:val="22"/>
        </w:rPr>
        <w:t>study.</w:t>
      </w:r>
    </w:p>
    <w:p>
      <w:pPr>
        <w:spacing w:before="158"/>
        <w:ind w:left="1368" w:right="0" w:firstLine="0"/>
        <w:jc w:val="left"/>
        <w:rPr>
          <w:rFonts w:ascii="Cambria"/>
          <w:sz w:val="20"/>
        </w:rPr>
      </w:pPr>
      <w:r>
        <w:rPr>
          <w:rFonts w:ascii="Cambria"/>
          <w:w w:val="105"/>
          <w:sz w:val="20"/>
        </w:rPr>
        <w:t>20</w:t>
      </w:r>
    </w:p>
    <w:p>
      <w:pPr>
        <w:pStyle w:val="ListParagraph"/>
        <w:numPr>
          <w:ilvl w:val="0"/>
          <w:numId w:val="7"/>
        </w:numPr>
        <w:tabs>
          <w:tab w:pos="1937" w:val="left" w:leader="none"/>
          <w:tab w:pos="1938" w:val="left" w:leader="none"/>
        </w:tabs>
        <w:spacing w:line="240" w:lineRule="auto" w:before="134" w:after="0"/>
        <w:ind w:left="1937" w:right="0" w:hanging="569"/>
        <w:jc w:val="left"/>
        <w:rPr>
          <w:sz w:val="22"/>
        </w:rPr>
      </w:pPr>
      <w:r>
        <w:rPr>
          <w:b/>
          <w:sz w:val="22"/>
        </w:rPr>
        <w:t>Animals: </w:t>
      </w:r>
      <w:r>
        <w:rPr>
          <w:sz w:val="22"/>
        </w:rPr>
        <w:t>288 dogs of any age exposed to known risk factors for  </w:t>
      </w:r>
      <w:r>
        <w:rPr>
          <w:spacing w:val="21"/>
          <w:sz w:val="22"/>
        </w:rPr>
        <w:t> </w:t>
      </w:r>
      <w:r>
        <w:rPr>
          <w:sz w:val="22"/>
        </w:rPr>
        <w:t>CKD.</w:t>
      </w:r>
    </w:p>
    <w:p>
      <w:pPr>
        <w:pStyle w:val="BodyText"/>
        <w:spacing w:before="3"/>
        <w:rPr>
          <w:rFonts w:ascii="Times New Roman"/>
          <w:sz w:val="13"/>
        </w:rPr>
      </w:pPr>
    </w:p>
    <w:p>
      <w:pPr>
        <w:pStyle w:val="ListParagraph"/>
        <w:numPr>
          <w:ilvl w:val="0"/>
          <w:numId w:val="7"/>
        </w:numPr>
        <w:tabs>
          <w:tab w:pos="1937" w:val="left" w:leader="none"/>
          <w:tab w:pos="1938" w:val="left" w:leader="none"/>
        </w:tabs>
        <w:spacing w:line="240" w:lineRule="auto" w:before="77" w:after="0"/>
        <w:ind w:left="1937" w:right="0" w:hanging="569"/>
        <w:jc w:val="left"/>
        <w:rPr>
          <w:sz w:val="22"/>
        </w:rPr>
      </w:pPr>
      <w:r>
        <w:rPr>
          <w:b/>
          <w:sz w:val="22"/>
        </w:rPr>
        <w:t>Procedures- </w:t>
      </w:r>
      <w:r>
        <w:rPr>
          <w:sz w:val="22"/>
        </w:rPr>
        <w:t>Clinical history was analyzed, thorough physical exam was performed,   </w:t>
      </w:r>
      <w:r>
        <w:rPr>
          <w:spacing w:val="10"/>
          <w:sz w:val="22"/>
        </w:rPr>
        <w:t> </w:t>
      </w:r>
      <w:r>
        <w:rPr>
          <w:sz w:val="22"/>
        </w:rPr>
        <w:t>and </w:t>
      </w:r>
      <w:r>
        <w:rPr>
          <w:spacing w:val="-3"/>
          <w:sz w:val="22"/>
        </w:rPr>
        <w:t>the</w:t>
      </w:r>
    </w:p>
    <w:p>
      <w:pPr>
        <w:pStyle w:val="ListParagraph"/>
        <w:numPr>
          <w:ilvl w:val="0"/>
          <w:numId w:val="7"/>
        </w:numPr>
        <w:tabs>
          <w:tab w:pos="1937" w:val="left" w:leader="none"/>
          <w:tab w:pos="1938" w:val="left" w:leader="none"/>
        </w:tabs>
        <w:spacing w:line="240" w:lineRule="auto" w:before="136" w:after="0"/>
        <w:ind w:left="1937" w:right="0" w:hanging="569"/>
        <w:jc w:val="left"/>
        <w:rPr>
          <w:sz w:val="22"/>
        </w:rPr>
      </w:pPr>
      <w:r>
        <w:rPr>
          <w:sz w:val="22"/>
        </w:rPr>
        <w:t>concentration of serum creatinine and the proteinuria:creatinuria ratio were determined.   </w:t>
      </w:r>
      <w:r>
        <w:rPr>
          <w:spacing w:val="3"/>
          <w:sz w:val="22"/>
        </w:rPr>
        <w:t> </w:t>
      </w:r>
      <w:r>
        <w:rPr>
          <w:sz w:val="22"/>
        </w:rPr>
        <w:t>In</w:t>
      </w:r>
    </w:p>
    <w:p>
      <w:pPr>
        <w:pStyle w:val="ListParagraph"/>
        <w:numPr>
          <w:ilvl w:val="0"/>
          <w:numId w:val="7"/>
        </w:numPr>
        <w:tabs>
          <w:tab w:pos="1937" w:val="left" w:leader="none"/>
          <w:tab w:pos="1938" w:val="left" w:leader="none"/>
        </w:tabs>
        <w:spacing w:line="240" w:lineRule="auto" w:before="136" w:after="0"/>
        <w:ind w:left="1937" w:right="0" w:hanging="569"/>
        <w:jc w:val="left"/>
        <w:rPr>
          <w:sz w:val="22"/>
        </w:rPr>
      </w:pPr>
      <w:r>
        <w:rPr>
          <w:sz w:val="22"/>
        </w:rPr>
        <w:t>animals diagnosed as CKD patients, the disease state was classified according to the  </w:t>
      </w:r>
      <w:r>
        <w:rPr>
          <w:spacing w:val="51"/>
          <w:sz w:val="22"/>
        </w:rPr>
        <w:t> </w:t>
      </w:r>
      <w:r>
        <w:rPr>
          <w:sz w:val="22"/>
        </w:rPr>
        <w:t>serum</w:t>
      </w:r>
    </w:p>
    <w:p>
      <w:pPr>
        <w:pStyle w:val="ListParagraph"/>
        <w:numPr>
          <w:ilvl w:val="0"/>
          <w:numId w:val="7"/>
        </w:numPr>
        <w:tabs>
          <w:tab w:pos="1937" w:val="left" w:leader="none"/>
          <w:tab w:pos="1938" w:val="left" w:leader="none"/>
        </w:tabs>
        <w:spacing w:line="240" w:lineRule="auto" w:before="136" w:after="0"/>
        <w:ind w:left="1937" w:right="0" w:hanging="569"/>
        <w:jc w:val="left"/>
        <w:rPr>
          <w:sz w:val="22"/>
        </w:rPr>
      </w:pPr>
      <w:r>
        <w:rPr>
          <w:sz w:val="22"/>
        </w:rPr>
        <w:t>creatinine concentration along with the UPC according to previously described  </w:t>
      </w:r>
      <w:r>
        <w:rPr>
          <w:spacing w:val="51"/>
          <w:sz w:val="22"/>
        </w:rPr>
        <w:t> </w:t>
      </w:r>
      <w:r>
        <w:rPr>
          <w:sz w:val="22"/>
        </w:rPr>
        <w:t>protocols.</w:t>
      </w:r>
    </w:p>
    <w:p>
      <w:pPr>
        <w:pStyle w:val="ListParagraph"/>
        <w:numPr>
          <w:ilvl w:val="0"/>
          <w:numId w:val="7"/>
        </w:numPr>
        <w:tabs>
          <w:tab w:pos="1937" w:val="left" w:leader="none"/>
          <w:tab w:pos="1938" w:val="left" w:leader="none"/>
        </w:tabs>
        <w:spacing w:line="240" w:lineRule="auto" w:before="101" w:after="0"/>
        <w:ind w:left="1937" w:right="0" w:hanging="569"/>
        <w:jc w:val="left"/>
        <w:rPr>
          <w:sz w:val="22"/>
        </w:rPr>
      </w:pPr>
      <w:r>
        <w:rPr>
          <w:sz w:val="22"/>
        </w:rPr>
        <w:t>Descriptive statistics, the X</w:t>
      </w:r>
      <w:r>
        <w:rPr>
          <w:position w:val="10"/>
          <w:sz w:val="15"/>
        </w:rPr>
        <w:t>2  </w:t>
      </w:r>
      <w:r>
        <w:rPr>
          <w:sz w:val="22"/>
        </w:rPr>
        <w:t>and OR test were performed in order to determine risk factors  </w:t>
      </w:r>
      <w:r>
        <w:rPr>
          <w:spacing w:val="45"/>
          <w:sz w:val="22"/>
        </w:rPr>
        <w:t> </w:t>
      </w:r>
      <w:r>
        <w:rPr>
          <w:sz w:val="22"/>
        </w:rPr>
        <w:t>for</w:t>
      </w:r>
    </w:p>
    <w:p>
      <w:pPr>
        <w:pStyle w:val="ListParagraph"/>
        <w:numPr>
          <w:ilvl w:val="0"/>
          <w:numId w:val="7"/>
        </w:numPr>
        <w:tabs>
          <w:tab w:pos="1937" w:val="left" w:leader="none"/>
          <w:tab w:pos="1938" w:val="left" w:leader="none"/>
        </w:tabs>
        <w:spacing w:line="240" w:lineRule="auto" w:before="136" w:after="0"/>
        <w:ind w:left="1937" w:right="0" w:hanging="569"/>
        <w:jc w:val="left"/>
        <w:rPr>
          <w:sz w:val="22"/>
        </w:rPr>
      </w:pPr>
      <w:r>
        <w:rPr>
          <w:sz w:val="22"/>
        </w:rPr>
        <w:t>CKD.</w:t>
      </w:r>
    </w:p>
    <w:p>
      <w:pPr>
        <w:pStyle w:val="BodyText"/>
        <w:spacing w:before="6"/>
        <w:rPr>
          <w:rFonts w:ascii="Times New Roman"/>
          <w:sz w:val="13"/>
        </w:rPr>
      </w:pPr>
    </w:p>
    <w:p>
      <w:pPr>
        <w:pStyle w:val="ListParagraph"/>
        <w:numPr>
          <w:ilvl w:val="0"/>
          <w:numId w:val="7"/>
        </w:numPr>
        <w:tabs>
          <w:tab w:pos="1937" w:val="left" w:leader="none"/>
          <w:tab w:pos="1938" w:val="left" w:leader="none"/>
        </w:tabs>
        <w:spacing w:line="240" w:lineRule="auto" w:before="76" w:after="0"/>
        <w:ind w:left="1937" w:right="0" w:hanging="569"/>
        <w:jc w:val="left"/>
        <w:rPr>
          <w:sz w:val="22"/>
        </w:rPr>
      </w:pPr>
      <w:r>
        <w:rPr>
          <w:b/>
          <w:sz w:val="22"/>
        </w:rPr>
        <w:t>Results- </w:t>
      </w:r>
      <w:r>
        <w:rPr>
          <w:sz w:val="22"/>
        </w:rPr>
        <w:t>The CKD diagnosis was determined in 139 patients. 84.72% were ≥ 6 years old.    The</w:t>
      </w:r>
    </w:p>
    <w:p>
      <w:pPr>
        <w:pStyle w:val="ListParagraph"/>
        <w:numPr>
          <w:ilvl w:val="0"/>
          <w:numId w:val="7"/>
        </w:numPr>
        <w:tabs>
          <w:tab w:pos="1937" w:val="left" w:leader="none"/>
          <w:tab w:pos="1938" w:val="left" w:leader="none"/>
        </w:tabs>
        <w:spacing w:line="240" w:lineRule="auto" w:before="136" w:after="0"/>
        <w:ind w:left="1937" w:right="0" w:hanging="569"/>
        <w:jc w:val="left"/>
        <w:rPr>
          <w:sz w:val="22"/>
        </w:rPr>
      </w:pPr>
      <w:r>
        <w:rPr>
          <w:sz w:val="22"/>
        </w:rPr>
        <w:t>most common breeds affected were poodle, Labrador, and schnauzer. After   </w:t>
      </w:r>
      <w:r>
        <w:rPr>
          <w:spacing w:val="10"/>
          <w:sz w:val="22"/>
        </w:rPr>
        <w:t> </w:t>
      </w:r>
      <w:r>
        <w:rPr>
          <w:sz w:val="22"/>
        </w:rPr>
        <w:t>statistical analysis</w:t>
      </w:r>
    </w:p>
    <w:p>
      <w:pPr>
        <w:pStyle w:val="ListParagraph"/>
        <w:numPr>
          <w:ilvl w:val="0"/>
          <w:numId w:val="7"/>
        </w:numPr>
        <w:tabs>
          <w:tab w:pos="1937" w:val="left" w:leader="none"/>
          <w:tab w:pos="1938" w:val="left" w:leader="none"/>
        </w:tabs>
        <w:spacing w:line="240" w:lineRule="auto" w:before="138" w:after="0"/>
        <w:ind w:left="1937" w:right="0" w:hanging="569"/>
        <w:jc w:val="left"/>
        <w:rPr>
          <w:sz w:val="22"/>
        </w:rPr>
      </w:pPr>
      <w:r>
        <w:rPr>
          <w:sz w:val="22"/>
        </w:rPr>
        <w:t>the comorbidities considered as risk factors were cardiopathies, endocrinopathies  </w:t>
      </w:r>
      <w:r>
        <w:rPr>
          <w:spacing w:val="48"/>
          <w:sz w:val="22"/>
        </w:rPr>
        <w:t> </w:t>
      </w:r>
      <w:r>
        <w:rPr>
          <w:sz w:val="22"/>
        </w:rPr>
        <w:t>and</w:t>
      </w:r>
    </w:p>
    <w:p>
      <w:pPr>
        <w:pStyle w:val="ListParagraph"/>
        <w:numPr>
          <w:ilvl w:val="0"/>
          <w:numId w:val="7"/>
        </w:numPr>
        <w:tabs>
          <w:tab w:pos="1937" w:val="left" w:leader="none"/>
          <w:tab w:pos="1938" w:val="left" w:leader="none"/>
        </w:tabs>
        <w:spacing w:line="240" w:lineRule="auto" w:before="133" w:after="0"/>
        <w:ind w:left="1937" w:right="0" w:hanging="569"/>
        <w:jc w:val="left"/>
        <w:rPr>
          <w:sz w:val="22"/>
        </w:rPr>
      </w:pPr>
      <w:r>
        <w:rPr>
          <w:sz w:val="22"/>
        </w:rPr>
        <w:t>hepatopathies.</w:t>
      </w:r>
    </w:p>
    <w:p>
      <w:pPr>
        <w:spacing w:after="0" w:line="240" w:lineRule="auto"/>
        <w:jc w:val="left"/>
        <w:rPr>
          <w:sz w:val="22"/>
        </w:rPr>
        <w:sectPr>
          <w:headerReference w:type="default" r:id="rId63"/>
          <w:footerReference w:type="default" r:id="rId64"/>
          <w:pgSz w:w="12240" w:h="15840"/>
          <w:pgMar w:header="0" w:footer="0" w:top="140" w:bottom="280" w:left="0" w:right="1680"/>
        </w:sectPr>
      </w:pPr>
    </w:p>
    <w:p>
      <w:pPr>
        <w:tabs>
          <w:tab w:pos="10992" w:val="left" w:leader="none"/>
        </w:tabs>
        <w:spacing w:before="56"/>
        <w:ind w:left="3549" w:right="0" w:firstLine="0"/>
        <w:jc w:val="left"/>
        <w:rPr>
          <w:b/>
          <w:sz w:val="20"/>
        </w:rPr>
      </w:pPr>
      <w:r>
        <w:rPr>
          <w:b/>
          <w:sz w:val="20"/>
        </w:rPr>
        <w:t>Journal of the American Veterinary</w:t>
      </w:r>
      <w:r>
        <w:rPr>
          <w:b/>
          <w:spacing w:val="-16"/>
          <w:sz w:val="20"/>
        </w:rPr>
        <w:t> </w:t>
      </w:r>
      <w:r>
        <w:rPr>
          <w:b/>
          <w:sz w:val="20"/>
        </w:rPr>
        <w:t>Medical</w:t>
      </w:r>
      <w:r>
        <w:rPr>
          <w:b/>
          <w:spacing w:val="-3"/>
          <w:sz w:val="20"/>
        </w:rPr>
        <w:t> </w:t>
      </w:r>
      <w:r>
        <w:rPr>
          <w:b/>
          <w:sz w:val="20"/>
        </w:rPr>
        <w:t>Association</w:t>
        <w:tab/>
        <w:t>Page 2 of</w:t>
      </w:r>
    </w:p>
    <w:p>
      <w:pPr>
        <w:pStyle w:val="BodyText"/>
        <w:rPr>
          <w:b/>
          <w:sz w:val="20"/>
        </w:rPr>
      </w:pPr>
    </w:p>
    <w:p>
      <w:pPr>
        <w:pStyle w:val="BodyText"/>
        <w:rPr>
          <w:b/>
          <w:sz w:val="20"/>
        </w:rPr>
      </w:pPr>
    </w:p>
    <w:p>
      <w:pPr>
        <w:pStyle w:val="BodyText"/>
        <w:rPr>
          <w:b/>
          <w:sz w:val="20"/>
        </w:rPr>
      </w:pPr>
    </w:p>
    <w:p>
      <w:pPr>
        <w:pStyle w:val="BodyText"/>
        <w:spacing w:before="7"/>
        <w:rPr>
          <w:b/>
          <w:sz w:val="18"/>
        </w:rPr>
      </w:pPr>
    </w:p>
    <w:p>
      <w:pPr>
        <w:pStyle w:val="ListParagraph"/>
        <w:numPr>
          <w:ilvl w:val="0"/>
          <w:numId w:val="7"/>
        </w:numPr>
        <w:tabs>
          <w:tab w:pos="1937" w:val="left" w:leader="none"/>
          <w:tab w:pos="1938" w:val="left" w:leader="none"/>
        </w:tabs>
        <w:spacing w:line="240" w:lineRule="auto" w:before="0" w:after="0"/>
        <w:ind w:left="1937" w:right="0" w:hanging="569"/>
        <w:jc w:val="left"/>
        <w:rPr>
          <w:sz w:val="22"/>
        </w:rPr>
      </w:pPr>
      <w:r>
        <w:rPr>
          <w:b/>
          <w:sz w:val="22"/>
        </w:rPr>
        <w:t>Conclusions and clinical relevance- </w:t>
      </w:r>
      <w:r>
        <w:rPr>
          <w:sz w:val="22"/>
        </w:rPr>
        <w:t>The proportion of CKD in dogs with different    risk</w:t>
      </w:r>
    </w:p>
    <w:p>
      <w:pPr>
        <w:pStyle w:val="ListParagraph"/>
        <w:numPr>
          <w:ilvl w:val="0"/>
          <w:numId w:val="7"/>
        </w:numPr>
        <w:tabs>
          <w:tab w:pos="1937" w:val="left" w:leader="none"/>
          <w:tab w:pos="1938" w:val="left" w:leader="none"/>
        </w:tabs>
        <w:spacing w:line="240" w:lineRule="auto" w:before="136" w:after="0"/>
        <w:ind w:left="1937" w:right="0" w:hanging="569"/>
        <w:jc w:val="left"/>
        <w:rPr>
          <w:sz w:val="22"/>
        </w:rPr>
      </w:pPr>
      <w:r>
        <w:rPr>
          <w:sz w:val="22"/>
        </w:rPr>
        <w:t>factors and comorbidities was 48.2%. The use of an established protocol allows most   </w:t>
      </w:r>
      <w:r>
        <w:rPr>
          <w:spacing w:val="5"/>
          <w:sz w:val="22"/>
        </w:rPr>
        <w:t> </w:t>
      </w:r>
      <w:r>
        <w:rPr>
          <w:sz w:val="22"/>
        </w:rPr>
        <w:t>patients</w:t>
      </w:r>
    </w:p>
    <w:p>
      <w:pPr>
        <w:pStyle w:val="ListParagraph"/>
        <w:numPr>
          <w:ilvl w:val="0"/>
          <w:numId w:val="7"/>
        </w:numPr>
        <w:tabs>
          <w:tab w:pos="1937" w:val="left" w:leader="none"/>
          <w:tab w:pos="1938" w:val="left" w:leader="none"/>
        </w:tabs>
        <w:spacing w:line="240" w:lineRule="auto" w:before="136" w:after="0"/>
        <w:ind w:left="1937" w:right="0" w:hanging="569"/>
        <w:jc w:val="left"/>
        <w:rPr>
          <w:sz w:val="22"/>
        </w:rPr>
      </w:pPr>
      <w:r>
        <w:rPr>
          <w:sz w:val="22"/>
        </w:rPr>
        <w:t>to be diagnosed in early stages of the disease. Cardiopathies, endocrinopathies,  </w:t>
      </w:r>
      <w:r>
        <w:rPr>
          <w:spacing w:val="50"/>
          <w:sz w:val="22"/>
        </w:rPr>
        <w:t> </w:t>
      </w:r>
      <w:r>
        <w:rPr>
          <w:sz w:val="22"/>
        </w:rPr>
        <w:t>and</w:t>
      </w:r>
    </w:p>
    <w:p>
      <w:pPr>
        <w:pStyle w:val="ListParagraph"/>
        <w:numPr>
          <w:ilvl w:val="0"/>
          <w:numId w:val="7"/>
        </w:numPr>
        <w:tabs>
          <w:tab w:pos="1937" w:val="left" w:leader="none"/>
          <w:tab w:pos="1938" w:val="left" w:leader="none"/>
        </w:tabs>
        <w:spacing w:line="240" w:lineRule="auto" w:before="136" w:after="0"/>
        <w:ind w:left="1937" w:right="0" w:hanging="569"/>
        <w:jc w:val="left"/>
        <w:rPr>
          <w:sz w:val="22"/>
        </w:rPr>
      </w:pPr>
      <w:r>
        <w:rPr>
          <w:sz w:val="22"/>
        </w:rPr>
        <w:t>hepatopathies were the identified comorbidities that can act as initiation risk factors of  </w:t>
      </w:r>
      <w:r>
        <w:rPr>
          <w:spacing w:val="50"/>
          <w:sz w:val="22"/>
        </w:rPr>
        <w:t> </w:t>
      </w:r>
      <w:r>
        <w:rPr>
          <w:sz w:val="22"/>
        </w:rPr>
        <w:t>CKD.</w:t>
      </w:r>
    </w:p>
    <w:p>
      <w:pPr>
        <w:pStyle w:val="ListParagraph"/>
        <w:numPr>
          <w:ilvl w:val="0"/>
          <w:numId w:val="7"/>
        </w:numPr>
        <w:tabs>
          <w:tab w:pos="1937" w:val="left" w:leader="none"/>
          <w:tab w:pos="1938" w:val="left" w:leader="none"/>
        </w:tabs>
        <w:spacing w:line="240" w:lineRule="auto" w:before="138" w:after="0"/>
        <w:ind w:left="1937" w:right="0" w:hanging="569"/>
        <w:jc w:val="left"/>
        <w:rPr>
          <w:sz w:val="22"/>
        </w:rPr>
      </w:pPr>
      <w:r>
        <w:rPr>
          <w:sz w:val="22"/>
        </w:rPr>
        <w:t>The findings of this study could provide a starting point for further studies and  </w:t>
      </w:r>
      <w:r>
        <w:rPr>
          <w:spacing w:val="39"/>
          <w:sz w:val="22"/>
        </w:rPr>
        <w:t> </w:t>
      </w:r>
      <w:r>
        <w:rPr>
          <w:sz w:val="22"/>
        </w:rPr>
        <w:t>the</w:t>
      </w:r>
    </w:p>
    <w:p>
      <w:pPr>
        <w:pStyle w:val="ListParagraph"/>
        <w:numPr>
          <w:ilvl w:val="0"/>
          <w:numId w:val="7"/>
        </w:numPr>
        <w:tabs>
          <w:tab w:pos="1937" w:val="left" w:leader="none"/>
          <w:tab w:pos="1938" w:val="left" w:leader="none"/>
        </w:tabs>
        <w:spacing w:line="240" w:lineRule="auto" w:before="133" w:after="0"/>
        <w:ind w:left="1937" w:right="0" w:hanging="569"/>
        <w:jc w:val="left"/>
        <w:rPr>
          <w:sz w:val="22"/>
        </w:rPr>
      </w:pPr>
      <w:r>
        <w:rPr>
          <w:sz w:val="22"/>
        </w:rPr>
        <w:t>development of new diagnostic </w:t>
      </w:r>
      <w:r>
        <w:rPr>
          <w:spacing w:val="21"/>
          <w:sz w:val="22"/>
        </w:rPr>
        <w:t> </w:t>
      </w:r>
      <w:r>
        <w:rPr>
          <w:sz w:val="22"/>
        </w:rPr>
        <w:t>protocols.</w:t>
      </w:r>
    </w:p>
    <w:p>
      <w:pPr>
        <w:pStyle w:val="BodyText"/>
        <w:spacing w:before="1"/>
        <w:rPr>
          <w:rFonts w:ascii="Times New Roman"/>
          <w:sz w:val="23"/>
        </w:rPr>
      </w:pPr>
    </w:p>
    <w:p>
      <w:pPr>
        <w:spacing w:before="1"/>
        <w:ind w:left="1368" w:right="0" w:firstLine="0"/>
        <w:jc w:val="left"/>
        <w:rPr>
          <w:rFonts w:ascii="Cambria"/>
          <w:sz w:val="20"/>
        </w:rPr>
      </w:pPr>
      <w:r>
        <w:rPr>
          <w:rFonts w:ascii="Cambria"/>
          <w:w w:val="105"/>
          <w:sz w:val="20"/>
        </w:rPr>
        <w:t>38</w:t>
      </w:r>
    </w:p>
    <w:p>
      <w:pPr>
        <w:pStyle w:val="BodyText"/>
        <w:spacing w:before="11"/>
        <w:rPr>
          <w:rFonts w:ascii="Cambria"/>
          <w:sz w:val="13"/>
        </w:rPr>
      </w:pPr>
    </w:p>
    <w:p>
      <w:pPr>
        <w:pStyle w:val="ListParagraph"/>
        <w:numPr>
          <w:ilvl w:val="0"/>
          <w:numId w:val="8"/>
        </w:numPr>
        <w:tabs>
          <w:tab w:pos="1937" w:val="left" w:leader="none"/>
          <w:tab w:pos="1938" w:val="left" w:leader="none"/>
        </w:tabs>
        <w:spacing w:line="240" w:lineRule="auto" w:before="76" w:after="0"/>
        <w:ind w:left="1937" w:right="0" w:hanging="569"/>
        <w:jc w:val="left"/>
        <w:rPr>
          <w:b/>
          <w:sz w:val="22"/>
        </w:rPr>
      </w:pPr>
      <w:r>
        <w:rPr/>
        <w:pict>
          <v:shape style="position:absolute;margin-left:120.872412pt;margin-top:158.130610pt;width:376.45pt;height:48pt;mso-position-horizontal-relative:page;mso-position-vertical-relative:paragraph;z-index:-123160;rotation:51" type="#_x0000_t136" fillcolor="#d6f1fe" stroked="f">
            <o:extrusion v:ext="view" autorotationcenter="t"/>
            <v:textpath style="font-family:&amp;quot;Arial&amp;quot;;font-size:48pt;v-text-kern:t;mso-text-shadow:auto;font-weight:bold" string="For Review Only"/>
            <w10:wrap type="none"/>
          </v:shape>
        </w:pict>
      </w:r>
      <w:r>
        <w:rPr>
          <w:b/>
          <w:sz w:val="22"/>
        </w:rPr>
        <w:t>Abbreviations</w:t>
      </w:r>
    </w:p>
    <w:p>
      <w:pPr>
        <w:pStyle w:val="BodyText"/>
        <w:spacing w:before="8"/>
        <w:rPr>
          <w:rFonts w:ascii="Times New Roman"/>
          <w:b/>
          <w:sz w:val="12"/>
        </w:rPr>
      </w:pPr>
    </w:p>
    <w:p>
      <w:pPr>
        <w:pStyle w:val="ListParagraph"/>
        <w:numPr>
          <w:ilvl w:val="0"/>
          <w:numId w:val="8"/>
        </w:numPr>
        <w:tabs>
          <w:tab w:pos="1937" w:val="left" w:leader="none"/>
          <w:tab w:pos="1938" w:val="left" w:leader="none"/>
          <w:tab w:pos="3291" w:val="left" w:leader="none"/>
        </w:tabs>
        <w:spacing w:line="240" w:lineRule="auto" w:before="76" w:after="0"/>
        <w:ind w:left="1937" w:right="0" w:hanging="569"/>
        <w:jc w:val="left"/>
        <w:rPr>
          <w:sz w:val="22"/>
        </w:rPr>
      </w:pPr>
      <w:r>
        <w:rPr>
          <w:sz w:val="22"/>
        </w:rPr>
        <w:t>CKD</w:t>
        <w:tab/>
        <w:t>Chronic kidney</w:t>
      </w:r>
      <w:r>
        <w:rPr>
          <w:spacing w:val="40"/>
          <w:sz w:val="22"/>
        </w:rPr>
        <w:t> </w:t>
      </w:r>
      <w:r>
        <w:rPr>
          <w:sz w:val="22"/>
        </w:rPr>
        <w:t>disease</w:t>
      </w:r>
    </w:p>
    <w:p>
      <w:pPr>
        <w:pStyle w:val="BodyText"/>
        <w:spacing w:before="6"/>
        <w:rPr>
          <w:rFonts w:ascii="Times New Roman"/>
          <w:sz w:val="13"/>
        </w:rPr>
      </w:pPr>
    </w:p>
    <w:p>
      <w:pPr>
        <w:pStyle w:val="ListParagraph"/>
        <w:numPr>
          <w:ilvl w:val="0"/>
          <w:numId w:val="8"/>
        </w:numPr>
        <w:tabs>
          <w:tab w:pos="1937" w:val="left" w:leader="none"/>
          <w:tab w:pos="1938" w:val="left" w:leader="none"/>
          <w:tab w:pos="3291" w:val="left" w:leader="none"/>
        </w:tabs>
        <w:spacing w:line="240" w:lineRule="auto" w:before="76" w:after="0"/>
        <w:ind w:left="1937" w:right="0" w:hanging="569"/>
        <w:jc w:val="left"/>
        <w:rPr>
          <w:sz w:val="22"/>
        </w:rPr>
      </w:pPr>
      <w:r>
        <w:rPr>
          <w:sz w:val="22"/>
        </w:rPr>
        <w:t>UPC</w:t>
        <w:tab/>
        <w:t>proteinuria:creatinuria</w:t>
      </w:r>
      <w:r>
        <w:rPr>
          <w:spacing w:val="46"/>
          <w:sz w:val="22"/>
        </w:rPr>
        <w:t> </w:t>
      </w:r>
      <w:r>
        <w:rPr>
          <w:sz w:val="22"/>
        </w:rPr>
        <w:t>ratio</w:t>
      </w:r>
    </w:p>
    <w:p>
      <w:pPr>
        <w:pStyle w:val="BodyText"/>
        <w:spacing w:before="3"/>
        <w:rPr>
          <w:rFonts w:ascii="Times New Roman"/>
          <w:sz w:val="13"/>
        </w:rPr>
      </w:pPr>
    </w:p>
    <w:p>
      <w:pPr>
        <w:pStyle w:val="ListParagraph"/>
        <w:numPr>
          <w:ilvl w:val="0"/>
          <w:numId w:val="8"/>
        </w:numPr>
        <w:tabs>
          <w:tab w:pos="1937" w:val="left" w:leader="none"/>
          <w:tab w:pos="1938" w:val="left" w:leader="none"/>
          <w:tab w:pos="3291" w:val="left" w:leader="none"/>
        </w:tabs>
        <w:spacing w:line="240" w:lineRule="auto" w:before="77" w:after="0"/>
        <w:ind w:left="1937" w:right="0" w:hanging="569"/>
        <w:jc w:val="left"/>
        <w:rPr>
          <w:sz w:val="22"/>
        </w:rPr>
      </w:pPr>
      <w:r>
        <w:rPr>
          <w:sz w:val="22"/>
        </w:rPr>
        <w:t>GFR</w:t>
        <w:tab/>
        <w:t>Glomerular filtration</w:t>
      </w:r>
      <w:r>
        <w:rPr>
          <w:spacing w:val="47"/>
          <w:sz w:val="22"/>
        </w:rPr>
        <w:t> </w:t>
      </w:r>
      <w:r>
        <w:rPr>
          <w:sz w:val="22"/>
        </w:rPr>
        <w:t>rate</w:t>
      </w:r>
    </w:p>
    <w:p>
      <w:pPr>
        <w:pStyle w:val="BodyText"/>
        <w:spacing w:before="6"/>
        <w:rPr>
          <w:rFonts w:ascii="Times New Roman"/>
          <w:sz w:val="13"/>
        </w:rPr>
      </w:pPr>
    </w:p>
    <w:p>
      <w:pPr>
        <w:pStyle w:val="ListParagraph"/>
        <w:numPr>
          <w:ilvl w:val="0"/>
          <w:numId w:val="8"/>
        </w:numPr>
        <w:tabs>
          <w:tab w:pos="1937" w:val="left" w:leader="none"/>
          <w:tab w:pos="1938" w:val="left" w:leader="none"/>
          <w:tab w:pos="3291" w:val="left" w:leader="none"/>
        </w:tabs>
        <w:spacing w:line="240" w:lineRule="auto" w:before="76" w:after="0"/>
        <w:ind w:left="1937" w:right="0" w:hanging="569"/>
        <w:jc w:val="left"/>
        <w:rPr>
          <w:sz w:val="22"/>
        </w:rPr>
      </w:pPr>
      <w:r>
        <w:rPr>
          <w:sz w:val="22"/>
        </w:rPr>
        <w:t>SCr</w:t>
        <w:tab/>
        <w:t>Serum</w:t>
      </w:r>
      <w:r>
        <w:rPr>
          <w:spacing w:val="29"/>
          <w:sz w:val="22"/>
        </w:rPr>
        <w:t> </w:t>
      </w:r>
      <w:r>
        <w:rPr>
          <w:sz w:val="22"/>
        </w:rPr>
        <w:t>creatinine</w:t>
      </w:r>
    </w:p>
    <w:p>
      <w:pPr>
        <w:pStyle w:val="BodyText"/>
        <w:spacing w:before="3"/>
        <w:rPr>
          <w:rFonts w:ascii="Times New Roman"/>
          <w:sz w:val="13"/>
        </w:rPr>
      </w:pPr>
    </w:p>
    <w:p>
      <w:pPr>
        <w:pStyle w:val="ListParagraph"/>
        <w:numPr>
          <w:ilvl w:val="0"/>
          <w:numId w:val="8"/>
        </w:numPr>
        <w:tabs>
          <w:tab w:pos="1937" w:val="left" w:leader="none"/>
          <w:tab w:pos="1938" w:val="left" w:leader="none"/>
          <w:tab w:pos="3291" w:val="left" w:leader="none"/>
        </w:tabs>
        <w:spacing w:line="240" w:lineRule="auto" w:before="77" w:after="0"/>
        <w:ind w:left="1937" w:right="0" w:hanging="569"/>
        <w:jc w:val="left"/>
        <w:rPr>
          <w:sz w:val="22"/>
        </w:rPr>
      </w:pPr>
      <w:r>
        <w:rPr>
          <w:sz w:val="22"/>
        </w:rPr>
        <w:t>LUTD</w:t>
        <w:tab/>
        <w:t>Lower urinary tract</w:t>
      </w:r>
      <w:r>
        <w:rPr>
          <w:spacing w:val="48"/>
          <w:sz w:val="22"/>
        </w:rPr>
        <w:t> </w:t>
      </w:r>
      <w:r>
        <w:rPr>
          <w:sz w:val="22"/>
        </w:rPr>
        <w:t>disease</w:t>
      </w:r>
    </w:p>
    <w:p>
      <w:pPr>
        <w:pStyle w:val="BodyText"/>
        <w:spacing w:before="3"/>
        <w:rPr>
          <w:rFonts w:ascii="Times New Roman"/>
          <w:sz w:val="13"/>
        </w:rPr>
      </w:pPr>
    </w:p>
    <w:p>
      <w:pPr>
        <w:pStyle w:val="ListParagraph"/>
        <w:numPr>
          <w:ilvl w:val="0"/>
          <w:numId w:val="8"/>
        </w:numPr>
        <w:tabs>
          <w:tab w:pos="1937" w:val="left" w:leader="none"/>
          <w:tab w:pos="1938" w:val="left" w:leader="none"/>
          <w:tab w:pos="3291" w:val="left" w:leader="none"/>
        </w:tabs>
        <w:spacing w:line="240" w:lineRule="auto" w:before="77" w:after="0"/>
        <w:ind w:left="1937" w:right="0" w:hanging="569"/>
        <w:jc w:val="left"/>
        <w:rPr>
          <w:sz w:val="22"/>
        </w:rPr>
      </w:pPr>
      <w:r>
        <w:rPr>
          <w:sz w:val="22"/>
        </w:rPr>
        <w:t>IRIS</w:t>
        <w:tab/>
        <w:t>International Renal Interest </w:t>
      </w:r>
      <w:r>
        <w:rPr>
          <w:spacing w:val="5"/>
          <w:sz w:val="22"/>
        </w:rPr>
        <w:t> </w:t>
      </w:r>
      <w:r>
        <w:rPr>
          <w:sz w:val="22"/>
        </w:rPr>
        <w:t>Society</w:t>
      </w:r>
    </w:p>
    <w:p>
      <w:pPr>
        <w:pStyle w:val="BodyText"/>
        <w:spacing w:before="3"/>
        <w:rPr>
          <w:rFonts w:ascii="Times New Roman"/>
          <w:sz w:val="13"/>
        </w:rPr>
      </w:pPr>
    </w:p>
    <w:p>
      <w:pPr>
        <w:pStyle w:val="ListParagraph"/>
        <w:numPr>
          <w:ilvl w:val="0"/>
          <w:numId w:val="8"/>
        </w:numPr>
        <w:tabs>
          <w:tab w:pos="1937" w:val="left" w:leader="none"/>
          <w:tab w:pos="1938" w:val="left" w:leader="none"/>
          <w:tab w:pos="3291" w:val="left" w:leader="none"/>
        </w:tabs>
        <w:spacing w:line="240" w:lineRule="auto" w:before="77" w:after="0"/>
        <w:ind w:left="1937" w:right="0" w:hanging="569"/>
        <w:jc w:val="left"/>
        <w:rPr>
          <w:sz w:val="22"/>
        </w:rPr>
      </w:pPr>
      <w:r>
        <w:rPr>
          <w:sz w:val="22"/>
        </w:rPr>
        <w:t>KDOQI</w:t>
        <w:tab/>
        <w:t>Kidney Disease Outcome Quality </w:t>
      </w:r>
      <w:r>
        <w:rPr>
          <w:spacing w:val="26"/>
          <w:sz w:val="22"/>
        </w:rPr>
        <w:t> </w:t>
      </w:r>
      <w:r>
        <w:rPr>
          <w:sz w:val="22"/>
        </w:rPr>
        <w:t>Initiative</w:t>
      </w:r>
    </w:p>
    <w:p>
      <w:pPr>
        <w:pStyle w:val="BodyText"/>
        <w:spacing w:before="10"/>
        <w:rPr>
          <w:rFonts w:ascii="Times New Roman"/>
          <w:sz w:val="21"/>
        </w:rPr>
      </w:pPr>
    </w:p>
    <w:p>
      <w:pPr>
        <w:spacing w:before="0"/>
        <w:ind w:left="1368" w:right="0" w:firstLine="0"/>
        <w:jc w:val="left"/>
        <w:rPr>
          <w:rFonts w:ascii="Cambria"/>
          <w:sz w:val="20"/>
        </w:rPr>
      </w:pPr>
      <w:r>
        <w:rPr>
          <w:rFonts w:ascii="Cambria"/>
          <w:w w:val="105"/>
          <w:sz w:val="20"/>
        </w:rPr>
        <w:t>47</w:t>
      </w:r>
    </w:p>
    <w:p>
      <w:pPr>
        <w:pStyle w:val="BodyText"/>
        <w:spacing w:before="4"/>
        <w:rPr>
          <w:rFonts w:ascii="Cambria"/>
          <w:sz w:val="13"/>
        </w:rPr>
      </w:pPr>
    </w:p>
    <w:p>
      <w:pPr>
        <w:pStyle w:val="ListParagraph"/>
        <w:numPr>
          <w:ilvl w:val="0"/>
          <w:numId w:val="9"/>
        </w:numPr>
        <w:tabs>
          <w:tab w:pos="1937" w:val="left" w:leader="none"/>
          <w:tab w:pos="1938" w:val="left" w:leader="none"/>
        </w:tabs>
        <w:spacing w:line="240" w:lineRule="auto" w:before="76" w:after="0"/>
        <w:ind w:left="1937" w:right="0" w:hanging="569"/>
        <w:jc w:val="left"/>
        <w:rPr>
          <w:b/>
          <w:sz w:val="22"/>
        </w:rPr>
      </w:pPr>
      <w:r>
        <w:rPr>
          <w:b/>
          <w:sz w:val="22"/>
        </w:rPr>
        <w:t>Introduction</w:t>
      </w:r>
    </w:p>
    <w:p>
      <w:pPr>
        <w:pStyle w:val="BodyText"/>
        <w:spacing w:before="10"/>
        <w:rPr>
          <w:rFonts w:ascii="Times New Roman"/>
          <w:b/>
          <w:sz w:val="12"/>
        </w:rPr>
      </w:pPr>
    </w:p>
    <w:p>
      <w:pPr>
        <w:pStyle w:val="ListParagraph"/>
        <w:numPr>
          <w:ilvl w:val="0"/>
          <w:numId w:val="9"/>
        </w:numPr>
        <w:tabs>
          <w:tab w:pos="1937" w:val="left" w:leader="none"/>
          <w:tab w:pos="1938" w:val="left" w:leader="none"/>
        </w:tabs>
        <w:spacing w:line="240" w:lineRule="auto" w:before="76" w:after="0"/>
        <w:ind w:left="1937" w:right="0" w:hanging="569"/>
        <w:jc w:val="left"/>
        <w:rPr>
          <w:sz w:val="22"/>
        </w:rPr>
      </w:pPr>
      <w:r>
        <w:rPr>
          <w:sz w:val="22"/>
        </w:rPr>
        <w:t>Chronic renal disease (CKD) is defined as any functional or structural abnormality   </w:t>
      </w:r>
      <w:r>
        <w:rPr>
          <w:spacing w:val="7"/>
          <w:sz w:val="22"/>
        </w:rPr>
        <w:t> </w:t>
      </w:r>
      <w:r>
        <w:rPr>
          <w:sz w:val="22"/>
        </w:rPr>
        <w:t>present in</w:t>
      </w:r>
    </w:p>
    <w:p>
      <w:pPr>
        <w:pStyle w:val="ListParagraph"/>
        <w:numPr>
          <w:ilvl w:val="0"/>
          <w:numId w:val="9"/>
        </w:numPr>
        <w:tabs>
          <w:tab w:pos="1937" w:val="left" w:leader="none"/>
          <w:tab w:pos="1938" w:val="left" w:leader="none"/>
        </w:tabs>
        <w:spacing w:line="240" w:lineRule="auto" w:before="101" w:after="0"/>
        <w:ind w:left="1937" w:right="0" w:hanging="569"/>
        <w:jc w:val="left"/>
        <w:rPr>
          <w:sz w:val="15"/>
        </w:rPr>
      </w:pPr>
      <w:r>
        <w:rPr>
          <w:sz w:val="22"/>
        </w:rPr>
        <w:t>either one or both kidneys within a 3-month </w:t>
      </w:r>
      <w:r>
        <w:rPr>
          <w:spacing w:val="36"/>
          <w:sz w:val="22"/>
        </w:rPr>
        <w:t> </w:t>
      </w:r>
      <w:r>
        <w:rPr>
          <w:sz w:val="22"/>
        </w:rPr>
        <w:t>period.</w:t>
      </w:r>
      <w:r>
        <w:rPr>
          <w:position w:val="10"/>
          <w:sz w:val="15"/>
        </w:rPr>
        <w:t>1</w:t>
      </w:r>
    </w:p>
    <w:p>
      <w:pPr>
        <w:pStyle w:val="BodyText"/>
        <w:spacing w:before="6"/>
        <w:rPr>
          <w:rFonts w:ascii="Times New Roman"/>
          <w:sz w:val="13"/>
        </w:rPr>
      </w:pPr>
    </w:p>
    <w:p>
      <w:pPr>
        <w:pStyle w:val="ListParagraph"/>
        <w:numPr>
          <w:ilvl w:val="0"/>
          <w:numId w:val="9"/>
        </w:numPr>
        <w:tabs>
          <w:tab w:pos="1937" w:val="left" w:leader="none"/>
          <w:tab w:pos="1938" w:val="left" w:leader="none"/>
        </w:tabs>
        <w:spacing w:line="240" w:lineRule="auto" w:before="76" w:after="0"/>
        <w:ind w:left="1937" w:right="0" w:hanging="569"/>
        <w:jc w:val="left"/>
        <w:rPr>
          <w:sz w:val="22"/>
        </w:rPr>
      </w:pPr>
      <w:r>
        <w:rPr>
          <w:sz w:val="22"/>
        </w:rPr>
        <w:t>It has been estimated that the prevalence of CKD among the general dog population   </w:t>
      </w:r>
      <w:r>
        <w:rPr>
          <w:spacing w:val="4"/>
          <w:sz w:val="22"/>
        </w:rPr>
        <w:t> </w:t>
      </w:r>
      <w:r>
        <w:rPr>
          <w:sz w:val="22"/>
        </w:rPr>
        <w:t>varies</w:t>
      </w:r>
    </w:p>
    <w:p>
      <w:pPr>
        <w:pStyle w:val="ListParagraph"/>
        <w:numPr>
          <w:ilvl w:val="0"/>
          <w:numId w:val="9"/>
        </w:numPr>
        <w:tabs>
          <w:tab w:pos="1937" w:val="left" w:leader="none"/>
          <w:tab w:pos="1938" w:val="left" w:leader="none"/>
        </w:tabs>
        <w:spacing w:line="240" w:lineRule="auto" w:before="101" w:after="0"/>
        <w:ind w:left="1937" w:right="0" w:hanging="569"/>
        <w:jc w:val="left"/>
        <w:rPr>
          <w:sz w:val="22"/>
        </w:rPr>
      </w:pPr>
      <w:r>
        <w:rPr>
          <w:sz w:val="22"/>
        </w:rPr>
        <w:t>between 0.5 and 1.5%.</w:t>
      </w:r>
      <w:r>
        <w:rPr>
          <w:position w:val="10"/>
          <w:sz w:val="15"/>
        </w:rPr>
        <w:t>2  </w:t>
      </w:r>
      <w:r>
        <w:rPr>
          <w:sz w:val="22"/>
        </w:rPr>
        <w:t>In a study regarding the distribution of dogs with CKD according  </w:t>
      </w:r>
      <w:r>
        <w:rPr>
          <w:spacing w:val="41"/>
          <w:sz w:val="22"/>
        </w:rPr>
        <w:t> </w:t>
      </w:r>
      <w:r>
        <w:rPr>
          <w:sz w:val="22"/>
        </w:rPr>
        <w:t>to</w:t>
      </w:r>
    </w:p>
    <w:p>
      <w:pPr>
        <w:pStyle w:val="ListParagraph"/>
        <w:numPr>
          <w:ilvl w:val="0"/>
          <w:numId w:val="9"/>
        </w:numPr>
        <w:tabs>
          <w:tab w:pos="1937" w:val="left" w:leader="none"/>
          <w:tab w:pos="1938" w:val="left" w:leader="none"/>
        </w:tabs>
        <w:spacing w:line="240" w:lineRule="auto" w:before="136" w:after="0"/>
        <w:ind w:left="1937" w:right="0" w:hanging="569"/>
        <w:jc w:val="left"/>
        <w:rPr>
          <w:sz w:val="22"/>
        </w:rPr>
      </w:pPr>
      <w:r>
        <w:rPr>
          <w:sz w:val="22"/>
        </w:rPr>
        <w:t>age,</w:t>
      </w:r>
      <w:r>
        <w:rPr>
          <w:spacing w:val="10"/>
          <w:sz w:val="22"/>
        </w:rPr>
        <w:t> </w:t>
      </w:r>
      <w:r>
        <w:rPr>
          <w:sz w:val="22"/>
        </w:rPr>
        <w:t>18%</w:t>
      </w:r>
      <w:r>
        <w:rPr>
          <w:spacing w:val="9"/>
          <w:sz w:val="22"/>
        </w:rPr>
        <w:t> </w:t>
      </w:r>
      <w:r>
        <w:rPr>
          <w:sz w:val="22"/>
        </w:rPr>
        <w:t>of</w:t>
      </w:r>
      <w:r>
        <w:rPr>
          <w:spacing w:val="9"/>
          <w:sz w:val="22"/>
        </w:rPr>
        <w:t> </w:t>
      </w:r>
      <w:r>
        <w:rPr>
          <w:sz w:val="22"/>
        </w:rPr>
        <w:t>the</w:t>
      </w:r>
      <w:r>
        <w:rPr>
          <w:spacing w:val="5"/>
          <w:sz w:val="22"/>
        </w:rPr>
        <w:t> </w:t>
      </w:r>
      <w:r>
        <w:rPr>
          <w:sz w:val="22"/>
        </w:rPr>
        <w:t>cases</w:t>
      </w:r>
      <w:r>
        <w:rPr>
          <w:spacing w:val="8"/>
          <w:sz w:val="22"/>
        </w:rPr>
        <w:t> </w:t>
      </w:r>
      <w:r>
        <w:rPr>
          <w:sz w:val="22"/>
        </w:rPr>
        <w:t>were</w:t>
      </w:r>
      <w:r>
        <w:rPr>
          <w:spacing w:val="10"/>
          <w:sz w:val="22"/>
        </w:rPr>
        <w:t> </w:t>
      </w:r>
      <w:r>
        <w:rPr>
          <w:sz w:val="22"/>
        </w:rPr>
        <w:t>less</w:t>
      </w:r>
      <w:r>
        <w:rPr>
          <w:spacing w:val="8"/>
          <w:sz w:val="22"/>
        </w:rPr>
        <w:t> </w:t>
      </w:r>
      <w:r>
        <w:rPr>
          <w:sz w:val="22"/>
        </w:rPr>
        <w:t>than</w:t>
      </w:r>
      <w:r>
        <w:rPr>
          <w:spacing w:val="9"/>
          <w:sz w:val="22"/>
        </w:rPr>
        <w:t> </w:t>
      </w:r>
      <w:r>
        <w:rPr>
          <w:sz w:val="22"/>
        </w:rPr>
        <w:t>4</w:t>
      </w:r>
      <w:r>
        <w:rPr>
          <w:spacing w:val="7"/>
          <w:sz w:val="22"/>
        </w:rPr>
        <w:t> </w:t>
      </w:r>
      <w:r>
        <w:rPr>
          <w:sz w:val="22"/>
        </w:rPr>
        <w:t>years</w:t>
      </w:r>
      <w:r>
        <w:rPr>
          <w:spacing w:val="8"/>
          <w:sz w:val="22"/>
        </w:rPr>
        <w:t> </w:t>
      </w:r>
      <w:r>
        <w:rPr>
          <w:sz w:val="22"/>
        </w:rPr>
        <w:t>old,</w:t>
      </w:r>
      <w:r>
        <w:rPr>
          <w:spacing w:val="10"/>
          <w:sz w:val="22"/>
        </w:rPr>
        <w:t> </w:t>
      </w:r>
      <w:r>
        <w:rPr>
          <w:sz w:val="22"/>
        </w:rPr>
        <w:t>17%</w:t>
      </w:r>
      <w:r>
        <w:rPr>
          <w:spacing w:val="12"/>
          <w:sz w:val="22"/>
        </w:rPr>
        <w:t> </w:t>
      </w:r>
      <w:r>
        <w:rPr>
          <w:sz w:val="22"/>
        </w:rPr>
        <w:t>between</w:t>
      </w:r>
      <w:r>
        <w:rPr>
          <w:spacing w:val="7"/>
          <w:sz w:val="22"/>
        </w:rPr>
        <w:t> </w:t>
      </w:r>
      <w:r>
        <w:rPr>
          <w:sz w:val="22"/>
        </w:rPr>
        <w:t>4</w:t>
      </w:r>
      <w:r>
        <w:rPr>
          <w:spacing w:val="9"/>
          <w:sz w:val="22"/>
        </w:rPr>
        <w:t> </w:t>
      </w:r>
      <w:r>
        <w:rPr>
          <w:sz w:val="22"/>
        </w:rPr>
        <w:t>and</w:t>
      </w:r>
      <w:r>
        <w:rPr>
          <w:spacing w:val="9"/>
          <w:sz w:val="22"/>
        </w:rPr>
        <w:t> </w:t>
      </w:r>
      <w:r>
        <w:rPr>
          <w:sz w:val="22"/>
        </w:rPr>
        <w:t>7</w:t>
      </w:r>
      <w:r>
        <w:rPr>
          <w:spacing w:val="7"/>
          <w:sz w:val="22"/>
        </w:rPr>
        <w:t> </w:t>
      </w:r>
      <w:r>
        <w:rPr>
          <w:sz w:val="22"/>
        </w:rPr>
        <w:t>years,</w:t>
      </w:r>
      <w:r>
        <w:rPr>
          <w:spacing w:val="12"/>
          <w:sz w:val="22"/>
        </w:rPr>
        <w:t> </w:t>
      </w:r>
      <w:r>
        <w:rPr>
          <w:sz w:val="22"/>
        </w:rPr>
        <w:t>20%</w:t>
      </w:r>
      <w:r>
        <w:rPr>
          <w:spacing w:val="6"/>
          <w:sz w:val="22"/>
        </w:rPr>
        <w:t> </w:t>
      </w:r>
      <w:r>
        <w:rPr>
          <w:sz w:val="22"/>
        </w:rPr>
        <w:t>between</w:t>
      </w:r>
      <w:r>
        <w:rPr>
          <w:spacing w:val="9"/>
          <w:sz w:val="22"/>
        </w:rPr>
        <w:t> </w:t>
      </w:r>
      <w:r>
        <w:rPr>
          <w:sz w:val="22"/>
        </w:rPr>
        <w:t>7</w:t>
      </w:r>
    </w:p>
    <w:p>
      <w:pPr>
        <w:pStyle w:val="ListParagraph"/>
        <w:numPr>
          <w:ilvl w:val="0"/>
          <w:numId w:val="9"/>
        </w:numPr>
        <w:tabs>
          <w:tab w:pos="1937" w:val="left" w:leader="none"/>
          <w:tab w:pos="1938" w:val="left" w:leader="none"/>
        </w:tabs>
        <w:spacing w:line="240" w:lineRule="auto" w:before="101" w:after="0"/>
        <w:ind w:left="1937" w:right="0" w:hanging="569"/>
        <w:jc w:val="left"/>
        <w:rPr>
          <w:sz w:val="22"/>
        </w:rPr>
      </w:pPr>
      <w:r>
        <w:rPr>
          <w:sz w:val="22"/>
        </w:rPr>
        <w:t>and 10 years, and 45% were over 10 years.</w:t>
      </w:r>
      <w:r>
        <w:rPr>
          <w:position w:val="10"/>
          <w:sz w:val="15"/>
        </w:rPr>
        <w:t>3  </w:t>
      </w:r>
      <w:r>
        <w:rPr>
          <w:sz w:val="22"/>
        </w:rPr>
        <w:t>Another study reported that 10% of the dogs  </w:t>
      </w:r>
      <w:r>
        <w:rPr>
          <w:spacing w:val="44"/>
          <w:sz w:val="22"/>
        </w:rPr>
        <w:t> </w:t>
      </w:r>
      <w:r>
        <w:rPr>
          <w:sz w:val="22"/>
        </w:rPr>
        <w:t>and</w:t>
      </w:r>
    </w:p>
    <w:p>
      <w:pPr>
        <w:pStyle w:val="ListParagraph"/>
        <w:numPr>
          <w:ilvl w:val="0"/>
          <w:numId w:val="9"/>
        </w:numPr>
        <w:tabs>
          <w:tab w:pos="1937" w:val="left" w:leader="none"/>
          <w:tab w:pos="1938" w:val="left" w:leader="none"/>
        </w:tabs>
        <w:spacing w:line="240" w:lineRule="auto" w:before="101" w:after="0"/>
        <w:ind w:left="1937" w:right="0" w:hanging="569"/>
        <w:jc w:val="left"/>
        <w:rPr>
          <w:sz w:val="15"/>
        </w:rPr>
      </w:pPr>
      <w:r>
        <w:rPr>
          <w:sz w:val="22"/>
        </w:rPr>
        <w:t>30% of the cats diagnosed with CKD were over 15 years  </w:t>
      </w:r>
      <w:r>
        <w:rPr>
          <w:spacing w:val="5"/>
          <w:sz w:val="22"/>
        </w:rPr>
        <w:t> </w:t>
      </w:r>
      <w:r>
        <w:rPr>
          <w:sz w:val="22"/>
        </w:rPr>
        <w:t>old.</w:t>
      </w:r>
      <w:r>
        <w:rPr>
          <w:position w:val="10"/>
          <w:sz w:val="15"/>
        </w:rPr>
        <w:t>3</w:t>
      </w:r>
    </w:p>
    <w:p>
      <w:pPr>
        <w:pStyle w:val="BodyText"/>
        <w:spacing w:before="3"/>
        <w:rPr>
          <w:rFonts w:ascii="Times New Roman"/>
          <w:sz w:val="13"/>
        </w:rPr>
      </w:pPr>
    </w:p>
    <w:p>
      <w:pPr>
        <w:pStyle w:val="ListParagraph"/>
        <w:numPr>
          <w:ilvl w:val="0"/>
          <w:numId w:val="9"/>
        </w:numPr>
        <w:tabs>
          <w:tab w:pos="1937" w:val="left" w:leader="none"/>
          <w:tab w:pos="1938" w:val="left" w:leader="none"/>
        </w:tabs>
        <w:spacing w:line="240" w:lineRule="auto" w:before="77" w:after="0"/>
        <w:ind w:left="1937" w:right="0" w:hanging="569"/>
        <w:jc w:val="left"/>
        <w:rPr>
          <w:sz w:val="22"/>
        </w:rPr>
      </w:pPr>
      <w:r>
        <w:rPr>
          <w:sz w:val="22"/>
        </w:rPr>
        <w:t>The clinical or demographic conditions that predispose the development or progression  </w:t>
      </w:r>
      <w:r>
        <w:rPr>
          <w:spacing w:val="52"/>
          <w:sz w:val="22"/>
        </w:rPr>
        <w:t> </w:t>
      </w:r>
      <w:r>
        <w:rPr>
          <w:sz w:val="22"/>
        </w:rPr>
        <w:t>of</w:t>
      </w:r>
    </w:p>
    <w:p>
      <w:pPr>
        <w:pStyle w:val="ListParagraph"/>
        <w:numPr>
          <w:ilvl w:val="0"/>
          <w:numId w:val="9"/>
        </w:numPr>
        <w:tabs>
          <w:tab w:pos="1937" w:val="left" w:leader="none"/>
          <w:tab w:pos="1938" w:val="left" w:leader="none"/>
        </w:tabs>
        <w:spacing w:line="240" w:lineRule="auto" w:before="138" w:after="0"/>
        <w:ind w:left="1937" w:right="0" w:hanging="569"/>
        <w:jc w:val="left"/>
        <w:rPr>
          <w:sz w:val="22"/>
        </w:rPr>
      </w:pPr>
      <w:r>
        <w:rPr>
          <w:sz w:val="22"/>
        </w:rPr>
        <w:t>CKD are known as risk factors.   </w:t>
      </w:r>
      <w:r>
        <w:rPr>
          <w:spacing w:val="4"/>
          <w:sz w:val="22"/>
        </w:rPr>
        <w:t> </w:t>
      </w:r>
      <w:r>
        <w:rPr>
          <w:sz w:val="22"/>
        </w:rPr>
        <w:t>These can be classified as: </w:t>
      </w:r>
      <w:r>
        <w:rPr>
          <w:i/>
          <w:sz w:val="22"/>
        </w:rPr>
        <w:t>predisposition factors </w:t>
      </w:r>
      <w:r>
        <w:rPr>
          <w:sz w:val="22"/>
        </w:rPr>
        <w:t>- such as</w:t>
      </w:r>
    </w:p>
    <w:p>
      <w:pPr>
        <w:pStyle w:val="ListParagraph"/>
        <w:numPr>
          <w:ilvl w:val="0"/>
          <w:numId w:val="9"/>
        </w:numPr>
        <w:tabs>
          <w:tab w:pos="1937" w:val="left" w:leader="none"/>
          <w:tab w:pos="1938" w:val="left" w:leader="none"/>
        </w:tabs>
        <w:spacing w:line="240" w:lineRule="auto" w:before="136" w:after="0"/>
        <w:ind w:left="1937" w:right="0" w:hanging="569"/>
        <w:jc w:val="left"/>
        <w:rPr>
          <w:sz w:val="22"/>
        </w:rPr>
      </w:pPr>
      <w:r>
        <w:rPr>
          <w:sz w:val="22"/>
        </w:rPr>
        <w:t>species, breed, advanced age and weather conditions; </w:t>
      </w:r>
      <w:r>
        <w:rPr>
          <w:i/>
          <w:sz w:val="22"/>
        </w:rPr>
        <w:t>initiation -</w:t>
      </w:r>
      <w:r>
        <w:rPr>
          <w:sz w:val="22"/>
        </w:rPr>
        <w:t>such as nephrotoxic  </w:t>
      </w:r>
      <w:r>
        <w:rPr>
          <w:spacing w:val="49"/>
          <w:sz w:val="22"/>
        </w:rPr>
        <w:t> </w:t>
      </w:r>
      <w:r>
        <w:rPr>
          <w:sz w:val="22"/>
        </w:rPr>
        <w:t>drugs,</w:t>
      </w:r>
    </w:p>
    <w:p>
      <w:pPr>
        <w:pStyle w:val="ListParagraph"/>
        <w:numPr>
          <w:ilvl w:val="0"/>
          <w:numId w:val="9"/>
        </w:numPr>
        <w:tabs>
          <w:tab w:pos="1937" w:val="left" w:leader="none"/>
          <w:tab w:pos="1938" w:val="left" w:leader="none"/>
        </w:tabs>
        <w:spacing w:line="240" w:lineRule="auto" w:before="136" w:after="0"/>
        <w:ind w:left="1937" w:right="0" w:hanging="569"/>
        <w:jc w:val="left"/>
        <w:rPr>
          <w:sz w:val="22"/>
        </w:rPr>
      </w:pPr>
      <w:r>
        <w:rPr>
          <w:sz w:val="22"/>
        </w:rPr>
        <w:t>glomerular or tubular diseases, systematic diseases, or malignancies; and </w:t>
      </w:r>
      <w:r>
        <w:rPr>
          <w:i/>
          <w:sz w:val="22"/>
        </w:rPr>
        <w:t>progression   </w:t>
      </w:r>
      <w:r>
        <w:rPr>
          <w:i/>
          <w:spacing w:val="7"/>
          <w:sz w:val="22"/>
        </w:rPr>
        <w:t> </w:t>
      </w:r>
      <w:r>
        <w:rPr>
          <w:sz w:val="22"/>
        </w:rPr>
        <w:t>- such</w:t>
      </w:r>
    </w:p>
    <w:p>
      <w:pPr>
        <w:pStyle w:val="ListParagraph"/>
        <w:numPr>
          <w:ilvl w:val="0"/>
          <w:numId w:val="9"/>
        </w:numPr>
        <w:tabs>
          <w:tab w:pos="1937" w:val="left" w:leader="none"/>
          <w:tab w:pos="1938" w:val="left" w:leader="none"/>
        </w:tabs>
        <w:spacing w:line="240" w:lineRule="auto" w:before="101" w:after="0"/>
        <w:ind w:left="1937" w:right="0" w:hanging="569"/>
        <w:jc w:val="left"/>
        <w:rPr>
          <w:sz w:val="15"/>
        </w:rPr>
      </w:pPr>
      <w:r>
        <w:rPr>
          <w:sz w:val="22"/>
        </w:rPr>
        <w:t>as proteinuria, hypertension, and uncontrolled diabetes mellitus.</w:t>
      </w:r>
      <w:r>
        <w:rPr>
          <w:position w:val="10"/>
          <w:sz w:val="15"/>
        </w:rPr>
        <w:t>4,   </w:t>
      </w:r>
      <w:r>
        <w:rPr>
          <w:spacing w:val="2"/>
          <w:position w:val="10"/>
          <w:sz w:val="15"/>
        </w:rPr>
        <w:t> </w:t>
      </w:r>
      <w:r>
        <w:rPr>
          <w:position w:val="10"/>
          <w:sz w:val="15"/>
        </w:rPr>
        <w:t>5</w:t>
      </w:r>
    </w:p>
    <w:p>
      <w:pPr>
        <w:spacing w:after="0" w:line="240" w:lineRule="auto"/>
        <w:jc w:val="left"/>
        <w:rPr>
          <w:sz w:val="15"/>
        </w:rPr>
        <w:sectPr>
          <w:headerReference w:type="default" r:id="rId65"/>
          <w:footerReference w:type="default" r:id="rId66"/>
          <w:pgSz w:w="12240" w:h="15840"/>
          <w:pgMar w:header="0" w:footer="0" w:top="140" w:bottom="280" w:left="0" w:right="240"/>
        </w:sectPr>
      </w:pPr>
    </w:p>
    <w:p>
      <w:pPr>
        <w:tabs>
          <w:tab w:pos="3549" w:val="left" w:leader="none"/>
        </w:tabs>
        <w:spacing w:before="56"/>
        <w:ind w:left="373" w:right="0" w:firstLine="0"/>
        <w:jc w:val="left"/>
        <w:rPr>
          <w:b/>
          <w:sz w:val="20"/>
        </w:rPr>
      </w:pPr>
      <w:r>
        <w:rPr>
          <w:b/>
          <w:sz w:val="20"/>
        </w:rPr>
        <w:t>age 3</w:t>
      </w:r>
      <w:r>
        <w:rPr>
          <w:b/>
          <w:spacing w:val="-1"/>
          <w:sz w:val="20"/>
        </w:rPr>
        <w:t> </w:t>
      </w:r>
      <w:r>
        <w:rPr>
          <w:b/>
          <w:sz w:val="20"/>
        </w:rPr>
        <w:t>of</w:t>
      </w:r>
      <w:r>
        <w:rPr>
          <w:b/>
          <w:spacing w:val="-1"/>
          <w:sz w:val="20"/>
        </w:rPr>
        <w:t> </w:t>
      </w:r>
      <w:r>
        <w:rPr>
          <w:b/>
          <w:sz w:val="20"/>
        </w:rPr>
        <w:t>16</w:t>
        <w:tab/>
        <w:t>Journal of the American Veterinary Medical</w:t>
      </w:r>
      <w:r>
        <w:rPr>
          <w:b/>
          <w:spacing w:val="-25"/>
          <w:sz w:val="20"/>
        </w:rPr>
        <w:t> </w:t>
      </w:r>
      <w:r>
        <w:rPr>
          <w:b/>
          <w:sz w:val="20"/>
        </w:rPr>
        <w:t>Association</w:t>
      </w:r>
    </w:p>
    <w:p>
      <w:pPr>
        <w:pStyle w:val="BodyText"/>
        <w:rPr>
          <w:b/>
          <w:sz w:val="20"/>
        </w:rPr>
      </w:pPr>
    </w:p>
    <w:p>
      <w:pPr>
        <w:pStyle w:val="BodyText"/>
        <w:rPr>
          <w:b/>
          <w:sz w:val="20"/>
        </w:rPr>
      </w:pPr>
    </w:p>
    <w:p>
      <w:pPr>
        <w:pStyle w:val="BodyText"/>
        <w:rPr>
          <w:b/>
          <w:sz w:val="20"/>
        </w:rPr>
      </w:pPr>
    </w:p>
    <w:p>
      <w:pPr>
        <w:pStyle w:val="BodyText"/>
        <w:spacing w:before="7"/>
        <w:rPr>
          <w:b/>
          <w:sz w:val="18"/>
        </w:rPr>
      </w:pPr>
    </w:p>
    <w:p>
      <w:pPr>
        <w:pStyle w:val="ListParagraph"/>
        <w:numPr>
          <w:ilvl w:val="0"/>
          <w:numId w:val="9"/>
        </w:numPr>
        <w:tabs>
          <w:tab w:pos="1937" w:val="left" w:leader="none"/>
          <w:tab w:pos="1938" w:val="left" w:leader="none"/>
        </w:tabs>
        <w:spacing w:line="240" w:lineRule="auto" w:before="0" w:after="0"/>
        <w:ind w:left="1937" w:right="0" w:hanging="569"/>
        <w:jc w:val="left"/>
        <w:rPr>
          <w:sz w:val="22"/>
        </w:rPr>
      </w:pPr>
      <w:r>
        <w:rPr>
          <w:sz w:val="22"/>
        </w:rPr>
        <w:t>In humans, the establishment of routine programs for health evaluation permits an  </w:t>
      </w:r>
      <w:r>
        <w:rPr>
          <w:spacing w:val="46"/>
          <w:sz w:val="22"/>
        </w:rPr>
        <w:t> </w:t>
      </w:r>
      <w:r>
        <w:rPr>
          <w:sz w:val="22"/>
        </w:rPr>
        <w:t>early</w:t>
      </w:r>
    </w:p>
    <w:p>
      <w:pPr>
        <w:pStyle w:val="ListParagraph"/>
        <w:numPr>
          <w:ilvl w:val="0"/>
          <w:numId w:val="9"/>
        </w:numPr>
        <w:tabs>
          <w:tab w:pos="1937" w:val="left" w:leader="none"/>
          <w:tab w:pos="1938" w:val="left" w:leader="none"/>
        </w:tabs>
        <w:spacing w:line="240" w:lineRule="auto" w:before="136" w:after="0"/>
        <w:ind w:left="1937" w:right="0" w:hanging="569"/>
        <w:jc w:val="left"/>
        <w:rPr>
          <w:sz w:val="22"/>
        </w:rPr>
      </w:pPr>
      <w:r>
        <w:rPr>
          <w:sz w:val="22"/>
        </w:rPr>
        <w:t>diagnosis of CKD, allowing identification of the illness in its initial stages, especially  </w:t>
      </w:r>
      <w:r>
        <w:rPr>
          <w:spacing w:val="47"/>
          <w:sz w:val="22"/>
        </w:rPr>
        <w:t> </w:t>
      </w:r>
      <w:r>
        <w:rPr>
          <w:sz w:val="22"/>
        </w:rPr>
        <w:t>in</w:t>
      </w:r>
    </w:p>
    <w:p>
      <w:pPr>
        <w:pStyle w:val="ListParagraph"/>
        <w:numPr>
          <w:ilvl w:val="0"/>
          <w:numId w:val="9"/>
        </w:numPr>
        <w:tabs>
          <w:tab w:pos="1937" w:val="left" w:leader="none"/>
          <w:tab w:pos="1938" w:val="left" w:leader="none"/>
        </w:tabs>
        <w:spacing w:line="240" w:lineRule="auto" w:before="101" w:after="0"/>
        <w:ind w:left="1937" w:right="0" w:hanging="569"/>
        <w:jc w:val="left"/>
        <w:rPr>
          <w:sz w:val="15"/>
        </w:rPr>
      </w:pPr>
      <w:r>
        <w:rPr>
          <w:sz w:val="22"/>
        </w:rPr>
        <w:t>patients with a high risk of disease, which allows an optimal handling of this  </w:t>
      </w:r>
      <w:r>
        <w:rPr>
          <w:spacing w:val="48"/>
          <w:sz w:val="22"/>
        </w:rPr>
        <w:t> </w:t>
      </w:r>
      <w:r>
        <w:rPr>
          <w:sz w:val="22"/>
        </w:rPr>
        <w:t>pathology.</w:t>
      </w:r>
      <w:r>
        <w:rPr>
          <w:position w:val="10"/>
          <w:sz w:val="15"/>
        </w:rPr>
        <w:t>6</w:t>
      </w:r>
    </w:p>
    <w:p>
      <w:pPr>
        <w:pStyle w:val="BodyText"/>
        <w:spacing w:before="6"/>
        <w:rPr>
          <w:rFonts w:ascii="Times New Roman"/>
          <w:sz w:val="13"/>
        </w:rPr>
      </w:pPr>
    </w:p>
    <w:p>
      <w:pPr>
        <w:pStyle w:val="ListParagraph"/>
        <w:numPr>
          <w:ilvl w:val="0"/>
          <w:numId w:val="9"/>
        </w:numPr>
        <w:tabs>
          <w:tab w:pos="1937" w:val="left" w:leader="none"/>
          <w:tab w:pos="1938" w:val="left" w:leader="none"/>
        </w:tabs>
        <w:spacing w:line="240" w:lineRule="auto" w:before="76" w:after="0"/>
        <w:ind w:left="1937" w:right="0" w:hanging="569"/>
        <w:jc w:val="left"/>
        <w:rPr>
          <w:sz w:val="22"/>
        </w:rPr>
      </w:pPr>
      <w:r>
        <w:rPr>
          <w:sz w:val="22"/>
        </w:rPr>
        <w:t>In 2002, the National Kidney Foundation of the United States of   </w:t>
      </w:r>
      <w:r>
        <w:rPr>
          <w:spacing w:val="6"/>
          <w:sz w:val="22"/>
        </w:rPr>
        <w:t> </w:t>
      </w:r>
      <w:r>
        <w:rPr>
          <w:sz w:val="22"/>
        </w:rPr>
        <w:t>America through the Kidney</w:t>
      </w:r>
    </w:p>
    <w:p>
      <w:pPr>
        <w:pStyle w:val="ListParagraph"/>
        <w:numPr>
          <w:ilvl w:val="0"/>
          <w:numId w:val="9"/>
        </w:numPr>
        <w:tabs>
          <w:tab w:pos="1937" w:val="left" w:leader="none"/>
          <w:tab w:pos="1938" w:val="left" w:leader="none"/>
        </w:tabs>
        <w:spacing w:line="240" w:lineRule="auto" w:before="133" w:after="0"/>
        <w:ind w:left="1937" w:right="0" w:hanging="569"/>
        <w:jc w:val="left"/>
        <w:rPr>
          <w:sz w:val="22"/>
        </w:rPr>
      </w:pPr>
      <w:r>
        <w:rPr>
          <w:sz w:val="22"/>
        </w:rPr>
        <w:t>Disease Outcome Quality Initiative (KDOQI) proposed a classification of CKD based   </w:t>
      </w:r>
      <w:r>
        <w:rPr>
          <w:spacing w:val="7"/>
          <w:sz w:val="22"/>
        </w:rPr>
        <w:t> </w:t>
      </w:r>
      <w:r>
        <w:rPr>
          <w:sz w:val="22"/>
        </w:rPr>
        <w:t>on the</w:t>
      </w:r>
    </w:p>
    <w:p>
      <w:pPr>
        <w:pStyle w:val="ListParagraph"/>
        <w:numPr>
          <w:ilvl w:val="0"/>
          <w:numId w:val="9"/>
        </w:numPr>
        <w:tabs>
          <w:tab w:pos="1937" w:val="left" w:leader="none"/>
          <w:tab w:pos="1938" w:val="left" w:leader="none"/>
        </w:tabs>
        <w:spacing w:line="240" w:lineRule="auto" w:before="138" w:after="0"/>
        <w:ind w:left="1937" w:right="0" w:hanging="569"/>
        <w:jc w:val="left"/>
        <w:rPr>
          <w:sz w:val="22"/>
        </w:rPr>
      </w:pPr>
      <w:r>
        <w:rPr>
          <w:sz w:val="22"/>
        </w:rPr>
        <w:t>value of the glomerular filtration rate (GFR) ever since endogenous creatinine  </w:t>
      </w:r>
      <w:r>
        <w:rPr>
          <w:spacing w:val="54"/>
          <w:sz w:val="22"/>
        </w:rPr>
        <w:t> </w:t>
      </w:r>
      <w:r>
        <w:rPr>
          <w:sz w:val="22"/>
        </w:rPr>
        <w:t>depuration,</w:t>
      </w:r>
    </w:p>
    <w:p>
      <w:pPr>
        <w:pStyle w:val="ListParagraph"/>
        <w:numPr>
          <w:ilvl w:val="0"/>
          <w:numId w:val="9"/>
        </w:numPr>
        <w:tabs>
          <w:tab w:pos="1937" w:val="left" w:leader="none"/>
          <w:tab w:pos="1938" w:val="left" w:leader="none"/>
        </w:tabs>
        <w:spacing w:line="240" w:lineRule="auto" w:before="91" w:after="0"/>
        <w:ind w:left="1937" w:right="0" w:hanging="569"/>
        <w:jc w:val="left"/>
        <w:rPr>
          <w:sz w:val="22"/>
        </w:rPr>
      </w:pPr>
      <w:r>
        <w:rPr>
          <w:sz w:val="22"/>
        </w:rPr>
        <w:t>expressed in ml/min/1.73 m</w:t>
      </w:r>
      <w:r>
        <w:rPr>
          <w:position w:val="11"/>
          <w:sz w:val="15"/>
        </w:rPr>
        <w:t>2</w:t>
      </w:r>
      <w:r>
        <w:rPr>
          <w:sz w:val="22"/>
        </w:rPr>
        <w:t>; classifying the disease in 5 stages based on the gravity of    </w:t>
      </w:r>
      <w:r>
        <w:rPr>
          <w:spacing w:val="-3"/>
          <w:sz w:val="22"/>
        </w:rPr>
        <w:t>the</w:t>
      </w:r>
    </w:p>
    <w:p>
      <w:pPr>
        <w:pStyle w:val="ListParagraph"/>
        <w:numPr>
          <w:ilvl w:val="0"/>
          <w:numId w:val="9"/>
        </w:numPr>
        <w:tabs>
          <w:tab w:pos="1937" w:val="left" w:leader="none"/>
          <w:tab w:pos="1938" w:val="left" w:leader="none"/>
        </w:tabs>
        <w:spacing w:line="240" w:lineRule="auto" w:before="101" w:after="0"/>
        <w:ind w:left="1937" w:right="0" w:hanging="569"/>
        <w:jc w:val="left"/>
        <w:rPr>
          <w:sz w:val="22"/>
        </w:rPr>
      </w:pPr>
      <w:r>
        <w:rPr/>
        <w:pict>
          <v:shape style="position:absolute;margin-left:120.872412pt;margin-top:167.113032pt;width:376.45pt;height:48pt;mso-position-horizontal-relative:page;mso-position-vertical-relative:paragraph;z-index:-123136;rotation:51" type="#_x0000_t136" fillcolor="#d6f1fe" stroked="f">
            <o:extrusion v:ext="view" autorotationcenter="t"/>
            <v:textpath style="font-family:&amp;quot;Arial&amp;quot;;font-size:48pt;v-text-kern:t;mso-text-shadow:auto;font-weight:bold" string="For Review Only"/>
            <w10:wrap type="none"/>
          </v:shape>
        </w:pict>
      </w:r>
      <w:r>
        <w:rPr>
          <w:sz w:val="22"/>
        </w:rPr>
        <w:t>disease.</w:t>
      </w:r>
      <w:r>
        <w:rPr>
          <w:position w:val="10"/>
          <w:sz w:val="15"/>
        </w:rPr>
        <w:t>1  </w:t>
      </w:r>
      <w:r>
        <w:rPr>
          <w:sz w:val="22"/>
        </w:rPr>
        <w:t>Afterwards, in 2007, a standardization system for the diagnosis and classification  </w:t>
      </w:r>
      <w:r>
        <w:rPr>
          <w:spacing w:val="38"/>
          <w:sz w:val="22"/>
        </w:rPr>
        <w:t> </w:t>
      </w:r>
      <w:r>
        <w:rPr>
          <w:sz w:val="22"/>
        </w:rPr>
        <w:t>of</w:t>
      </w:r>
    </w:p>
    <w:p>
      <w:pPr>
        <w:pStyle w:val="ListParagraph"/>
        <w:numPr>
          <w:ilvl w:val="0"/>
          <w:numId w:val="9"/>
        </w:numPr>
        <w:tabs>
          <w:tab w:pos="1937" w:val="left" w:leader="none"/>
          <w:tab w:pos="1938" w:val="left" w:leader="none"/>
        </w:tabs>
        <w:spacing w:line="240" w:lineRule="auto" w:before="136" w:after="0"/>
        <w:ind w:left="1937" w:right="0" w:hanging="569"/>
        <w:jc w:val="left"/>
        <w:rPr>
          <w:sz w:val="22"/>
        </w:rPr>
      </w:pPr>
      <w:r>
        <w:rPr>
          <w:sz w:val="22"/>
        </w:rPr>
        <w:t>CRD in veterinary medicine was proposed by the International Renal Interest Society  </w:t>
      </w:r>
      <w:r>
        <w:rPr>
          <w:spacing w:val="54"/>
          <w:sz w:val="22"/>
        </w:rPr>
        <w:t> </w:t>
      </w:r>
      <w:r>
        <w:rPr>
          <w:sz w:val="22"/>
        </w:rPr>
        <w:t>(IRIS),</w:t>
      </w:r>
    </w:p>
    <w:p>
      <w:pPr>
        <w:pStyle w:val="ListParagraph"/>
        <w:numPr>
          <w:ilvl w:val="0"/>
          <w:numId w:val="9"/>
        </w:numPr>
        <w:tabs>
          <w:tab w:pos="1937" w:val="left" w:leader="none"/>
          <w:tab w:pos="1938" w:val="left" w:leader="none"/>
        </w:tabs>
        <w:spacing w:line="240" w:lineRule="auto" w:before="138" w:after="0"/>
        <w:ind w:left="1937" w:right="0" w:hanging="569"/>
        <w:jc w:val="left"/>
        <w:rPr>
          <w:sz w:val="22"/>
        </w:rPr>
      </w:pPr>
      <w:r>
        <w:rPr>
          <w:sz w:val="22"/>
        </w:rPr>
        <w:t>having been developed solely for the purpose of improving communications about  </w:t>
      </w:r>
      <w:r>
        <w:rPr>
          <w:spacing w:val="53"/>
          <w:sz w:val="22"/>
        </w:rPr>
        <w:t> </w:t>
      </w:r>
      <w:r>
        <w:rPr>
          <w:sz w:val="22"/>
        </w:rPr>
        <w:t>CKD</w:t>
      </w:r>
    </w:p>
    <w:p>
      <w:pPr>
        <w:pStyle w:val="ListParagraph"/>
        <w:numPr>
          <w:ilvl w:val="0"/>
          <w:numId w:val="9"/>
        </w:numPr>
        <w:tabs>
          <w:tab w:pos="1937" w:val="left" w:leader="none"/>
          <w:tab w:pos="1938" w:val="left" w:leader="none"/>
        </w:tabs>
        <w:spacing w:line="240" w:lineRule="auto" w:before="133" w:after="0"/>
        <w:ind w:left="1937" w:right="0" w:hanging="569"/>
        <w:jc w:val="left"/>
        <w:rPr>
          <w:sz w:val="22"/>
        </w:rPr>
      </w:pPr>
      <w:r>
        <w:rPr>
          <w:sz w:val="22"/>
        </w:rPr>
        <w:t>through diagnosis and therapeutic handling that are deemed appropriate for patients   </w:t>
      </w:r>
      <w:r>
        <w:rPr>
          <w:spacing w:val="8"/>
          <w:sz w:val="22"/>
        </w:rPr>
        <w:t> </w:t>
      </w:r>
      <w:r>
        <w:rPr>
          <w:sz w:val="22"/>
        </w:rPr>
        <w:t>in diverse</w:t>
      </w:r>
    </w:p>
    <w:p>
      <w:pPr>
        <w:pStyle w:val="ListParagraph"/>
        <w:numPr>
          <w:ilvl w:val="0"/>
          <w:numId w:val="9"/>
        </w:numPr>
        <w:tabs>
          <w:tab w:pos="1937" w:val="left" w:leader="none"/>
          <w:tab w:pos="1938" w:val="left" w:leader="none"/>
        </w:tabs>
        <w:spacing w:line="240" w:lineRule="auto" w:before="103" w:after="0"/>
        <w:ind w:left="1937" w:right="0" w:hanging="569"/>
        <w:jc w:val="left"/>
        <w:rPr>
          <w:sz w:val="22"/>
        </w:rPr>
      </w:pPr>
      <w:r>
        <w:rPr>
          <w:sz w:val="22"/>
        </w:rPr>
        <w:t>evolutionary stages of the disease.</w:t>
      </w:r>
      <w:r>
        <w:rPr>
          <w:position w:val="10"/>
          <w:sz w:val="15"/>
        </w:rPr>
        <w:t>7  </w:t>
      </w:r>
      <w:r>
        <w:rPr>
          <w:sz w:val="22"/>
        </w:rPr>
        <w:t>Unlike those used in humans, this system uses  </w:t>
      </w:r>
      <w:r>
        <w:rPr>
          <w:spacing w:val="26"/>
          <w:sz w:val="22"/>
        </w:rPr>
        <w:t> </w:t>
      </w:r>
      <w:r>
        <w:rPr>
          <w:sz w:val="22"/>
        </w:rPr>
        <w:t>the</w:t>
      </w:r>
    </w:p>
    <w:p>
      <w:pPr>
        <w:pStyle w:val="ListParagraph"/>
        <w:numPr>
          <w:ilvl w:val="0"/>
          <w:numId w:val="9"/>
        </w:numPr>
        <w:tabs>
          <w:tab w:pos="1937" w:val="left" w:leader="none"/>
          <w:tab w:pos="1938" w:val="left" w:leader="none"/>
        </w:tabs>
        <w:spacing w:line="240" w:lineRule="auto" w:before="136" w:after="0"/>
        <w:ind w:left="1937" w:right="0" w:hanging="569"/>
        <w:jc w:val="left"/>
        <w:rPr>
          <w:sz w:val="22"/>
        </w:rPr>
      </w:pPr>
      <w:r>
        <w:rPr>
          <w:sz w:val="22"/>
        </w:rPr>
        <w:t>concentration of serum creatinine (SCr), which nowadays is considered the best  </w:t>
      </w:r>
      <w:r>
        <w:rPr>
          <w:spacing w:val="45"/>
          <w:sz w:val="22"/>
        </w:rPr>
        <w:t> </w:t>
      </w:r>
      <w:r>
        <w:rPr>
          <w:sz w:val="22"/>
        </w:rPr>
        <w:t>GFR</w:t>
      </w:r>
    </w:p>
    <w:p>
      <w:pPr>
        <w:pStyle w:val="ListParagraph"/>
        <w:numPr>
          <w:ilvl w:val="0"/>
          <w:numId w:val="9"/>
        </w:numPr>
        <w:tabs>
          <w:tab w:pos="1937" w:val="left" w:leader="none"/>
          <w:tab w:pos="1938" w:val="left" w:leader="none"/>
        </w:tabs>
        <w:spacing w:line="240" w:lineRule="auto" w:before="136" w:after="0"/>
        <w:ind w:left="1937" w:right="0" w:hanging="569"/>
        <w:jc w:val="left"/>
        <w:rPr>
          <w:sz w:val="22"/>
        </w:rPr>
      </w:pPr>
      <w:r>
        <w:rPr>
          <w:sz w:val="22"/>
        </w:rPr>
        <w:t>indicator available in clinical veterinary practice, and only classifies the disease into 4  </w:t>
      </w:r>
      <w:r>
        <w:rPr>
          <w:spacing w:val="53"/>
          <w:sz w:val="22"/>
        </w:rPr>
        <w:t> </w:t>
      </w:r>
      <w:r>
        <w:rPr>
          <w:sz w:val="22"/>
        </w:rPr>
        <w:t>stages</w:t>
      </w:r>
    </w:p>
    <w:p>
      <w:pPr>
        <w:pStyle w:val="ListParagraph"/>
        <w:numPr>
          <w:ilvl w:val="0"/>
          <w:numId w:val="9"/>
        </w:numPr>
        <w:tabs>
          <w:tab w:pos="1937" w:val="left" w:leader="none"/>
          <w:tab w:pos="1938" w:val="left" w:leader="none"/>
        </w:tabs>
        <w:spacing w:line="240" w:lineRule="auto" w:before="136" w:after="0"/>
        <w:ind w:left="1937" w:right="0" w:hanging="569"/>
        <w:jc w:val="left"/>
        <w:rPr>
          <w:sz w:val="22"/>
        </w:rPr>
      </w:pPr>
      <w:r>
        <w:rPr>
          <w:sz w:val="22"/>
        </w:rPr>
        <w:t>(I SCr &lt;125 µmol/L, II CrS 125–179 µmol/L, III CrS 180–439 µmol/L, y IV   </w:t>
      </w:r>
      <w:r>
        <w:rPr>
          <w:spacing w:val="4"/>
          <w:sz w:val="22"/>
        </w:rPr>
        <w:t> </w:t>
      </w:r>
      <w:r>
        <w:rPr>
          <w:sz w:val="22"/>
        </w:rPr>
        <w:t>CrS ≥440</w:t>
      </w:r>
    </w:p>
    <w:p>
      <w:pPr>
        <w:pStyle w:val="ListParagraph"/>
        <w:numPr>
          <w:ilvl w:val="0"/>
          <w:numId w:val="9"/>
        </w:numPr>
        <w:tabs>
          <w:tab w:pos="1937" w:val="left" w:leader="none"/>
          <w:tab w:pos="1938" w:val="left" w:leader="none"/>
        </w:tabs>
        <w:spacing w:line="240" w:lineRule="auto" w:before="136" w:after="0"/>
        <w:ind w:left="1937" w:right="0" w:hanging="569"/>
        <w:jc w:val="left"/>
        <w:rPr>
          <w:sz w:val="22"/>
        </w:rPr>
      </w:pPr>
      <w:r>
        <w:rPr>
          <w:sz w:val="22"/>
        </w:rPr>
        <w:t>µmol/L). It has further proven useful to subclassify each stage based on  </w:t>
      </w:r>
      <w:r>
        <w:rPr>
          <w:spacing w:val="29"/>
          <w:sz w:val="22"/>
        </w:rPr>
        <w:t> </w:t>
      </w:r>
      <w:r>
        <w:rPr>
          <w:sz w:val="22"/>
        </w:rPr>
        <w:t>the</w:t>
      </w:r>
    </w:p>
    <w:p>
      <w:pPr>
        <w:pStyle w:val="ListParagraph"/>
        <w:numPr>
          <w:ilvl w:val="0"/>
          <w:numId w:val="9"/>
        </w:numPr>
        <w:tabs>
          <w:tab w:pos="1937" w:val="left" w:leader="none"/>
          <w:tab w:pos="1938" w:val="left" w:leader="none"/>
        </w:tabs>
        <w:spacing w:line="240" w:lineRule="auto" w:before="136" w:after="0"/>
        <w:ind w:left="1937" w:right="0" w:hanging="569"/>
        <w:jc w:val="left"/>
        <w:rPr>
          <w:sz w:val="22"/>
        </w:rPr>
      </w:pPr>
      <w:r>
        <w:rPr>
          <w:sz w:val="22"/>
        </w:rPr>
        <w:t>proteinuria:creatinuria ratio (UPC) as proteinuric (&gt;0.5), borderline proteinuric (0.21–0.49)   </w:t>
      </w:r>
      <w:r>
        <w:rPr>
          <w:spacing w:val="11"/>
          <w:sz w:val="22"/>
        </w:rPr>
        <w:t> </w:t>
      </w:r>
      <w:r>
        <w:rPr>
          <w:sz w:val="22"/>
        </w:rPr>
        <w:t>or</w:t>
      </w:r>
    </w:p>
    <w:p>
      <w:pPr>
        <w:pStyle w:val="ListParagraph"/>
        <w:numPr>
          <w:ilvl w:val="0"/>
          <w:numId w:val="9"/>
        </w:numPr>
        <w:tabs>
          <w:tab w:pos="1937" w:val="left" w:leader="none"/>
          <w:tab w:pos="1938" w:val="left" w:leader="none"/>
        </w:tabs>
        <w:spacing w:line="240" w:lineRule="auto" w:before="138" w:after="0"/>
        <w:ind w:left="1937" w:right="0" w:hanging="569"/>
        <w:jc w:val="left"/>
        <w:rPr>
          <w:sz w:val="22"/>
        </w:rPr>
      </w:pPr>
      <w:r>
        <w:rPr>
          <w:sz w:val="22"/>
        </w:rPr>
        <w:t>non-proteinuric (&lt;0.2); as well as on the risk of systolic arterial pressure causing   </w:t>
      </w:r>
      <w:r>
        <w:rPr>
          <w:spacing w:val="1"/>
          <w:sz w:val="22"/>
        </w:rPr>
        <w:t> </w:t>
      </w:r>
      <w:r>
        <w:rPr>
          <w:sz w:val="22"/>
        </w:rPr>
        <w:t>injury to</w:t>
      </w:r>
    </w:p>
    <w:p>
      <w:pPr>
        <w:pStyle w:val="ListParagraph"/>
        <w:numPr>
          <w:ilvl w:val="0"/>
          <w:numId w:val="9"/>
        </w:numPr>
        <w:tabs>
          <w:tab w:pos="1937" w:val="left" w:leader="none"/>
          <w:tab w:pos="1938" w:val="left" w:leader="none"/>
        </w:tabs>
        <w:spacing w:line="240" w:lineRule="auto" w:before="98" w:after="0"/>
        <w:ind w:left="1937" w:right="0" w:hanging="569"/>
        <w:jc w:val="left"/>
        <w:rPr>
          <w:sz w:val="15"/>
        </w:rPr>
      </w:pPr>
      <w:r>
        <w:rPr>
          <w:sz w:val="22"/>
        </w:rPr>
        <w:t>target organs such as the brain, eyes, heart, and kidneys due to  </w:t>
      </w:r>
      <w:r>
        <w:rPr>
          <w:spacing w:val="33"/>
          <w:sz w:val="22"/>
        </w:rPr>
        <w:t> </w:t>
      </w:r>
      <w:r>
        <w:rPr>
          <w:sz w:val="22"/>
        </w:rPr>
        <w:t>hypertension.</w:t>
      </w:r>
      <w:r>
        <w:rPr>
          <w:position w:val="10"/>
          <w:sz w:val="15"/>
        </w:rPr>
        <w:t>7</w:t>
      </w:r>
    </w:p>
    <w:p>
      <w:pPr>
        <w:pStyle w:val="BodyText"/>
        <w:spacing w:before="6"/>
        <w:rPr>
          <w:rFonts w:ascii="Times New Roman"/>
          <w:sz w:val="13"/>
        </w:rPr>
      </w:pPr>
    </w:p>
    <w:p>
      <w:pPr>
        <w:pStyle w:val="ListParagraph"/>
        <w:numPr>
          <w:ilvl w:val="0"/>
          <w:numId w:val="9"/>
        </w:numPr>
        <w:tabs>
          <w:tab w:pos="1937" w:val="left" w:leader="none"/>
          <w:tab w:pos="1938" w:val="left" w:leader="none"/>
        </w:tabs>
        <w:spacing w:line="240" w:lineRule="auto" w:before="76" w:after="0"/>
        <w:ind w:left="1937" w:right="0" w:hanging="569"/>
        <w:jc w:val="left"/>
        <w:rPr>
          <w:sz w:val="22"/>
        </w:rPr>
      </w:pPr>
      <w:r>
        <w:rPr>
          <w:sz w:val="22"/>
        </w:rPr>
        <w:t>In 2009, Cortadellas et al. used the classification system proposed by the IRIS in  </w:t>
      </w:r>
      <w:r>
        <w:rPr>
          <w:spacing w:val="44"/>
          <w:sz w:val="22"/>
        </w:rPr>
        <w:t> </w:t>
      </w:r>
      <w:r>
        <w:rPr>
          <w:sz w:val="22"/>
        </w:rPr>
        <w:t>dogs</w:t>
      </w:r>
    </w:p>
    <w:p>
      <w:pPr>
        <w:pStyle w:val="ListParagraph"/>
        <w:numPr>
          <w:ilvl w:val="0"/>
          <w:numId w:val="9"/>
        </w:numPr>
        <w:tabs>
          <w:tab w:pos="1937" w:val="left" w:leader="none"/>
          <w:tab w:pos="1938" w:val="left" w:leader="none"/>
        </w:tabs>
        <w:spacing w:line="240" w:lineRule="auto" w:before="136" w:after="0"/>
        <w:ind w:left="1937" w:right="0" w:hanging="569"/>
        <w:jc w:val="left"/>
        <w:rPr>
          <w:sz w:val="22"/>
        </w:rPr>
      </w:pPr>
      <w:r>
        <w:rPr>
          <w:sz w:val="22"/>
        </w:rPr>
        <w:t>infected with leishmaniasis, relating the SCr concentration and the   </w:t>
      </w:r>
      <w:r>
        <w:rPr>
          <w:spacing w:val="12"/>
          <w:sz w:val="22"/>
        </w:rPr>
        <w:t> </w:t>
      </w:r>
      <w:r>
        <w:rPr>
          <w:sz w:val="22"/>
        </w:rPr>
        <w:t>UPC and subdividing IRIS</w:t>
      </w:r>
    </w:p>
    <w:p>
      <w:pPr>
        <w:pStyle w:val="ListParagraph"/>
        <w:numPr>
          <w:ilvl w:val="0"/>
          <w:numId w:val="9"/>
        </w:numPr>
        <w:tabs>
          <w:tab w:pos="1937" w:val="left" w:leader="none"/>
          <w:tab w:pos="1938" w:val="left" w:leader="none"/>
        </w:tabs>
        <w:spacing w:line="240" w:lineRule="auto" w:before="136" w:after="0"/>
        <w:ind w:left="1937" w:right="0" w:hanging="569"/>
        <w:jc w:val="left"/>
        <w:rPr>
          <w:sz w:val="22"/>
        </w:rPr>
      </w:pPr>
      <w:r>
        <w:rPr>
          <w:sz w:val="22"/>
        </w:rPr>
        <w:t>stage I into: stage 0  (SCr &lt;125 mmol/L, non-proteinuric), stage 1a (SCr &lt;125    mmol/L,</w:t>
      </w:r>
    </w:p>
    <w:p>
      <w:pPr>
        <w:pStyle w:val="ListParagraph"/>
        <w:numPr>
          <w:ilvl w:val="0"/>
          <w:numId w:val="9"/>
        </w:numPr>
        <w:tabs>
          <w:tab w:pos="1937" w:val="left" w:leader="none"/>
          <w:tab w:pos="1938" w:val="left" w:leader="none"/>
        </w:tabs>
        <w:spacing w:line="240" w:lineRule="auto" w:before="101" w:after="0"/>
        <w:ind w:left="1937" w:right="0" w:hanging="569"/>
        <w:jc w:val="left"/>
        <w:rPr>
          <w:sz w:val="22"/>
        </w:rPr>
      </w:pPr>
      <w:r>
        <w:rPr>
          <w:sz w:val="22"/>
        </w:rPr>
        <w:t>borderline proteinuric) and stage 1b (SCr &lt;125 mmol/L, proteinuric)</w:t>
      </w:r>
      <w:r>
        <w:rPr>
          <w:position w:val="10"/>
          <w:sz w:val="15"/>
        </w:rPr>
        <w:t>8  </w:t>
      </w:r>
      <w:r>
        <w:rPr>
          <w:sz w:val="22"/>
        </w:rPr>
        <w:t>and stages II, III and  </w:t>
      </w:r>
      <w:r>
        <w:rPr>
          <w:spacing w:val="41"/>
          <w:sz w:val="22"/>
        </w:rPr>
        <w:t> </w:t>
      </w:r>
      <w:r>
        <w:rPr>
          <w:sz w:val="22"/>
        </w:rPr>
        <w:t>IV</w:t>
      </w:r>
    </w:p>
    <w:p>
      <w:pPr>
        <w:pStyle w:val="ListParagraph"/>
        <w:numPr>
          <w:ilvl w:val="0"/>
          <w:numId w:val="9"/>
        </w:numPr>
        <w:tabs>
          <w:tab w:pos="1937" w:val="left" w:leader="none"/>
          <w:tab w:pos="1938" w:val="left" w:leader="none"/>
        </w:tabs>
        <w:spacing w:line="240" w:lineRule="auto" w:before="136" w:after="0"/>
        <w:ind w:left="1937" w:right="0" w:hanging="569"/>
        <w:jc w:val="left"/>
        <w:rPr>
          <w:sz w:val="22"/>
        </w:rPr>
      </w:pPr>
      <w:r>
        <w:rPr>
          <w:sz w:val="22"/>
        </w:rPr>
        <w:t>only as proteinuric or non-proteinuric, suggesting another proposal for CKD classification   </w:t>
      </w:r>
      <w:r>
        <w:rPr>
          <w:spacing w:val="9"/>
          <w:sz w:val="22"/>
        </w:rPr>
        <w:t> </w:t>
      </w:r>
      <w:r>
        <w:rPr>
          <w:sz w:val="22"/>
        </w:rPr>
        <w:t>in</w:t>
      </w:r>
    </w:p>
    <w:p>
      <w:pPr>
        <w:pStyle w:val="ListParagraph"/>
        <w:numPr>
          <w:ilvl w:val="0"/>
          <w:numId w:val="9"/>
        </w:numPr>
        <w:tabs>
          <w:tab w:pos="1937" w:val="left" w:leader="none"/>
          <w:tab w:pos="1938" w:val="left" w:leader="none"/>
        </w:tabs>
        <w:spacing w:line="240" w:lineRule="auto" w:before="103" w:after="0"/>
        <w:ind w:left="1937" w:right="0" w:hanging="569"/>
        <w:jc w:val="left"/>
        <w:rPr>
          <w:sz w:val="15"/>
        </w:rPr>
      </w:pPr>
      <w:r>
        <w:rPr>
          <w:sz w:val="22"/>
        </w:rPr>
        <w:t>dogs.</w:t>
      </w:r>
      <w:r>
        <w:rPr>
          <w:position w:val="10"/>
          <w:sz w:val="15"/>
        </w:rPr>
        <w:t>7,</w:t>
      </w:r>
      <w:r>
        <w:rPr>
          <w:spacing w:val="10"/>
          <w:position w:val="10"/>
          <w:sz w:val="15"/>
        </w:rPr>
        <w:t> </w:t>
      </w:r>
      <w:r>
        <w:rPr>
          <w:position w:val="10"/>
          <w:sz w:val="15"/>
        </w:rPr>
        <w:t>8</w:t>
      </w:r>
    </w:p>
    <w:p>
      <w:pPr>
        <w:pStyle w:val="BodyText"/>
        <w:spacing w:before="5"/>
        <w:rPr>
          <w:rFonts w:ascii="Times New Roman"/>
          <w:sz w:val="21"/>
        </w:rPr>
      </w:pPr>
    </w:p>
    <w:p>
      <w:pPr>
        <w:pStyle w:val="ListParagraph"/>
        <w:numPr>
          <w:ilvl w:val="0"/>
          <w:numId w:val="9"/>
        </w:numPr>
        <w:tabs>
          <w:tab w:pos="1937" w:val="left" w:leader="none"/>
          <w:tab w:pos="1938" w:val="left" w:leader="none"/>
        </w:tabs>
        <w:spacing w:line="240" w:lineRule="auto" w:before="76" w:after="0"/>
        <w:ind w:left="1937" w:right="0" w:hanging="569"/>
        <w:jc w:val="left"/>
        <w:rPr>
          <w:sz w:val="22"/>
        </w:rPr>
      </w:pPr>
      <w:r>
        <w:rPr>
          <w:sz w:val="22"/>
        </w:rPr>
        <w:t>In literature, not many works have studied CKD with regards to its risk factors  </w:t>
      </w:r>
      <w:r>
        <w:rPr>
          <w:spacing w:val="42"/>
          <w:sz w:val="22"/>
        </w:rPr>
        <w:t> </w:t>
      </w:r>
      <w:r>
        <w:rPr>
          <w:sz w:val="22"/>
        </w:rPr>
        <w:t>and</w:t>
      </w:r>
    </w:p>
    <w:p>
      <w:pPr>
        <w:pStyle w:val="ListParagraph"/>
        <w:numPr>
          <w:ilvl w:val="0"/>
          <w:numId w:val="9"/>
        </w:numPr>
        <w:tabs>
          <w:tab w:pos="1937" w:val="left" w:leader="none"/>
          <w:tab w:pos="1938" w:val="left" w:leader="none"/>
        </w:tabs>
        <w:spacing w:line="240" w:lineRule="auto" w:before="136" w:after="0"/>
        <w:ind w:left="1937" w:right="0" w:hanging="569"/>
        <w:jc w:val="left"/>
        <w:rPr>
          <w:sz w:val="22"/>
        </w:rPr>
      </w:pPr>
      <w:r>
        <w:rPr>
          <w:sz w:val="22"/>
        </w:rPr>
        <w:t>association with other diseases </w:t>
      </w:r>
      <w:r>
        <w:rPr>
          <w:spacing w:val="27"/>
          <w:sz w:val="22"/>
        </w:rPr>
        <w:t> </w:t>
      </w:r>
      <w:r>
        <w:rPr>
          <w:sz w:val="22"/>
        </w:rPr>
        <w:t>(comorbidities).</w:t>
      </w:r>
    </w:p>
    <w:p>
      <w:pPr>
        <w:pStyle w:val="BodyText"/>
        <w:spacing w:before="7"/>
        <w:rPr>
          <w:rFonts w:ascii="Times New Roman"/>
          <w:sz w:val="21"/>
        </w:rPr>
      </w:pPr>
    </w:p>
    <w:p>
      <w:pPr>
        <w:pStyle w:val="ListParagraph"/>
        <w:numPr>
          <w:ilvl w:val="0"/>
          <w:numId w:val="9"/>
        </w:numPr>
        <w:tabs>
          <w:tab w:pos="1937" w:val="left" w:leader="none"/>
          <w:tab w:pos="1938" w:val="left" w:leader="none"/>
        </w:tabs>
        <w:spacing w:line="240" w:lineRule="auto" w:before="77" w:after="0"/>
        <w:ind w:left="1937" w:right="0" w:hanging="569"/>
        <w:jc w:val="left"/>
        <w:rPr>
          <w:sz w:val="22"/>
        </w:rPr>
      </w:pPr>
      <w:r>
        <w:rPr>
          <w:sz w:val="22"/>
        </w:rPr>
        <w:t>The purpose of this study was to determine the frequency of CKD   </w:t>
      </w:r>
      <w:r>
        <w:rPr>
          <w:spacing w:val="7"/>
          <w:sz w:val="22"/>
        </w:rPr>
        <w:t> </w:t>
      </w:r>
      <w:r>
        <w:rPr>
          <w:sz w:val="22"/>
        </w:rPr>
        <w:t>and its distribution among</w:t>
      </w:r>
    </w:p>
    <w:p>
      <w:pPr>
        <w:pStyle w:val="ListParagraph"/>
        <w:numPr>
          <w:ilvl w:val="0"/>
          <w:numId w:val="9"/>
        </w:numPr>
        <w:tabs>
          <w:tab w:pos="1937" w:val="left" w:leader="none"/>
          <w:tab w:pos="1938" w:val="left" w:leader="none"/>
        </w:tabs>
        <w:spacing w:line="240" w:lineRule="auto" w:before="133" w:after="0"/>
        <w:ind w:left="1937" w:right="0" w:hanging="569"/>
        <w:jc w:val="left"/>
        <w:rPr>
          <w:sz w:val="22"/>
        </w:rPr>
      </w:pPr>
      <w:r>
        <w:rPr>
          <w:sz w:val="22"/>
        </w:rPr>
        <w:t>different stages of the disease, and relate it with some possible risk factors and   </w:t>
      </w:r>
      <w:r>
        <w:rPr>
          <w:spacing w:val="1"/>
          <w:sz w:val="22"/>
        </w:rPr>
        <w:t> </w:t>
      </w:r>
      <w:r>
        <w:rPr>
          <w:sz w:val="22"/>
        </w:rPr>
        <w:t>comorbidities</w:t>
      </w:r>
    </w:p>
    <w:p>
      <w:pPr>
        <w:pStyle w:val="ListParagraph"/>
        <w:numPr>
          <w:ilvl w:val="0"/>
          <w:numId w:val="9"/>
        </w:numPr>
        <w:tabs>
          <w:tab w:pos="1937" w:val="left" w:leader="none"/>
          <w:tab w:pos="1938" w:val="left" w:leader="none"/>
        </w:tabs>
        <w:spacing w:line="240" w:lineRule="auto" w:before="138" w:after="0"/>
        <w:ind w:left="1937" w:right="0" w:hanging="569"/>
        <w:jc w:val="left"/>
        <w:rPr>
          <w:sz w:val="22"/>
        </w:rPr>
      </w:pPr>
      <w:r>
        <w:rPr>
          <w:sz w:val="22"/>
        </w:rPr>
        <w:t>associated in</w:t>
      </w:r>
      <w:r>
        <w:rPr>
          <w:spacing w:val="33"/>
          <w:sz w:val="22"/>
        </w:rPr>
        <w:t> </w:t>
      </w:r>
      <w:r>
        <w:rPr>
          <w:sz w:val="22"/>
        </w:rPr>
        <w:t>dogs.</w:t>
      </w:r>
    </w:p>
    <w:p>
      <w:pPr>
        <w:pStyle w:val="BodyText"/>
        <w:spacing w:before="3"/>
        <w:rPr>
          <w:rFonts w:ascii="Times New Roman"/>
          <w:sz w:val="30"/>
        </w:rPr>
      </w:pPr>
    </w:p>
    <w:p>
      <w:pPr>
        <w:spacing w:before="0"/>
        <w:ind w:left="1368" w:right="2029" w:firstLine="0"/>
        <w:jc w:val="left"/>
        <w:rPr>
          <w:rFonts w:ascii="Cambria"/>
          <w:sz w:val="20"/>
        </w:rPr>
      </w:pPr>
      <w:r>
        <w:rPr>
          <w:rFonts w:ascii="Cambria"/>
          <w:w w:val="105"/>
          <w:sz w:val="20"/>
        </w:rPr>
        <w:t>91</w:t>
      </w:r>
    </w:p>
    <w:p>
      <w:pPr>
        <w:spacing w:after="0"/>
        <w:jc w:val="left"/>
        <w:rPr>
          <w:rFonts w:ascii="Cambria"/>
          <w:sz w:val="20"/>
        </w:rPr>
        <w:sectPr>
          <w:headerReference w:type="default" r:id="rId67"/>
          <w:footerReference w:type="default" r:id="rId68"/>
          <w:pgSz w:w="12240" w:h="15840"/>
          <w:pgMar w:header="0" w:footer="0" w:top="140" w:bottom="280" w:left="0" w:right="1700"/>
        </w:sectPr>
      </w:pPr>
    </w:p>
    <w:p>
      <w:pPr>
        <w:tabs>
          <w:tab w:pos="10992" w:val="left" w:leader="none"/>
        </w:tabs>
        <w:spacing w:before="56"/>
        <w:ind w:left="3549" w:right="0" w:firstLine="0"/>
        <w:jc w:val="left"/>
        <w:rPr>
          <w:b/>
          <w:sz w:val="20"/>
        </w:rPr>
      </w:pPr>
      <w:r>
        <w:rPr>
          <w:b/>
          <w:sz w:val="20"/>
        </w:rPr>
        <w:t>Journal of the American Veterinary</w:t>
      </w:r>
      <w:r>
        <w:rPr>
          <w:b/>
          <w:spacing w:val="-16"/>
          <w:sz w:val="20"/>
        </w:rPr>
        <w:t> </w:t>
      </w:r>
      <w:r>
        <w:rPr>
          <w:b/>
          <w:sz w:val="20"/>
        </w:rPr>
        <w:t>Medical</w:t>
      </w:r>
      <w:r>
        <w:rPr>
          <w:b/>
          <w:spacing w:val="-3"/>
          <w:sz w:val="20"/>
        </w:rPr>
        <w:t> </w:t>
      </w:r>
      <w:r>
        <w:rPr>
          <w:b/>
          <w:sz w:val="20"/>
        </w:rPr>
        <w:t>Association</w:t>
        <w:tab/>
        <w:t>Page 4 of</w:t>
      </w:r>
    </w:p>
    <w:p>
      <w:pPr>
        <w:pStyle w:val="BodyText"/>
        <w:rPr>
          <w:b/>
          <w:sz w:val="20"/>
        </w:rPr>
      </w:pPr>
    </w:p>
    <w:p>
      <w:pPr>
        <w:pStyle w:val="BodyText"/>
        <w:rPr>
          <w:b/>
          <w:sz w:val="20"/>
        </w:rPr>
      </w:pPr>
    </w:p>
    <w:p>
      <w:pPr>
        <w:pStyle w:val="BodyText"/>
        <w:rPr>
          <w:b/>
          <w:sz w:val="20"/>
        </w:rPr>
      </w:pPr>
    </w:p>
    <w:p>
      <w:pPr>
        <w:pStyle w:val="BodyText"/>
        <w:spacing w:before="3"/>
        <w:rPr>
          <w:b/>
          <w:sz w:val="19"/>
        </w:rPr>
      </w:pPr>
    </w:p>
    <w:p>
      <w:pPr>
        <w:pStyle w:val="ListParagraph"/>
        <w:numPr>
          <w:ilvl w:val="0"/>
          <w:numId w:val="10"/>
        </w:numPr>
        <w:tabs>
          <w:tab w:pos="1937" w:val="left" w:leader="none"/>
          <w:tab w:pos="1938" w:val="left" w:leader="none"/>
        </w:tabs>
        <w:spacing w:line="240" w:lineRule="auto" w:before="0" w:after="0"/>
        <w:ind w:left="1937" w:right="0" w:hanging="569"/>
        <w:jc w:val="left"/>
        <w:rPr>
          <w:b/>
          <w:sz w:val="22"/>
        </w:rPr>
      </w:pPr>
      <w:r>
        <w:rPr>
          <w:b/>
          <w:sz w:val="22"/>
        </w:rPr>
        <w:t>Material and</w:t>
      </w:r>
      <w:r>
        <w:rPr>
          <w:b/>
          <w:spacing w:val="44"/>
          <w:sz w:val="22"/>
        </w:rPr>
        <w:t> </w:t>
      </w:r>
      <w:r>
        <w:rPr>
          <w:b/>
          <w:sz w:val="22"/>
        </w:rPr>
        <w:t>Methods</w:t>
      </w:r>
    </w:p>
    <w:p>
      <w:pPr>
        <w:pStyle w:val="BodyText"/>
        <w:rPr>
          <w:rFonts w:ascii="Times New Roman"/>
          <w:b/>
          <w:sz w:val="21"/>
        </w:rPr>
      </w:pPr>
    </w:p>
    <w:p>
      <w:pPr>
        <w:pStyle w:val="ListParagraph"/>
        <w:numPr>
          <w:ilvl w:val="0"/>
          <w:numId w:val="10"/>
        </w:numPr>
        <w:tabs>
          <w:tab w:pos="2614" w:val="left" w:leader="none"/>
          <w:tab w:pos="2615" w:val="left" w:leader="none"/>
        </w:tabs>
        <w:spacing w:line="240" w:lineRule="auto" w:before="76" w:after="0"/>
        <w:ind w:left="2614" w:right="0" w:hanging="1246"/>
        <w:jc w:val="left"/>
        <w:rPr>
          <w:sz w:val="22"/>
        </w:rPr>
      </w:pPr>
      <w:r>
        <w:rPr>
          <w:sz w:val="22"/>
        </w:rPr>
        <w:t>Place-This study took place in the Hospital Veterinario para Pequeñas Especies de  </w:t>
      </w:r>
      <w:r>
        <w:rPr>
          <w:spacing w:val="42"/>
          <w:sz w:val="22"/>
        </w:rPr>
        <w:t> </w:t>
      </w:r>
      <w:r>
        <w:rPr>
          <w:sz w:val="22"/>
        </w:rPr>
        <w:t>la</w:t>
      </w:r>
    </w:p>
    <w:p>
      <w:pPr>
        <w:pStyle w:val="ListParagraph"/>
        <w:numPr>
          <w:ilvl w:val="0"/>
          <w:numId w:val="10"/>
        </w:numPr>
        <w:tabs>
          <w:tab w:pos="1937" w:val="left" w:leader="none"/>
          <w:tab w:pos="1938" w:val="left" w:leader="none"/>
        </w:tabs>
        <w:spacing w:line="240" w:lineRule="auto" w:before="133" w:after="0"/>
        <w:ind w:left="1937" w:right="0" w:hanging="569"/>
        <w:jc w:val="left"/>
        <w:rPr>
          <w:sz w:val="22"/>
        </w:rPr>
      </w:pPr>
      <w:r>
        <w:rPr>
          <w:sz w:val="22"/>
        </w:rPr>
        <w:t>Facultad de Medicina Veterinaria y Zootecnia de la Universidad Autónoma del Estado  </w:t>
      </w:r>
      <w:r>
        <w:rPr>
          <w:spacing w:val="51"/>
          <w:sz w:val="22"/>
        </w:rPr>
        <w:t> </w:t>
      </w:r>
      <w:r>
        <w:rPr>
          <w:sz w:val="22"/>
        </w:rPr>
        <w:t>de</w:t>
      </w:r>
    </w:p>
    <w:p>
      <w:pPr>
        <w:pStyle w:val="ListParagraph"/>
        <w:numPr>
          <w:ilvl w:val="0"/>
          <w:numId w:val="10"/>
        </w:numPr>
        <w:tabs>
          <w:tab w:pos="1937" w:val="left" w:leader="none"/>
          <w:tab w:pos="1938" w:val="left" w:leader="none"/>
        </w:tabs>
        <w:spacing w:line="240" w:lineRule="auto" w:before="138" w:after="0"/>
        <w:ind w:left="1937" w:right="0" w:hanging="569"/>
        <w:jc w:val="left"/>
        <w:rPr>
          <w:sz w:val="22"/>
        </w:rPr>
      </w:pPr>
      <w:r>
        <w:rPr>
          <w:sz w:val="22"/>
        </w:rPr>
        <w:t>México in the city of Toluca, México between January 2010 and June 2012.   </w:t>
      </w:r>
      <w:r>
        <w:rPr>
          <w:spacing w:val="6"/>
          <w:sz w:val="22"/>
        </w:rPr>
        <w:t> </w:t>
      </w:r>
      <w:r>
        <w:rPr>
          <w:sz w:val="22"/>
        </w:rPr>
        <w:t>The study was</w:t>
      </w:r>
    </w:p>
    <w:p>
      <w:pPr>
        <w:pStyle w:val="ListParagraph"/>
        <w:numPr>
          <w:ilvl w:val="0"/>
          <w:numId w:val="10"/>
        </w:numPr>
        <w:tabs>
          <w:tab w:pos="1937" w:val="left" w:leader="none"/>
          <w:tab w:pos="1938" w:val="left" w:leader="none"/>
        </w:tabs>
        <w:spacing w:line="240" w:lineRule="auto" w:before="140" w:after="0"/>
        <w:ind w:left="1937" w:right="0" w:hanging="569"/>
        <w:jc w:val="left"/>
        <w:rPr>
          <w:sz w:val="22"/>
        </w:rPr>
      </w:pPr>
      <w:r>
        <w:rPr>
          <w:sz w:val="22"/>
        </w:rPr>
        <w:t>conducted in Toluca Valley, capital of the State of Mexico, (19</w:t>
      </w:r>
      <w:r>
        <w:rPr>
          <w:position w:val="7"/>
          <w:sz w:val="22"/>
        </w:rPr>
        <w:t>◦</w:t>
      </w:r>
      <w:r>
        <w:rPr>
          <w:sz w:val="22"/>
        </w:rPr>
        <w:t>37</w:t>
      </w:r>
      <w:r>
        <w:rPr>
          <w:position w:val="7"/>
          <w:sz w:val="22"/>
        </w:rPr>
        <w:t>′</w:t>
      </w:r>
      <w:r>
        <w:rPr>
          <w:sz w:val="22"/>
        </w:rPr>
        <w:t>32</w:t>
      </w:r>
      <w:r>
        <w:rPr>
          <w:position w:val="7"/>
          <w:sz w:val="22"/>
        </w:rPr>
        <w:t>′′</w:t>
      </w:r>
      <w:r>
        <w:rPr>
          <w:sz w:val="22"/>
        </w:rPr>
        <w:t>N latitude  </w:t>
      </w:r>
      <w:r>
        <w:rPr>
          <w:spacing w:val="47"/>
          <w:sz w:val="22"/>
        </w:rPr>
        <w:t> </w:t>
      </w:r>
      <w:r>
        <w:rPr>
          <w:sz w:val="22"/>
        </w:rPr>
        <w:t>and</w:t>
      </w:r>
    </w:p>
    <w:p>
      <w:pPr>
        <w:pStyle w:val="ListParagraph"/>
        <w:numPr>
          <w:ilvl w:val="0"/>
          <w:numId w:val="10"/>
        </w:numPr>
        <w:tabs>
          <w:tab w:pos="1937" w:val="left" w:leader="none"/>
          <w:tab w:pos="1938" w:val="left" w:leader="none"/>
        </w:tabs>
        <w:spacing w:line="240" w:lineRule="auto" w:before="140" w:after="0"/>
        <w:ind w:left="1937" w:right="0" w:hanging="569"/>
        <w:jc w:val="left"/>
        <w:rPr>
          <w:sz w:val="22"/>
        </w:rPr>
      </w:pPr>
      <w:r>
        <w:rPr>
          <w:sz w:val="22"/>
        </w:rPr>
        <w:t>99</w:t>
      </w:r>
      <w:r>
        <w:rPr>
          <w:position w:val="7"/>
          <w:sz w:val="22"/>
        </w:rPr>
        <w:t>◦</w:t>
      </w:r>
      <w:r>
        <w:rPr>
          <w:sz w:val="22"/>
        </w:rPr>
        <w:t>39</w:t>
      </w:r>
      <w:r>
        <w:rPr>
          <w:position w:val="7"/>
          <w:sz w:val="22"/>
        </w:rPr>
        <w:t>′</w:t>
      </w:r>
      <w:r>
        <w:rPr>
          <w:sz w:val="22"/>
        </w:rPr>
        <w:t>14</w:t>
      </w:r>
      <w:r>
        <w:rPr>
          <w:position w:val="7"/>
          <w:sz w:val="22"/>
        </w:rPr>
        <w:t>′′</w:t>
      </w:r>
      <w:r>
        <w:rPr>
          <w:sz w:val="22"/>
        </w:rPr>
        <w:t>W longitude) located at an altitude of 2640 meters above sea level. Under  </w:t>
      </w:r>
      <w:r>
        <w:rPr>
          <w:spacing w:val="48"/>
          <w:sz w:val="22"/>
        </w:rPr>
        <w:t> </w:t>
      </w:r>
      <w:r>
        <w:rPr>
          <w:sz w:val="22"/>
        </w:rPr>
        <w:t>the</w:t>
      </w:r>
    </w:p>
    <w:p>
      <w:pPr>
        <w:pStyle w:val="ListParagraph"/>
        <w:numPr>
          <w:ilvl w:val="0"/>
          <w:numId w:val="10"/>
        </w:numPr>
        <w:tabs>
          <w:tab w:pos="1937" w:val="left" w:leader="none"/>
          <w:tab w:pos="1938" w:val="left" w:leader="none"/>
        </w:tabs>
        <w:spacing w:line="240" w:lineRule="auto" w:before="138" w:after="0"/>
        <w:ind w:left="1937" w:right="0" w:hanging="569"/>
        <w:jc w:val="left"/>
        <w:rPr>
          <w:sz w:val="22"/>
        </w:rPr>
      </w:pPr>
      <w:r>
        <w:rPr/>
        <w:pict>
          <v:shape style="position:absolute;margin-left:120.872412pt;margin-top:174.430622pt;width:376.45pt;height:48pt;mso-position-horizontal-relative:page;mso-position-vertical-relative:paragraph;z-index:-123112;rotation:51" type="#_x0000_t136" fillcolor="#d6f1fe" stroked="f">
            <o:extrusion v:ext="view" autorotationcenter="t"/>
            <v:textpath style="font-family:&amp;quot;Arial&amp;quot;;font-size:48pt;v-text-kern:t;mso-text-shadow:auto;font-weight:bold" string="For Review Only"/>
            <w10:wrap type="none"/>
          </v:shape>
        </w:pict>
      </w:r>
      <w:r>
        <w:rPr>
          <w:sz w:val="22"/>
        </w:rPr>
        <w:t>Koppen climate classification, Toluca features a subtropical highland climate with a   </w:t>
      </w:r>
      <w:r>
        <w:rPr>
          <w:spacing w:val="1"/>
          <w:sz w:val="22"/>
        </w:rPr>
        <w:t> </w:t>
      </w:r>
      <w:r>
        <w:rPr>
          <w:sz w:val="22"/>
        </w:rPr>
        <w:t>rainy</w:t>
      </w:r>
    </w:p>
    <w:p>
      <w:pPr>
        <w:pStyle w:val="ListParagraph"/>
        <w:numPr>
          <w:ilvl w:val="0"/>
          <w:numId w:val="10"/>
        </w:numPr>
        <w:tabs>
          <w:tab w:pos="1937" w:val="left" w:leader="none"/>
          <w:tab w:pos="1938" w:val="left" w:leader="none"/>
        </w:tabs>
        <w:spacing w:line="240" w:lineRule="auto" w:before="136" w:after="0"/>
        <w:ind w:left="1937" w:right="0" w:hanging="569"/>
        <w:jc w:val="left"/>
        <w:rPr>
          <w:sz w:val="22"/>
        </w:rPr>
      </w:pPr>
      <w:r>
        <w:rPr>
          <w:sz w:val="22"/>
        </w:rPr>
        <w:t>season during the summer from June to September. Due to its characteristic weather it is   </w:t>
      </w:r>
      <w:r>
        <w:rPr>
          <w:spacing w:val="4"/>
          <w:sz w:val="22"/>
        </w:rPr>
        <w:t> </w:t>
      </w:r>
      <w:r>
        <w:rPr>
          <w:sz w:val="22"/>
        </w:rPr>
        <w:t>not</w:t>
      </w:r>
    </w:p>
    <w:p>
      <w:pPr>
        <w:pStyle w:val="ListParagraph"/>
        <w:numPr>
          <w:ilvl w:val="0"/>
          <w:numId w:val="10"/>
        </w:numPr>
        <w:tabs>
          <w:tab w:pos="1937" w:val="left" w:leader="none"/>
          <w:tab w:pos="1938" w:val="left" w:leader="none"/>
        </w:tabs>
        <w:spacing w:line="240" w:lineRule="auto" w:before="136" w:after="0"/>
        <w:ind w:left="1937" w:right="0" w:hanging="684"/>
        <w:jc w:val="left"/>
        <w:rPr>
          <w:sz w:val="22"/>
        </w:rPr>
      </w:pPr>
      <w:r>
        <w:rPr>
          <w:sz w:val="22"/>
        </w:rPr>
        <w:t>considered an endemic area for diseases transmitted by vectors such as  </w:t>
      </w:r>
      <w:r>
        <w:rPr>
          <w:spacing w:val="44"/>
          <w:sz w:val="22"/>
        </w:rPr>
        <w:t> </w:t>
      </w:r>
      <w:r>
        <w:rPr>
          <w:sz w:val="22"/>
        </w:rPr>
        <w:t>ehrlichiosis</w:t>
      </w:r>
    </w:p>
    <w:p>
      <w:pPr>
        <w:pStyle w:val="ListParagraph"/>
        <w:numPr>
          <w:ilvl w:val="0"/>
          <w:numId w:val="10"/>
        </w:numPr>
        <w:tabs>
          <w:tab w:pos="1937" w:val="left" w:leader="none"/>
          <w:tab w:pos="1938" w:val="left" w:leader="none"/>
        </w:tabs>
        <w:spacing w:line="240" w:lineRule="auto" w:before="101" w:after="0"/>
        <w:ind w:left="1937" w:right="0" w:hanging="684"/>
        <w:jc w:val="left"/>
        <w:rPr>
          <w:sz w:val="15"/>
        </w:rPr>
      </w:pPr>
      <w:r>
        <w:rPr>
          <w:sz w:val="22"/>
        </w:rPr>
        <w:t>trypanosomiasis  or</w:t>
      </w:r>
      <w:r>
        <w:rPr>
          <w:spacing w:val="6"/>
          <w:sz w:val="22"/>
        </w:rPr>
        <w:t> </w:t>
      </w:r>
      <w:r>
        <w:rPr>
          <w:sz w:val="22"/>
        </w:rPr>
        <w:t>dirofilariasis.</w:t>
      </w:r>
      <w:r>
        <w:rPr>
          <w:position w:val="10"/>
          <w:sz w:val="15"/>
        </w:rPr>
        <w:t>9</w:t>
      </w:r>
    </w:p>
    <w:p>
      <w:pPr>
        <w:pStyle w:val="BodyText"/>
        <w:rPr>
          <w:rFonts w:ascii="Times New Roman"/>
          <w:sz w:val="25"/>
        </w:rPr>
      </w:pPr>
    </w:p>
    <w:p>
      <w:pPr>
        <w:pStyle w:val="ListParagraph"/>
        <w:numPr>
          <w:ilvl w:val="0"/>
          <w:numId w:val="10"/>
        </w:numPr>
        <w:tabs>
          <w:tab w:pos="2614" w:val="left" w:leader="none"/>
          <w:tab w:pos="2615" w:val="left" w:leader="none"/>
        </w:tabs>
        <w:spacing w:line="240" w:lineRule="auto" w:before="76" w:after="0"/>
        <w:ind w:left="2614" w:right="0" w:hanging="1361"/>
        <w:jc w:val="left"/>
        <w:rPr>
          <w:sz w:val="22"/>
        </w:rPr>
      </w:pPr>
      <w:r>
        <w:rPr>
          <w:sz w:val="22"/>
        </w:rPr>
        <w:t>Cases-Inclusion criteria for dogs were those related to exposure to known risk  </w:t>
      </w:r>
      <w:r>
        <w:rPr>
          <w:spacing w:val="52"/>
          <w:sz w:val="22"/>
        </w:rPr>
        <w:t> </w:t>
      </w:r>
      <w:r>
        <w:rPr>
          <w:sz w:val="22"/>
        </w:rPr>
        <w:t>factors</w:t>
      </w:r>
    </w:p>
    <w:p>
      <w:pPr>
        <w:pStyle w:val="ListParagraph"/>
        <w:numPr>
          <w:ilvl w:val="0"/>
          <w:numId w:val="10"/>
        </w:numPr>
        <w:tabs>
          <w:tab w:pos="1937" w:val="left" w:leader="none"/>
          <w:tab w:pos="1938" w:val="left" w:leader="none"/>
        </w:tabs>
        <w:spacing w:line="240" w:lineRule="auto" w:before="133" w:after="0"/>
        <w:ind w:left="1937" w:right="0" w:hanging="684"/>
        <w:jc w:val="left"/>
        <w:rPr>
          <w:sz w:val="22"/>
        </w:rPr>
      </w:pPr>
      <w:r>
        <w:rPr>
          <w:sz w:val="22"/>
        </w:rPr>
        <w:t>for CKD,   </w:t>
      </w:r>
      <w:r>
        <w:rPr>
          <w:spacing w:val="9"/>
          <w:sz w:val="22"/>
        </w:rPr>
        <w:t> </w:t>
      </w:r>
      <w:r>
        <w:rPr>
          <w:sz w:val="22"/>
        </w:rPr>
        <w:t>such as elderly dogs older than 6 years or those who had been exposed to risk factor</w:t>
      </w:r>
    </w:p>
    <w:p>
      <w:pPr>
        <w:pStyle w:val="ListParagraph"/>
        <w:numPr>
          <w:ilvl w:val="0"/>
          <w:numId w:val="10"/>
        </w:numPr>
        <w:tabs>
          <w:tab w:pos="1937" w:val="left" w:leader="none"/>
          <w:tab w:pos="1938" w:val="left" w:leader="none"/>
        </w:tabs>
        <w:spacing w:line="240" w:lineRule="auto" w:before="138" w:after="0"/>
        <w:ind w:left="1937" w:right="0" w:hanging="684"/>
        <w:jc w:val="left"/>
        <w:rPr>
          <w:sz w:val="22"/>
        </w:rPr>
      </w:pPr>
      <w:r>
        <w:rPr>
          <w:sz w:val="22"/>
        </w:rPr>
        <w:t>or disease that could develop into CKD such as: cardiopathy, hepatopathy,  </w:t>
      </w:r>
      <w:r>
        <w:rPr>
          <w:spacing w:val="54"/>
          <w:sz w:val="22"/>
        </w:rPr>
        <w:t> </w:t>
      </w:r>
      <w:r>
        <w:rPr>
          <w:sz w:val="22"/>
        </w:rPr>
        <w:t>endocrinopathy,</w:t>
      </w:r>
    </w:p>
    <w:p>
      <w:pPr>
        <w:pStyle w:val="ListParagraph"/>
        <w:numPr>
          <w:ilvl w:val="0"/>
          <w:numId w:val="10"/>
        </w:numPr>
        <w:tabs>
          <w:tab w:pos="1937" w:val="left" w:leader="none"/>
          <w:tab w:pos="1938" w:val="left" w:leader="none"/>
        </w:tabs>
        <w:spacing w:line="240" w:lineRule="auto" w:before="136" w:after="0"/>
        <w:ind w:left="1937" w:right="0" w:hanging="684"/>
        <w:jc w:val="left"/>
        <w:rPr>
          <w:sz w:val="22"/>
        </w:rPr>
      </w:pPr>
      <w:r>
        <w:rPr>
          <w:w w:val="105"/>
          <w:sz w:val="22"/>
        </w:rPr>
        <w:t>diseases</w:t>
      </w:r>
      <w:r>
        <w:rPr>
          <w:spacing w:val="-17"/>
          <w:w w:val="105"/>
          <w:sz w:val="22"/>
        </w:rPr>
        <w:t> </w:t>
      </w:r>
      <w:r>
        <w:rPr>
          <w:w w:val="105"/>
          <w:sz w:val="22"/>
        </w:rPr>
        <w:t>related</w:t>
      </w:r>
      <w:r>
        <w:rPr>
          <w:spacing w:val="-16"/>
          <w:w w:val="105"/>
          <w:sz w:val="22"/>
        </w:rPr>
        <w:t> </w:t>
      </w:r>
      <w:r>
        <w:rPr>
          <w:w w:val="105"/>
          <w:sz w:val="22"/>
        </w:rPr>
        <w:t>to</w:t>
      </w:r>
      <w:r>
        <w:rPr>
          <w:spacing w:val="-20"/>
          <w:w w:val="105"/>
          <w:sz w:val="22"/>
        </w:rPr>
        <w:t> </w:t>
      </w:r>
      <w:r>
        <w:rPr>
          <w:w w:val="105"/>
          <w:sz w:val="20"/>
        </w:rPr>
        <w:t>the</w:t>
      </w:r>
      <w:r>
        <w:rPr>
          <w:spacing w:val="-17"/>
          <w:w w:val="105"/>
          <w:sz w:val="20"/>
        </w:rPr>
        <w:t> </w:t>
      </w:r>
      <w:r>
        <w:rPr>
          <w:w w:val="105"/>
          <w:sz w:val="20"/>
        </w:rPr>
        <w:t>obstruction</w:t>
      </w:r>
      <w:r>
        <w:rPr>
          <w:spacing w:val="-15"/>
          <w:w w:val="105"/>
          <w:sz w:val="20"/>
        </w:rPr>
        <w:t> </w:t>
      </w:r>
      <w:r>
        <w:rPr>
          <w:w w:val="105"/>
          <w:sz w:val="20"/>
        </w:rPr>
        <w:t>to</w:t>
      </w:r>
      <w:r>
        <w:rPr>
          <w:spacing w:val="-17"/>
          <w:w w:val="105"/>
          <w:sz w:val="20"/>
        </w:rPr>
        <w:t> </w:t>
      </w:r>
      <w:r>
        <w:rPr>
          <w:w w:val="105"/>
          <w:sz w:val="20"/>
        </w:rPr>
        <w:t>the</w:t>
      </w:r>
      <w:r>
        <w:rPr>
          <w:spacing w:val="-17"/>
          <w:w w:val="105"/>
          <w:sz w:val="20"/>
        </w:rPr>
        <w:t> </w:t>
      </w:r>
      <w:r>
        <w:rPr>
          <w:w w:val="105"/>
          <w:sz w:val="20"/>
        </w:rPr>
        <w:t>lower</w:t>
      </w:r>
      <w:r>
        <w:rPr>
          <w:spacing w:val="-16"/>
          <w:w w:val="105"/>
          <w:sz w:val="20"/>
        </w:rPr>
        <w:t> </w:t>
      </w:r>
      <w:r>
        <w:rPr>
          <w:w w:val="105"/>
          <w:sz w:val="20"/>
        </w:rPr>
        <w:t>u</w:t>
      </w:r>
      <w:r>
        <w:rPr>
          <w:w w:val="105"/>
          <w:sz w:val="22"/>
        </w:rPr>
        <w:t>rinary</w:t>
      </w:r>
      <w:r>
        <w:rPr>
          <w:spacing w:val="-16"/>
          <w:w w:val="105"/>
          <w:sz w:val="22"/>
        </w:rPr>
        <w:t> </w:t>
      </w:r>
      <w:r>
        <w:rPr>
          <w:w w:val="105"/>
          <w:sz w:val="22"/>
        </w:rPr>
        <w:t>tract</w:t>
      </w:r>
      <w:r>
        <w:rPr>
          <w:spacing w:val="-18"/>
          <w:w w:val="105"/>
          <w:sz w:val="22"/>
        </w:rPr>
        <w:t> </w:t>
      </w:r>
      <w:r>
        <w:rPr>
          <w:w w:val="105"/>
          <w:sz w:val="22"/>
        </w:rPr>
        <w:t>flow</w:t>
      </w:r>
      <w:r>
        <w:rPr>
          <w:spacing w:val="-18"/>
          <w:w w:val="105"/>
          <w:sz w:val="22"/>
        </w:rPr>
        <w:t> </w:t>
      </w:r>
      <w:r>
        <w:rPr>
          <w:w w:val="105"/>
          <w:sz w:val="22"/>
        </w:rPr>
        <w:t>(LUTD)</w:t>
      </w:r>
      <w:r>
        <w:rPr>
          <w:spacing w:val="-15"/>
          <w:w w:val="105"/>
          <w:sz w:val="22"/>
        </w:rPr>
        <w:t> </w:t>
      </w:r>
      <w:r>
        <w:rPr>
          <w:w w:val="105"/>
          <w:sz w:val="22"/>
        </w:rPr>
        <w:t>as</w:t>
      </w:r>
      <w:r>
        <w:rPr>
          <w:spacing w:val="-15"/>
          <w:w w:val="105"/>
          <w:sz w:val="22"/>
        </w:rPr>
        <w:t> </w:t>
      </w:r>
      <w:r>
        <w:rPr>
          <w:w w:val="105"/>
          <w:sz w:val="22"/>
        </w:rPr>
        <w:t>urolithiasis,</w:t>
      </w:r>
      <w:r>
        <w:rPr>
          <w:spacing w:val="-15"/>
          <w:w w:val="105"/>
          <w:sz w:val="22"/>
        </w:rPr>
        <w:t> </w:t>
      </w:r>
      <w:r>
        <w:rPr>
          <w:w w:val="105"/>
          <w:sz w:val="22"/>
        </w:rPr>
        <w:t>history</w:t>
      </w:r>
    </w:p>
    <w:p>
      <w:pPr>
        <w:pStyle w:val="ListParagraph"/>
        <w:numPr>
          <w:ilvl w:val="0"/>
          <w:numId w:val="10"/>
        </w:numPr>
        <w:tabs>
          <w:tab w:pos="1937" w:val="left" w:leader="none"/>
          <w:tab w:pos="1938" w:val="left" w:leader="none"/>
        </w:tabs>
        <w:spacing w:line="240" w:lineRule="auto" w:before="136" w:after="0"/>
        <w:ind w:left="1937" w:right="0" w:hanging="684"/>
        <w:jc w:val="left"/>
        <w:rPr>
          <w:sz w:val="22"/>
        </w:rPr>
      </w:pPr>
      <w:r>
        <w:rPr>
          <w:sz w:val="22"/>
        </w:rPr>
        <w:t>of infectious diseases as parvovirus, canine distemper or leptospirosis for the  </w:t>
      </w:r>
      <w:r>
        <w:rPr>
          <w:spacing w:val="49"/>
          <w:sz w:val="22"/>
        </w:rPr>
        <w:t> </w:t>
      </w:r>
      <w:r>
        <w:rPr>
          <w:sz w:val="22"/>
        </w:rPr>
        <w:t>possible</w:t>
      </w:r>
    </w:p>
    <w:p>
      <w:pPr>
        <w:pStyle w:val="ListParagraph"/>
        <w:numPr>
          <w:ilvl w:val="0"/>
          <w:numId w:val="10"/>
        </w:numPr>
        <w:tabs>
          <w:tab w:pos="1937" w:val="left" w:leader="none"/>
          <w:tab w:pos="1938" w:val="left" w:leader="none"/>
        </w:tabs>
        <w:spacing w:line="240" w:lineRule="auto" w:before="136" w:after="0"/>
        <w:ind w:left="1937" w:right="0" w:hanging="684"/>
        <w:jc w:val="left"/>
        <w:rPr>
          <w:sz w:val="22"/>
        </w:rPr>
      </w:pPr>
      <w:r>
        <w:rPr>
          <w:sz w:val="22"/>
        </w:rPr>
        <w:t>hypotension an nephritis, neoplasia, chronic inflammatory process (considering   </w:t>
      </w:r>
      <w:r>
        <w:rPr>
          <w:spacing w:val="7"/>
          <w:sz w:val="22"/>
        </w:rPr>
        <w:t> </w:t>
      </w:r>
      <w:r>
        <w:rPr>
          <w:sz w:val="22"/>
        </w:rPr>
        <w:t>periodontal</w:t>
      </w:r>
    </w:p>
    <w:p>
      <w:pPr>
        <w:pStyle w:val="ListParagraph"/>
        <w:numPr>
          <w:ilvl w:val="0"/>
          <w:numId w:val="10"/>
        </w:numPr>
        <w:tabs>
          <w:tab w:pos="1937" w:val="left" w:leader="none"/>
          <w:tab w:pos="1938" w:val="left" w:leader="none"/>
        </w:tabs>
        <w:spacing w:line="240" w:lineRule="auto" w:before="138" w:after="0"/>
        <w:ind w:left="1937" w:right="0" w:hanging="684"/>
        <w:jc w:val="left"/>
        <w:rPr>
          <w:sz w:val="22"/>
        </w:rPr>
      </w:pPr>
      <w:r>
        <w:rPr>
          <w:sz w:val="22"/>
        </w:rPr>
        <w:t>disease, autoimmune diseases, dermatitis and degenerative articular diseases ) and records   </w:t>
      </w:r>
      <w:r>
        <w:rPr>
          <w:spacing w:val="6"/>
          <w:sz w:val="22"/>
        </w:rPr>
        <w:t> </w:t>
      </w:r>
      <w:r>
        <w:rPr>
          <w:sz w:val="22"/>
        </w:rPr>
        <w:t>of</w:t>
      </w:r>
    </w:p>
    <w:p>
      <w:pPr>
        <w:pStyle w:val="ListParagraph"/>
        <w:numPr>
          <w:ilvl w:val="0"/>
          <w:numId w:val="10"/>
        </w:numPr>
        <w:tabs>
          <w:tab w:pos="1937" w:val="left" w:leader="none"/>
          <w:tab w:pos="1938" w:val="left" w:leader="none"/>
        </w:tabs>
        <w:spacing w:line="240" w:lineRule="auto" w:before="133" w:after="0"/>
        <w:ind w:left="1937" w:right="0" w:hanging="684"/>
        <w:jc w:val="left"/>
        <w:rPr>
          <w:sz w:val="22"/>
        </w:rPr>
      </w:pPr>
      <w:r>
        <w:rPr>
          <w:sz w:val="22"/>
        </w:rPr>
        <w:t>previous surgical procedures considering the possibility of a severe hypotension episode   </w:t>
      </w:r>
      <w:r>
        <w:rPr>
          <w:spacing w:val="1"/>
          <w:sz w:val="22"/>
        </w:rPr>
        <w:t> </w:t>
      </w:r>
      <w:r>
        <w:rPr>
          <w:sz w:val="22"/>
        </w:rPr>
        <w:t>and</w:t>
      </w:r>
    </w:p>
    <w:p>
      <w:pPr>
        <w:pStyle w:val="ListParagraph"/>
        <w:numPr>
          <w:ilvl w:val="0"/>
          <w:numId w:val="10"/>
        </w:numPr>
        <w:tabs>
          <w:tab w:pos="1937" w:val="left" w:leader="none"/>
          <w:tab w:pos="1938" w:val="left" w:leader="none"/>
        </w:tabs>
        <w:spacing w:line="240" w:lineRule="auto" w:before="103" w:after="0"/>
        <w:ind w:left="1937" w:right="0" w:hanging="684"/>
        <w:jc w:val="left"/>
        <w:rPr>
          <w:sz w:val="22"/>
        </w:rPr>
      </w:pPr>
      <w:r>
        <w:rPr>
          <w:sz w:val="22"/>
        </w:rPr>
        <w:t>the use of nephrotoxic drugs.</w:t>
      </w:r>
      <w:r>
        <w:rPr>
          <w:position w:val="10"/>
          <w:sz w:val="15"/>
        </w:rPr>
        <w:t>1, 5  </w:t>
      </w:r>
      <w:r>
        <w:rPr>
          <w:sz w:val="22"/>
        </w:rPr>
        <w:t>Each patient’s clinical history was analyzed, a  </w:t>
      </w:r>
      <w:r>
        <w:rPr>
          <w:spacing w:val="18"/>
          <w:sz w:val="22"/>
        </w:rPr>
        <w:t> </w:t>
      </w:r>
      <w:r>
        <w:rPr>
          <w:sz w:val="22"/>
        </w:rPr>
        <w:t>general</w:t>
      </w:r>
    </w:p>
    <w:p>
      <w:pPr>
        <w:pStyle w:val="ListParagraph"/>
        <w:numPr>
          <w:ilvl w:val="0"/>
          <w:numId w:val="10"/>
        </w:numPr>
        <w:tabs>
          <w:tab w:pos="1937" w:val="left" w:leader="none"/>
          <w:tab w:pos="1938" w:val="left" w:leader="none"/>
        </w:tabs>
        <w:spacing w:line="240" w:lineRule="auto" w:before="136" w:after="0"/>
        <w:ind w:left="1937" w:right="0" w:hanging="684"/>
        <w:jc w:val="left"/>
        <w:rPr>
          <w:sz w:val="22"/>
        </w:rPr>
      </w:pPr>
      <w:r>
        <w:rPr>
          <w:sz w:val="22"/>
        </w:rPr>
        <w:t>physical exam was performed and the necessary diagnosis was made as per protocol,   </w:t>
      </w:r>
      <w:r>
        <w:rPr>
          <w:spacing w:val="3"/>
          <w:sz w:val="22"/>
        </w:rPr>
        <w:t> </w:t>
      </w:r>
      <w:r>
        <w:rPr>
          <w:sz w:val="22"/>
        </w:rPr>
        <w:t>aside</w:t>
      </w:r>
    </w:p>
    <w:p>
      <w:pPr>
        <w:pStyle w:val="ListParagraph"/>
        <w:numPr>
          <w:ilvl w:val="0"/>
          <w:numId w:val="10"/>
        </w:numPr>
        <w:tabs>
          <w:tab w:pos="1937" w:val="left" w:leader="none"/>
          <w:tab w:pos="1938" w:val="left" w:leader="none"/>
        </w:tabs>
        <w:spacing w:line="240" w:lineRule="auto" w:before="101" w:after="0"/>
        <w:ind w:left="1937" w:right="0" w:hanging="684"/>
        <w:jc w:val="left"/>
        <w:rPr>
          <w:sz w:val="22"/>
        </w:rPr>
      </w:pPr>
      <w:r>
        <w:rPr>
          <w:sz w:val="22"/>
        </w:rPr>
        <w:t>from that suggested by the IRIS,</w:t>
      </w:r>
      <w:r>
        <w:rPr>
          <w:position w:val="10"/>
          <w:sz w:val="15"/>
        </w:rPr>
        <w:t>7  </w:t>
      </w:r>
      <w:r>
        <w:rPr>
          <w:sz w:val="22"/>
        </w:rPr>
        <w:t>taking blood and urine samples to determine the  </w:t>
      </w:r>
      <w:r>
        <w:rPr>
          <w:spacing w:val="34"/>
          <w:sz w:val="22"/>
        </w:rPr>
        <w:t> </w:t>
      </w:r>
      <w:r>
        <w:rPr>
          <w:sz w:val="22"/>
        </w:rPr>
        <w:t>SCr</w:t>
      </w:r>
    </w:p>
    <w:p>
      <w:pPr>
        <w:pStyle w:val="ListParagraph"/>
        <w:numPr>
          <w:ilvl w:val="0"/>
          <w:numId w:val="10"/>
        </w:numPr>
        <w:tabs>
          <w:tab w:pos="1937" w:val="left" w:leader="none"/>
          <w:tab w:pos="1938" w:val="left" w:leader="none"/>
        </w:tabs>
        <w:spacing w:line="240" w:lineRule="auto" w:before="136" w:after="0"/>
        <w:ind w:left="1937" w:right="0" w:hanging="684"/>
        <w:jc w:val="left"/>
        <w:rPr>
          <w:sz w:val="22"/>
        </w:rPr>
      </w:pPr>
      <w:r>
        <w:rPr>
          <w:sz w:val="22"/>
        </w:rPr>
        <w:t>concentration along with the urine specific gravity necessary to determine the type  </w:t>
      </w:r>
      <w:r>
        <w:rPr>
          <w:spacing w:val="42"/>
          <w:sz w:val="22"/>
        </w:rPr>
        <w:t> </w:t>
      </w:r>
      <w:r>
        <w:rPr>
          <w:sz w:val="22"/>
        </w:rPr>
        <w:t>of</w:t>
      </w:r>
    </w:p>
    <w:p>
      <w:pPr>
        <w:pStyle w:val="ListParagraph"/>
        <w:numPr>
          <w:ilvl w:val="0"/>
          <w:numId w:val="10"/>
        </w:numPr>
        <w:tabs>
          <w:tab w:pos="1937" w:val="left" w:leader="none"/>
          <w:tab w:pos="1938" w:val="left" w:leader="none"/>
        </w:tabs>
        <w:spacing w:line="240" w:lineRule="auto" w:before="136" w:after="0"/>
        <w:ind w:left="1937" w:right="0" w:hanging="684"/>
        <w:jc w:val="left"/>
        <w:rPr>
          <w:sz w:val="22"/>
        </w:rPr>
      </w:pPr>
      <w:r>
        <w:rPr>
          <w:sz w:val="22"/>
        </w:rPr>
        <w:t>azotemia and evaluate the proteinuria based on PU:CU; each patient was  </w:t>
      </w:r>
      <w:r>
        <w:rPr>
          <w:spacing w:val="50"/>
          <w:sz w:val="22"/>
        </w:rPr>
        <w:t> </w:t>
      </w:r>
      <w:r>
        <w:rPr>
          <w:sz w:val="22"/>
        </w:rPr>
        <w:t>reevaluated after</w:t>
      </w:r>
    </w:p>
    <w:p>
      <w:pPr>
        <w:pStyle w:val="ListParagraph"/>
        <w:numPr>
          <w:ilvl w:val="0"/>
          <w:numId w:val="10"/>
        </w:numPr>
        <w:tabs>
          <w:tab w:pos="1937" w:val="left" w:leader="none"/>
          <w:tab w:pos="1938" w:val="left" w:leader="none"/>
        </w:tabs>
        <w:spacing w:line="240" w:lineRule="auto" w:before="136" w:after="0"/>
        <w:ind w:left="1937" w:right="0" w:hanging="684"/>
        <w:jc w:val="left"/>
        <w:rPr>
          <w:sz w:val="22"/>
        </w:rPr>
      </w:pPr>
      <w:r>
        <w:rPr>
          <w:sz w:val="22"/>
        </w:rPr>
        <w:t>three months. All patients with marked prerenal azotemia were discarded from the   </w:t>
      </w:r>
      <w:r>
        <w:rPr>
          <w:spacing w:val="2"/>
          <w:sz w:val="22"/>
        </w:rPr>
        <w:t> </w:t>
      </w:r>
      <w:r>
        <w:rPr>
          <w:sz w:val="22"/>
        </w:rPr>
        <w:t>study</w:t>
      </w:r>
    </w:p>
    <w:p>
      <w:pPr>
        <w:pStyle w:val="ListParagraph"/>
        <w:numPr>
          <w:ilvl w:val="0"/>
          <w:numId w:val="10"/>
        </w:numPr>
        <w:tabs>
          <w:tab w:pos="1937" w:val="left" w:leader="none"/>
          <w:tab w:pos="1938" w:val="left" w:leader="none"/>
        </w:tabs>
        <w:spacing w:line="240" w:lineRule="auto" w:before="136" w:after="0"/>
        <w:ind w:left="1937" w:right="0" w:hanging="684"/>
        <w:jc w:val="left"/>
        <w:rPr>
          <w:sz w:val="22"/>
        </w:rPr>
      </w:pPr>
      <w:r>
        <w:rPr>
          <w:sz w:val="22"/>
        </w:rPr>
        <w:t>(azotemia with urine specific gravity &gt; 1.030). In the animals labeled as </w:t>
      </w:r>
      <w:r>
        <w:rPr>
          <w:spacing w:val="-3"/>
          <w:sz w:val="22"/>
        </w:rPr>
        <w:t>CKD   </w:t>
      </w:r>
      <w:r>
        <w:rPr>
          <w:spacing w:val="19"/>
          <w:sz w:val="22"/>
        </w:rPr>
        <w:t> </w:t>
      </w:r>
      <w:r>
        <w:rPr>
          <w:sz w:val="22"/>
        </w:rPr>
        <w:t>the disease</w:t>
      </w:r>
    </w:p>
    <w:p>
      <w:pPr>
        <w:pStyle w:val="ListParagraph"/>
        <w:numPr>
          <w:ilvl w:val="0"/>
          <w:numId w:val="10"/>
        </w:numPr>
        <w:tabs>
          <w:tab w:pos="1937" w:val="left" w:leader="none"/>
          <w:tab w:pos="1938" w:val="left" w:leader="none"/>
        </w:tabs>
        <w:spacing w:line="240" w:lineRule="auto" w:before="136" w:after="0"/>
        <w:ind w:left="1937" w:right="0" w:hanging="684"/>
        <w:jc w:val="left"/>
        <w:rPr>
          <w:sz w:val="22"/>
        </w:rPr>
      </w:pPr>
      <w:r>
        <w:rPr>
          <w:sz w:val="22"/>
        </w:rPr>
        <w:t>state</w:t>
      </w:r>
      <w:r>
        <w:rPr>
          <w:spacing w:val="12"/>
          <w:sz w:val="22"/>
        </w:rPr>
        <w:t> </w:t>
      </w:r>
      <w:r>
        <w:rPr>
          <w:sz w:val="22"/>
        </w:rPr>
        <w:t>was</w:t>
      </w:r>
      <w:r>
        <w:rPr>
          <w:spacing w:val="7"/>
          <w:sz w:val="22"/>
        </w:rPr>
        <w:t> </w:t>
      </w:r>
      <w:r>
        <w:rPr>
          <w:sz w:val="22"/>
        </w:rPr>
        <w:t>classified</w:t>
      </w:r>
      <w:r>
        <w:rPr>
          <w:spacing w:val="8"/>
          <w:sz w:val="22"/>
        </w:rPr>
        <w:t> </w:t>
      </w:r>
      <w:r>
        <w:rPr>
          <w:sz w:val="22"/>
        </w:rPr>
        <w:t>based</w:t>
      </w:r>
      <w:r>
        <w:rPr>
          <w:spacing w:val="11"/>
          <w:sz w:val="22"/>
        </w:rPr>
        <w:t> </w:t>
      </w:r>
      <w:r>
        <w:rPr>
          <w:sz w:val="22"/>
        </w:rPr>
        <w:t>on</w:t>
      </w:r>
      <w:r>
        <w:rPr>
          <w:spacing w:val="8"/>
          <w:sz w:val="22"/>
        </w:rPr>
        <w:t> </w:t>
      </w:r>
      <w:r>
        <w:rPr>
          <w:sz w:val="22"/>
        </w:rPr>
        <w:t>the</w:t>
      </w:r>
      <w:r>
        <w:rPr>
          <w:spacing w:val="12"/>
          <w:sz w:val="22"/>
        </w:rPr>
        <w:t> </w:t>
      </w:r>
      <w:r>
        <w:rPr>
          <w:sz w:val="22"/>
        </w:rPr>
        <w:t>proposal</w:t>
      </w:r>
      <w:r>
        <w:rPr>
          <w:spacing w:val="5"/>
          <w:sz w:val="22"/>
        </w:rPr>
        <w:t> </w:t>
      </w:r>
      <w:r>
        <w:rPr>
          <w:sz w:val="22"/>
        </w:rPr>
        <w:t>from</w:t>
      </w:r>
      <w:r>
        <w:rPr>
          <w:spacing w:val="11"/>
          <w:sz w:val="22"/>
        </w:rPr>
        <w:t> </w:t>
      </w:r>
      <w:r>
        <w:rPr>
          <w:sz w:val="22"/>
        </w:rPr>
        <w:t>Cortadellas</w:t>
      </w:r>
      <w:r>
        <w:rPr>
          <w:spacing w:val="7"/>
          <w:sz w:val="22"/>
        </w:rPr>
        <w:t> </w:t>
      </w:r>
      <w:r>
        <w:rPr>
          <w:sz w:val="22"/>
        </w:rPr>
        <w:t>et</w:t>
      </w:r>
      <w:r>
        <w:rPr>
          <w:spacing w:val="8"/>
          <w:sz w:val="22"/>
        </w:rPr>
        <w:t> </w:t>
      </w:r>
      <w:r>
        <w:rPr>
          <w:sz w:val="22"/>
        </w:rPr>
        <w:t>al.,</w:t>
      </w:r>
      <w:r>
        <w:rPr>
          <w:spacing w:val="13"/>
          <w:sz w:val="22"/>
        </w:rPr>
        <w:t> </w:t>
      </w:r>
      <w:r>
        <w:rPr>
          <w:sz w:val="22"/>
        </w:rPr>
        <w:t>such</w:t>
      </w:r>
      <w:r>
        <w:rPr>
          <w:spacing w:val="8"/>
          <w:sz w:val="22"/>
        </w:rPr>
        <w:t> </w:t>
      </w:r>
      <w:r>
        <w:rPr>
          <w:sz w:val="22"/>
        </w:rPr>
        <w:t>as:</w:t>
      </w:r>
      <w:r>
        <w:rPr>
          <w:spacing w:val="10"/>
          <w:sz w:val="22"/>
        </w:rPr>
        <w:t> </w:t>
      </w:r>
      <w:r>
        <w:rPr>
          <w:i/>
          <w:sz w:val="22"/>
        </w:rPr>
        <w:t>Stage</w:t>
      </w:r>
      <w:r>
        <w:rPr>
          <w:i/>
          <w:spacing w:val="12"/>
          <w:sz w:val="22"/>
        </w:rPr>
        <w:t> </w:t>
      </w:r>
      <w:r>
        <w:rPr>
          <w:i/>
          <w:sz w:val="22"/>
        </w:rPr>
        <w:t>0</w:t>
      </w:r>
      <w:r>
        <w:rPr>
          <w:i/>
          <w:spacing w:val="11"/>
          <w:sz w:val="22"/>
        </w:rPr>
        <w:t> </w:t>
      </w:r>
      <w:r>
        <w:rPr>
          <w:sz w:val="22"/>
        </w:rPr>
        <w:t>(SCr</w:t>
      </w:r>
      <w:r>
        <w:rPr>
          <w:spacing w:val="13"/>
          <w:sz w:val="22"/>
        </w:rPr>
        <w:t> </w:t>
      </w:r>
      <w:r>
        <w:rPr>
          <w:sz w:val="22"/>
        </w:rPr>
        <w:t>&lt;</w:t>
      </w:r>
      <w:r>
        <w:rPr>
          <w:spacing w:val="11"/>
          <w:sz w:val="22"/>
        </w:rPr>
        <w:t> </w:t>
      </w:r>
      <w:r>
        <w:rPr>
          <w:sz w:val="22"/>
        </w:rPr>
        <w:t>125</w:t>
      </w:r>
    </w:p>
    <w:p>
      <w:pPr>
        <w:pStyle w:val="ListParagraph"/>
        <w:numPr>
          <w:ilvl w:val="0"/>
          <w:numId w:val="10"/>
        </w:numPr>
        <w:tabs>
          <w:tab w:pos="1937" w:val="left" w:leader="none"/>
          <w:tab w:pos="1938" w:val="left" w:leader="none"/>
        </w:tabs>
        <w:spacing w:line="240" w:lineRule="auto" w:before="136" w:after="0"/>
        <w:ind w:left="1937" w:right="0" w:hanging="684"/>
        <w:jc w:val="left"/>
        <w:rPr>
          <w:sz w:val="22"/>
        </w:rPr>
      </w:pPr>
      <w:r>
        <w:rPr>
          <w:sz w:val="22"/>
        </w:rPr>
        <w:t>µmol/l, UPC ≤ 0.2), </w:t>
      </w:r>
      <w:r>
        <w:rPr>
          <w:i/>
          <w:sz w:val="22"/>
        </w:rPr>
        <w:t>Stage Ia </w:t>
      </w:r>
      <w:r>
        <w:rPr>
          <w:sz w:val="22"/>
        </w:rPr>
        <w:t>(SCr &lt; 125 µmol/l, UPC 0.21–0.49), </w:t>
      </w:r>
      <w:r>
        <w:rPr>
          <w:i/>
          <w:sz w:val="22"/>
        </w:rPr>
        <w:t>Stage Ib </w:t>
      </w:r>
      <w:r>
        <w:rPr>
          <w:sz w:val="22"/>
        </w:rPr>
        <w:t>(SCr  </w:t>
      </w:r>
      <w:r>
        <w:rPr>
          <w:spacing w:val="49"/>
          <w:sz w:val="22"/>
        </w:rPr>
        <w:t> </w:t>
      </w:r>
      <w:r>
        <w:rPr>
          <w:sz w:val="22"/>
        </w:rPr>
        <w:t>&lt; 125</w:t>
      </w:r>
    </w:p>
    <w:p>
      <w:pPr>
        <w:pStyle w:val="ListParagraph"/>
        <w:numPr>
          <w:ilvl w:val="0"/>
          <w:numId w:val="10"/>
        </w:numPr>
        <w:tabs>
          <w:tab w:pos="1937" w:val="left" w:leader="none"/>
          <w:tab w:pos="1938" w:val="left" w:leader="none"/>
        </w:tabs>
        <w:spacing w:line="240" w:lineRule="auto" w:before="138" w:after="0"/>
        <w:ind w:left="1937" w:right="0" w:hanging="684"/>
        <w:jc w:val="left"/>
        <w:rPr>
          <w:i/>
          <w:sz w:val="22"/>
        </w:rPr>
      </w:pPr>
      <w:r>
        <w:rPr>
          <w:sz w:val="22"/>
        </w:rPr>
        <w:t>µmol/l, UPC ≥ 0.5), and </w:t>
      </w:r>
      <w:r>
        <w:rPr>
          <w:i/>
          <w:sz w:val="22"/>
        </w:rPr>
        <w:t>Stage II </w:t>
      </w:r>
      <w:r>
        <w:rPr>
          <w:sz w:val="22"/>
        </w:rPr>
        <w:t>(125–179 µmol/l), </w:t>
      </w:r>
      <w:r>
        <w:rPr>
          <w:i/>
          <w:sz w:val="22"/>
        </w:rPr>
        <w:t>Stage III </w:t>
      </w:r>
      <w:r>
        <w:rPr>
          <w:sz w:val="22"/>
        </w:rPr>
        <w:t>(SCr   </w:t>
      </w:r>
      <w:r>
        <w:rPr>
          <w:spacing w:val="10"/>
          <w:sz w:val="22"/>
        </w:rPr>
        <w:t> </w:t>
      </w:r>
      <w:r>
        <w:rPr>
          <w:sz w:val="22"/>
        </w:rPr>
        <w:t>180–439 µmol/l) and </w:t>
      </w:r>
      <w:r>
        <w:rPr>
          <w:i/>
          <w:sz w:val="22"/>
        </w:rPr>
        <w:t>Stage</w:t>
      </w:r>
    </w:p>
    <w:p>
      <w:pPr>
        <w:pStyle w:val="ListParagraph"/>
        <w:numPr>
          <w:ilvl w:val="0"/>
          <w:numId w:val="10"/>
        </w:numPr>
        <w:tabs>
          <w:tab w:pos="1937" w:val="left" w:leader="none"/>
          <w:tab w:pos="1938" w:val="left" w:leader="none"/>
        </w:tabs>
        <w:spacing w:line="240" w:lineRule="auto" w:before="98" w:after="0"/>
        <w:ind w:left="1937" w:right="0" w:hanging="684"/>
        <w:jc w:val="left"/>
        <w:rPr>
          <w:i/>
          <w:sz w:val="22"/>
        </w:rPr>
      </w:pPr>
      <w:r>
        <w:rPr>
          <w:i/>
          <w:sz w:val="22"/>
        </w:rPr>
        <w:t>IV </w:t>
      </w:r>
      <w:r>
        <w:rPr>
          <w:sz w:val="22"/>
        </w:rPr>
        <w:t>(SCr &gt;440 µmol/l).</w:t>
      </w:r>
      <w:r>
        <w:rPr>
          <w:position w:val="10"/>
          <w:sz w:val="15"/>
        </w:rPr>
        <w:t>8  </w:t>
      </w:r>
      <w:r>
        <w:rPr>
          <w:sz w:val="22"/>
        </w:rPr>
        <w:t>The classification based on the UPC was determined as:  </w:t>
      </w:r>
      <w:r>
        <w:rPr>
          <w:spacing w:val="26"/>
          <w:sz w:val="22"/>
        </w:rPr>
        <w:t> </w:t>
      </w:r>
      <w:r>
        <w:rPr>
          <w:i/>
          <w:sz w:val="22"/>
        </w:rPr>
        <w:t>non-</w:t>
      </w:r>
    </w:p>
    <w:p>
      <w:pPr>
        <w:pStyle w:val="ListParagraph"/>
        <w:numPr>
          <w:ilvl w:val="0"/>
          <w:numId w:val="10"/>
        </w:numPr>
        <w:tabs>
          <w:tab w:pos="1937" w:val="left" w:leader="none"/>
          <w:tab w:pos="1938" w:val="left" w:leader="none"/>
        </w:tabs>
        <w:spacing w:line="240" w:lineRule="auto" w:before="138" w:after="0"/>
        <w:ind w:left="1937" w:right="0" w:hanging="684"/>
        <w:jc w:val="left"/>
        <w:rPr>
          <w:sz w:val="22"/>
        </w:rPr>
      </w:pPr>
      <w:r>
        <w:rPr>
          <w:i/>
          <w:sz w:val="22"/>
        </w:rPr>
        <w:t>proteinuric </w:t>
      </w:r>
      <w:r>
        <w:rPr>
          <w:sz w:val="22"/>
        </w:rPr>
        <w:t>(&lt; 0.2), </w:t>
      </w:r>
      <w:r>
        <w:rPr>
          <w:i/>
          <w:sz w:val="22"/>
        </w:rPr>
        <w:t>borderline protenuric </w:t>
      </w:r>
      <w:r>
        <w:rPr>
          <w:sz w:val="22"/>
        </w:rPr>
        <w:t>(0.2–0.5) and </w:t>
      </w:r>
      <w:r>
        <w:rPr>
          <w:i/>
          <w:sz w:val="22"/>
        </w:rPr>
        <w:t>proteinuric </w:t>
      </w:r>
      <w:r>
        <w:rPr>
          <w:sz w:val="22"/>
        </w:rPr>
        <w:t>(&gt; 0.5) based on  </w:t>
      </w:r>
      <w:r>
        <w:rPr>
          <w:spacing w:val="50"/>
          <w:sz w:val="22"/>
        </w:rPr>
        <w:t> </w:t>
      </w:r>
      <w:r>
        <w:rPr>
          <w:sz w:val="22"/>
        </w:rPr>
        <w:t>the</w:t>
      </w:r>
    </w:p>
    <w:p>
      <w:pPr>
        <w:pStyle w:val="ListParagraph"/>
        <w:numPr>
          <w:ilvl w:val="0"/>
          <w:numId w:val="10"/>
        </w:numPr>
        <w:tabs>
          <w:tab w:pos="1937" w:val="left" w:leader="none"/>
          <w:tab w:pos="1938" w:val="left" w:leader="none"/>
        </w:tabs>
        <w:spacing w:line="240" w:lineRule="auto" w:before="91" w:after="0"/>
        <w:ind w:left="1937" w:right="0" w:hanging="684"/>
        <w:jc w:val="left"/>
        <w:rPr>
          <w:sz w:val="15"/>
        </w:rPr>
      </w:pPr>
      <w:r>
        <w:rPr>
          <w:sz w:val="22"/>
        </w:rPr>
        <w:t>established</w:t>
      </w:r>
      <w:r>
        <w:rPr>
          <w:spacing w:val="30"/>
          <w:sz w:val="22"/>
        </w:rPr>
        <w:t> </w:t>
      </w:r>
      <w:r>
        <w:rPr>
          <w:sz w:val="22"/>
        </w:rPr>
        <w:t>criteria.</w:t>
      </w:r>
      <w:r>
        <w:rPr>
          <w:position w:val="11"/>
          <w:sz w:val="15"/>
        </w:rPr>
        <w:t>10</w:t>
      </w:r>
    </w:p>
    <w:p>
      <w:pPr>
        <w:spacing w:after="0" w:line="240" w:lineRule="auto"/>
        <w:jc w:val="left"/>
        <w:rPr>
          <w:sz w:val="15"/>
        </w:rPr>
        <w:sectPr>
          <w:headerReference w:type="default" r:id="rId69"/>
          <w:footerReference w:type="default" r:id="rId70"/>
          <w:pgSz w:w="12240" w:h="15840"/>
          <w:pgMar w:header="0" w:footer="0" w:top="140" w:bottom="280" w:left="0" w:right="240"/>
        </w:sectPr>
      </w:pPr>
    </w:p>
    <w:p>
      <w:pPr>
        <w:tabs>
          <w:tab w:pos="3549" w:val="left" w:leader="none"/>
        </w:tabs>
        <w:spacing w:before="56"/>
        <w:ind w:left="373" w:right="0" w:firstLine="0"/>
        <w:jc w:val="left"/>
        <w:rPr>
          <w:b/>
          <w:sz w:val="20"/>
        </w:rPr>
      </w:pPr>
      <w:r>
        <w:rPr>
          <w:b/>
          <w:sz w:val="20"/>
        </w:rPr>
        <w:t>age 5</w:t>
      </w:r>
      <w:r>
        <w:rPr>
          <w:b/>
          <w:spacing w:val="-1"/>
          <w:sz w:val="20"/>
        </w:rPr>
        <w:t> </w:t>
      </w:r>
      <w:r>
        <w:rPr>
          <w:b/>
          <w:sz w:val="20"/>
        </w:rPr>
        <w:t>of</w:t>
      </w:r>
      <w:r>
        <w:rPr>
          <w:b/>
          <w:spacing w:val="-1"/>
          <w:sz w:val="20"/>
        </w:rPr>
        <w:t> </w:t>
      </w:r>
      <w:r>
        <w:rPr>
          <w:b/>
          <w:sz w:val="20"/>
        </w:rPr>
        <w:t>16</w:t>
        <w:tab/>
        <w:t>Journal of the American Veterinary Medical</w:t>
      </w:r>
      <w:r>
        <w:rPr>
          <w:b/>
          <w:spacing w:val="-25"/>
          <w:sz w:val="20"/>
        </w:rPr>
        <w:t> </w:t>
      </w:r>
      <w:r>
        <w:rPr>
          <w:b/>
          <w:sz w:val="20"/>
        </w:rPr>
        <w:t>Association</w:t>
      </w:r>
    </w:p>
    <w:p>
      <w:pPr>
        <w:pStyle w:val="BodyText"/>
        <w:rPr>
          <w:b/>
          <w:sz w:val="20"/>
        </w:rPr>
      </w:pPr>
    </w:p>
    <w:p>
      <w:pPr>
        <w:pStyle w:val="BodyText"/>
        <w:rPr>
          <w:b/>
          <w:sz w:val="20"/>
        </w:rPr>
      </w:pPr>
    </w:p>
    <w:p>
      <w:pPr>
        <w:pStyle w:val="BodyText"/>
        <w:rPr>
          <w:b/>
          <w:sz w:val="20"/>
        </w:rPr>
      </w:pPr>
    </w:p>
    <w:p>
      <w:pPr>
        <w:pStyle w:val="BodyText"/>
        <w:spacing w:before="7"/>
        <w:rPr>
          <w:b/>
          <w:sz w:val="18"/>
        </w:rPr>
      </w:pPr>
    </w:p>
    <w:p>
      <w:pPr>
        <w:pStyle w:val="ListParagraph"/>
        <w:numPr>
          <w:ilvl w:val="0"/>
          <w:numId w:val="10"/>
        </w:numPr>
        <w:tabs>
          <w:tab w:pos="2614" w:val="left" w:leader="none"/>
          <w:tab w:pos="2615" w:val="left" w:leader="none"/>
        </w:tabs>
        <w:spacing w:line="240" w:lineRule="auto" w:before="0" w:after="0"/>
        <w:ind w:left="2614" w:right="0" w:hanging="1361"/>
        <w:jc w:val="left"/>
        <w:rPr>
          <w:sz w:val="22"/>
        </w:rPr>
      </w:pPr>
      <w:r>
        <w:rPr>
          <w:sz w:val="22"/>
        </w:rPr>
        <w:t>Statistical analysis- The data analysis comparisons were made between  </w:t>
      </w:r>
      <w:r>
        <w:rPr>
          <w:spacing w:val="50"/>
          <w:sz w:val="22"/>
        </w:rPr>
        <w:t> </w:t>
      </w:r>
      <w:r>
        <w:rPr>
          <w:sz w:val="22"/>
        </w:rPr>
        <w:t>populations</w:t>
      </w:r>
    </w:p>
    <w:p>
      <w:pPr>
        <w:pStyle w:val="ListParagraph"/>
        <w:numPr>
          <w:ilvl w:val="0"/>
          <w:numId w:val="10"/>
        </w:numPr>
        <w:tabs>
          <w:tab w:pos="1937" w:val="left" w:leader="none"/>
          <w:tab w:pos="1938" w:val="left" w:leader="none"/>
        </w:tabs>
        <w:spacing w:line="240" w:lineRule="auto" w:before="136" w:after="0"/>
        <w:ind w:left="1937" w:right="0" w:hanging="684"/>
        <w:jc w:val="left"/>
        <w:rPr>
          <w:sz w:val="22"/>
        </w:rPr>
      </w:pPr>
      <w:r>
        <w:rPr>
          <w:sz w:val="22"/>
        </w:rPr>
        <w:t>with and without CKD with respect to sex distribution, age, breed, classification per  </w:t>
      </w:r>
      <w:r>
        <w:rPr>
          <w:spacing w:val="52"/>
          <w:sz w:val="22"/>
        </w:rPr>
        <w:t> </w:t>
      </w:r>
      <w:r>
        <w:rPr>
          <w:sz w:val="22"/>
        </w:rPr>
        <w:t>CKD</w:t>
      </w:r>
    </w:p>
    <w:p>
      <w:pPr>
        <w:pStyle w:val="ListParagraph"/>
        <w:numPr>
          <w:ilvl w:val="0"/>
          <w:numId w:val="10"/>
        </w:numPr>
        <w:tabs>
          <w:tab w:pos="1937" w:val="left" w:leader="none"/>
          <w:tab w:pos="1938" w:val="left" w:leader="none"/>
        </w:tabs>
        <w:spacing w:line="240" w:lineRule="auto" w:before="136" w:after="0"/>
        <w:ind w:left="1937" w:right="0" w:hanging="684"/>
        <w:jc w:val="left"/>
        <w:rPr>
          <w:sz w:val="22"/>
        </w:rPr>
      </w:pPr>
      <w:r>
        <w:rPr>
          <w:sz w:val="22"/>
        </w:rPr>
        <w:t>stage and comorbidities. Afterwards, a chi-square study and logistic regression  </w:t>
      </w:r>
      <w:r>
        <w:rPr>
          <w:spacing w:val="45"/>
          <w:sz w:val="22"/>
        </w:rPr>
        <w:t> </w:t>
      </w:r>
      <w:r>
        <w:rPr>
          <w:sz w:val="22"/>
        </w:rPr>
        <w:t>were</w:t>
      </w:r>
    </w:p>
    <w:p>
      <w:pPr>
        <w:pStyle w:val="ListParagraph"/>
        <w:numPr>
          <w:ilvl w:val="0"/>
          <w:numId w:val="10"/>
        </w:numPr>
        <w:tabs>
          <w:tab w:pos="1937" w:val="left" w:leader="none"/>
          <w:tab w:pos="1938" w:val="left" w:leader="none"/>
        </w:tabs>
        <w:spacing w:line="240" w:lineRule="auto" w:before="136" w:after="0"/>
        <w:ind w:left="1937" w:right="0" w:hanging="684"/>
        <w:jc w:val="left"/>
        <w:rPr>
          <w:sz w:val="22"/>
        </w:rPr>
      </w:pPr>
      <w:r>
        <w:rPr>
          <w:sz w:val="22"/>
        </w:rPr>
        <w:t>performed to identify the associated risk factors, considering a value of </w:t>
      </w:r>
      <w:r>
        <w:rPr>
          <w:i/>
          <w:sz w:val="22"/>
        </w:rPr>
        <w:t>P </w:t>
      </w:r>
      <w:r>
        <w:rPr>
          <w:sz w:val="22"/>
        </w:rPr>
        <w:t>&lt;0.05 to  </w:t>
      </w:r>
      <w:r>
        <w:rPr>
          <w:spacing w:val="43"/>
          <w:sz w:val="22"/>
        </w:rPr>
        <w:t> </w:t>
      </w:r>
      <w:r>
        <w:rPr>
          <w:sz w:val="22"/>
        </w:rPr>
        <w:t>be</w:t>
      </w:r>
    </w:p>
    <w:p>
      <w:pPr>
        <w:pStyle w:val="ListParagraph"/>
        <w:numPr>
          <w:ilvl w:val="0"/>
          <w:numId w:val="10"/>
        </w:numPr>
        <w:tabs>
          <w:tab w:pos="1937" w:val="left" w:leader="none"/>
          <w:tab w:pos="1938" w:val="left" w:leader="none"/>
        </w:tabs>
        <w:spacing w:line="240" w:lineRule="auto" w:before="138" w:after="0"/>
        <w:ind w:left="1937" w:right="0" w:hanging="684"/>
        <w:jc w:val="left"/>
        <w:rPr>
          <w:sz w:val="22"/>
        </w:rPr>
      </w:pPr>
      <w:r>
        <w:rPr>
          <w:sz w:val="22"/>
        </w:rPr>
        <w:t>significant. The calculations were made with SPSS Statics </w:t>
      </w:r>
      <w:r>
        <w:rPr>
          <w:spacing w:val="53"/>
          <w:sz w:val="22"/>
        </w:rPr>
        <w:t> </w:t>
      </w:r>
      <w:r>
        <w:rPr>
          <w:sz w:val="22"/>
        </w:rPr>
        <w:t>17.0.</w:t>
      </w:r>
    </w:p>
    <w:p>
      <w:pPr>
        <w:pStyle w:val="BodyText"/>
        <w:rPr>
          <w:rFonts w:ascii="Times New Roman"/>
          <w:sz w:val="30"/>
        </w:rPr>
      </w:pPr>
    </w:p>
    <w:p>
      <w:pPr>
        <w:pStyle w:val="ListParagraph"/>
        <w:numPr>
          <w:ilvl w:val="0"/>
          <w:numId w:val="10"/>
        </w:numPr>
        <w:tabs>
          <w:tab w:pos="1600" w:val="left" w:leader="none"/>
        </w:tabs>
        <w:spacing w:line="240" w:lineRule="auto" w:before="0" w:after="0"/>
        <w:ind w:left="1599" w:right="0" w:hanging="346"/>
        <w:jc w:val="left"/>
        <w:rPr>
          <w:rFonts w:ascii="Cambria"/>
          <w:sz w:val="20"/>
        </w:rPr>
      </w:pPr>
    </w:p>
    <w:p>
      <w:pPr>
        <w:pStyle w:val="BodyText"/>
        <w:spacing w:before="3"/>
        <w:rPr>
          <w:rFonts w:ascii="Cambria"/>
          <w:sz w:val="21"/>
        </w:rPr>
      </w:pPr>
    </w:p>
    <w:p>
      <w:pPr>
        <w:pStyle w:val="ListParagraph"/>
        <w:numPr>
          <w:ilvl w:val="0"/>
          <w:numId w:val="10"/>
        </w:numPr>
        <w:tabs>
          <w:tab w:pos="1937" w:val="left" w:leader="none"/>
          <w:tab w:pos="1938" w:val="left" w:leader="none"/>
        </w:tabs>
        <w:spacing w:line="240" w:lineRule="auto" w:before="77" w:after="0"/>
        <w:ind w:left="1937" w:right="0" w:hanging="684"/>
        <w:jc w:val="left"/>
        <w:rPr>
          <w:b/>
          <w:sz w:val="22"/>
        </w:rPr>
      </w:pPr>
      <w:r>
        <w:rPr/>
        <w:pict>
          <v:shape style="position:absolute;margin-left:120.872412pt;margin-top:169.220588pt;width:376.45pt;height:48pt;mso-position-horizontal-relative:page;mso-position-vertical-relative:paragraph;z-index:-123088;rotation:51" type="#_x0000_t136" fillcolor="#d6f1fe" stroked="f">
            <o:extrusion v:ext="view" autorotationcenter="t"/>
            <v:textpath style="font-family:&amp;quot;Arial&amp;quot;;font-size:48pt;v-text-kern:t;mso-text-shadow:auto;font-weight:bold" string="For Review Only"/>
            <w10:wrap type="none"/>
          </v:shape>
        </w:pict>
      </w:r>
      <w:r>
        <w:rPr>
          <w:b/>
          <w:sz w:val="22"/>
        </w:rPr>
        <w:t>Results</w:t>
      </w:r>
    </w:p>
    <w:p>
      <w:pPr>
        <w:pStyle w:val="BodyText"/>
        <w:rPr>
          <w:rFonts w:ascii="Times New Roman"/>
          <w:b/>
          <w:sz w:val="21"/>
        </w:rPr>
      </w:pPr>
    </w:p>
    <w:p>
      <w:pPr>
        <w:pStyle w:val="ListParagraph"/>
        <w:numPr>
          <w:ilvl w:val="0"/>
          <w:numId w:val="10"/>
        </w:numPr>
        <w:tabs>
          <w:tab w:pos="1937" w:val="left" w:leader="none"/>
          <w:tab w:pos="1938" w:val="left" w:leader="none"/>
        </w:tabs>
        <w:spacing w:line="240" w:lineRule="auto" w:before="76" w:after="0"/>
        <w:ind w:left="1937" w:right="0" w:hanging="684"/>
        <w:jc w:val="left"/>
        <w:rPr>
          <w:sz w:val="22"/>
        </w:rPr>
      </w:pPr>
      <w:r>
        <w:rPr>
          <w:sz w:val="22"/>
        </w:rPr>
        <w:t>A</w:t>
      </w:r>
      <w:r>
        <w:rPr>
          <w:spacing w:val="12"/>
          <w:sz w:val="22"/>
        </w:rPr>
        <w:t> </w:t>
      </w:r>
      <w:r>
        <w:rPr>
          <w:sz w:val="22"/>
        </w:rPr>
        <w:t>total</w:t>
      </w:r>
      <w:r>
        <w:rPr>
          <w:spacing w:val="11"/>
          <w:sz w:val="22"/>
        </w:rPr>
        <w:t> </w:t>
      </w:r>
      <w:r>
        <w:rPr>
          <w:sz w:val="22"/>
        </w:rPr>
        <w:t>of</w:t>
      </w:r>
      <w:r>
        <w:rPr>
          <w:spacing w:val="10"/>
          <w:sz w:val="22"/>
        </w:rPr>
        <w:t> </w:t>
      </w:r>
      <w:r>
        <w:rPr>
          <w:sz w:val="22"/>
        </w:rPr>
        <w:t>288</w:t>
      </w:r>
      <w:r>
        <w:rPr>
          <w:spacing w:val="11"/>
          <w:sz w:val="22"/>
        </w:rPr>
        <w:t> </w:t>
      </w:r>
      <w:r>
        <w:rPr>
          <w:sz w:val="22"/>
        </w:rPr>
        <w:t>dogs</w:t>
      </w:r>
      <w:r>
        <w:rPr>
          <w:spacing w:val="12"/>
          <w:sz w:val="22"/>
        </w:rPr>
        <w:t> </w:t>
      </w:r>
      <w:r>
        <w:rPr>
          <w:sz w:val="22"/>
        </w:rPr>
        <w:t>were</w:t>
      </w:r>
      <w:r>
        <w:rPr>
          <w:spacing w:val="10"/>
          <w:sz w:val="22"/>
        </w:rPr>
        <w:t> </w:t>
      </w:r>
      <w:r>
        <w:rPr>
          <w:sz w:val="22"/>
        </w:rPr>
        <w:t>studied,</w:t>
      </w:r>
      <w:r>
        <w:rPr>
          <w:spacing w:val="13"/>
          <w:sz w:val="22"/>
        </w:rPr>
        <w:t> </w:t>
      </w:r>
      <w:r>
        <w:rPr>
          <w:sz w:val="22"/>
        </w:rPr>
        <w:t>of</w:t>
      </w:r>
      <w:r>
        <w:rPr>
          <w:spacing w:val="13"/>
          <w:sz w:val="22"/>
        </w:rPr>
        <w:t> </w:t>
      </w:r>
      <w:r>
        <w:rPr>
          <w:sz w:val="22"/>
        </w:rPr>
        <w:t>which</w:t>
      </w:r>
      <w:r>
        <w:rPr>
          <w:spacing w:val="8"/>
          <w:sz w:val="22"/>
        </w:rPr>
        <w:t> </w:t>
      </w:r>
      <w:r>
        <w:rPr>
          <w:sz w:val="22"/>
        </w:rPr>
        <w:t>150</w:t>
      </w:r>
      <w:r>
        <w:rPr>
          <w:spacing w:val="11"/>
          <w:sz w:val="22"/>
        </w:rPr>
        <w:t> </w:t>
      </w:r>
      <w:r>
        <w:rPr>
          <w:sz w:val="22"/>
        </w:rPr>
        <w:t>(52.08%)</w:t>
      </w:r>
      <w:r>
        <w:rPr>
          <w:spacing w:val="10"/>
          <w:sz w:val="22"/>
        </w:rPr>
        <w:t> </w:t>
      </w:r>
      <w:r>
        <w:rPr>
          <w:sz w:val="22"/>
        </w:rPr>
        <w:t>were</w:t>
      </w:r>
      <w:r>
        <w:rPr>
          <w:spacing w:val="10"/>
          <w:sz w:val="22"/>
        </w:rPr>
        <w:t> </w:t>
      </w:r>
      <w:r>
        <w:rPr>
          <w:sz w:val="22"/>
        </w:rPr>
        <w:t>female</w:t>
      </w:r>
      <w:r>
        <w:rPr>
          <w:spacing w:val="10"/>
          <w:sz w:val="22"/>
        </w:rPr>
        <w:t> </w:t>
      </w:r>
      <w:r>
        <w:rPr>
          <w:sz w:val="22"/>
        </w:rPr>
        <w:t>and</w:t>
      </w:r>
      <w:r>
        <w:rPr>
          <w:spacing w:val="8"/>
          <w:sz w:val="22"/>
        </w:rPr>
        <w:t> </w:t>
      </w:r>
      <w:r>
        <w:rPr>
          <w:sz w:val="22"/>
        </w:rPr>
        <w:t>138</w:t>
      </w:r>
      <w:r>
        <w:rPr>
          <w:spacing w:val="11"/>
          <w:sz w:val="22"/>
        </w:rPr>
        <w:t> </w:t>
      </w:r>
      <w:r>
        <w:rPr>
          <w:sz w:val="22"/>
        </w:rPr>
        <w:t>(47.91%)</w:t>
      </w:r>
      <w:r>
        <w:rPr>
          <w:spacing w:val="10"/>
          <w:sz w:val="22"/>
        </w:rPr>
        <w:t> </w:t>
      </w:r>
      <w:r>
        <w:rPr>
          <w:sz w:val="22"/>
        </w:rPr>
        <w:t>were</w:t>
      </w:r>
    </w:p>
    <w:p>
      <w:pPr>
        <w:pStyle w:val="ListParagraph"/>
        <w:numPr>
          <w:ilvl w:val="0"/>
          <w:numId w:val="10"/>
        </w:numPr>
        <w:tabs>
          <w:tab w:pos="1937" w:val="left" w:leader="none"/>
          <w:tab w:pos="1938" w:val="left" w:leader="none"/>
        </w:tabs>
        <w:spacing w:line="240" w:lineRule="auto" w:before="136" w:after="0"/>
        <w:ind w:left="1937" w:right="0" w:hanging="684"/>
        <w:jc w:val="left"/>
        <w:rPr>
          <w:sz w:val="22"/>
        </w:rPr>
      </w:pPr>
      <w:r>
        <w:rPr>
          <w:sz w:val="22"/>
        </w:rPr>
        <w:t>male.</w:t>
      </w:r>
      <w:r>
        <w:rPr>
          <w:spacing w:val="11"/>
          <w:sz w:val="22"/>
        </w:rPr>
        <w:t> </w:t>
      </w:r>
      <w:r>
        <w:rPr>
          <w:sz w:val="22"/>
        </w:rPr>
        <w:t>The</w:t>
      </w:r>
      <w:r>
        <w:rPr>
          <w:spacing w:val="11"/>
          <w:sz w:val="22"/>
        </w:rPr>
        <w:t> </w:t>
      </w:r>
      <w:r>
        <w:rPr>
          <w:sz w:val="22"/>
        </w:rPr>
        <w:t>dogs</w:t>
      </w:r>
      <w:r>
        <w:rPr>
          <w:spacing w:val="11"/>
          <w:sz w:val="22"/>
        </w:rPr>
        <w:t> </w:t>
      </w:r>
      <w:r>
        <w:rPr>
          <w:sz w:val="22"/>
        </w:rPr>
        <w:t>ranged</w:t>
      </w:r>
      <w:r>
        <w:rPr>
          <w:spacing w:val="9"/>
          <w:sz w:val="22"/>
        </w:rPr>
        <w:t> </w:t>
      </w:r>
      <w:r>
        <w:rPr>
          <w:sz w:val="22"/>
        </w:rPr>
        <w:t>between</w:t>
      </w:r>
      <w:r>
        <w:rPr>
          <w:spacing w:val="9"/>
          <w:sz w:val="22"/>
        </w:rPr>
        <w:t> </w:t>
      </w:r>
      <w:r>
        <w:rPr>
          <w:sz w:val="22"/>
        </w:rPr>
        <w:t>the</w:t>
      </w:r>
      <w:r>
        <w:rPr>
          <w:spacing w:val="11"/>
          <w:sz w:val="22"/>
        </w:rPr>
        <w:t> </w:t>
      </w:r>
      <w:r>
        <w:rPr>
          <w:sz w:val="22"/>
        </w:rPr>
        <w:t>ages</w:t>
      </w:r>
      <w:r>
        <w:rPr>
          <w:spacing w:val="8"/>
          <w:sz w:val="22"/>
        </w:rPr>
        <w:t> </w:t>
      </w:r>
      <w:r>
        <w:rPr>
          <w:sz w:val="22"/>
        </w:rPr>
        <w:t>of</w:t>
      </w:r>
      <w:r>
        <w:rPr>
          <w:spacing w:val="9"/>
          <w:sz w:val="22"/>
        </w:rPr>
        <w:t> </w:t>
      </w:r>
      <w:r>
        <w:rPr>
          <w:sz w:val="22"/>
        </w:rPr>
        <w:t>8</w:t>
      </w:r>
      <w:r>
        <w:rPr>
          <w:spacing w:val="9"/>
          <w:sz w:val="22"/>
        </w:rPr>
        <w:t> </w:t>
      </w:r>
      <w:r>
        <w:rPr>
          <w:sz w:val="22"/>
        </w:rPr>
        <w:t>months</w:t>
      </w:r>
      <w:r>
        <w:rPr>
          <w:spacing w:val="6"/>
          <w:sz w:val="22"/>
        </w:rPr>
        <w:t> </w:t>
      </w:r>
      <w:r>
        <w:rPr>
          <w:sz w:val="22"/>
        </w:rPr>
        <w:t>and</w:t>
      </w:r>
      <w:r>
        <w:rPr>
          <w:spacing w:val="9"/>
          <w:sz w:val="22"/>
        </w:rPr>
        <w:t> </w:t>
      </w:r>
      <w:r>
        <w:rPr>
          <w:sz w:val="22"/>
        </w:rPr>
        <w:t>17</w:t>
      </w:r>
      <w:r>
        <w:rPr>
          <w:spacing w:val="7"/>
          <w:sz w:val="22"/>
        </w:rPr>
        <w:t> </w:t>
      </w:r>
      <w:r>
        <w:rPr>
          <w:sz w:val="22"/>
        </w:rPr>
        <w:t>years,</w:t>
      </w:r>
      <w:r>
        <w:rPr>
          <w:spacing w:val="11"/>
          <w:sz w:val="22"/>
        </w:rPr>
        <w:t> </w:t>
      </w:r>
      <w:r>
        <w:rPr>
          <w:sz w:val="22"/>
        </w:rPr>
        <w:t>with</w:t>
      </w:r>
      <w:r>
        <w:rPr>
          <w:spacing w:val="4"/>
          <w:sz w:val="22"/>
        </w:rPr>
        <w:t> </w:t>
      </w:r>
      <w:r>
        <w:rPr>
          <w:sz w:val="22"/>
        </w:rPr>
        <w:t>a</w:t>
      </w:r>
      <w:r>
        <w:rPr>
          <w:spacing w:val="8"/>
          <w:sz w:val="22"/>
        </w:rPr>
        <w:t> </w:t>
      </w:r>
      <w:r>
        <w:rPr>
          <w:sz w:val="22"/>
        </w:rPr>
        <w:t>median</w:t>
      </w:r>
      <w:r>
        <w:rPr>
          <w:spacing w:val="9"/>
          <w:sz w:val="22"/>
        </w:rPr>
        <w:t> </w:t>
      </w:r>
      <w:r>
        <w:rPr>
          <w:sz w:val="22"/>
        </w:rPr>
        <w:t>of</w:t>
      </w:r>
      <w:r>
        <w:rPr>
          <w:spacing w:val="9"/>
          <w:sz w:val="22"/>
        </w:rPr>
        <w:t> </w:t>
      </w:r>
      <w:r>
        <w:rPr>
          <w:sz w:val="22"/>
        </w:rPr>
        <w:t>9</w:t>
      </w:r>
      <w:r>
        <w:rPr>
          <w:spacing w:val="9"/>
          <w:sz w:val="22"/>
        </w:rPr>
        <w:t> </w:t>
      </w:r>
      <w:r>
        <w:rPr>
          <w:sz w:val="22"/>
        </w:rPr>
        <w:t>years.</w:t>
      </w:r>
    </w:p>
    <w:p>
      <w:pPr>
        <w:pStyle w:val="ListParagraph"/>
        <w:numPr>
          <w:ilvl w:val="0"/>
          <w:numId w:val="10"/>
        </w:numPr>
        <w:tabs>
          <w:tab w:pos="1937" w:val="left" w:leader="none"/>
          <w:tab w:pos="1938" w:val="left" w:leader="none"/>
        </w:tabs>
        <w:spacing w:line="240" w:lineRule="auto" w:before="136" w:after="0"/>
        <w:ind w:left="1937" w:right="0" w:hanging="684"/>
        <w:jc w:val="left"/>
        <w:rPr>
          <w:sz w:val="22"/>
        </w:rPr>
      </w:pPr>
      <w:r>
        <w:rPr>
          <w:sz w:val="22"/>
        </w:rPr>
        <w:t>Three</w:t>
      </w:r>
      <w:r>
        <w:rPr>
          <w:spacing w:val="11"/>
          <w:sz w:val="22"/>
        </w:rPr>
        <w:t> </w:t>
      </w:r>
      <w:r>
        <w:rPr>
          <w:sz w:val="22"/>
        </w:rPr>
        <w:t>animals</w:t>
      </w:r>
      <w:r>
        <w:rPr>
          <w:spacing w:val="9"/>
          <w:sz w:val="22"/>
        </w:rPr>
        <w:t> </w:t>
      </w:r>
      <w:r>
        <w:rPr>
          <w:sz w:val="22"/>
        </w:rPr>
        <w:t>were</w:t>
      </w:r>
      <w:r>
        <w:rPr>
          <w:spacing w:val="11"/>
          <w:sz w:val="22"/>
        </w:rPr>
        <w:t> </w:t>
      </w:r>
      <w:r>
        <w:rPr>
          <w:sz w:val="22"/>
        </w:rPr>
        <w:t>&lt;</w:t>
      </w:r>
      <w:r>
        <w:rPr>
          <w:spacing w:val="8"/>
          <w:sz w:val="22"/>
        </w:rPr>
        <w:t> </w:t>
      </w:r>
      <w:r>
        <w:rPr>
          <w:sz w:val="22"/>
        </w:rPr>
        <w:t>1</w:t>
      </w:r>
      <w:r>
        <w:rPr>
          <w:spacing w:val="8"/>
          <w:sz w:val="22"/>
        </w:rPr>
        <w:t> </w:t>
      </w:r>
      <w:r>
        <w:rPr>
          <w:sz w:val="22"/>
        </w:rPr>
        <w:t>year</w:t>
      </w:r>
      <w:r>
        <w:rPr>
          <w:spacing w:val="6"/>
          <w:sz w:val="22"/>
        </w:rPr>
        <w:t> </w:t>
      </w:r>
      <w:r>
        <w:rPr>
          <w:sz w:val="22"/>
        </w:rPr>
        <w:t>(1.04%),</w:t>
      </w:r>
      <w:r>
        <w:rPr>
          <w:spacing w:val="11"/>
          <w:sz w:val="22"/>
        </w:rPr>
        <w:t> </w:t>
      </w:r>
      <w:r>
        <w:rPr>
          <w:sz w:val="22"/>
        </w:rPr>
        <w:t>41</w:t>
      </w:r>
      <w:r>
        <w:rPr>
          <w:spacing w:val="8"/>
          <w:sz w:val="22"/>
        </w:rPr>
        <w:t> </w:t>
      </w:r>
      <w:r>
        <w:rPr>
          <w:sz w:val="22"/>
        </w:rPr>
        <w:t>were</w:t>
      </w:r>
      <w:r>
        <w:rPr>
          <w:spacing w:val="8"/>
          <w:sz w:val="22"/>
        </w:rPr>
        <w:t> </w:t>
      </w:r>
      <w:r>
        <w:rPr>
          <w:sz w:val="22"/>
        </w:rPr>
        <w:t>&gt;1</w:t>
      </w:r>
      <w:r>
        <w:rPr>
          <w:spacing w:val="8"/>
          <w:sz w:val="22"/>
        </w:rPr>
        <w:t> </w:t>
      </w:r>
      <w:r>
        <w:rPr>
          <w:sz w:val="22"/>
        </w:rPr>
        <w:t>to</w:t>
      </w:r>
      <w:r>
        <w:rPr>
          <w:spacing w:val="10"/>
          <w:sz w:val="22"/>
        </w:rPr>
        <w:t> </w:t>
      </w:r>
      <w:r>
        <w:rPr>
          <w:sz w:val="22"/>
        </w:rPr>
        <w:t>5</w:t>
      </w:r>
      <w:r>
        <w:rPr>
          <w:spacing w:val="10"/>
          <w:sz w:val="22"/>
        </w:rPr>
        <w:t> </w:t>
      </w:r>
      <w:r>
        <w:rPr>
          <w:sz w:val="22"/>
        </w:rPr>
        <w:t>years</w:t>
      </w:r>
      <w:r>
        <w:rPr>
          <w:spacing w:val="11"/>
          <w:sz w:val="22"/>
        </w:rPr>
        <w:t> </w:t>
      </w:r>
      <w:r>
        <w:rPr>
          <w:sz w:val="22"/>
        </w:rPr>
        <w:t>(14.23%)</w:t>
      </w:r>
      <w:r>
        <w:rPr>
          <w:spacing w:val="10"/>
          <w:sz w:val="22"/>
        </w:rPr>
        <w:t> </w:t>
      </w:r>
      <w:r>
        <w:rPr>
          <w:sz w:val="22"/>
        </w:rPr>
        <w:t>and</w:t>
      </w:r>
      <w:r>
        <w:rPr>
          <w:spacing w:val="8"/>
          <w:sz w:val="22"/>
        </w:rPr>
        <w:t> </w:t>
      </w:r>
      <w:r>
        <w:rPr>
          <w:sz w:val="22"/>
        </w:rPr>
        <w:t>244</w:t>
      </w:r>
      <w:r>
        <w:rPr>
          <w:spacing w:val="11"/>
          <w:sz w:val="22"/>
        </w:rPr>
        <w:t> </w:t>
      </w:r>
      <w:r>
        <w:rPr>
          <w:sz w:val="22"/>
        </w:rPr>
        <w:t>were</w:t>
      </w:r>
      <w:r>
        <w:rPr>
          <w:spacing w:val="11"/>
          <w:sz w:val="22"/>
        </w:rPr>
        <w:t> </w:t>
      </w:r>
      <w:r>
        <w:rPr>
          <w:sz w:val="22"/>
        </w:rPr>
        <w:t>&gt;</w:t>
      </w:r>
      <w:r>
        <w:rPr>
          <w:spacing w:val="10"/>
          <w:sz w:val="22"/>
        </w:rPr>
        <w:t> </w:t>
      </w:r>
      <w:r>
        <w:rPr>
          <w:sz w:val="22"/>
        </w:rPr>
        <w:t>6</w:t>
      </w:r>
      <w:r>
        <w:rPr>
          <w:spacing w:val="8"/>
          <w:sz w:val="22"/>
        </w:rPr>
        <w:t> </w:t>
      </w:r>
      <w:r>
        <w:rPr>
          <w:sz w:val="22"/>
        </w:rPr>
        <w:t>years</w:t>
      </w:r>
    </w:p>
    <w:p>
      <w:pPr>
        <w:tabs>
          <w:tab w:pos="1937" w:val="left" w:leader="none"/>
        </w:tabs>
        <w:spacing w:before="138"/>
        <w:ind w:left="1253" w:right="2029" w:firstLine="0"/>
        <w:jc w:val="left"/>
        <w:rPr>
          <w:rFonts w:ascii="Times New Roman"/>
          <w:sz w:val="22"/>
        </w:rPr>
      </w:pPr>
      <w:r>
        <w:rPr>
          <w:rFonts w:ascii="Cambria"/>
          <w:w w:val="105"/>
          <w:sz w:val="20"/>
        </w:rPr>
        <w:t>133</w:t>
        <w:tab/>
      </w:r>
      <w:r>
        <w:rPr>
          <w:rFonts w:ascii="Times New Roman"/>
          <w:w w:val="105"/>
          <w:sz w:val="22"/>
        </w:rPr>
        <w:t>244</w:t>
      </w:r>
      <w:r>
        <w:rPr>
          <w:rFonts w:ascii="Times New Roman"/>
          <w:spacing w:val="-36"/>
          <w:w w:val="105"/>
          <w:sz w:val="22"/>
        </w:rPr>
        <w:t> </w:t>
      </w:r>
      <w:r>
        <w:rPr>
          <w:rFonts w:ascii="Times New Roman"/>
          <w:w w:val="105"/>
          <w:sz w:val="22"/>
        </w:rPr>
        <w:t>(84.72%).</w:t>
      </w:r>
    </w:p>
    <w:p>
      <w:pPr>
        <w:pStyle w:val="BodyText"/>
        <w:spacing w:before="5"/>
        <w:rPr>
          <w:rFonts w:ascii="Times New Roman"/>
          <w:sz w:val="21"/>
        </w:rPr>
      </w:pPr>
    </w:p>
    <w:p>
      <w:pPr>
        <w:pStyle w:val="ListParagraph"/>
        <w:numPr>
          <w:ilvl w:val="0"/>
          <w:numId w:val="11"/>
        </w:numPr>
        <w:tabs>
          <w:tab w:pos="1937" w:val="left" w:leader="none"/>
          <w:tab w:pos="1938" w:val="left" w:leader="none"/>
        </w:tabs>
        <w:spacing w:line="240" w:lineRule="auto" w:before="76" w:after="0"/>
        <w:ind w:left="1937" w:right="0" w:hanging="684"/>
        <w:jc w:val="left"/>
        <w:rPr>
          <w:sz w:val="22"/>
        </w:rPr>
      </w:pPr>
      <w:r>
        <w:rPr>
          <w:sz w:val="22"/>
        </w:rPr>
        <w:t>A</w:t>
      </w:r>
      <w:r>
        <w:rPr>
          <w:spacing w:val="12"/>
          <w:sz w:val="22"/>
        </w:rPr>
        <w:t> </w:t>
      </w:r>
      <w:r>
        <w:rPr>
          <w:sz w:val="22"/>
        </w:rPr>
        <w:t>total</w:t>
      </w:r>
      <w:r>
        <w:rPr>
          <w:spacing w:val="11"/>
          <w:sz w:val="22"/>
        </w:rPr>
        <w:t> </w:t>
      </w:r>
      <w:r>
        <w:rPr>
          <w:sz w:val="22"/>
        </w:rPr>
        <w:t>of</w:t>
      </w:r>
      <w:r>
        <w:rPr>
          <w:spacing w:val="10"/>
          <w:sz w:val="22"/>
        </w:rPr>
        <w:t> </w:t>
      </w:r>
      <w:r>
        <w:rPr>
          <w:sz w:val="22"/>
        </w:rPr>
        <w:t>40</w:t>
      </w:r>
      <w:r>
        <w:rPr>
          <w:spacing w:val="11"/>
          <w:sz w:val="22"/>
        </w:rPr>
        <w:t> </w:t>
      </w:r>
      <w:r>
        <w:rPr>
          <w:sz w:val="22"/>
        </w:rPr>
        <w:t>breeds</w:t>
      </w:r>
      <w:r>
        <w:rPr>
          <w:spacing w:val="10"/>
          <w:sz w:val="22"/>
        </w:rPr>
        <w:t> </w:t>
      </w:r>
      <w:r>
        <w:rPr>
          <w:sz w:val="22"/>
        </w:rPr>
        <w:t>were</w:t>
      </w:r>
      <w:r>
        <w:rPr>
          <w:spacing w:val="12"/>
          <w:sz w:val="22"/>
        </w:rPr>
        <w:t> </w:t>
      </w:r>
      <w:r>
        <w:rPr>
          <w:sz w:val="22"/>
        </w:rPr>
        <w:t>studied</w:t>
      </w:r>
      <w:r>
        <w:rPr>
          <w:spacing w:val="8"/>
          <w:sz w:val="22"/>
        </w:rPr>
        <w:t> </w:t>
      </w:r>
      <w:r>
        <w:rPr>
          <w:sz w:val="22"/>
        </w:rPr>
        <w:t>with</w:t>
      </w:r>
      <w:r>
        <w:rPr>
          <w:spacing w:val="5"/>
          <w:sz w:val="22"/>
        </w:rPr>
        <w:t> </w:t>
      </w:r>
      <w:r>
        <w:rPr>
          <w:sz w:val="22"/>
        </w:rPr>
        <w:t>the</w:t>
      </w:r>
      <w:r>
        <w:rPr>
          <w:spacing w:val="10"/>
          <w:sz w:val="22"/>
        </w:rPr>
        <w:t> </w:t>
      </w:r>
      <w:r>
        <w:rPr>
          <w:sz w:val="22"/>
        </w:rPr>
        <w:t>most</w:t>
      </w:r>
      <w:r>
        <w:rPr>
          <w:spacing w:val="11"/>
          <w:sz w:val="22"/>
        </w:rPr>
        <w:t> </w:t>
      </w:r>
      <w:r>
        <w:rPr>
          <w:sz w:val="22"/>
        </w:rPr>
        <w:t>frequent</w:t>
      </w:r>
      <w:r>
        <w:rPr>
          <w:spacing w:val="11"/>
          <w:sz w:val="22"/>
        </w:rPr>
        <w:t> </w:t>
      </w:r>
      <w:r>
        <w:rPr>
          <w:sz w:val="22"/>
        </w:rPr>
        <w:t>being</w:t>
      </w:r>
      <w:r>
        <w:rPr>
          <w:spacing w:val="11"/>
          <w:sz w:val="22"/>
        </w:rPr>
        <w:t> </w:t>
      </w:r>
      <w:r>
        <w:rPr>
          <w:sz w:val="22"/>
        </w:rPr>
        <w:t>the</w:t>
      </w:r>
      <w:r>
        <w:rPr>
          <w:spacing w:val="12"/>
          <w:sz w:val="22"/>
        </w:rPr>
        <w:t> </w:t>
      </w:r>
      <w:r>
        <w:rPr>
          <w:sz w:val="22"/>
        </w:rPr>
        <w:t>poodle</w:t>
      </w:r>
      <w:r>
        <w:rPr>
          <w:spacing w:val="12"/>
          <w:sz w:val="22"/>
        </w:rPr>
        <w:t> </w:t>
      </w:r>
      <w:r>
        <w:rPr>
          <w:sz w:val="22"/>
        </w:rPr>
        <w:t>with</w:t>
      </w:r>
      <w:r>
        <w:rPr>
          <w:spacing w:val="11"/>
          <w:sz w:val="22"/>
        </w:rPr>
        <w:t> </w:t>
      </w:r>
      <w:r>
        <w:rPr>
          <w:sz w:val="22"/>
        </w:rPr>
        <w:t>62</w:t>
      </w:r>
      <w:r>
        <w:rPr>
          <w:spacing w:val="11"/>
          <w:sz w:val="22"/>
        </w:rPr>
        <w:t> </w:t>
      </w:r>
      <w:r>
        <w:rPr>
          <w:sz w:val="22"/>
        </w:rPr>
        <w:t>(21.52%)</w:t>
      </w:r>
    </w:p>
    <w:p>
      <w:pPr>
        <w:pStyle w:val="ListParagraph"/>
        <w:numPr>
          <w:ilvl w:val="0"/>
          <w:numId w:val="11"/>
        </w:numPr>
        <w:tabs>
          <w:tab w:pos="1937" w:val="left" w:leader="none"/>
          <w:tab w:pos="1938" w:val="left" w:leader="none"/>
        </w:tabs>
        <w:spacing w:line="240" w:lineRule="auto" w:before="136" w:after="0"/>
        <w:ind w:left="1937" w:right="0" w:hanging="684"/>
        <w:jc w:val="left"/>
        <w:rPr>
          <w:sz w:val="22"/>
        </w:rPr>
      </w:pPr>
      <w:r>
        <w:rPr>
          <w:sz w:val="22"/>
        </w:rPr>
        <w:t>specimens, Labrador retriever with 38 (13.19%), schnauzer with 36 (12.50%), cocker   </w:t>
      </w:r>
      <w:r>
        <w:rPr>
          <w:spacing w:val="8"/>
          <w:sz w:val="22"/>
        </w:rPr>
        <w:t> </w:t>
      </w:r>
      <w:r>
        <w:rPr>
          <w:sz w:val="22"/>
        </w:rPr>
        <w:t>spaniel</w:t>
      </w:r>
    </w:p>
    <w:p>
      <w:pPr>
        <w:pStyle w:val="ListParagraph"/>
        <w:numPr>
          <w:ilvl w:val="0"/>
          <w:numId w:val="11"/>
        </w:numPr>
        <w:tabs>
          <w:tab w:pos="1937" w:val="left" w:leader="none"/>
          <w:tab w:pos="1938" w:val="left" w:leader="none"/>
        </w:tabs>
        <w:spacing w:line="240" w:lineRule="auto" w:before="136" w:after="0"/>
        <w:ind w:left="1937" w:right="0" w:hanging="684"/>
        <w:jc w:val="left"/>
        <w:rPr>
          <w:sz w:val="22"/>
        </w:rPr>
      </w:pPr>
      <w:r>
        <w:rPr>
          <w:sz w:val="22"/>
        </w:rPr>
        <w:t>with 26 (9.02%), golden retriever with 18 (6.25%) and Chihuahua with 12 (4.16%),   </w:t>
      </w:r>
      <w:r>
        <w:rPr>
          <w:spacing w:val="4"/>
          <w:sz w:val="22"/>
        </w:rPr>
        <w:t> </w:t>
      </w:r>
      <w:r>
        <w:rPr>
          <w:sz w:val="22"/>
        </w:rPr>
        <w:t>aside</w:t>
      </w:r>
    </w:p>
    <w:p>
      <w:pPr>
        <w:pStyle w:val="ListParagraph"/>
        <w:numPr>
          <w:ilvl w:val="0"/>
          <w:numId w:val="11"/>
        </w:numPr>
        <w:tabs>
          <w:tab w:pos="1937" w:val="left" w:leader="none"/>
          <w:tab w:pos="1938" w:val="left" w:leader="none"/>
        </w:tabs>
        <w:spacing w:line="240" w:lineRule="auto" w:before="136" w:after="0"/>
        <w:ind w:left="1937" w:right="0" w:hanging="684"/>
        <w:jc w:val="left"/>
        <w:rPr>
          <w:sz w:val="22"/>
        </w:rPr>
      </w:pPr>
      <w:r>
        <w:rPr>
          <w:sz w:val="22"/>
        </w:rPr>
        <w:t>from the 23 mongrel dogs </w:t>
      </w:r>
      <w:r>
        <w:rPr>
          <w:spacing w:val="12"/>
          <w:sz w:val="22"/>
        </w:rPr>
        <w:t> </w:t>
      </w:r>
      <w:r>
        <w:rPr>
          <w:sz w:val="22"/>
        </w:rPr>
        <w:t>(7.98%).</w:t>
      </w:r>
    </w:p>
    <w:p>
      <w:pPr>
        <w:pStyle w:val="BodyText"/>
        <w:spacing w:before="7"/>
        <w:rPr>
          <w:rFonts w:ascii="Times New Roman"/>
          <w:sz w:val="21"/>
        </w:rPr>
      </w:pPr>
    </w:p>
    <w:p>
      <w:pPr>
        <w:pStyle w:val="ListParagraph"/>
        <w:numPr>
          <w:ilvl w:val="0"/>
          <w:numId w:val="11"/>
        </w:numPr>
        <w:tabs>
          <w:tab w:pos="1937" w:val="left" w:leader="none"/>
          <w:tab w:pos="1938" w:val="left" w:leader="none"/>
        </w:tabs>
        <w:spacing w:line="240" w:lineRule="auto" w:before="77" w:after="0"/>
        <w:ind w:left="1937" w:right="0" w:hanging="684"/>
        <w:jc w:val="left"/>
        <w:rPr>
          <w:sz w:val="22"/>
        </w:rPr>
      </w:pPr>
      <w:r>
        <w:rPr>
          <w:sz w:val="22"/>
        </w:rPr>
        <w:t>The distribution of patients in the different disease stages based on the classification  </w:t>
      </w:r>
      <w:r>
        <w:rPr>
          <w:spacing w:val="49"/>
          <w:sz w:val="22"/>
        </w:rPr>
        <w:t> </w:t>
      </w:r>
      <w:r>
        <w:rPr>
          <w:sz w:val="22"/>
        </w:rPr>
        <w:t>of</w:t>
      </w:r>
    </w:p>
    <w:p>
      <w:pPr>
        <w:pStyle w:val="ListParagraph"/>
        <w:numPr>
          <w:ilvl w:val="0"/>
          <w:numId w:val="11"/>
        </w:numPr>
        <w:tabs>
          <w:tab w:pos="1937" w:val="left" w:leader="none"/>
          <w:tab w:pos="1938" w:val="left" w:leader="none"/>
        </w:tabs>
        <w:spacing w:line="240" w:lineRule="auto" w:before="136" w:after="0"/>
        <w:ind w:left="1937" w:right="0" w:hanging="684"/>
        <w:jc w:val="left"/>
        <w:rPr>
          <w:sz w:val="22"/>
        </w:rPr>
      </w:pPr>
      <w:r>
        <w:rPr>
          <w:sz w:val="22"/>
        </w:rPr>
        <w:t>Cortadellas et al, 2009 is shown in Table </w:t>
      </w:r>
      <w:r>
        <w:rPr>
          <w:spacing w:val="24"/>
          <w:sz w:val="22"/>
        </w:rPr>
        <w:t> </w:t>
      </w:r>
      <w:r>
        <w:rPr>
          <w:sz w:val="22"/>
        </w:rPr>
        <w:t>1.</w:t>
      </w:r>
    </w:p>
    <w:p>
      <w:pPr>
        <w:pStyle w:val="BodyText"/>
        <w:spacing w:before="5"/>
        <w:rPr>
          <w:rFonts w:ascii="Times New Roman"/>
          <w:sz w:val="21"/>
        </w:rPr>
      </w:pPr>
    </w:p>
    <w:p>
      <w:pPr>
        <w:pStyle w:val="ListParagraph"/>
        <w:numPr>
          <w:ilvl w:val="0"/>
          <w:numId w:val="11"/>
        </w:numPr>
        <w:tabs>
          <w:tab w:pos="1937" w:val="left" w:leader="none"/>
          <w:tab w:pos="1938" w:val="left" w:leader="none"/>
        </w:tabs>
        <w:spacing w:line="240" w:lineRule="auto" w:before="76" w:after="0"/>
        <w:ind w:left="1937" w:right="0" w:hanging="684"/>
        <w:jc w:val="left"/>
        <w:rPr>
          <w:sz w:val="22"/>
        </w:rPr>
      </w:pPr>
      <w:r>
        <w:rPr>
          <w:sz w:val="22"/>
        </w:rPr>
        <w:t>Among the study’s total population, the risk factors or comorbidities were distributed   </w:t>
      </w:r>
      <w:r>
        <w:rPr>
          <w:spacing w:val="8"/>
          <w:sz w:val="22"/>
        </w:rPr>
        <w:t> </w:t>
      </w:r>
      <w:r>
        <w:rPr>
          <w:sz w:val="22"/>
        </w:rPr>
        <w:t>based</w:t>
      </w:r>
    </w:p>
    <w:p>
      <w:pPr>
        <w:pStyle w:val="ListParagraph"/>
        <w:numPr>
          <w:ilvl w:val="0"/>
          <w:numId w:val="11"/>
        </w:numPr>
        <w:tabs>
          <w:tab w:pos="1937" w:val="left" w:leader="none"/>
          <w:tab w:pos="1938" w:val="left" w:leader="none"/>
        </w:tabs>
        <w:spacing w:line="240" w:lineRule="auto" w:before="138" w:after="0"/>
        <w:ind w:left="1937" w:right="0" w:hanging="684"/>
        <w:jc w:val="left"/>
        <w:rPr>
          <w:sz w:val="22"/>
        </w:rPr>
      </w:pPr>
      <w:r>
        <w:rPr>
          <w:sz w:val="22"/>
        </w:rPr>
        <w:t>on their frequency as follows (each patient might manifest one or more  </w:t>
      </w:r>
      <w:r>
        <w:rPr>
          <w:spacing w:val="30"/>
          <w:sz w:val="22"/>
        </w:rPr>
        <w:t> </w:t>
      </w:r>
      <w:r>
        <w:rPr>
          <w:sz w:val="22"/>
        </w:rPr>
        <w:t>factors</w:t>
      </w:r>
    </w:p>
    <w:p>
      <w:pPr>
        <w:pStyle w:val="ListParagraph"/>
        <w:numPr>
          <w:ilvl w:val="0"/>
          <w:numId w:val="11"/>
        </w:numPr>
        <w:tabs>
          <w:tab w:pos="1937" w:val="left" w:leader="none"/>
          <w:tab w:pos="1938" w:val="left" w:leader="none"/>
        </w:tabs>
        <w:spacing w:line="240" w:lineRule="auto" w:before="136" w:after="0"/>
        <w:ind w:left="1937" w:right="0" w:hanging="684"/>
        <w:jc w:val="left"/>
        <w:rPr>
          <w:sz w:val="22"/>
        </w:rPr>
      </w:pPr>
      <w:r>
        <w:rPr>
          <w:sz w:val="22"/>
        </w:rPr>
        <w:t>simultaneously): 148 with a chronic inflammatory process, 103 with neoplasia, 47  </w:t>
      </w:r>
      <w:r>
        <w:rPr>
          <w:spacing w:val="49"/>
          <w:sz w:val="22"/>
        </w:rPr>
        <w:t> </w:t>
      </w:r>
      <w:r>
        <w:rPr>
          <w:sz w:val="22"/>
        </w:rPr>
        <w:t>with</w:t>
      </w:r>
    </w:p>
    <w:p>
      <w:pPr>
        <w:pStyle w:val="ListParagraph"/>
        <w:numPr>
          <w:ilvl w:val="0"/>
          <w:numId w:val="11"/>
        </w:numPr>
        <w:tabs>
          <w:tab w:pos="1937" w:val="left" w:leader="none"/>
          <w:tab w:pos="1938" w:val="left" w:leader="none"/>
        </w:tabs>
        <w:spacing w:line="240" w:lineRule="auto" w:before="136" w:after="0"/>
        <w:ind w:left="1937" w:right="0" w:hanging="684"/>
        <w:jc w:val="left"/>
        <w:rPr>
          <w:sz w:val="22"/>
        </w:rPr>
      </w:pPr>
      <w:r>
        <w:rPr>
          <w:sz w:val="22"/>
        </w:rPr>
        <w:t>cardiopathy, 33 medicated with nephrotoxic drugs, 16 undergone surgery, 16  </w:t>
      </w:r>
      <w:r>
        <w:rPr>
          <w:spacing w:val="40"/>
          <w:sz w:val="22"/>
        </w:rPr>
        <w:t> </w:t>
      </w:r>
      <w:r>
        <w:rPr>
          <w:sz w:val="22"/>
        </w:rPr>
        <w:t>with</w:t>
      </w:r>
    </w:p>
    <w:p>
      <w:pPr>
        <w:pStyle w:val="ListParagraph"/>
        <w:numPr>
          <w:ilvl w:val="0"/>
          <w:numId w:val="11"/>
        </w:numPr>
        <w:tabs>
          <w:tab w:pos="1937" w:val="left" w:leader="none"/>
          <w:tab w:pos="1938" w:val="left" w:leader="none"/>
        </w:tabs>
        <w:spacing w:line="240" w:lineRule="auto" w:before="136" w:after="0"/>
        <w:ind w:left="1937" w:right="0" w:hanging="684"/>
        <w:jc w:val="left"/>
        <w:rPr>
          <w:sz w:val="22"/>
        </w:rPr>
      </w:pPr>
      <w:r>
        <w:rPr>
          <w:sz w:val="22"/>
        </w:rPr>
        <w:t>endocrinopathies, 14 with infectious disease, 9 with of hepatopathy and 8 with a diagnosis  </w:t>
      </w:r>
      <w:r>
        <w:rPr>
          <w:spacing w:val="53"/>
          <w:sz w:val="22"/>
        </w:rPr>
        <w:t> </w:t>
      </w:r>
      <w:r>
        <w:rPr>
          <w:sz w:val="22"/>
        </w:rPr>
        <w:t>of</w:t>
      </w:r>
    </w:p>
    <w:p>
      <w:pPr>
        <w:pStyle w:val="ListParagraph"/>
        <w:numPr>
          <w:ilvl w:val="0"/>
          <w:numId w:val="11"/>
        </w:numPr>
        <w:tabs>
          <w:tab w:pos="1937" w:val="left" w:leader="none"/>
          <w:tab w:pos="1938" w:val="left" w:leader="none"/>
        </w:tabs>
        <w:spacing w:line="240" w:lineRule="auto" w:before="136" w:after="0"/>
        <w:ind w:left="1937" w:right="0" w:hanging="684"/>
        <w:jc w:val="left"/>
        <w:rPr>
          <w:sz w:val="22"/>
        </w:rPr>
      </w:pPr>
      <w:r>
        <w:rPr>
          <w:sz w:val="22"/>
        </w:rPr>
        <w:t>a urinary tract flow disease. The comorbidity distribution associated with patients with  </w:t>
      </w:r>
      <w:r>
        <w:rPr>
          <w:spacing w:val="54"/>
          <w:sz w:val="22"/>
        </w:rPr>
        <w:t> </w:t>
      </w:r>
      <w:r>
        <w:rPr>
          <w:sz w:val="22"/>
        </w:rPr>
        <w:t>or</w:t>
      </w:r>
    </w:p>
    <w:p>
      <w:pPr>
        <w:pStyle w:val="ListParagraph"/>
        <w:numPr>
          <w:ilvl w:val="0"/>
          <w:numId w:val="11"/>
        </w:numPr>
        <w:tabs>
          <w:tab w:pos="1937" w:val="left" w:leader="none"/>
          <w:tab w:pos="1938" w:val="left" w:leader="none"/>
        </w:tabs>
        <w:spacing w:line="240" w:lineRule="auto" w:before="136" w:after="0"/>
        <w:ind w:left="1937" w:right="0" w:hanging="684"/>
        <w:jc w:val="left"/>
        <w:rPr>
          <w:sz w:val="22"/>
        </w:rPr>
      </w:pPr>
      <w:r>
        <w:rPr>
          <w:sz w:val="22"/>
        </w:rPr>
        <w:t>without CKD is shown in Table </w:t>
      </w:r>
      <w:r>
        <w:rPr>
          <w:spacing w:val="10"/>
          <w:sz w:val="22"/>
        </w:rPr>
        <w:t> </w:t>
      </w:r>
      <w:r>
        <w:rPr>
          <w:sz w:val="22"/>
        </w:rPr>
        <w:t>2.</w:t>
      </w:r>
    </w:p>
    <w:p>
      <w:pPr>
        <w:pStyle w:val="BodyText"/>
        <w:spacing w:before="10"/>
        <w:rPr>
          <w:rFonts w:ascii="Times New Roman"/>
          <w:sz w:val="17"/>
        </w:rPr>
      </w:pPr>
    </w:p>
    <w:p>
      <w:pPr>
        <w:pStyle w:val="ListParagraph"/>
        <w:numPr>
          <w:ilvl w:val="0"/>
          <w:numId w:val="11"/>
        </w:numPr>
        <w:tabs>
          <w:tab w:pos="1937" w:val="left" w:leader="none"/>
          <w:tab w:pos="1938" w:val="left" w:leader="none"/>
        </w:tabs>
        <w:spacing w:line="240" w:lineRule="auto" w:before="85" w:after="0"/>
        <w:ind w:left="1937" w:right="0" w:hanging="684"/>
        <w:jc w:val="left"/>
        <w:rPr>
          <w:sz w:val="22"/>
        </w:rPr>
      </w:pPr>
      <w:r>
        <w:rPr>
          <w:sz w:val="22"/>
        </w:rPr>
        <w:t>According to the values obtained in the </w:t>
      </w:r>
      <w:r>
        <w:rPr>
          <w:i/>
          <w:sz w:val="22"/>
        </w:rPr>
        <w:t>X</w:t>
      </w:r>
      <w:r>
        <w:rPr>
          <w:i/>
          <w:position w:val="10"/>
          <w:sz w:val="15"/>
        </w:rPr>
        <w:t>2  </w:t>
      </w:r>
      <w:r>
        <w:rPr>
          <w:sz w:val="22"/>
        </w:rPr>
        <w:t>analysis, cardiopathies,  </w:t>
      </w:r>
      <w:r>
        <w:rPr>
          <w:spacing w:val="18"/>
          <w:sz w:val="22"/>
        </w:rPr>
        <w:t> </w:t>
      </w:r>
      <w:r>
        <w:rPr>
          <w:sz w:val="22"/>
        </w:rPr>
        <w:t>endocrinopathies,</w:t>
      </w:r>
    </w:p>
    <w:p>
      <w:pPr>
        <w:pStyle w:val="ListParagraph"/>
        <w:numPr>
          <w:ilvl w:val="0"/>
          <w:numId w:val="11"/>
        </w:numPr>
        <w:tabs>
          <w:tab w:pos="1937" w:val="left" w:leader="none"/>
          <w:tab w:pos="1938" w:val="left" w:leader="none"/>
        </w:tabs>
        <w:spacing w:line="240" w:lineRule="auto" w:before="133" w:after="0"/>
        <w:ind w:left="1937" w:right="0" w:hanging="684"/>
        <w:jc w:val="left"/>
        <w:rPr>
          <w:sz w:val="22"/>
        </w:rPr>
      </w:pPr>
      <w:r>
        <w:rPr>
          <w:sz w:val="22"/>
        </w:rPr>
        <w:t>hepatopathies and neoplasia were most likely to be considered risk factors. A  </w:t>
      </w:r>
      <w:r>
        <w:rPr>
          <w:spacing w:val="44"/>
          <w:sz w:val="22"/>
        </w:rPr>
        <w:t> </w:t>
      </w:r>
      <w:r>
        <w:rPr>
          <w:sz w:val="22"/>
        </w:rPr>
        <w:t>logistic</w:t>
      </w:r>
    </w:p>
    <w:p>
      <w:pPr>
        <w:pStyle w:val="ListParagraph"/>
        <w:numPr>
          <w:ilvl w:val="0"/>
          <w:numId w:val="11"/>
        </w:numPr>
        <w:tabs>
          <w:tab w:pos="1937" w:val="left" w:leader="none"/>
          <w:tab w:pos="1938" w:val="left" w:leader="none"/>
        </w:tabs>
        <w:spacing w:line="240" w:lineRule="auto" w:before="138" w:after="0"/>
        <w:ind w:left="1937" w:right="0" w:hanging="684"/>
        <w:jc w:val="left"/>
        <w:rPr>
          <w:sz w:val="22"/>
        </w:rPr>
      </w:pPr>
      <w:r>
        <w:rPr>
          <w:sz w:val="22"/>
        </w:rPr>
        <w:t>regression analysis was performed on these and corrected OR’s are shown in Table  </w:t>
      </w:r>
      <w:r>
        <w:rPr>
          <w:spacing w:val="46"/>
          <w:sz w:val="22"/>
        </w:rPr>
        <w:t> </w:t>
      </w:r>
      <w:r>
        <w:rPr>
          <w:sz w:val="22"/>
        </w:rPr>
        <w:t>3.</w:t>
      </w:r>
    </w:p>
    <w:p>
      <w:pPr>
        <w:pStyle w:val="BodyText"/>
        <w:spacing w:before="7"/>
        <w:rPr>
          <w:rFonts w:ascii="Times New Roman"/>
          <w:sz w:val="21"/>
        </w:rPr>
      </w:pPr>
    </w:p>
    <w:p>
      <w:pPr>
        <w:pStyle w:val="ListParagraph"/>
        <w:numPr>
          <w:ilvl w:val="0"/>
          <w:numId w:val="11"/>
        </w:numPr>
        <w:tabs>
          <w:tab w:pos="1937" w:val="left" w:leader="none"/>
          <w:tab w:pos="1938" w:val="left" w:leader="none"/>
        </w:tabs>
        <w:spacing w:line="240" w:lineRule="auto" w:before="77" w:after="0"/>
        <w:ind w:left="1937" w:right="0" w:hanging="684"/>
        <w:jc w:val="left"/>
        <w:rPr>
          <w:sz w:val="22"/>
        </w:rPr>
      </w:pPr>
      <w:r>
        <w:rPr>
          <w:sz w:val="22"/>
        </w:rPr>
        <w:t>Data resulting from the logistic regression study showed that patients with cardiopathies  </w:t>
      </w:r>
      <w:r>
        <w:rPr>
          <w:spacing w:val="50"/>
          <w:sz w:val="22"/>
        </w:rPr>
        <w:t> </w:t>
      </w:r>
      <w:r>
        <w:rPr>
          <w:sz w:val="22"/>
        </w:rPr>
        <w:t>or</w:t>
      </w:r>
    </w:p>
    <w:p>
      <w:pPr>
        <w:pStyle w:val="ListParagraph"/>
        <w:numPr>
          <w:ilvl w:val="0"/>
          <w:numId w:val="11"/>
        </w:numPr>
        <w:tabs>
          <w:tab w:pos="1937" w:val="left" w:leader="none"/>
          <w:tab w:pos="1938" w:val="left" w:leader="none"/>
        </w:tabs>
        <w:spacing w:line="240" w:lineRule="auto" w:before="133" w:after="0"/>
        <w:ind w:left="1937" w:right="0" w:hanging="684"/>
        <w:jc w:val="left"/>
        <w:rPr>
          <w:sz w:val="22"/>
        </w:rPr>
      </w:pPr>
      <w:r>
        <w:rPr>
          <w:sz w:val="22"/>
        </w:rPr>
        <w:t>endocrinopathies have a higher probability of developing CKD and thus these can  </w:t>
      </w:r>
      <w:r>
        <w:rPr>
          <w:spacing w:val="48"/>
          <w:sz w:val="22"/>
        </w:rPr>
        <w:t> </w:t>
      </w:r>
      <w:r>
        <w:rPr>
          <w:sz w:val="22"/>
        </w:rPr>
        <w:t>be</w:t>
      </w:r>
    </w:p>
    <w:p>
      <w:pPr>
        <w:pStyle w:val="ListParagraph"/>
        <w:numPr>
          <w:ilvl w:val="0"/>
          <w:numId w:val="11"/>
        </w:numPr>
        <w:tabs>
          <w:tab w:pos="1937" w:val="left" w:leader="none"/>
          <w:tab w:pos="1938" w:val="left" w:leader="none"/>
        </w:tabs>
        <w:spacing w:line="240" w:lineRule="auto" w:before="138" w:after="0"/>
        <w:ind w:left="1937" w:right="0" w:hanging="684"/>
        <w:jc w:val="left"/>
        <w:rPr>
          <w:sz w:val="22"/>
        </w:rPr>
      </w:pPr>
      <w:r>
        <w:rPr>
          <w:sz w:val="22"/>
        </w:rPr>
        <w:t>considered as risk</w:t>
      </w:r>
      <w:r>
        <w:rPr>
          <w:spacing w:val="46"/>
          <w:sz w:val="22"/>
        </w:rPr>
        <w:t> </w:t>
      </w:r>
      <w:r>
        <w:rPr>
          <w:sz w:val="22"/>
        </w:rPr>
        <w:t>factors.</w:t>
      </w:r>
    </w:p>
    <w:p>
      <w:pPr>
        <w:spacing w:after="0" w:line="240" w:lineRule="auto"/>
        <w:jc w:val="left"/>
        <w:rPr>
          <w:sz w:val="22"/>
        </w:rPr>
        <w:sectPr>
          <w:headerReference w:type="default" r:id="rId71"/>
          <w:footerReference w:type="default" r:id="rId72"/>
          <w:pgSz w:w="12240" w:h="15840"/>
          <w:pgMar w:header="0" w:footer="0" w:top="140" w:bottom="280" w:left="0" w:right="1700"/>
        </w:sectPr>
      </w:pPr>
    </w:p>
    <w:p>
      <w:pPr>
        <w:tabs>
          <w:tab w:pos="10992" w:val="left" w:leader="none"/>
        </w:tabs>
        <w:spacing w:before="56"/>
        <w:ind w:left="3549" w:right="0" w:firstLine="0"/>
        <w:jc w:val="left"/>
        <w:rPr>
          <w:b/>
          <w:sz w:val="20"/>
        </w:rPr>
      </w:pPr>
      <w:r>
        <w:rPr>
          <w:b/>
          <w:sz w:val="20"/>
        </w:rPr>
        <w:t>Journal of the American Veterinary</w:t>
      </w:r>
      <w:r>
        <w:rPr>
          <w:b/>
          <w:spacing w:val="-16"/>
          <w:sz w:val="20"/>
        </w:rPr>
        <w:t> </w:t>
      </w:r>
      <w:r>
        <w:rPr>
          <w:b/>
          <w:sz w:val="20"/>
        </w:rPr>
        <w:t>Medical</w:t>
      </w:r>
      <w:r>
        <w:rPr>
          <w:b/>
          <w:spacing w:val="-3"/>
          <w:sz w:val="20"/>
        </w:rPr>
        <w:t> </w:t>
      </w:r>
      <w:r>
        <w:rPr>
          <w:b/>
          <w:sz w:val="20"/>
        </w:rPr>
        <w:t>Association</w:t>
        <w:tab/>
        <w:t>Page 6 of</w:t>
      </w:r>
    </w:p>
    <w:p>
      <w:pPr>
        <w:pStyle w:val="BodyText"/>
        <w:rPr>
          <w:b/>
          <w:sz w:val="20"/>
        </w:rPr>
      </w:pPr>
    </w:p>
    <w:p>
      <w:pPr>
        <w:pStyle w:val="BodyText"/>
        <w:rPr>
          <w:b/>
          <w:sz w:val="20"/>
        </w:rPr>
      </w:pPr>
    </w:p>
    <w:p>
      <w:pPr>
        <w:pStyle w:val="BodyText"/>
        <w:rPr>
          <w:b/>
          <w:sz w:val="20"/>
        </w:rPr>
      </w:pPr>
    </w:p>
    <w:p>
      <w:pPr>
        <w:pStyle w:val="BodyText"/>
        <w:spacing w:before="3"/>
        <w:rPr>
          <w:b/>
          <w:sz w:val="19"/>
        </w:rPr>
      </w:pPr>
    </w:p>
    <w:p>
      <w:pPr>
        <w:pStyle w:val="ListParagraph"/>
        <w:numPr>
          <w:ilvl w:val="0"/>
          <w:numId w:val="11"/>
        </w:numPr>
        <w:tabs>
          <w:tab w:pos="1937" w:val="left" w:leader="none"/>
          <w:tab w:pos="1938" w:val="left" w:leader="none"/>
        </w:tabs>
        <w:spacing w:line="240" w:lineRule="auto" w:before="0" w:after="0"/>
        <w:ind w:left="1937" w:right="0" w:hanging="684"/>
        <w:jc w:val="left"/>
        <w:rPr>
          <w:b/>
          <w:sz w:val="22"/>
        </w:rPr>
      </w:pPr>
      <w:r>
        <w:rPr>
          <w:b/>
          <w:sz w:val="22"/>
        </w:rPr>
        <w:t>Discussion</w:t>
      </w:r>
    </w:p>
    <w:p>
      <w:pPr>
        <w:pStyle w:val="BodyText"/>
        <w:rPr>
          <w:rFonts w:ascii="Times New Roman"/>
          <w:b/>
          <w:sz w:val="21"/>
        </w:rPr>
      </w:pPr>
    </w:p>
    <w:p>
      <w:pPr>
        <w:pStyle w:val="ListParagraph"/>
        <w:numPr>
          <w:ilvl w:val="0"/>
          <w:numId w:val="11"/>
        </w:numPr>
        <w:tabs>
          <w:tab w:pos="1937" w:val="left" w:leader="none"/>
          <w:tab w:pos="1938" w:val="left" w:leader="none"/>
        </w:tabs>
        <w:spacing w:line="240" w:lineRule="auto" w:before="76" w:after="0"/>
        <w:ind w:left="1937" w:right="0" w:hanging="684"/>
        <w:jc w:val="left"/>
        <w:rPr>
          <w:sz w:val="22"/>
        </w:rPr>
      </w:pPr>
      <w:r>
        <w:rPr>
          <w:sz w:val="22"/>
        </w:rPr>
        <w:t>According to the results obtained, the total female population (52.08%) was slightly  </w:t>
      </w:r>
      <w:r>
        <w:rPr>
          <w:spacing w:val="50"/>
          <w:sz w:val="22"/>
        </w:rPr>
        <w:t> </w:t>
      </w:r>
      <w:r>
        <w:rPr>
          <w:sz w:val="22"/>
        </w:rPr>
        <w:t>larger</w:t>
      </w:r>
    </w:p>
    <w:p>
      <w:pPr>
        <w:pStyle w:val="ListParagraph"/>
        <w:numPr>
          <w:ilvl w:val="0"/>
          <w:numId w:val="11"/>
        </w:numPr>
        <w:tabs>
          <w:tab w:pos="1937" w:val="left" w:leader="none"/>
          <w:tab w:pos="1938" w:val="left" w:leader="none"/>
        </w:tabs>
        <w:spacing w:line="240" w:lineRule="auto" w:before="133" w:after="0"/>
        <w:ind w:left="1937" w:right="0" w:hanging="684"/>
        <w:jc w:val="left"/>
        <w:rPr>
          <w:sz w:val="22"/>
        </w:rPr>
      </w:pPr>
      <w:r>
        <w:rPr>
          <w:sz w:val="22"/>
        </w:rPr>
        <w:t>than the male one (47.91%); however,   </w:t>
      </w:r>
      <w:r>
        <w:rPr>
          <w:spacing w:val="10"/>
          <w:sz w:val="22"/>
        </w:rPr>
        <w:t> </w:t>
      </w:r>
      <w:r>
        <w:rPr>
          <w:sz w:val="22"/>
        </w:rPr>
        <w:t>there was no evidence of predisposition for the disease</w:t>
      </w:r>
    </w:p>
    <w:p>
      <w:pPr>
        <w:pStyle w:val="ListParagraph"/>
        <w:numPr>
          <w:ilvl w:val="0"/>
          <w:numId w:val="11"/>
        </w:numPr>
        <w:tabs>
          <w:tab w:pos="1937" w:val="left" w:leader="none"/>
          <w:tab w:pos="1938" w:val="left" w:leader="none"/>
        </w:tabs>
        <w:spacing w:line="240" w:lineRule="auto" w:before="138" w:after="0"/>
        <w:ind w:left="1937" w:right="0" w:hanging="684"/>
        <w:jc w:val="left"/>
        <w:rPr>
          <w:sz w:val="22"/>
        </w:rPr>
      </w:pPr>
      <w:r>
        <w:rPr>
          <w:sz w:val="22"/>
        </w:rPr>
        <w:t>in either sex. Of the studied cases, 84.72% were ≥ 6   </w:t>
      </w:r>
      <w:r>
        <w:rPr>
          <w:spacing w:val="3"/>
          <w:sz w:val="22"/>
        </w:rPr>
        <w:t> </w:t>
      </w:r>
      <w:r>
        <w:rPr>
          <w:sz w:val="22"/>
        </w:rPr>
        <w:t>year-old animals and only 14.23% were</w:t>
      </w:r>
    </w:p>
    <w:p>
      <w:pPr>
        <w:pStyle w:val="ListParagraph"/>
        <w:numPr>
          <w:ilvl w:val="0"/>
          <w:numId w:val="11"/>
        </w:numPr>
        <w:tabs>
          <w:tab w:pos="1937" w:val="left" w:leader="none"/>
          <w:tab w:pos="1938" w:val="left" w:leader="none"/>
        </w:tabs>
        <w:spacing w:line="240" w:lineRule="auto" w:before="136" w:after="0"/>
        <w:ind w:left="1937" w:right="0" w:hanging="684"/>
        <w:jc w:val="left"/>
        <w:rPr>
          <w:sz w:val="22"/>
        </w:rPr>
      </w:pPr>
      <w:r>
        <w:rPr>
          <w:sz w:val="22"/>
        </w:rPr>
        <w:t>between 1 and 5 years old, which matches the information published previously by Lulich    et</w:t>
      </w:r>
    </w:p>
    <w:p>
      <w:pPr>
        <w:pStyle w:val="ListParagraph"/>
        <w:numPr>
          <w:ilvl w:val="0"/>
          <w:numId w:val="11"/>
        </w:numPr>
        <w:tabs>
          <w:tab w:pos="1937" w:val="left" w:leader="none"/>
          <w:tab w:pos="1938" w:val="left" w:leader="none"/>
        </w:tabs>
        <w:spacing w:line="240" w:lineRule="auto" w:before="101" w:after="0"/>
        <w:ind w:left="1937" w:right="0" w:hanging="684"/>
        <w:jc w:val="left"/>
        <w:rPr>
          <w:sz w:val="15"/>
        </w:rPr>
      </w:pPr>
      <w:r>
        <w:rPr>
          <w:sz w:val="22"/>
        </w:rPr>
        <w:t>al. 1992, considering that CKD manifests itself mostly in older  </w:t>
      </w:r>
      <w:r>
        <w:rPr>
          <w:spacing w:val="18"/>
          <w:sz w:val="22"/>
        </w:rPr>
        <w:t> </w:t>
      </w:r>
      <w:r>
        <w:rPr>
          <w:sz w:val="22"/>
        </w:rPr>
        <w:t>patients.</w:t>
      </w:r>
      <w:r>
        <w:rPr>
          <w:position w:val="10"/>
          <w:sz w:val="15"/>
        </w:rPr>
        <w:t>3</w:t>
      </w:r>
    </w:p>
    <w:p>
      <w:pPr>
        <w:pStyle w:val="BodyText"/>
        <w:spacing w:before="5"/>
        <w:rPr>
          <w:rFonts w:ascii="Times New Roman"/>
          <w:sz w:val="21"/>
        </w:rPr>
      </w:pPr>
    </w:p>
    <w:p>
      <w:pPr>
        <w:pStyle w:val="ListParagraph"/>
        <w:numPr>
          <w:ilvl w:val="0"/>
          <w:numId w:val="11"/>
        </w:numPr>
        <w:tabs>
          <w:tab w:pos="1937" w:val="left" w:leader="none"/>
          <w:tab w:pos="1938" w:val="left" w:leader="none"/>
        </w:tabs>
        <w:spacing w:line="240" w:lineRule="auto" w:before="76" w:after="0"/>
        <w:ind w:left="1937" w:right="0" w:hanging="684"/>
        <w:jc w:val="left"/>
        <w:rPr>
          <w:sz w:val="22"/>
        </w:rPr>
      </w:pPr>
      <w:r>
        <w:rPr/>
        <w:pict>
          <v:shape style="position:absolute;margin-left:120.872412pt;margin-top:169.530573pt;width:376.45pt;height:48pt;mso-position-horizontal-relative:page;mso-position-vertical-relative:paragraph;z-index:-123064;rotation:51" type="#_x0000_t136" fillcolor="#d6f1fe" stroked="f">
            <o:extrusion v:ext="view" autorotationcenter="t"/>
            <v:textpath style="font-family:&amp;quot;Arial&amp;quot;;font-size:48pt;v-text-kern:t;mso-text-shadow:auto;font-weight:bold" string="For Review Only"/>
            <w10:wrap type="none"/>
          </v:shape>
        </w:pict>
      </w:r>
      <w:r>
        <w:rPr>
          <w:sz w:val="22"/>
        </w:rPr>
        <w:t>The most frequent breeds were poodle, labrador, schnauzer, cocker spaniel,   </w:t>
      </w:r>
      <w:r>
        <w:rPr>
          <w:spacing w:val="9"/>
          <w:sz w:val="22"/>
        </w:rPr>
        <w:t> </w:t>
      </w:r>
      <w:r>
        <w:rPr>
          <w:sz w:val="22"/>
        </w:rPr>
        <w:t>golden retriever,</w:t>
      </w:r>
    </w:p>
    <w:p>
      <w:pPr>
        <w:pStyle w:val="ListParagraph"/>
        <w:numPr>
          <w:ilvl w:val="0"/>
          <w:numId w:val="11"/>
        </w:numPr>
        <w:tabs>
          <w:tab w:pos="1937" w:val="left" w:leader="none"/>
          <w:tab w:pos="1938" w:val="left" w:leader="none"/>
        </w:tabs>
        <w:spacing w:line="240" w:lineRule="auto" w:before="138" w:after="0"/>
        <w:ind w:left="1937" w:right="0" w:hanging="684"/>
        <w:jc w:val="left"/>
        <w:rPr>
          <w:sz w:val="22"/>
        </w:rPr>
      </w:pPr>
      <w:r>
        <w:rPr>
          <w:sz w:val="22"/>
        </w:rPr>
        <w:t>and Chihuahua. In a study performed in Spain in 2010, the most frequent breeds   </w:t>
      </w:r>
      <w:r>
        <w:rPr>
          <w:spacing w:val="3"/>
          <w:sz w:val="22"/>
        </w:rPr>
        <w:t> </w:t>
      </w:r>
      <w:r>
        <w:rPr>
          <w:sz w:val="22"/>
        </w:rPr>
        <w:t>diagnosed</w:t>
      </w:r>
    </w:p>
    <w:p>
      <w:pPr>
        <w:pStyle w:val="ListParagraph"/>
        <w:numPr>
          <w:ilvl w:val="0"/>
          <w:numId w:val="11"/>
        </w:numPr>
        <w:tabs>
          <w:tab w:pos="1937" w:val="left" w:leader="none"/>
          <w:tab w:pos="1938" w:val="left" w:leader="none"/>
        </w:tabs>
        <w:spacing w:line="240" w:lineRule="auto" w:before="98" w:after="0"/>
        <w:ind w:left="1937" w:right="0" w:hanging="684"/>
        <w:jc w:val="left"/>
        <w:rPr>
          <w:sz w:val="22"/>
        </w:rPr>
      </w:pPr>
      <w:r>
        <w:rPr>
          <w:sz w:val="22"/>
        </w:rPr>
        <w:t>with chronic renal disease were boxer, poodle, and west highland white terrier.</w:t>
      </w:r>
      <w:r>
        <w:rPr>
          <w:position w:val="10"/>
          <w:sz w:val="15"/>
        </w:rPr>
        <w:t>11  </w:t>
      </w:r>
      <w:r>
        <w:rPr>
          <w:sz w:val="22"/>
        </w:rPr>
        <w:t>This  </w:t>
      </w:r>
      <w:r>
        <w:rPr>
          <w:spacing w:val="32"/>
          <w:sz w:val="22"/>
        </w:rPr>
        <w:t> </w:t>
      </w:r>
      <w:r>
        <w:rPr>
          <w:sz w:val="22"/>
        </w:rPr>
        <w:t>could</w:t>
      </w:r>
    </w:p>
    <w:p>
      <w:pPr>
        <w:pStyle w:val="ListParagraph"/>
        <w:numPr>
          <w:ilvl w:val="0"/>
          <w:numId w:val="11"/>
        </w:numPr>
        <w:tabs>
          <w:tab w:pos="1937" w:val="left" w:leader="none"/>
          <w:tab w:pos="1938" w:val="left" w:leader="none"/>
        </w:tabs>
        <w:spacing w:line="240" w:lineRule="auto" w:before="138" w:after="0"/>
        <w:ind w:left="1937" w:right="0" w:hanging="684"/>
        <w:jc w:val="left"/>
        <w:rPr>
          <w:sz w:val="22"/>
        </w:rPr>
      </w:pPr>
      <w:r>
        <w:rPr>
          <w:sz w:val="22"/>
        </w:rPr>
        <w:t>be attributed to preferences of the owners for certain breeds among this study’s   </w:t>
      </w:r>
      <w:r>
        <w:rPr>
          <w:spacing w:val="4"/>
          <w:sz w:val="22"/>
        </w:rPr>
        <w:t> </w:t>
      </w:r>
      <w:r>
        <w:rPr>
          <w:sz w:val="22"/>
        </w:rPr>
        <w:t>population;</w:t>
      </w:r>
    </w:p>
    <w:p>
      <w:pPr>
        <w:pStyle w:val="ListParagraph"/>
        <w:numPr>
          <w:ilvl w:val="0"/>
          <w:numId w:val="11"/>
        </w:numPr>
        <w:tabs>
          <w:tab w:pos="1937" w:val="left" w:leader="none"/>
          <w:tab w:pos="1938" w:val="left" w:leader="none"/>
        </w:tabs>
        <w:spacing w:line="240" w:lineRule="auto" w:before="136" w:after="0"/>
        <w:ind w:left="1937" w:right="0" w:hanging="684"/>
        <w:jc w:val="left"/>
        <w:rPr>
          <w:sz w:val="22"/>
        </w:rPr>
      </w:pPr>
      <w:r>
        <w:rPr>
          <w:sz w:val="22"/>
        </w:rPr>
        <w:t>however, future studies will be required to determine the predisposition of these breeds    to</w:t>
      </w:r>
    </w:p>
    <w:p>
      <w:pPr>
        <w:pStyle w:val="ListParagraph"/>
        <w:numPr>
          <w:ilvl w:val="0"/>
          <w:numId w:val="11"/>
        </w:numPr>
        <w:tabs>
          <w:tab w:pos="1937" w:val="left" w:leader="none"/>
          <w:tab w:pos="1938" w:val="left" w:leader="none"/>
        </w:tabs>
        <w:spacing w:line="240" w:lineRule="auto" w:before="136" w:after="0"/>
        <w:ind w:left="1937" w:right="0" w:hanging="684"/>
        <w:jc w:val="left"/>
        <w:rPr>
          <w:sz w:val="22"/>
        </w:rPr>
      </w:pPr>
      <w:r>
        <w:rPr>
          <w:sz w:val="22"/>
        </w:rPr>
        <w:t>contract</w:t>
      </w:r>
      <w:r>
        <w:rPr>
          <w:spacing w:val="24"/>
          <w:sz w:val="22"/>
        </w:rPr>
        <w:t> </w:t>
      </w:r>
      <w:r>
        <w:rPr>
          <w:sz w:val="22"/>
        </w:rPr>
        <w:t>CKD.</w:t>
      </w:r>
    </w:p>
    <w:p>
      <w:pPr>
        <w:pStyle w:val="BodyText"/>
        <w:spacing w:before="7"/>
        <w:rPr>
          <w:rFonts w:ascii="Times New Roman"/>
          <w:sz w:val="21"/>
        </w:rPr>
      </w:pPr>
    </w:p>
    <w:p>
      <w:pPr>
        <w:pStyle w:val="ListParagraph"/>
        <w:numPr>
          <w:ilvl w:val="0"/>
          <w:numId w:val="11"/>
        </w:numPr>
        <w:tabs>
          <w:tab w:pos="1937" w:val="left" w:leader="none"/>
          <w:tab w:pos="1938" w:val="left" w:leader="none"/>
        </w:tabs>
        <w:spacing w:line="240" w:lineRule="auto" w:before="77" w:after="0"/>
        <w:ind w:left="1937" w:right="0" w:hanging="684"/>
        <w:jc w:val="left"/>
        <w:rPr>
          <w:sz w:val="22"/>
        </w:rPr>
      </w:pPr>
      <w:r>
        <w:rPr>
          <w:sz w:val="22"/>
        </w:rPr>
        <w:t>The patients classified as stage 0 according to Cortadellas’ classification (non-azotemic,    non-</w:t>
      </w:r>
    </w:p>
    <w:p>
      <w:pPr>
        <w:pStyle w:val="ListParagraph"/>
        <w:numPr>
          <w:ilvl w:val="0"/>
          <w:numId w:val="11"/>
        </w:numPr>
        <w:tabs>
          <w:tab w:pos="1937" w:val="left" w:leader="none"/>
          <w:tab w:pos="1938" w:val="left" w:leader="none"/>
        </w:tabs>
        <w:spacing w:line="240" w:lineRule="auto" w:before="136" w:after="0"/>
        <w:ind w:left="1937" w:right="0" w:hanging="684"/>
        <w:jc w:val="left"/>
        <w:rPr>
          <w:sz w:val="22"/>
        </w:rPr>
      </w:pPr>
      <w:r>
        <w:rPr>
          <w:sz w:val="22"/>
        </w:rPr>
        <w:t>proteinuric) totaled 54 in number (18.75%) and were considered as lacking concrete   </w:t>
      </w:r>
      <w:r>
        <w:rPr>
          <w:spacing w:val="7"/>
          <w:sz w:val="22"/>
        </w:rPr>
        <w:t> </w:t>
      </w:r>
      <w:r>
        <w:rPr>
          <w:sz w:val="22"/>
        </w:rPr>
        <w:t>evidence</w:t>
      </w:r>
    </w:p>
    <w:p>
      <w:pPr>
        <w:pStyle w:val="ListParagraph"/>
        <w:numPr>
          <w:ilvl w:val="0"/>
          <w:numId w:val="11"/>
        </w:numPr>
        <w:tabs>
          <w:tab w:pos="1937" w:val="left" w:leader="none"/>
          <w:tab w:pos="1938" w:val="left" w:leader="none"/>
        </w:tabs>
        <w:spacing w:line="240" w:lineRule="auto" w:before="136" w:after="0"/>
        <w:ind w:left="1937" w:right="0" w:hanging="684"/>
        <w:jc w:val="left"/>
        <w:rPr>
          <w:sz w:val="22"/>
        </w:rPr>
      </w:pPr>
      <w:r>
        <w:rPr>
          <w:sz w:val="22"/>
        </w:rPr>
        <w:t>of</w:t>
      </w:r>
      <w:r>
        <w:rPr>
          <w:spacing w:val="8"/>
          <w:sz w:val="22"/>
        </w:rPr>
        <w:t> </w:t>
      </w:r>
      <w:r>
        <w:rPr>
          <w:sz w:val="22"/>
        </w:rPr>
        <w:t>CKD</w:t>
      </w:r>
      <w:r>
        <w:rPr>
          <w:spacing w:val="10"/>
          <w:sz w:val="22"/>
        </w:rPr>
        <w:t> </w:t>
      </w:r>
      <w:r>
        <w:rPr>
          <w:sz w:val="22"/>
        </w:rPr>
        <w:t>but</w:t>
      </w:r>
      <w:r>
        <w:rPr>
          <w:spacing w:val="9"/>
          <w:sz w:val="22"/>
        </w:rPr>
        <w:t> </w:t>
      </w:r>
      <w:r>
        <w:rPr>
          <w:sz w:val="22"/>
        </w:rPr>
        <w:t>having</w:t>
      </w:r>
      <w:r>
        <w:rPr>
          <w:spacing w:val="9"/>
          <w:sz w:val="22"/>
        </w:rPr>
        <w:t> </w:t>
      </w:r>
      <w:r>
        <w:rPr>
          <w:sz w:val="22"/>
        </w:rPr>
        <w:t>some</w:t>
      </w:r>
      <w:r>
        <w:rPr>
          <w:spacing w:val="10"/>
          <w:sz w:val="22"/>
        </w:rPr>
        <w:t> </w:t>
      </w:r>
      <w:r>
        <w:rPr>
          <w:sz w:val="22"/>
        </w:rPr>
        <w:t>sort</w:t>
      </w:r>
      <w:r>
        <w:rPr>
          <w:spacing w:val="9"/>
          <w:sz w:val="22"/>
        </w:rPr>
        <w:t> </w:t>
      </w:r>
      <w:r>
        <w:rPr>
          <w:sz w:val="22"/>
        </w:rPr>
        <w:t>of</w:t>
      </w:r>
      <w:r>
        <w:rPr>
          <w:spacing w:val="11"/>
          <w:sz w:val="22"/>
        </w:rPr>
        <w:t> </w:t>
      </w:r>
      <w:r>
        <w:rPr>
          <w:sz w:val="22"/>
        </w:rPr>
        <w:t>risk</w:t>
      </w:r>
      <w:r>
        <w:rPr>
          <w:spacing w:val="7"/>
          <w:sz w:val="22"/>
        </w:rPr>
        <w:t> </w:t>
      </w:r>
      <w:r>
        <w:rPr>
          <w:sz w:val="22"/>
        </w:rPr>
        <w:t>factor</w:t>
      </w:r>
      <w:r>
        <w:rPr>
          <w:spacing w:val="8"/>
          <w:sz w:val="22"/>
        </w:rPr>
        <w:t> </w:t>
      </w:r>
      <w:r>
        <w:rPr>
          <w:sz w:val="22"/>
        </w:rPr>
        <w:t>to</w:t>
      </w:r>
      <w:r>
        <w:rPr>
          <w:spacing w:val="9"/>
          <w:sz w:val="22"/>
        </w:rPr>
        <w:t> </w:t>
      </w:r>
      <w:r>
        <w:rPr>
          <w:sz w:val="22"/>
        </w:rPr>
        <w:t>present</w:t>
      </w:r>
      <w:r>
        <w:rPr>
          <w:spacing w:val="9"/>
          <w:sz w:val="22"/>
        </w:rPr>
        <w:t> </w:t>
      </w:r>
      <w:r>
        <w:rPr>
          <w:sz w:val="22"/>
        </w:rPr>
        <w:t>a</w:t>
      </w:r>
      <w:r>
        <w:rPr>
          <w:spacing w:val="8"/>
          <w:sz w:val="22"/>
        </w:rPr>
        <w:t> </w:t>
      </w:r>
      <w:r>
        <w:rPr>
          <w:sz w:val="22"/>
        </w:rPr>
        <w:t>renal</w:t>
      </w:r>
      <w:r>
        <w:rPr>
          <w:spacing w:val="9"/>
          <w:sz w:val="22"/>
        </w:rPr>
        <w:t> </w:t>
      </w:r>
      <w:r>
        <w:rPr>
          <w:sz w:val="22"/>
        </w:rPr>
        <w:t>disease.</w:t>
      </w:r>
      <w:r>
        <w:rPr>
          <w:spacing w:val="11"/>
          <w:sz w:val="22"/>
        </w:rPr>
        <w:t> </w:t>
      </w:r>
      <w:r>
        <w:rPr>
          <w:sz w:val="22"/>
        </w:rPr>
        <w:t>It</w:t>
      </w:r>
      <w:r>
        <w:rPr>
          <w:spacing w:val="9"/>
          <w:sz w:val="22"/>
        </w:rPr>
        <w:t> </w:t>
      </w:r>
      <w:r>
        <w:rPr>
          <w:sz w:val="22"/>
        </w:rPr>
        <w:t>is</w:t>
      </w:r>
      <w:r>
        <w:rPr>
          <w:spacing w:val="8"/>
          <w:sz w:val="22"/>
        </w:rPr>
        <w:t> </w:t>
      </w:r>
      <w:r>
        <w:rPr>
          <w:sz w:val="22"/>
        </w:rPr>
        <w:t>vital</w:t>
      </w:r>
      <w:r>
        <w:rPr>
          <w:spacing w:val="9"/>
          <w:sz w:val="22"/>
        </w:rPr>
        <w:t> </w:t>
      </w:r>
      <w:r>
        <w:rPr>
          <w:sz w:val="22"/>
        </w:rPr>
        <w:t>to</w:t>
      </w:r>
      <w:r>
        <w:rPr>
          <w:spacing w:val="9"/>
          <w:sz w:val="22"/>
        </w:rPr>
        <w:t> </w:t>
      </w:r>
      <w:r>
        <w:rPr>
          <w:sz w:val="22"/>
        </w:rPr>
        <w:t>perform</w:t>
      </w:r>
    </w:p>
    <w:p>
      <w:pPr>
        <w:pStyle w:val="ListParagraph"/>
        <w:numPr>
          <w:ilvl w:val="0"/>
          <w:numId w:val="11"/>
        </w:numPr>
        <w:tabs>
          <w:tab w:pos="1937" w:val="left" w:leader="none"/>
          <w:tab w:pos="1938" w:val="left" w:leader="none"/>
        </w:tabs>
        <w:spacing w:line="240" w:lineRule="auto" w:before="136" w:after="0"/>
        <w:ind w:left="1937" w:right="0" w:hanging="684"/>
        <w:jc w:val="left"/>
        <w:rPr>
          <w:sz w:val="22"/>
        </w:rPr>
      </w:pPr>
      <w:r>
        <w:rPr>
          <w:sz w:val="22"/>
        </w:rPr>
        <w:t>complementary imaging and histopathology studies to discard structural injuries  </w:t>
      </w:r>
      <w:r>
        <w:rPr>
          <w:spacing w:val="50"/>
          <w:sz w:val="22"/>
        </w:rPr>
        <w:t> </w:t>
      </w:r>
      <w:r>
        <w:rPr>
          <w:sz w:val="22"/>
        </w:rPr>
        <w:t>associated</w:t>
      </w:r>
    </w:p>
    <w:p>
      <w:pPr>
        <w:pStyle w:val="ListParagraph"/>
        <w:numPr>
          <w:ilvl w:val="0"/>
          <w:numId w:val="11"/>
        </w:numPr>
        <w:tabs>
          <w:tab w:pos="1937" w:val="left" w:leader="none"/>
          <w:tab w:pos="1938" w:val="left" w:leader="none"/>
        </w:tabs>
        <w:spacing w:line="240" w:lineRule="auto" w:before="93" w:after="0"/>
        <w:ind w:left="1937" w:right="0" w:hanging="684"/>
        <w:jc w:val="left"/>
        <w:rPr>
          <w:sz w:val="22"/>
        </w:rPr>
      </w:pPr>
      <w:r>
        <w:rPr>
          <w:sz w:val="22"/>
        </w:rPr>
        <w:t>with CKD,</w:t>
      </w:r>
      <w:r>
        <w:rPr>
          <w:position w:val="11"/>
          <w:sz w:val="15"/>
        </w:rPr>
        <w:t>9  </w:t>
      </w:r>
      <w:r>
        <w:rPr>
          <w:sz w:val="22"/>
        </w:rPr>
        <w:t>aside from performing an annual clinical </w:t>
      </w:r>
      <w:r>
        <w:rPr>
          <w:spacing w:val="40"/>
          <w:sz w:val="22"/>
        </w:rPr>
        <w:t> </w:t>
      </w:r>
      <w:r>
        <w:rPr>
          <w:sz w:val="22"/>
        </w:rPr>
        <w:t>followup.</w:t>
      </w:r>
    </w:p>
    <w:p>
      <w:pPr>
        <w:pStyle w:val="BodyText"/>
        <w:spacing w:before="3"/>
        <w:rPr>
          <w:rFonts w:ascii="Times New Roman"/>
          <w:sz w:val="21"/>
        </w:rPr>
      </w:pPr>
    </w:p>
    <w:p>
      <w:pPr>
        <w:pStyle w:val="ListParagraph"/>
        <w:numPr>
          <w:ilvl w:val="0"/>
          <w:numId w:val="11"/>
        </w:numPr>
        <w:tabs>
          <w:tab w:pos="1600" w:val="left" w:leader="none"/>
        </w:tabs>
        <w:spacing w:line="240" w:lineRule="auto" w:before="0" w:after="0"/>
        <w:ind w:left="1599" w:right="0" w:hanging="346"/>
        <w:jc w:val="left"/>
        <w:rPr>
          <w:rFonts w:ascii="Cambria"/>
          <w:sz w:val="20"/>
        </w:rPr>
      </w:pPr>
    </w:p>
    <w:p>
      <w:pPr>
        <w:pStyle w:val="BodyText"/>
        <w:spacing w:before="4"/>
        <w:rPr>
          <w:rFonts w:ascii="Cambria"/>
          <w:sz w:val="13"/>
        </w:rPr>
      </w:pPr>
    </w:p>
    <w:p>
      <w:pPr>
        <w:pStyle w:val="ListParagraph"/>
        <w:numPr>
          <w:ilvl w:val="0"/>
          <w:numId w:val="11"/>
        </w:numPr>
        <w:tabs>
          <w:tab w:pos="1937" w:val="left" w:leader="none"/>
          <w:tab w:pos="1938" w:val="left" w:leader="none"/>
        </w:tabs>
        <w:spacing w:line="240" w:lineRule="auto" w:before="76" w:after="0"/>
        <w:ind w:left="1937" w:right="0" w:hanging="684"/>
        <w:jc w:val="left"/>
        <w:rPr>
          <w:sz w:val="22"/>
        </w:rPr>
      </w:pPr>
      <w:r>
        <w:rPr>
          <w:sz w:val="22"/>
        </w:rPr>
        <w:t>Non-azotemic animals with a UPC between 0.21 and 0.49 were considered as    borderline</w:t>
      </w:r>
    </w:p>
    <w:p>
      <w:pPr>
        <w:pStyle w:val="ListParagraph"/>
        <w:numPr>
          <w:ilvl w:val="0"/>
          <w:numId w:val="11"/>
        </w:numPr>
        <w:tabs>
          <w:tab w:pos="1937" w:val="left" w:leader="none"/>
          <w:tab w:pos="1938" w:val="left" w:leader="none"/>
        </w:tabs>
        <w:spacing w:line="240" w:lineRule="auto" w:before="136" w:after="0"/>
        <w:ind w:left="1937" w:right="0" w:hanging="684"/>
        <w:jc w:val="left"/>
        <w:rPr>
          <w:sz w:val="22"/>
        </w:rPr>
      </w:pPr>
      <w:r>
        <w:rPr>
          <w:sz w:val="22"/>
        </w:rPr>
        <w:t>proteinuric or stage 1a according to Cortadellas’ classification, amounting to a total of  </w:t>
      </w:r>
      <w:r>
        <w:rPr>
          <w:spacing w:val="45"/>
          <w:sz w:val="22"/>
        </w:rPr>
        <w:t> </w:t>
      </w:r>
      <w:r>
        <w:rPr>
          <w:sz w:val="22"/>
        </w:rPr>
        <w:t>95</w:t>
      </w:r>
    </w:p>
    <w:p>
      <w:pPr>
        <w:pStyle w:val="ListParagraph"/>
        <w:numPr>
          <w:ilvl w:val="0"/>
          <w:numId w:val="11"/>
        </w:numPr>
        <w:tabs>
          <w:tab w:pos="1937" w:val="left" w:leader="none"/>
          <w:tab w:pos="1938" w:val="left" w:leader="none"/>
        </w:tabs>
        <w:spacing w:line="240" w:lineRule="auto" w:before="136" w:after="0"/>
        <w:ind w:left="1937" w:right="0" w:hanging="684"/>
        <w:jc w:val="left"/>
        <w:rPr>
          <w:sz w:val="22"/>
        </w:rPr>
      </w:pPr>
      <w:r>
        <w:rPr>
          <w:sz w:val="22"/>
        </w:rPr>
        <w:t>(32.98%) animals; these patients were considered suspicious and more detailed  </w:t>
      </w:r>
      <w:r>
        <w:rPr>
          <w:spacing w:val="54"/>
          <w:sz w:val="22"/>
        </w:rPr>
        <w:t> </w:t>
      </w:r>
      <w:r>
        <w:rPr>
          <w:sz w:val="22"/>
        </w:rPr>
        <w:t>monitoring</w:t>
      </w:r>
    </w:p>
    <w:p>
      <w:pPr>
        <w:pStyle w:val="ListParagraph"/>
        <w:numPr>
          <w:ilvl w:val="0"/>
          <w:numId w:val="11"/>
        </w:numPr>
        <w:tabs>
          <w:tab w:pos="1937" w:val="left" w:leader="none"/>
          <w:tab w:pos="1938" w:val="left" w:leader="none"/>
        </w:tabs>
        <w:spacing w:line="240" w:lineRule="auto" w:before="136" w:after="0"/>
        <w:ind w:left="1937" w:right="0" w:hanging="684"/>
        <w:jc w:val="left"/>
        <w:rPr>
          <w:sz w:val="22"/>
        </w:rPr>
      </w:pPr>
      <w:r>
        <w:rPr>
          <w:sz w:val="22"/>
        </w:rPr>
        <w:t>was performed in which it was observed that they mostly evolved into showing quite   </w:t>
      </w:r>
      <w:r>
        <w:rPr>
          <w:spacing w:val="3"/>
          <w:sz w:val="22"/>
        </w:rPr>
        <w:t> </w:t>
      </w:r>
      <w:r>
        <w:rPr>
          <w:sz w:val="22"/>
        </w:rPr>
        <w:t>obvious</w:t>
      </w:r>
    </w:p>
    <w:p>
      <w:pPr>
        <w:pStyle w:val="ListParagraph"/>
        <w:numPr>
          <w:ilvl w:val="0"/>
          <w:numId w:val="11"/>
        </w:numPr>
        <w:tabs>
          <w:tab w:pos="1937" w:val="left" w:leader="none"/>
          <w:tab w:pos="1938" w:val="left" w:leader="none"/>
        </w:tabs>
        <w:spacing w:line="240" w:lineRule="auto" w:before="136" w:after="0"/>
        <w:ind w:left="1937" w:right="0" w:hanging="684"/>
        <w:jc w:val="left"/>
        <w:rPr>
          <w:sz w:val="22"/>
        </w:rPr>
      </w:pPr>
      <w:r>
        <w:rPr>
          <w:sz w:val="22"/>
        </w:rPr>
        <w:t>proteinuria, coinciding with that previously described by Grauer in 2009 as a feature of  </w:t>
      </w:r>
      <w:r>
        <w:rPr>
          <w:spacing w:val="50"/>
          <w:sz w:val="22"/>
        </w:rPr>
        <w:t> </w:t>
      </w:r>
      <w:r>
        <w:rPr>
          <w:sz w:val="22"/>
        </w:rPr>
        <w:t>the</w:t>
      </w:r>
    </w:p>
    <w:p>
      <w:pPr>
        <w:pStyle w:val="ListParagraph"/>
        <w:numPr>
          <w:ilvl w:val="0"/>
          <w:numId w:val="11"/>
        </w:numPr>
        <w:tabs>
          <w:tab w:pos="1937" w:val="left" w:leader="none"/>
          <w:tab w:pos="1938" w:val="left" w:leader="none"/>
        </w:tabs>
        <w:spacing w:line="240" w:lineRule="auto" w:before="101" w:after="0"/>
        <w:ind w:left="1937" w:right="0" w:hanging="684"/>
        <w:jc w:val="left"/>
        <w:rPr>
          <w:sz w:val="22"/>
        </w:rPr>
      </w:pPr>
      <w:r>
        <w:rPr>
          <w:sz w:val="22"/>
        </w:rPr>
        <w:t>evolution of renal disease.</w:t>
      </w:r>
      <w:r>
        <w:rPr>
          <w:position w:val="10"/>
          <w:sz w:val="15"/>
        </w:rPr>
        <w:t>12  </w:t>
      </w:r>
      <w:r>
        <w:rPr>
          <w:sz w:val="22"/>
        </w:rPr>
        <w:t>A continuous rise in the protein concentration manifested in  </w:t>
      </w:r>
      <w:r>
        <w:rPr>
          <w:spacing w:val="34"/>
          <w:sz w:val="22"/>
        </w:rPr>
        <w:t> </w:t>
      </w:r>
      <w:r>
        <w:rPr>
          <w:sz w:val="22"/>
        </w:rPr>
        <w:t>the</w:t>
      </w:r>
    </w:p>
    <w:p>
      <w:pPr>
        <w:pStyle w:val="ListParagraph"/>
        <w:numPr>
          <w:ilvl w:val="0"/>
          <w:numId w:val="11"/>
        </w:numPr>
        <w:tabs>
          <w:tab w:pos="1937" w:val="left" w:leader="none"/>
          <w:tab w:pos="1938" w:val="left" w:leader="none"/>
        </w:tabs>
        <w:spacing w:line="240" w:lineRule="auto" w:before="138" w:after="0"/>
        <w:ind w:left="1937" w:right="0" w:hanging="684"/>
        <w:jc w:val="left"/>
        <w:rPr>
          <w:sz w:val="22"/>
        </w:rPr>
      </w:pPr>
      <w:r>
        <w:rPr>
          <w:sz w:val="22"/>
        </w:rPr>
        <w:t>glomerular filtrate stimulates the liberation of cytokines and transferrine, resulting in  </w:t>
      </w:r>
      <w:r>
        <w:rPr>
          <w:spacing w:val="48"/>
          <w:sz w:val="22"/>
        </w:rPr>
        <w:t> </w:t>
      </w:r>
      <w:r>
        <w:rPr>
          <w:sz w:val="22"/>
        </w:rPr>
        <w:t>the</w:t>
      </w:r>
    </w:p>
    <w:p>
      <w:pPr>
        <w:pStyle w:val="ListParagraph"/>
        <w:numPr>
          <w:ilvl w:val="0"/>
          <w:numId w:val="11"/>
        </w:numPr>
        <w:tabs>
          <w:tab w:pos="1937" w:val="left" w:leader="none"/>
          <w:tab w:pos="1938" w:val="left" w:leader="none"/>
        </w:tabs>
        <w:spacing w:line="240" w:lineRule="auto" w:before="133" w:after="0"/>
        <w:ind w:left="1937" w:right="0" w:hanging="684"/>
        <w:jc w:val="left"/>
        <w:rPr>
          <w:sz w:val="22"/>
        </w:rPr>
      </w:pPr>
      <w:r>
        <w:rPr>
          <w:sz w:val="22"/>
        </w:rPr>
        <w:t>development of inflammation and toxicity in tubule epithelial cells, creating  </w:t>
      </w:r>
      <w:r>
        <w:rPr>
          <w:spacing w:val="50"/>
          <w:sz w:val="22"/>
        </w:rPr>
        <w:t> </w:t>
      </w:r>
      <w:r>
        <w:rPr>
          <w:sz w:val="22"/>
        </w:rPr>
        <w:t>interstitial</w:t>
      </w:r>
    </w:p>
    <w:p>
      <w:pPr>
        <w:pStyle w:val="ListParagraph"/>
        <w:numPr>
          <w:ilvl w:val="0"/>
          <w:numId w:val="11"/>
        </w:numPr>
        <w:tabs>
          <w:tab w:pos="1937" w:val="left" w:leader="none"/>
          <w:tab w:pos="1938" w:val="left" w:leader="none"/>
        </w:tabs>
        <w:spacing w:line="240" w:lineRule="auto" w:before="138" w:after="0"/>
        <w:ind w:left="1937" w:right="0" w:hanging="684"/>
        <w:jc w:val="left"/>
        <w:rPr>
          <w:sz w:val="22"/>
        </w:rPr>
      </w:pPr>
      <w:r>
        <w:rPr>
          <w:sz w:val="22"/>
        </w:rPr>
        <w:t>inflammation, fibrosis, and cellular death in the nephrons, causing renal disease and/or   </w:t>
      </w:r>
      <w:r>
        <w:rPr>
          <w:spacing w:val="1"/>
          <w:sz w:val="22"/>
        </w:rPr>
        <w:t> </w:t>
      </w:r>
      <w:r>
        <w:rPr>
          <w:sz w:val="22"/>
        </w:rPr>
        <w:t>its</w:t>
      </w:r>
    </w:p>
    <w:p>
      <w:pPr>
        <w:pStyle w:val="ListParagraph"/>
        <w:numPr>
          <w:ilvl w:val="0"/>
          <w:numId w:val="11"/>
        </w:numPr>
        <w:tabs>
          <w:tab w:pos="1937" w:val="left" w:leader="none"/>
          <w:tab w:pos="1938" w:val="left" w:leader="none"/>
        </w:tabs>
        <w:spacing w:line="240" w:lineRule="auto" w:before="101" w:after="0"/>
        <w:ind w:left="1937" w:right="0" w:hanging="684"/>
        <w:jc w:val="left"/>
        <w:rPr>
          <w:sz w:val="22"/>
        </w:rPr>
      </w:pPr>
      <w:r>
        <w:rPr>
          <w:sz w:val="22"/>
        </w:rPr>
        <w:t>progression;</w:t>
      </w:r>
      <w:r>
        <w:rPr>
          <w:position w:val="10"/>
          <w:sz w:val="15"/>
        </w:rPr>
        <w:t>13  </w:t>
      </w:r>
      <w:r>
        <w:rPr>
          <w:sz w:val="22"/>
        </w:rPr>
        <w:t>therefore, it has been determined that proteinuria is highly related to  </w:t>
      </w:r>
      <w:r>
        <w:rPr>
          <w:spacing w:val="17"/>
          <w:sz w:val="22"/>
        </w:rPr>
        <w:t> </w:t>
      </w:r>
      <w:r>
        <w:rPr>
          <w:sz w:val="22"/>
        </w:rPr>
        <w:t>the</w:t>
      </w:r>
    </w:p>
    <w:p>
      <w:pPr>
        <w:pStyle w:val="ListParagraph"/>
        <w:numPr>
          <w:ilvl w:val="0"/>
          <w:numId w:val="11"/>
        </w:numPr>
        <w:tabs>
          <w:tab w:pos="1937" w:val="left" w:leader="none"/>
          <w:tab w:pos="1938" w:val="left" w:leader="none"/>
        </w:tabs>
        <w:spacing w:line="240" w:lineRule="auto" w:before="101" w:after="0"/>
        <w:ind w:left="1937" w:right="0" w:hanging="684"/>
        <w:jc w:val="left"/>
        <w:rPr>
          <w:sz w:val="15"/>
        </w:rPr>
      </w:pPr>
      <w:r>
        <w:rPr>
          <w:sz w:val="22"/>
        </w:rPr>
        <w:t>evolution of the disease and the survival of the </w:t>
      </w:r>
      <w:r>
        <w:rPr>
          <w:spacing w:val="42"/>
          <w:sz w:val="22"/>
        </w:rPr>
        <w:t> </w:t>
      </w:r>
      <w:r>
        <w:rPr>
          <w:sz w:val="22"/>
        </w:rPr>
        <w:t>patient.</w:t>
      </w:r>
      <w:r>
        <w:rPr>
          <w:position w:val="10"/>
          <w:sz w:val="15"/>
        </w:rPr>
        <w:t>14-16</w:t>
      </w:r>
    </w:p>
    <w:p>
      <w:pPr>
        <w:pStyle w:val="BodyText"/>
        <w:spacing w:before="5"/>
        <w:rPr>
          <w:rFonts w:ascii="Times New Roman"/>
          <w:sz w:val="21"/>
        </w:rPr>
      </w:pPr>
    </w:p>
    <w:p>
      <w:pPr>
        <w:pStyle w:val="ListParagraph"/>
        <w:numPr>
          <w:ilvl w:val="0"/>
          <w:numId w:val="11"/>
        </w:numPr>
        <w:tabs>
          <w:tab w:pos="1600" w:val="left" w:leader="none"/>
        </w:tabs>
        <w:spacing w:line="240" w:lineRule="auto" w:before="0" w:after="0"/>
        <w:ind w:left="1599" w:right="0" w:hanging="346"/>
        <w:jc w:val="left"/>
        <w:rPr>
          <w:rFonts w:ascii="Cambria"/>
          <w:sz w:val="20"/>
        </w:rPr>
      </w:pPr>
    </w:p>
    <w:p>
      <w:pPr>
        <w:spacing w:after="0" w:line="240" w:lineRule="auto"/>
        <w:jc w:val="left"/>
        <w:rPr>
          <w:rFonts w:ascii="Cambria"/>
          <w:sz w:val="20"/>
        </w:rPr>
        <w:sectPr>
          <w:headerReference w:type="default" r:id="rId73"/>
          <w:footerReference w:type="default" r:id="rId74"/>
          <w:pgSz w:w="12240" w:h="15840"/>
          <w:pgMar w:header="0" w:footer="0" w:top="140" w:bottom="280" w:left="0" w:right="240"/>
        </w:sectPr>
      </w:pPr>
    </w:p>
    <w:p>
      <w:pPr>
        <w:tabs>
          <w:tab w:pos="3549" w:val="left" w:leader="none"/>
        </w:tabs>
        <w:spacing w:before="56"/>
        <w:ind w:left="373" w:right="0" w:firstLine="0"/>
        <w:jc w:val="left"/>
        <w:rPr>
          <w:b/>
          <w:sz w:val="20"/>
        </w:rPr>
      </w:pPr>
      <w:r>
        <w:rPr>
          <w:b/>
          <w:sz w:val="20"/>
        </w:rPr>
        <w:t>age 7</w:t>
      </w:r>
      <w:r>
        <w:rPr>
          <w:b/>
          <w:spacing w:val="-1"/>
          <w:sz w:val="20"/>
        </w:rPr>
        <w:t> </w:t>
      </w:r>
      <w:r>
        <w:rPr>
          <w:b/>
          <w:sz w:val="20"/>
        </w:rPr>
        <w:t>of</w:t>
      </w:r>
      <w:r>
        <w:rPr>
          <w:b/>
          <w:spacing w:val="-1"/>
          <w:sz w:val="20"/>
        </w:rPr>
        <w:t> </w:t>
      </w:r>
      <w:r>
        <w:rPr>
          <w:b/>
          <w:sz w:val="20"/>
        </w:rPr>
        <w:t>16</w:t>
        <w:tab/>
        <w:t>Journal of the American Veterinary Medical</w:t>
      </w:r>
      <w:r>
        <w:rPr>
          <w:b/>
          <w:spacing w:val="-25"/>
          <w:sz w:val="20"/>
        </w:rPr>
        <w:t> </w:t>
      </w:r>
      <w:r>
        <w:rPr>
          <w:b/>
          <w:sz w:val="20"/>
        </w:rPr>
        <w:t>Association</w:t>
      </w:r>
    </w:p>
    <w:p>
      <w:pPr>
        <w:pStyle w:val="BodyText"/>
        <w:rPr>
          <w:b/>
          <w:sz w:val="20"/>
        </w:rPr>
      </w:pPr>
    </w:p>
    <w:p>
      <w:pPr>
        <w:pStyle w:val="BodyText"/>
        <w:rPr>
          <w:b/>
          <w:sz w:val="20"/>
        </w:rPr>
      </w:pPr>
    </w:p>
    <w:p>
      <w:pPr>
        <w:pStyle w:val="BodyText"/>
        <w:rPr>
          <w:b/>
          <w:sz w:val="20"/>
        </w:rPr>
      </w:pPr>
    </w:p>
    <w:p>
      <w:pPr>
        <w:pStyle w:val="BodyText"/>
        <w:spacing w:before="7"/>
        <w:rPr>
          <w:b/>
          <w:sz w:val="18"/>
        </w:rPr>
      </w:pPr>
    </w:p>
    <w:p>
      <w:pPr>
        <w:pStyle w:val="ListParagraph"/>
        <w:numPr>
          <w:ilvl w:val="0"/>
          <w:numId w:val="11"/>
        </w:numPr>
        <w:tabs>
          <w:tab w:pos="1937" w:val="left" w:leader="none"/>
          <w:tab w:pos="1938" w:val="left" w:leader="none"/>
        </w:tabs>
        <w:spacing w:line="240" w:lineRule="auto" w:before="0" w:after="0"/>
        <w:ind w:left="1937" w:right="0" w:hanging="684"/>
        <w:jc w:val="left"/>
        <w:rPr>
          <w:sz w:val="22"/>
        </w:rPr>
      </w:pPr>
      <w:r>
        <w:rPr>
          <w:sz w:val="22"/>
        </w:rPr>
        <w:t>A diagnosis of CKD was determined in 139 (48.2%)   </w:t>
      </w:r>
      <w:r>
        <w:rPr>
          <w:spacing w:val="6"/>
          <w:sz w:val="22"/>
        </w:rPr>
        <w:t> </w:t>
      </w:r>
      <w:r>
        <w:rPr>
          <w:sz w:val="22"/>
        </w:rPr>
        <w:t>out of 288 dogs exposed to risk factors</w:t>
      </w:r>
    </w:p>
    <w:p>
      <w:pPr>
        <w:pStyle w:val="ListParagraph"/>
        <w:numPr>
          <w:ilvl w:val="0"/>
          <w:numId w:val="11"/>
        </w:numPr>
        <w:tabs>
          <w:tab w:pos="1937" w:val="left" w:leader="none"/>
          <w:tab w:pos="1938" w:val="left" w:leader="none"/>
        </w:tabs>
        <w:spacing w:line="240" w:lineRule="auto" w:before="136" w:after="0"/>
        <w:ind w:left="1937" w:right="0" w:hanging="684"/>
        <w:jc w:val="left"/>
        <w:rPr>
          <w:sz w:val="22"/>
        </w:rPr>
      </w:pPr>
      <w:r>
        <w:rPr>
          <w:sz w:val="22"/>
        </w:rPr>
        <w:t>or with clinical signs of CKD. It is worth mentioning that, of the total number of  </w:t>
      </w:r>
      <w:r>
        <w:rPr>
          <w:spacing w:val="43"/>
          <w:sz w:val="22"/>
        </w:rPr>
        <w:t> </w:t>
      </w:r>
      <w:r>
        <w:rPr>
          <w:sz w:val="22"/>
        </w:rPr>
        <w:t>dogs</w:t>
      </w:r>
    </w:p>
    <w:p>
      <w:pPr>
        <w:pStyle w:val="ListParagraph"/>
        <w:numPr>
          <w:ilvl w:val="0"/>
          <w:numId w:val="11"/>
        </w:numPr>
        <w:tabs>
          <w:tab w:pos="1937" w:val="left" w:leader="none"/>
          <w:tab w:pos="1938" w:val="left" w:leader="none"/>
        </w:tabs>
        <w:spacing w:line="240" w:lineRule="auto" w:before="136" w:after="0"/>
        <w:ind w:left="1937" w:right="0" w:hanging="684"/>
        <w:jc w:val="left"/>
        <w:rPr>
          <w:sz w:val="22"/>
        </w:rPr>
      </w:pPr>
      <w:r>
        <w:rPr>
          <w:sz w:val="22"/>
        </w:rPr>
        <w:t>diagnosed with chronic renal diseases (139), 114 (82.01%) were in the early stages of  </w:t>
      </w:r>
      <w:r>
        <w:rPr>
          <w:spacing w:val="52"/>
          <w:sz w:val="22"/>
        </w:rPr>
        <w:t> </w:t>
      </w:r>
      <w:r>
        <w:rPr>
          <w:sz w:val="22"/>
        </w:rPr>
        <w:t>the</w:t>
      </w:r>
    </w:p>
    <w:p>
      <w:pPr>
        <w:pStyle w:val="ListParagraph"/>
        <w:numPr>
          <w:ilvl w:val="0"/>
          <w:numId w:val="11"/>
        </w:numPr>
        <w:tabs>
          <w:tab w:pos="1937" w:val="left" w:leader="none"/>
          <w:tab w:pos="1938" w:val="left" w:leader="none"/>
        </w:tabs>
        <w:spacing w:line="240" w:lineRule="auto" w:before="136" w:after="0"/>
        <w:ind w:left="1937" w:right="0" w:hanging="684"/>
        <w:jc w:val="left"/>
        <w:rPr>
          <w:sz w:val="22"/>
        </w:rPr>
      </w:pPr>
      <w:r>
        <w:rPr>
          <w:sz w:val="22"/>
        </w:rPr>
        <w:t>illness (Ib of Cortadellas’ classification, I and II of IRIS), which shows us that the  </w:t>
      </w:r>
      <w:r>
        <w:rPr>
          <w:spacing w:val="52"/>
          <w:sz w:val="22"/>
        </w:rPr>
        <w:t> </w:t>
      </w:r>
      <w:r>
        <w:rPr>
          <w:sz w:val="22"/>
        </w:rPr>
        <w:t>established</w:t>
      </w:r>
    </w:p>
    <w:p>
      <w:pPr>
        <w:pStyle w:val="ListParagraph"/>
        <w:numPr>
          <w:ilvl w:val="0"/>
          <w:numId w:val="11"/>
        </w:numPr>
        <w:tabs>
          <w:tab w:pos="1937" w:val="left" w:leader="none"/>
          <w:tab w:pos="1938" w:val="left" w:leader="none"/>
        </w:tabs>
        <w:spacing w:line="240" w:lineRule="auto" w:before="103" w:after="0"/>
        <w:ind w:left="1937" w:right="0" w:hanging="684"/>
        <w:jc w:val="left"/>
        <w:rPr>
          <w:sz w:val="15"/>
        </w:rPr>
      </w:pPr>
      <w:r>
        <w:rPr>
          <w:sz w:val="22"/>
        </w:rPr>
        <w:t>protocols are useful in the early diagnosis of </w:t>
      </w:r>
      <w:r>
        <w:rPr>
          <w:spacing w:val="33"/>
          <w:sz w:val="22"/>
        </w:rPr>
        <w:t> </w:t>
      </w:r>
      <w:r>
        <w:rPr>
          <w:sz w:val="22"/>
        </w:rPr>
        <w:t>CKD.</w:t>
      </w:r>
      <w:r>
        <w:rPr>
          <w:position w:val="10"/>
          <w:sz w:val="15"/>
        </w:rPr>
        <w:t>7</w:t>
      </w:r>
    </w:p>
    <w:p>
      <w:pPr>
        <w:pStyle w:val="BodyText"/>
        <w:spacing w:before="3"/>
        <w:rPr>
          <w:rFonts w:ascii="Times New Roman"/>
          <w:sz w:val="21"/>
        </w:rPr>
      </w:pPr>
    </w:p>
    <w:p>
      <w:pPr>
        <w:pStyle w:val="ListParagraph"/>
        <w:numPr>
          <w:ilvl w:val="0"/>
          <w:numId w:val="11"/>
        </w:numPr>
        <w:tabs>
          <w:tab w:pos="1600" w:val="left" w:leader="none"/>
        </w:tabs>
        <w:spacing w:line="240" w:lineRule="auto" w:before="0" w:after="0"/>
        <w:ind w:left="1599" w:right="0" w:hanging="346"/>
        <w:jc w:val="left"/>
        <w:rPr>
          <w:rFonts w:ascii="Cambria"/>
          <w:sz w:val="20"/>
        </w:rPr>
      </w:pPr>
    </w:p>
    <w:p>
      <w:pPr>
        <w:pStyle w:val="BodyText"/>
        <w:spacing w:before="4"/>
        <w:rPr>
          <w:rFonts w:ascii="Cambria"/>
          <w:sz w:val="13"/>
        </w:rPr>
      </w:pPr>
    </w:p>
    <w:p>
      <w:pPr>
        <w:pStyle w:val="ListParagraph"/>
        <w:numPr>
          <w:ilvl w:val="0"/>
          <w:numId w:val="11"/>
        </w:numPr>
        <w:tabs>
          <w:tab w:pos="1937" w:val="left" w:leader="none"/>
          <w:tab w:pos="1938" w:val="left" w:leader="none"/>
        </w:tabs>
        <w:spacing w:line="240" w:lineRule="auto" w:before="76" w:after="0"/>
        <w:ind w:left="1937" w:right="0" w:hanging="684"/>
        <w:jc w:val="left"/>
        <w:rPr>
          <w:sz w:val="22"/>
        </w:rPr>
      </w:pPr>
      <w:r>
        <w:rPr/>
        <w:pict>
          <v:shape style="position:absolute;margin-left:120.872412pt;margin-top:178.89062pt;width:376.45pt;height:48pt;mso-position-horizontal-relative:page;mso-position-vertical-relative:paragraph;z-index:-123040;rotation:51" type="#_x0000_t136" fillcolor="#d6f1fe" stroked="f">
            <o:extrusion v:ext="view" autorotationcenter="t"/>
            <v:textpath style="font-family:&amp;quot;Arial&amp;quot;;font-size:48pt;v-text-kern:t;mso-text-shadow:auto;font-weight:bold" string="For Review Only"/>
            <w10:wrap type="none"/>
          </v:shape>
        </w:pict>
      </w:r>
      <w:r>
        <w:rPr>
          <w:sz w:val="22"/>
        </w:rPr>
        <w:t>Its worth mentioning that despite the fact that most of the study population was   </w:t>
      </w:r>
      <w:r>
        <w:rPr>
          <w:spacing w:val="2"/>
          <w:sz w:val="22"/>
        </w:rPr>
        <w:t> </w:t>
      </w:r>
      <w:r>
        <w:rPr>
          <w:sz w:val="22"/>
        </w:rPr>
        <w:t>older than 6</w:t>
      </w:r>
    </w:p>
    <w:p>
      <w:pPr>
        <w:pStyle w:val="ListParagraph"/>
        <w:numPr>
          <w:ilvl w:val="0"/>
          <w:numId w:val="11"/>
        </w:numPr>
        <w:tabs>
          <w:tab w:pos="1937" w:val="left" w:leader="none"/>
          <w:tab w:pos="1938" w:val="left" w:leader="none"/>
        </w:tabs>
        <w:spacing w:line="240" w:lineRule="auto" w:before="138" w:after="0"/>
        <w:ind w:left="1937" w:right="0" w:hanging="684"/>
        <w:jc w:val="left"/>
        <w:rPr>
          <w:sz w:val="22"/>
        </w:rPr>
      </w:pPr>
      <w:r>
        <w:rPr>
          <w:sz w:val="22"/>
        </w:rPr>
        <w:t>years, 20 of the 41 patients (48.78%) between 1 and 5 years of age had a CKD    diagnosis,</w:t>
      </w:r>
    </w:p>
    <w:p>
      <w:pPr>
        <w:pStyle w:val="ListParagraph"/>
        <w:numPr>
          <w:ilvl w:val="0"/>
          <w:numId w:val="11"/>
        </w:numPr>
        <w:tabs>
          <w:tab w:pos="1937" w:val="left" w:leader="none"/>
          <w:tab w:pos="1938" w:val="left" w:leader="none"/>
        </w:tabs>
        <w:spacing w:line="240" w:lineRule="auto" w:before="133" w:after="0"/>
        <w:ind w:left="1937" w:right="0" w:hanging="684"/>
        <w:jc w:val="left"/>
        <w:rPr>
          <w:sz w:val="22"/>
        </w:rPr>
      </w:pPr>
      <w:r>
        <w:rPr>
          <w:sz w:val="22"/>
        </w:rPr>
        <w:t>which indicates that younger   </w:t>
      </w:r>
      <w:r>
        <w:rPr>
          <w:spacing w:val="10"/>
          <w:sz w:val="22"/>
        </w:rPr>
        <w:t> </w:t>
      </w:r>
      <w:r>
        <w:rPr>
          <w:sz w:val="22"/>
        </w:rPr>
        <w:t>patients must receive this protocol as part of a routine diagnostic</w:t>
      </w:r>
    </w:p>
    <w:p>
      <w:pPr>
        <w:pStyle w:val="ListParagraph"/>
        <w:numPr>
          <w:ilvl w:val="0"/>
          <w:numId w:val="11"/>
        </w:numPr>
        <w:tabs>
          <w:tab w:pos="1937" w:val="left" w:leader="none"/>
          <w:tab w:pos="1938" w:val="left" w:leader="none"/>
        </w:tabs>
        <w:spacing w:line="240" w:lineRule="auto" w:before="138" w:after="0"/>
        <w:ind w:left="1937" w:right="0" w:hanging="684"/>
        <w:jc w:val="left"/>
        <w:rPr>
          <w:sz w:val="22"/>
        </w:rPr>
      </w:pPr>
      <w:r>
        <w:rPr>
          <w:sz w:val="22"/>
        </w:rPr>
        <w:t>panel for patients that attend consultations for diseases that have some sort  </w:t>
      </w:r>
      <w:r>
        <w:rPr>
          <w:spacing w:val="25"/>
          <w:sz w:val="22"/>
        </w:rPr>
        <w:t> </w:t>
      </w:r>
      <w:r>
        <w:rPr>
          <w:sz w:val="22"/>
        </w:rPr>
        <w:t>of</w:t>
      </w:r>
    </w:p>
    <w:p>
      <w:pPr>
        <w:pStyle w:val="ListParagraph"/>
        <w:numPr>
          <w:ilvl w:val="0"/>
          <w:numId w:val="11"/>
        </w:numPr>
        <w:tabs>
          <w:tab w:pos="1937" w:val="left" w:leader="none"/>
          <w:tab w:pos="1938" w:val="left" w:leader="none"/>
        </w:tabs>
        <w:spacing w:line="240" w:lineRule="auto" w:before="136" w:after="0"/>
        <w:ind w:left="1937" w:right="0" w:hanging="684"/>
        <w:jc w:val="left"/>
        <w:rPr>
          <w:sz w:val="22"/>
        </w:rPr>
      </w:pPr>
      <w:r>
        <w:rPr>
          <w:sz w:val="22"/>
        </w:rPr>
        <w:t>pathophysiological mechanism that involves kidney function. Among the  </w:t>
      </w:r>
      <w:r>
        <w:rPr>
          <w:spacing w:val="51"/>
          <w:sz w:val="22"/>
        </w:rPr>
        <w:t> </w:t>
      </w:r>
      <w:r>
        <w:rPr>
          <w:sz w:val="22"/>
        </w:rPr>
        <w:t>comorbidities</w:t>
      </w:r>
    </w:p>
    <w:p>
      <w:pPr>
        <w:pStyle w:val="ListParagraph"/>
        <w:numPr>
          <w:ilvl w:val="0"/>
          <w:numId w:val="11"/>
        </w:numPr>
        <w:tabs>
          <w:tab w:pos="1937" w:val="left" w:leader="none"/>
          <w:tab w:pos="1938" w:val="left" w:leader="none"/>
        </w:tabs>
        <w:spacing w:line="240" w:lineRule="auto" w:before="136" w:after="0"/>
        <w:ind w:left="1937" w:right="0" w:hanging="684"/>
        <w:jc w:val="left"/>
        <w:rPr>
          <w:sz w:val="22"/>
        </w:rPr>
      </w:pPr>
      <w:r>
        <w:rPr>
          <w:sz w:val="22"/>
        </w:rPr>
        <w:t>identified in young animals were LUTD, endocrinopathies, and the use of nephrotoxic   </w:t>
      </w:r>
      <w:r>
        <w:rPr>
          <w:spacing w:val="6"/>
          <w:sz w:val="22"/>
        </w:rPr>
        <w:t> </w:t>
      </w:r>
      <w:r>
        <w:rPr>
          <w:sz w:val="22"/>
        </w:rPr>
        <w:t>drugs.</w:t>
      </w:r>
    </w:p>
    <w:p>
      <w:pPr>
        <w:pStyle w:val="BodyText"/>
        <w:spacing w:before="3"/>
        <w:rPr>
          <w:rFonts w:ascii="Times New Roman"/>
          <w:sz w:val="21"/>
        </w:rPr>
      </w:pPr>
    </w:p>
    <w:p>
      <w:pPr>
        <w:pStyle w:val="ListParagraph"/>
        <w:numPr>
          <w:ilvl w:val="0"/>
          <w:numId w:val="11"/>
        </w:numPr>
        <w:tabs>
          <w:tab w:pos="1600" w:val="left" w:leader="none"/>
        </w:tabs>
        <w:spacing w:line="240" w:lineRule="auto" w:before="0" w:after="0"/>
        <w:ind w:left="1599" w:right="0" w:hanging="346"/>
        <w:jc w:val="left"/>
        <w:rPr>
          <w:rFonts w:ascii="Cambria"/>
          <w:sz w:val="20"/>
        </w:rPr>
      </w:pPr>
    </w:p>
    <w:p>
      <w:pPr>
        <w:pStyle w:val="ListParagraph"/>
        <w:numPr>
          <w:ilvl w:val="0"/>
          <w:numId w:val="11"/>
        </w:numPr>
        <w:tabs>
          <w:tab w:pos="1937" w:val="left" w:leader="none"/>
          <w:tab w:pos="1938" w:val="left" w:leader="none"/>
        </w:tabs>
        <w:spacing w:line="240" w:lineRule="auto" w:before="139" w:after="0"/>
        <w:ind w:left="1937" w:right="0" w:hanging="684"/>
        <w:jc w:val="left"/>
        <w:rPr>
          <w:sz w:val="22"/>
        </w:rPr>
      </w:pPr>
      <w:r>
        <w:rPr>
          <w:sz w:val="22"/>
        </w:rPr>
        <w:t>Within the entire studied population the entire study population, the comorbidities   </w:t>
      </w:r>
      <w:r>
        <w:rPr>
          <w:spacing w:val="10"/>
          <w:sz w:val="22"/>
        </w:rPr>
        <w:t> </w:t>
      </w:r>
      <w:r>
        <w:rPr>
          <w:sz w:val="22"/>
        </w:rPr>
        <w:t>considered</w:t>
      </w:r>
    </w:p>
    <w:p>
      <w:pPr>
        <w:pStyle w:val="ListParagraph"/>
        <w:numPr>
          <w:ilvl w:val="0"/>
          <w:numId w:val="11"/>
        </w:numPr>
        <w:tabs>
          <w:tab w:pos="1937" w:val="left" w:leader="none"/>
          <w:tab w:pos="1938" w:val="left" w:leader="none"/>
        </w:tabs>
        <w:spacing w:line="240" w:lineRule="auto" w:before="138" w:after="0"/>
        <w:ind w:left="1937" w:right="0" w:hanging="684"/>
        <w:jc w:val="left"/>
        <w:rPr>
          <w:sz w:val="22"/>
        </w:rPr>
      </w:pPr>
      <w:r>
        <w:rPr>
          <w:sz w:val="22"/>
        </w:rPr>
        <w:t>as risk factors that were identified at higher rates were chronic inflammatory  </w:t>
      </w:r>
      <w:r>
        <w:rPr>
          <w:spacing w:val="44"/>
          <w:sz w:val="22"/>
        </w:rPr>
        <w:t> </w:t>
      </w:r>
      <w:r>
        <w:rPr>
          <w:sz w:val="22"/>
        </w:rPr>
        <w:t>processes,</w:t>
      </w:r>
    </w:p>
    <w:p>
      <w:pPr>
        <w:pStyle w:val="ListParagraph"/>
        <w:numPr>
          <w:ilvl w:val="0"/>
          <w:numId w:val="11"/>
        </w:numPr>
        <w:tabs>
          <w:tab w:pos="1937" w:val="left" w:leader="none"/>
          <w:tab w:pos="1938" w:val="left" w:leader="none"/>
        </w:tabs>
        <w:spacing w:line="240" w:lineRule="auto" w:before="133" w:after="0"/>
        <w:ind w:left="1937" w:right="0" w:hanging="684"/>
        <w:jc w:val="left"/>
        <w:rPr>
          <w:sz w:val="22"/>
        </w:rPr>
      </w:pPr>
      <w:r>
        <w:rPr>
          <w:sz w:val="22"/>
        </w:rPr>
        <w:t>neoplasia, and cardiopathies. Sosnar et al. described the following as pathologies  </w:t>
      </w:r>
      <w:r>
        <w:rPr>
          <w:spacing w:val="51"/>
          <w:sz w:val="22"/>
        </w:rPr>
        <w:t> </w:t>
      </w:r>
      <w:r>
        <w:rPr>
          <w:sz w:val="22"/>
        </w:rPr>
        <w:t>associated</w:t>
      </w:r>
    </w:p>
    <w:p>
      <w:pPr>
        <w:pStyle w:val="ListParagraph"/>
        <w:numPr>
          <w:ilvl w:val="0"/>
          <w:numId w:val="11"/>
        </w:numPr>
        <w:tabs>
          <w:tab w:pos="1937" w:val="left" w:leader="none"/>
          <w:tab w:pos="1938" w:val="left" w:leader="none"/>
        </w:tabs>
        <w:spacing w:line="240" w:lineRule="auto" w:before="138" w:after="0"/>
        <w:ind w:left="1937" w:right="0" w:hanging="684"/>
        <w:jc w:val="left"/>
        <w:rPr>
          <w:sz w:val="22"/>
        </w:rPr>
      </w:pPr>
      <w:r>
        <w:rPr>
          <w:sz w:val="22"/>
        </w:rPr>
        <w:t>with renal disease in 2003: cardiopathies, followed by neoplasia, pyometra, and  </w:t>
      </w:r>
      <w:r>
        <w:rPr>
          <w:spacing w:val="47"/>
          <w:sz w:val="22"/>
        </w:rPr>
        <w:t> </w:t>
      </w:r>
      <w:r>
        <w:rPr>
          <w:sz w:val="22"/>
        </w:rPr>
        <w:t>diabetes</w:t>
      </w:r>
    </w:p>
    <w:p>
      <w:pPr>
        <w:pStyle w:val="ListParagraph"/>
        <w:numPr>
          <w:ilvl w:val="0"/>
          <w:numId w:val="11"/>
        </w:numPr>
        <w:tabs>
          <w:tab w:pos="1937" w:val="left" w:leader="none"/>
          <w:tab w:pos="1938" w:val="left" w:leader="none"/>
        </w:tabs>
        <w:spacing w:line="240" w:lineRule="auto" w:before="136" w:after="0"/>
        <w:ind w:left="1937" w:right="0" w:hanging="684"/>
        <w:jc w:val="left"/>
        <w:rPr>
          <w:sz w:val="22"/>
        </w:rPr>
      </w:pPr>
      <w:r>
        <w:rPr>
          <w:sz w:val="22"/>
        </w:rPr>
        <w:t>mellitus; however, this study did not specify if the patients with pyometra   </w:t>
      </w:r>
      <w:r>
        <w:rPr>
          <w:spacing w:val="10"/>
          <w:sz w:val="22"/>
        </w:rPr>
        <w:t> </w:t>
      </w:r>
      <w:r>
        <w:rPr>
          <w:sz w:val="22"/>
        </w:rPr>
        <w:t>displayed any signs</w:t>
      </w:r>
    </w:p>
    <w:p>
      <w:pPr>
        <w:pStyle w:val="ListParagraph"/>
        <w:numPr>
          <w:ilvl w:val="0"/>
          <w:numId w:val="11"/>
        </w:numPr>
        <w:tabs>
          <w:tab w:pos="1937" w:val="left" w:leader="none"/>
          <w:tab w:pos="1938" w:val="left" w:leader="none"/>
        </w:tabs>
        <w:spacing w:line="240" w:lineRule="auto" w:before="101" w:after="0"/>
        <w:ind w:left="1937" w:right="0" w:hanging="684"/>
        <w:jc w:val="left"/>
        <w:rPr>
          <w:sz w:val="15"/>
        </w:rPr>
      </w:pPr>
      <w:r>
        <w:rPr>
          <w:sz w:val="22"/>
        </w:rPr>
        <w:t>of acute kidney damage or </w:t>
      </w:r>
      <w:r>
        <w:rPr>
          <w:spacing w:val="2"/>
          <w:sz w:val="22"/>
        </w:rPr>
        <w:t> </w:t>
      </w:r>
      <w:r>
        <w:rPr>
          <w:sz w:val="22"/>
        </w:rPr>
        <w:t>CKD.</w:t>
      </w:r>
      <w:r>
        <w:rPr>
          <w:position w:val="10"/>
          <w:sz w:val="15"/>
        </w:rPr>
        <w:t>17</w:t>
      </w:r>
    </w:p>
    <w:p>
      <w:pPr>
        <w:pStyle w:val="BodyText"/>
        <w:spacing w:before="6"/>
        <w:rPr>
          <w:rFonts w:ascii="Times New Roman"/>
          <w:sz w:val="13"/>
        </w:rPr>
      </w:pPr>
    </w:p>
    <w:p>
      <w:pPr>
        <w:pStyle w:val="ListParagraph"/>
        <w:numPr>
          <w:ilvl w:val="0"/>
          <w:numId w:val="11"/>
        </w:numPr>
        <w:tabs>
          <w:tab w:pos="1937" w:val="left" w:leader="none"/>
          <w:tab w:pos="1938" w:val="left" w:leader="none"/>
        </w:tabs>
        <w:spacing w:line="240" w:lineRule="auto" w:before="76" w:after="0"/>
        <w:ind w:left="1937" w:right="0" w:hanging="684"/>
        <w:jc w:val="left"/>
        <w:rPr>
          <w:sz w:val="22"/>
        </w:rPr>
      </w:pPr>
      <w:r>
        <w:rPr>
          <w:sz w:val="22"/>
        </w:rPr>
        <w:t>Regarding chronic inflammatory processes, we considered periodontal diseases,   </w:t>
      </w:r>
      <w:r>
        <w:rPr>
          <w:spacing w:val="8"/>
          <w:sz w:val="22"/>
        </w:rPr>
        <w:t> </w:t>
      </w:r>
      <w:r>
        <w:rPr>
          <w:sz w:val="22"/>
        </w:rPr>
        <w:t>autoimmune</w:t>
      </w:r>
    </w:p>
    <w:p>
      <w:pPr>
        <w:pStyle w:val="ListParagraph"/>
        <w:numPr>
          <w:ilvl w:val="0"/>
          <w:numId w:val="11"/>
        </w:numPr>
        <w:tabs>
          <w:tab w:pos="1937" w:val="left" w:leader="none"/>
          <w:tab w:pos="1938" w:val="left" w:leader="none"/>
        </w:tabs>
        <w:spacing w:line="240" w:lineRule="auto" w:before="133" w:after="0"/>
        <w:ind w:left="1937" w:right="0" w:hanging="684"/>
        <w:jc w:val="left"/>
        <w:rPr>
          <w:sz w:val="22"/>
        </w:rPr>
      </w:pPr>
      <w:r>
        <w:rPr>
          <w:sz w:val="22"/>
        </w:rPr>
        <w:t>diseases, dermatitis, and degenerative articular disease. Statistically, this group did  </w:t>
      </w:r>
      <w:r>
        <w:rPr>
          <w:spacing w:val="43"/>
          <w:sz w:val="22"/>
        </w:rPr>
        <w:t> </w:t>
      </w:r>
      <w:r>
        <w:rPr>
          <w:sz w:val="22"/>
        </w:rPr>
        <w:t>not</w:t>
      </w:r>
    </w:p>
    <w:p>
      <w:pPr>
        <w:pStyle w:val="ListParagraph"/>
        <w:numPr>
          <w:ilvl w:val="0"/>
          <w:numId w:val="11"/>
        </w:numPr>
        <w:tabs>
          <w:tab w:pos="1937" w:val="left" w:leader="none"/>
          <w:tab w:pos="1938" w:val="left" w:leader="none"/>
        </w:tabs>
        <w:spacing w:line="240" w:lineRule="auto" w:before="138" w:after="0"/>
        <w:ind w:left="1937" w:right="0" w:hanging="684"/>
        <w:jc w:val="left"/>
        <w:rPr>
          <w:sz w:val="22"/>
        </w:rPr>
      </w:pPr>
      <w:r>
        <w:rPr>
          <w:sz w:val="22"/>
        </w:rPr>
        <w:t>emerge as a risk factor for CKD, probably due to the size of the sample; however,   </w:t>
      </w:r>
      <w:r>
        <w:rPr>
          <w:spacing w:val="3"/>
          <w:sz w:val="22"/>
        </w:rPr>
        <w:t> </w:t>
      </w:r>
      <w:r>
        <w:rPr>
          <w:sz w:val="22"/>
        </w:rPr>
        <w:t>evidence</w:t>
      </w:r>
    </w:p>
    <w:p>
      <w:pPr>
        <w:pStyle w:val="ListParagraph"/>
        <w:numPr>
          <w:ilvl w:val="0"/>
          <w:numId w:val="11"/>
        </w:numPr>
        <w:tabs>
          <w:tab w:pos="1937" w:val="left" w:leader="none"/>
          <w:tab w:pos="1938" w:val="left" w:leader="none"/>
        </w:tabs>
        <w:spacing w:line="240" w:lineRule="auto" w:before="136" w:after="0"/>
        <w:ind w:left="1937" w:right="0" w:hanging="684"/>
        <w:jc w:val="left"/>
        <w:rPr>
          <w:sz w:val="22"/>
        </w:rPr>
      </w:pPr>
      <w:r>
        <w:rPr>
          <w:sz w:val="22"/>
        </w:rPr>
        <w:t>shows that along with proteinuria-related inflammation and its aforementioned  </w:t>
      </w:r>
      <w:r>
        <w:rPr>
          <w:spacing w:val="48"/>
          <w:sz w:val="22"/>
        </w:rPr>
        <w:t> </w:t>
      </w:r>
      <w:r>
        <w:rPr>
          <w:sz w:val="22"/>
        </w:rPr>
        <w:t>effects,</w:t>
      </w:r>
    </w:p>
    <w:p>
      <w:pPr>
        <w:pStyle w:val="ListParagraph"/>
        <w:numPr>
          <w:ilvl w:val="0"/>
          <w:numId w:val="11"/>
        </w:numPr>
        <w:tabs>
          <w:tab w:pos="1937" w:val="left" w:leader="none"/>
          <w:tab w:pos="1938" w:val="left" w:leader="none"/>
        </w:tabs>
        <w:spacing w:line="240" w:lineRule="auto" w:before="136" w:after="0"/>
        <w:ind w:left="1937" w:right="0" w:hanging="684"/>
        <w:jc w:val="left"/>
        <w:rPr>
          <w:sz w:val="22"/>
        </w:rPr>
      </w:pPr>
      <w:r>
        <w:rPr>
          <w:sz w:val="22"/>
        </w:rPr>
        <w:t>oxidative stress and endothelial dysfunction contribute significantly to the development  </w:t>
      </w:r>
      <w:r>
        <w:rPr>
          <w:spacing w:val="49"/>
          <w:sz w:val="22"/>
        </w:rPr>
        <w:t> </w:t>
      </w:r>
      <w:r>
        <w:rPr>
          <w:sz w:val="22"/>
        </w:rPr>
        <w:t>and</w:t>
      </w:r>
    </w:p>
    <w:p>
      <w:pPr>
        <w:pStyle w:val="ListParagraph"/>
        <w:numPr>
          <w:ilvl w:val="0"/>
          <w:numId w:val="11"/>
        </w:numPr>
        <w:tabs>
          <w:tab w:pos="1937" w:val="left" w:leader="none"/>
          <w:tab w:pos="1938" w:val="left" w:leader="none"/>
        </w:tabs>
        <w:spacing w:line="240" w:lineRule="auto" w:before="101" w:after="0"/>
        <w:ind w:left="1937" w:right="0" w:hanging="684"/>
        <w:jc w:val="left"/>
        <w:rPr>
          <w:sz w:val="22"/>
        </w:rPr>
      </w:pPr>
      <w:r>
        <w:rPr>
          <w:sz w:val="22"/>
        </w:rPr>
        <w:t>progression of endothelial damage and atherosclerosis.</w:t>
      </w:r>
      <w:r>
        <w:rPr>
          <w:position w:val="10"/>
          <w:sz w:val="15"/>
        </w:rPr>
        <w:t>18,19  </w:t>
      </w:r>
      <w:r>
        <w:rPr>
          <w:sz w:val="22"/>
        </w:rPr>
        <w:t>In 2006, Hess et al. proved  </w:t>
      </w:r>
      <w:r>
        <w:rPr>
          <w:spacing w:val="22"/>
          <w:sz w:val="22"/>
        </w:rPr>
        <w:t> </w:t>
      </w:r>
      <w:r>
        <w:rPr>
          <w:sz w:val="22"/>
        </w:rPr>
        <w:t>that</w:t>
      </w:r>
    </w:p>
    <w:p>
      <w:pPr>
        <w:pStyle w:val="ListParagraph"/>
        <w:numPr>
          <w:ilvl w:val="0"/>
          <w:numId w:val="11"/>
        </w:numPr>
        <w:tabs>
          <w:tab w:pos="1937" w:val="left" w:leader="none"/>
          <w:tab w:pos="1938" w:val="left" w:leader="none"/>
        </w:tabs>
        <w:spacing w:line="240" w:lineRule="auto" w:before="136" w:after="0"/>
        <w:ind w:left="1937" w:right="0" w:hanging="684"/>
        <w:jc w:val="left"/>
        <w:rPr>
          <w:sz w:val="22"/>
        </w:rPr>
      </w:pPr>
      <w:r>
        <w:rPr>
          <w:sz w:val="22"/>
        </w:rPr>
        <w:t>dogs with atherosclerosis have a greater predisposition to display glomerulopathies  </w:t>
      </w:r>
      <w:r>
        <w:rPr>
          <w:spacing w:val="45"/>
          <w:sz w:val="22"/>
        </w:rPr>
        <w:t> </w:t>
      </w:r>
      <w:r>
        <w:rPr>
          <w:sz w:val="22"/>
        </w:rPr>
        <w:t>in</w:t>
      </w:r>
    </w:p>
    <w:p>
      <w:pPr>
        <w:pStyle w:val="ListParagraph"/>
        <w:numPr>
          <w:ilvl w:val="0"/>
          <w:numId w:val="11"/>
        </w:numPr>
        <w:tabs>
          <w:tab w:pos="1937" w:val="left" w:leader="none"/>
          <w:tab w:pos="1938" w:val="left" w:leader="none"/>
        </w:tabs>
        <w:spacing w:line="240" w:lineRule="auto" w:before="101" w:after="0"/>
        <w:ind w:left="1937" w:right="0" w:hanging="684"/>
        <w:jc w:val="left"/>
        <w:rPr>
          <w:sz w:val="22"/>
        </w:rPr>
      </w:pPr>
      <w:r>
        <w:rPr>
          <w:sz w:val="22"/>
        </w:rPr>
        <w:t>comparison with other dogs without evidence of atherosclerosis.</w:t>
      </w:r>
      <w:r>
        <w:rPr>
          <w:position w:val="10"/>
          <w:sz w:val="15"/>
        </w:rPr>
        <w:t>20  </w:t>
      </w:r>
      <w:r>
        <w:rPr>
          <w:sz w:val="22"/>
        </w:rPr>
        <w:t>In a recent study,  </w:t>
      </w:r>
      <w:r>
        <w:rPr>
          <w:spacing w:val="36"/>
          <w:sz w:val="22"/>
        </w:rPr>
        <w:t> </w:t>
      </w:r>
      <w:r>
        <w:rPr>
          <w:sz w:val="22"/>
        </w:rPr>
        <w:t>COX-2</w:t>
      </w:r>
    </w:p>
    <w:p>
      <w:pPr>
        <w:pStyle w:val="ListParagraph"/>
        <w:numPr>
          <w:ilvl w:val="0"/>
          <w:numId w:val="11"/>
        </w:numPr>
        <w:tabs>
          <w:tab w:pos="1937" w:val="left" w:leader="none"/>
          <w:tab w:pos="1938" w:val="left" w:leader="none"/>
        </w:tabs>
        <w:spacing w:line="240" w:lineRule="auto" w:before="138" w:after="0"/>
        <w:ind w:left="1937" w:right="0" w:hanging="684"/>
        <w:jc w:val="left"/>
        <w:rPr>
          <w:sz w:val="22"/>
        </w:rPr>
      </w:pPr>
      <w:r>
        <w:rPr>
          <w:sz w:val="22"/>
        </w:rPr>
        <w:t>positive zones were identified in different places in the dense macula within the kidneys   </w:t>
      </w:r>
      <w:r>
        <w:rPr>
          <w:spacing w:val="4"/>
          <w:sz w:val="22"/>
        </w:rPr>
        <w:t> </w:t>
      </w:r>
      <w:r>
        <w:rPr>
          <w:sz w:val="22"/>
        </w:rPr>
        <w:t>of</w:t>
      </w:r>
    </w:p>
    <w:p>
      <w:pPr>
        <w:pStyle w:val="ListParagraph"/>
        <w:numPr>
          <w:ilvl w:val="0"/>
          <w:numId w:val="11"/>
        </w:numPr>
        <w:tabs>
          <w:tab w:pos="1937" w:val="left" w:leader="none"/>
          <w:tab w:pos="1938" w:val="left" w:leader="none"/>
        </w:tabs>
        <w:spacing w:line="240" w:lineRule="auto" w:before="133" w:after="0"/>
        <w:ind w:left="1937" w:right="0" w:hanging="684"/>
        <w:jc w:val="left"/>
        <w:rPr>
          <w:sz w:val="22"/>
        </w:rPr>
      </w:pPr>
      <w:r>
        <w:rPr>
          <w:sz w:val="22"/>
        </w:rPr>
        <w:t>dogs diagnosed with CKD, although no correlation has been found between the  </w:t>
      </w:r>
      <w:r>
        <w:rPr>
          <w:spacing w:val="54"/>
          <w:sz w:val="22"/>
        </w:rPr>
        <w:t> </w:t>
      </w:r>
      <w:r>
        <w:rPr>
          <w:sz w:val="22"/>
        </w:rPr>
        <w:t>quantity of</w:t>
      </w:r>
    </w:p>
    <w:p>
      <w:pPr>
        <w:pStyle w:val="ListParagraph"/>
        <w:numPr>
          <w:ilvl w:val="0"/>
          <w:numId w:val="11"/>
        </w:numPr>
        <w:tabs>
          <w:tab w:pos="1937" w:val="left" w:leader="none"/>
          <w:tab w:pos="1938" w:val="left" w:leader="none"/>
        </w:tabs>
        <w:spacing w:line="240" w:lineRule="auto" w:before="138" w:after="0"/>
        <w:ind w:left="1937" w:right="0" w:hanging="684"/>
        <w:jc w:val="left"/>
        <w:rPr>
          <w:sz w:val="22"/>
        </w:rPr>
      </w:pPr>
      <w:r>
        <w:rPr>
          <w:sz w:val="22"/>
        </w:rPr>
        <w:t>positive COX-2 zones and the severity of the illness; however, the location of these  </w:t>
      </w:r>
      <w:r>
        <w:rPr>
          <w:spacing w:val="51"/>
          <w:sz w:val="22"/>
        </w:rPr>
        <w:t> </w:t>
      </w:r>
      <w:r>
        <w:rPr>
          <w:sz w:val="22"/>
        </w:rPr>
        <w:t>zones</w:t>
      </w:r>
    </w:p>
    <w:p>
      <w:pPr>
        <w:pStyle w:val="ListParagraph"/>
        <w:numPr>
          <w:ilvl w:val="0"/>
          <w:numId w:val="11"/>
        </w:numPr>
        <w:tabs>
          <w:tab w:pos="1937" w:val="left" w:leader="none"/>
          <w:tab w:pos="1938" w:val="left" w:leader="none"/>
        </w:tabs>
        <w:spacing w:line="240" w:lineRule="auto" w:before="91" w:after="0"/>
        <w:ind w:left="1937" w:right="0" w:hanging="684"/>
        <w:jc w:val="left"/>
        <w:rPr>
          <w:sz w:val="15"/>
        </w:rPr>
      </w:pPr>
      <w:r>
        <w:rPr>
          <w:sz w:val="22"/>
        </w:rPr>
        <w:t>shows the active inflammatory reaction within kidneys with  </w:t>
      </w:r>
      <w:r>
        <w:rPr>
          <w:spacing w:val="6"/>
          <w:sz w:val="22"/>
        </w:rPr>
        <w:t> </w:t>
      </w:r>
      <w:r>
        <w:rPr>
          <w:sz w:val="22"/>
        </w:rPr>
        <w:t>CKD.</w:t>
      </w:r>
      <w:r>
        <w:rPr>
          <w:position w:val="11"/>
          <w:sz w:val="15"/>
        </w:rPr>
        <w:t>21</w:t>
      </w:r>
    </w:p>
    <w:p>
      <w:pPr>
        <w:spacing w:after="0" w:line="240" w:lineRule="auto"/>
        <w:jc w:val="left"/>
        <w:rPr>
          <w:sz w:val="15"/>
        </w:rPr>
        <w:sectPr>
          <w:headerReference w:type="default" r:id="rId75"/>
          <w:footerReference w:type="default" r:id="rId76"/>
          <w:pgSz w:w="12240" w:h="15840"/>
          <w:pgMar w:header="0" w:footer="0" w:top="140" w:bottom="280" w:left="0" w:right="1700"/>
        </w:sectPr>
      </w:pPr>
    </w:p>
    <w:p>
      <w:pPr>
        <w:tabs>
          <w:tab w:pos="10992" w:val="left" w:leader="none"/>
        </w:tabs>
        <w:spacing w:before="56"/>
        <w:ind w:left="3549" w:right="0" w:firstLine="0"/>
        <w:jc w:val="left"/>
        <w:rPr>
          <w:b/>
          <w:sz w:val="20"/>
        </w:rPr>
      </w:pPr>
      <w:r>
        <w:rPr>
          <w:b/>
          <w:sz w:val="20"/>
        </w:rPr>
        <w:t>Journal of the American Veterinary</w:t>
      </w:r>
      <w:r>
        <w:rPr>
          <w:b/>
          <w:spacing w:val="-16"/>
          <w:sz w:val="20"/>
        </w:rPr>
        <w:t> </w:t>
      </w:r>
      <w:r>
        <w:rPr>
          <w:b/>
          <w:sz w:val="20"/>
        </w:rPr>
        <w:t>Medical</w:t>
      </w:r>
      <w:r>
        <w:rPr>
          <w:b/>
          <w:spacing w:val="-3"/>
          <w:sz w:val="20"/>
        </w:rPr>
        <w:t> </w:t>
      </w:r>
      <w:r>
        <w:rPr>
          <w:b/>
          <w:sz w:val="20"/>
        </w:rPr>
        <w:t>Association</w:t>
        <w:tab/>
        <w:t>Page 8 of</w:t>
      </w:r>
    </w:p>
    <w:p>
      <w:pPr>
        <w:pStyle w:val="BodyText"/>
        <w:rPr>
          <w:b/>
          <w:sz w:val="20"/>
        </w:rPr>
      </w:pPr>
    </w:p>
    <w:p>
      <w:pPr>
        <w:pStyle w:val="BodyText"/>
        <w:rPr>
          <w:b/>
          <w:sz w:val="20"/>
        </w:rPr>
      </w:pPr>
    </w:p>
    <w:p>
      <w:pPr>
        <w:pStyle w:val="BodyText"/>
        <w:rPr>
          <w:b/>
          <w:sz w:val="20"/>
        </w:rPr>
      </w:pPr>
    </w:p>
    <w:p>
      <w:pPr>
        <w:pStyle w:val="BodyText"/>
        <w:spacing w:before="7"/>
        <w:rPr>
          <w:b/>
          <w:sz w:val="18"/>
        </w:rPr>
      </w:pPr>
    </w:p>
    <w:p>
      <w:pPr>
        <w:pStyle w:val="ListParagraph"/>
        <w:numPr>
          <w:ilvl w:val="0"/>
          <w:numId w:val="11"/>
        </w:numPr>
        <w:tabs>
          <w:tab w:pos="1937" w:val="left" w:leader="none"/>
          <w:tab w:pos="1938" w:val="left" w:leader="none"/>
        </w:tabs>
        <w:spacing w:line="240" w:lineRule="auto" w:before="0" w:after="0"/>
        <w:ind w:left="1937" w:right="0" w:hanging="684"/>
        <w:jc w:val="left"/>
        <w:rPr>
          <w:sz w:val="22"/>
        </w:rPr>
      </w:pPr>
      <w:r>
        <w:rPr>
          <w:sz w:val="22"/>
        </w:rPr>
        <w:t>In the case of neoplasia, different paraneoplastic syndromes that can affect    kidney function</w:t>
      </w:r>
    </w:p>
    <w:p>
      <w:pPr>
        <w:pStyle w:val="ListParagraph"/>
        <w:numPr>
          <w:ilvl w:val="0"/>
          <w:numId w:val="11"/>
        </w:numPr>
        <w:tabs>
          <w:tab w:pos="1937" w:val="left" w:leader="none"/>
          <w:tab w:pos="1938" w:val="left" w:leader="none"/>
        </w:tabs>
        <w:spacing w:line="240" w:lineRule="auto" w:before="136" w:after="0"/>
        <w:ind w:left="1937" w:right="0" w:hanging="684"/>
        <w:jc w:val="left"/>
        <w:rPr>
          <w:sz w:val="22"/>
        </w:rPr>
      </w:pPr>
      <w:r>
        <w:rPr>
          <w:sz w:val="22"/>
        </w:rPr>
        <w:t>have been identified and described, among which are malign hypercalcemia,  </w:t>
      </w:r>
      <w:r>
        <w:rPr>
          <w:spacing w:val="52"/>
          <w:sz w:val="22"/>
        </w:rPr>
        <w:t> </w:t>
      </w:r>
      <w:r>
        <w:rPr>
          <w:sz w:val="22"/>
        </w:rPr>
        <w:t>inappropriate</w:t>
      </w:r>
    </w:p>
    <w:p>
      <w:pPr>
        <w:pStyle w:val="ListParagraph"/>
        <w:numPr>
          <w:ilvl w:val="0"/>
          <w:numId w:val="11"/>
        </w:numPr>
        <w:tabs>
          <w:tab w:pos="1937" w:val="left" w:leader="none"/>
          <w:tab w:pos="1938" w:val="left" w:leader="none"/>
        </w:tabs>
        <w:spacing w:line="240" w:lineRule="auto" w:before="136" w:after="0"/>
        <w:ind w:left="1937" w:right="0" w:hanging="684"/>
        <w:jc w:val="left"/>
        <w:rPr>
          <w:sz w:val="22"/>
        </w:rPr>
      </w:pPr>
      <w:r>
        <w:rPr>
          <w:sz w:val="22"/>
        </w:rPr>
        <w:t>antidiuretic hormone secretion syndrome, tumor lysis via deposition of uric acid  </w:t>
      </w:r>
      <w:r>
        <w:rPr>
          <w:spacing w:val="51"/>
          <w:sz w:val="22"/>
        </w:rPr>
        <w:t> </w:t>
      </w:r>
      <w:r>
        <w:rPr>
          <w:sz w:val="22"/>
        </w:rPr>
        <w:t>crystals</w:t>
      </w:r>
    </w:p>
    <w:p>
      <w:pPr>
        <w:pStyle w:val="ListParagraph"/>
        <w:numPr>
          <w:ilvl w:val="0"/>
          <w:numId w:val="11"/>
        </w:numPr>
        <w:tabs>
          <w:tab w:pos="1937" w:val="left" w:leader="none"/>
          <w:tab w:pos="1938" w:val="left" w:leader="none"/>
        </w:tabs>
        <w:spacing w:line="240" w:lineRule="auto" w:before="136" w:after="0"/>
        <w:ind w:left="1937" w:right="0" w:hanging="684"/>
        <w:jc w:val="left"/>
        <w:rPr>
          <w:sz w:val="22"/>
        </w:rPr>
      </w:pPr>
      <w:r>
        <w:rPr>
          <w:sz w:val="22"/>
        </w:rPr>
        <w:t>syndrome, membranous nephropathic illness with minimal changes, nephropathy by    IgA,</w:t>
      </w:r>
    </w:p>
    <w:p>
      <w:pPr>
        <w:pStyle w:val="ListParagraph"/>
        <w:numPr>
          <w:ilvl w:val="0"/>
          <w:numId w:val="11"/>
        </w:numPr>
        <w:tabs>
          <w:tab w:pos="1937" w:val="left" w:leader="none"/>
          <w:tab w:pos="1938" w:val="left" w:leader="none"/>
        </w:tabs>
        <w:spacing w:line="240" w:lineRule="auto" w:before="138" w:after="0"/>
        <w:ind w:left="1937" w:right="0" w:hanging="684"/>
        <w:jc w:val="left"/>
        <w:rPr>
          <w:sz w:val="22"/>
        </w:rPr>
      </w:pPr>
      <w:r>
        <w:rPr>
          <w:sz w:val="22"/>
        </w:rPr>
        <w:t>focal and segmental glomeruloesclerosis,  membranoproliferative </w:t>
      </w:r>
      <w:r>
        <w:rPr>
          <w:spacing w:val="52"/>
          <w:sz w:val="22"/>
        </w:rPr>
        <w:t> </w:t>
      </w:r>
      <w:r>
        <w:rPr>
          <w:sz w:val="22"/>
        </w:rPr>
        <w:t>glomerulopathy,rapidly</w:t>
      </w:r>
    </w:p>
    <w:p>
      <w:pPr>
        <w:pStyle w:val="ListParagraph"/>
        <w:numPr>
          <w:ilvl w:val="0"/>
          <w:numId w:val="11"/>
        </w:numPr>
        <w:tabs>
          <w:tab w:pos="1937" w:val="left" w:leader="none"/>
          <w:tab w:pos="1938" w:val="left" w:leader="none"/>
        </w:tabs>
        <w:spacing w:line="240" w:lineRule="auto" w:before="98" w:after="0"/>
        <w:ind w:left="1937" w:right="0" w:hanging="684"/>
        <w:jc w:val="left"/>
        <w:rPr>
          <w:sz w:val="22"/>
        </w:rPr>
      </w:pPr>
      <w:r>
        <w:rPr>
          <w:sz w:val="22"/>
        </w:rPr>
        <w:t>progressive  glomerulonephritis, and  thrombocytic  microangiopathy.</w:t>
      </w:r>
      <w:r>
        <w:rPr>
          <w:position w:val="10"/>
          <w:sz w:val="15"/>
        </w:rPr>
        <w:t>22  </w:t>
      </w:r>
      <w:r>
        <w:rPr>
          <w:sz w:val="22"/>
        </w:rPr>
        <w:t>The</w:t>
      </w:r>
      <w:r>
        <w:rPr>
          <w:spacing w:val="-17"/>
          <w:sz w:val="22"/>
        </w:rPr>
        <w:t> </w:t>
      </w:r>
      <w:r>
        <w:rPr>
          <w:sz w:val="22"/>
        </w:rPr>
        <w:t>physiopathological</w:t>
      </w:r>
    </w:p>
    <w:p>
      <w:pPr>
        <w:pStyle w:val="ListParagraph"/>
        <w:numPr>
          <w:ilvl w:val="0"/>
          <w:numId w:val="11"/>
        </w:numPr>
        <w:tabs>
          <w:tab w:pos="1937" w:val="left" w:leader="none"/>
          <w:tab w:pos="1938" w:val="left" w:leader="none"/>
        </w:tabs>
        <w:spacing w:line="240" w:lineRule="auto" w:before="138" w:after="0"/>
        <w:ind w:left="1937" w:right="0" w:hanging="684"/>
        <w:jc w:val="left"/>
        <w:rPr>
          <w:sz w:val="22"/>
        </w:rPr>
      </w:pPr>
      <w:r>
        <w:rPr>
          <w:sz w:val="22"/>
        </w:rPr>
        <w:t>mechanisms for these pathologies have not been cleared up; however, it is believed  </w:t>
      </w:r>
      <w:r>
        <w:rPr>
          <w:spacing w:val="53"/>
          <w:sz w:val="22"/>
        </w:rPr>
        <w:t> </w:t>
      </w:r>
      <w:r>
        <w:rPr>
          <w:sz w:val="22"/>
        </w:rPr>
        <w:t>that</w:t>
      </w:r>
    </w:p>
    <w:p>
      <w:pPr>
        <w:pStyle w:val="ListParagraph"/>
        <w:numPr>
          <w:ilvl w:val="0"/>
          <w:numId w:val="11"/>
        </w:numPr>
        <w:tabs>
          <w:tab w:pos="1937" w:val="left" w:leader="none"/>
          <w:tab w:pos="1938" w:val="left" w:leader="none"/>
        </w:tabs>
        <w:spacing w:line="240" w:lineRule="auto" w:before="136" w:after="0"/>
        <w:ind w:left="1937" w:right="0" w:hanging="684"/>
        <w:jc w:val="left"/>
        <w:rPr>
          <w:sz w:val="22"/>
        </w:rPr>
      </w:pPr>
      <w:r>
        <w:rPr/>
        <w:pict>
          <v:shape style="position:absolute;margin-left:120.872412pt;margin-top:171.810603pt;width:376.45pt;height:48pt;mso-position-horizontal-relative:page;mso-position-vertical-relative:paragraph;z-index:-123016;rotation:51" type="#_x0000_t136" fillcolor="#d6f1fe" stroked="f">
            <o:extrusion v:ext="view" autorotationcenter="t"/>
            <v:textpath style="font-family:&amp;quot;Arial&amp;quot;;font-size:48pt;v-text-kern:t;mso-text-shadow:auto;font-weight:bold" string="For Review Only"/>
            <w10:wrap type="none"/>
          </v:shape>
        </w:pict>
      </w:r>
      <w:r>
        <w:rPr>
          <w:sz w:val="22"/>
        </w:rPr>
        <w:t>membranous nephropathy is developed from an intense immune reaction and is   </w:t>
      </w:r>
      <w:r>
        <w:rPr>
          <w:spacing w:val="8"/>
          <w:sz w:val="22"/>
        </w:rPr>
        <w:t> </w:t>
      </w:r>
      <w:r>
        <w:rPr>
          <w:sz w:val="22"/>
        </w:rPr>
        <w:t>distinguished</w:t>
      </w:r>
    </w:p>
    <w:p>
      <w:pPr>
        <w:pStyle w:val="ListParagraph"/>
        <w:numPr>
          <w:ilvl w:val="0"/>
          <w:numId w:val="11"/>
        </w:numPr>
        <w:tabs>
          <w:tab w:pos="1937" w:val="left" w:leader="none"/>
          <w:tab w:pos="1938" w:val="left" w:leader="none"/>
        </w:tabs>
        <w:spacing w:line="240" w:lineRule="auto" w:before="101" w:after="0"/>
        <w:ind w:left="1937" w:right="0" w:hanging="684"/>
        <w:jc w:val="left"/>
        <w:rPr>
          <w:sz w:val="22"/>
        </w:rPr>
      </w:pPr>
      <w:r>
        <w:rPr>
          <w:sz w:val="22"/>
        </w:rPr>
        <w:t>by subepithelial deposits of immune complexes.</w:t>
      </w:r>
      <w:r>
        <w:rPr>
          <w:position w:val="10"/>
          <w:sz w:val="15"/>
        </w:rPr>
        <w:t>1, 23  </w:t>
      </w:r>
      <w:r>
        <w:rPr>
          <w:sz w:val="22"/>
        </w:rPr>
        <w:t>In this study, neoplasia did not emerge  </w:t>
      </w:r>
      <w:r>
        <w:rPr>
          <w:spacing w:val="34"/>
          <w:sz w:val="22"/>
        </w:rPr>
        <w:t> </w:t>
      </w:r>
      <w:r>
        <w:rPr>
          <w:sz w:val="22"/>
        </w:rPr>
        <w:t>as</w:t>
      </w:r>
    </w:p>
    <w:p>
      <w:pPr>
        <w:pStyle w:val="ListParagraph"/>
        <w:numPr>
          <w:ilvl w:val="0"/>
          <w:numId w:val="11"/>
        </w:numPr>
        <w:tabs>
          <w:tab w:pos="1937" w:val="left" w:leader="none"/>
          <w:tab w:pos="1938" w:val="left" w:leader="none"/>
        </w:tabs>
        <w:spacing w:line="240" w:lineRule="auto" w:before="136" w:after="0"/>
        <w:ind w:left="1937" w:right="0" w:hanging="684"/>
        <w:jc w:val="left"/>
        <w:rPr>
          <w:sz w:val="22"/>
        </w:rPr>
      </w:pPr>
      <w:r>
        <w:rPr>
          <w:sz w:val="22"/>
        </w:rPr>
        <w:t>a risk factor for CKD; on the contrary, statistically they appeared to be a protective    factor,</w:t>
      </w:r>
    </w:p>
    <w:p>
      <w:pPr>
        <w:pStyle w:val="ListParagraph"/>
        <w:numPr>
          <w:ilvl w:val="0"/>
          <w:numId w:val="11"/>
        </w:numPr>
        <w:tabs>
          <w:tab w:pos="1937" w:val="left" w:leader="none"/>
          <w:tab w:pos="1938" w:val="left" w:leader="none"/>
        </w:tabs>
        <w:spacing w:line="240" w:lineRule="auto" w:before="138" w:after="0"/>
        <w:ind w:left="1937" w:right="0" w:hanging="684"/>
        <w:jc w:val="left"/>
        <w:rPr>
          <w:sz w:val="22"/>
        </w:rPr>
      </w:pPr>
      <w:r>
        <w:rPr>
          <w:sz w:val="22"/>
        </w:rPr>
        <w:t>likely because neoplasia are clinically more evident and for which owners make   </w:t>
      </w:r>
      <w:r>
        <w:rPr>
          <w:spacing w:val="14"/>
          <w:sz w:val="22"/>
        </w:rPr>
        <w:t> </w:t>
      </w:r>
      <w:r>
        <w:rPr>
          <w:sz w:val="22"/>
        </w:rPr>
        <w:t>appointments</w:t>
      </w:r>
    </w:p>
    <w:p>
      <w:pPr>
        <w:pStyle w:val="ListParagraph"/>
        <w:numPr>
          <w:ilvl w:val="0"/>
          <w:numId w:val="11"/>
        </w:numPr>
        <w:tabs>
          <w:tab w:pos="1937" w:val="left" w:leader="none"/>
          <w:tab w:pos="1938" w:val="left" w:leader="none"/>
        </w:tabs>
        <w:spacing w:line="240" w:lineRule="auto" w:before="133" w:after="0"/>
        <w:ind w:left="1937" w:right="0" w:hanging="684"/>
        <w:jc w:val="left"/>
        <w:rPr>
          <w:sz w:val="22"/>
        </w:rPr>
      </w:pPr>
      <w:r>
        <w:rPr>
          <w:sz w:val="22"/>
        </w:rPr>
        <w:t>before a paraneoplastic symptom develops that can be related to CKD; however, more   </w:t>
      </w:r>
      <w:r>
        <w:rPr>
          <w:spacing w:val="9"/>
          <w:sz w:val="22"/>
        </w:rPr>
        <w:t> </w:t>
      </w:r>
      <w:r>
        <w:rPr>
          <w:sz w:val="22"/>
        </w:rPr>
        <w:t>studies</w:t>
      </w:r>
    </w:p>
    <w:p>
      <w:pPr>
        <w:pStyle w:val="ListParagraph"/>
        <w:numPr>
          <w:ilvl w:val="0"/>
          <w:numId w:val="11"/>
        </w:numPr>
        <w:tabs>
          <w:tab w:pos="1937" w:val="left" w:leader="none"/>
          <w:tab w:pos="1938" w:val="left" w:leader="none"/>
        </w:tabs>
        <w:spacing w:line="240" w:lineRule="auto" w:before="138" w:after="0"/>
        <w:ind w:left="1937" w:right="0" w:hanging="684"/>
        <w:jc w:val="left"/>
        <w:rPr>
          <w:sz w:val="22"/>
        </w:rPr>
      </w:pPr>
      <w:r>
        <w:rPr>
          <w:sz w:val="22"/>
        </w:rPr>
        <w:t>are required to determine the direct relationship between these  </w:t>
      </w:r>
      <w:r>
        <w:rPr>
          <w:spacing w:val="25"/>
          <w:sz w:val="22"/>
        </w:rPr>
        <w:t> </w:t>
      </w:r>
      <w:r>
        <w:rPr>
          <w:sz w:val="22"/>
        </w:rPr>
        <w:t>pathologies.</w:t>
      </w:r>
    </w:p>
    <w:p>
      <w:pPr>
        <w:pStyle w:val="BodyText"/>
        <w:spacing w:before="5"/>
        <w:rPr>
          <w:rFonts w:ascii="Times New Roman"/>
          <w:sz w:val="21"/>
        </w:rPr>
      </w:pPr>
    </w:p>
    <w:p>
      <w:pPr>
        <w:pStyle w:val="ListParagraph"/>
        <w:numPr>
          <w:ilvl w:val="0"/>
          <w:numId w:val="11"/>
        </w:numPr>
        <w:tabs>
          <w:tab w:pos="1937" w:val="left" w:leader="none"/>
          <w:tab w:pos="1938" w:val="left" w:leader="none"/>
        </w:tabs>
        <w:spacing w:line="240" w:lineRule="auto" w:before="76" w:after="0"/>
        <w:ind w:left="1937" w:right="0" w:hanging="684"/>
        <w:jc w:val="left"/>
        <w:rPr>
          <w:sz w:val="22"/>
        </w:rPr>
      </w:pPr>
      <w:r>
        <w:rPr>
          <w:sz w:val="22"/>
        </w:rPr>
        <w:t>According to the obtained results, cardiopathies is a direct risk factor for CKD,  </w:t>
      </w:r>
      <w:r>
        <w:rPr>
          <w:spacing w:val="46"/>
          <w:sz w:val="22"/>
        </w:rPr>
        <w:t> </w:t>
      </w:r>
      <w:r>
        <w:rPr>
          <w:sz w:val="22"/>
        </w:rPr>
        <w:t>which</w:t>
      </w:r>
    </w:p>
    <w:p>
      <w:pPr>
        <w:pStyle w:val="ListParagraph"/>
        <w:numPr>
          <w:ilvl w:val="0"/>
          <w:numId w:val="11"/>
        </w:numPr>
        <w:tabs>
          <w:tab w:pos="1937" w:val="left" w:leader="none"/>
          <w:tab w:pos="1938" w:val="left" w:leader="none"/>
        </w:tabs>
        <w:spacing w:line="240" w:lineRule="auto" w:before="101" w:after="0"/>
        <w:ind w:left="1937" w:right="0" w:hanging="684"/>
        <w:jc w:val="left"/>
        <w:rPr>
          <w:sz w:val="22"/>
        </w:rPr>
      </w:pPr>
      <w:r>
        <w:rPr>
          <w:sz w:val="22"/>
        </w:rPr>
        <w:t>coincides with a report by O’Neill et al. in 2013.</w:t>
      </w:r>
      <w:r>
        <w:rPr>
          <w:position w:val="10"/>
          <w:sz w:val="15"/>
        </w:rPr>
        <w:t>24 </w:t>
      </w:r>
      <w:r>
        <w:rPr>
          <w:sz w:val="22"/>
        </w:rPr>
        <w:t>Kidney physiopathology   </w:t>
      </w:r>
      <w:r>
        <w:rPr>
          <w:spacing w:val="1"/>
          <w:sz w:val="22"/>
        </w:rPr>
        <w:t> </w:t>
      </w:r>
      <w:r>
        <w:rPr>
          <w:sz w:val="22"/>
        </w:rPr>
        <w:t>in cardiovascular</w:t>
      </w:r>
    </w:p>
    <w:p>
      <w:pPr>
        <w:pStyle w:val="ListParagraph"/>
        <w:numPr>
          <w:ilvl w:val="0"/>
          <w:numId w:val="11"/>
        </w:numPr>
        <w:tabs>
          <w:tab w:pos="1937" w:val="left" w:leader="none"/>
          <w:tab w:pos="1938" w:val="left" w:leader="none"/>
        </w:tabs>
        <w:spacing w:line="240" w:lineRule="auto" w:before="136" w:after="0"/>
        <w:ind w:left="1937" w:right="0" w:hanging="684"/>
        <w:jc w:val="left"/>
        <w:rPr>
          <w:sz w:val="22"/>
        </w:rPr>
      </w:pPr>
      <w:r>
        <w:rPr>
          <w:sz w:val="22"/>
        </w:rPr>
        <w:t>disease is multi-factorial and associated with renal hypoperfusion, atherosclerosis,  </w:t>
      </w:r>
      <w:r>
        <w:rPr>
          <w:spacing w:val="48"/>
          <w:sz w:val="22"/>
        </w:rPr>
        <w:t> </w:t>
      </w:r>
      <w:r>
        <w:rPr>
          <w:sz w:val="22"/>
        </w:rPr>
        <w:t>and</w:t>
      </w:r>
    </w:p>
    <w:p>
      <w:pPr>
        <w:pStyle w:val="ListParagraph"/>
        <w:numPr>
          <w:ilvl w:val="0"/>
          <w:numId w:val="11"/>
        </w:numPr>
        <w:tabs>
          <w:tab w:pos="1937" w:val="left" w:leader="none"/>
          <w:tab w:pos="1938" w:val="left" w:leader="none"/>
        </w:tabs>
        <w:spacing w:line="240" w:lineRule="auto" w:before="138" w:after="0"/>
        <w:ind w:left="1937" w:right="0" w:hanging="684"/>
        <w:jc w:val="left"/>
        <w:rPr>
          <w:sz w:val="22"/>
        </w:rPr>
      </w:pPr>
      <w:r>
        <w:rPr>
          <w:sz w:val="22"/>
        </w:rPr>
        <w:t>endothelial inflammation as well as neurohormonal activation, which triggers a decrease   </w:t>
      </w:r>
      <w:r>
        <w:rPr>
          <w:spacing w:val="6"/>
          <w:sz w:val="22"/>
        </w:rPr>
        <w:t> </w:t>
      </w:r>
      <w:r>
        <w:rPr>
          <w:sz w:val="22"/>
        </w:rPr>
        <w:t>in</w:t>
      </w:r>
    </w:p>
    <w:p>
      <w:pPr>
        <w:pStyle w:val="ListParagraph"/>
        <w:numPr>
          <w:ilvl w:val="0"/>
          <w:numId w:val="11"/>
        </w:numPr>
        <w:tabs>
          <w:tab w:pos="1937" w:val="left" w:leader="none"/>
          <w:tab w:pos="1938" w:val="left" w:leader="none"/>
        </w:tabs>
        <w:spacing w:line="240" w:lineRule="auto" w:before="98" w:after="0"/>
        <w:ind w:left="1937" w:right="0" w:hanging="684"/>
        <w:jc w:val="left"/>
        <w:rPr>
          <w:sz w:val="15"/>
        </w:rPr>
      </w:pPr>
      <w:r>
        <w:rPr>
          <w:sz w:val="22"/>
        </w:rPr>
        <w:t>blood flow to the kidneys and ischemia.</w:t>
      </w:r>
      <w:r>
        <w:rPr>
          <w:position w:val="10"/>
          <w:sz w:val="15"/>
        </w:rPr>
        <w:t>25, </w:t>
      </w:r>
      <w:r>
        <w:rPr>
          <w:spacing w:val="34"/>
          <w:position w:val="10"/>
          <w:sz w:val="15"/>
        </w:rPr>
        <w:t> </w:t>
      </w:r>
      <w:r>
        <w:rPr>
          <w:position w:val="10"/>
          <w:sz w:val="15"/>
        </w:rPr>
        <w:t>26</w:t>
      </w:r>
    </w:p>
    <w:p>
      <w:pPr>
        <w:pStyle w:val="BodyText"/>
        <w:spacing w:before="7"/>
        <w:rPr>
          <w:rFonts w:ascii="Times New Roman"/>
          <w:sz w:val="21"/>
        </w:rPr>
      </w:pPr>
    </w:p>
    <w:p>
      <w:pPr>
        <w:pStyle w:val="ListParagraph"/>
        <w:numPr>
          <w:ilvl w:val="0"/>
          <w:numId w:val="11"/>
        </w:numPr>
        <w:tabs>
          <w:tab w:pos="1937" w:val="left" w:leader="none"/>
          <w:tab w:pos="1938" w:val="left" w:leader="none"/>
        </w:tabs>
        <w:spacing w:line="240" w:lineRule="auto" w:before="77" w:after="0"/>
        <w:ind w:left="1937" w:right="0" w:hanging="684"/>
        <w:jc w:val="left"/>
        <w:rPr>
          <w:sz w:val="22"/>
        </w:rPr>
      </w:pPr>
      <w:r>
        <w:rPr>
          <w:sz w:val="22"/>
        </w:rPr>
        <w:t>Several drugs have been declared nephrotoxic, among which we find antibiotics such  </w:t>
      </w:r>
      <w:r>
        <w:rPr>
          <w:spacing w:val="53"/>
          <w:sz w:val="22"/>
        </w:rPr>
        <w:t> </w:t>
      </w:r>
      <w:r>
        <w:rPr>
          <w:sz w:val="22"/>
        </w:rPr>
        <w:t>as</w:t>
      </w:r>
    </w:p>
    <w:p>
      <w:pPr>
        <w:pStyle w:val="ListParagraph"/>
        <w:numPr>
          <w:ilvl w:val="0"/>
          <w:numId w:val="11"/>
        </w:numPr>
        <w:tabs>
          <w:tab w:pos="1937" w:val="left" w:leader="none"/>
          <w:tab w:pos="1938" w:val="left" w:leader="none"/>
        </w:tabs>
        <w:spacing w:line="240" w:lineRule="auto" w:before="138" w:after="0"/>
        <w:ind w:left="1937" w:right="0" w:hanging="684"/>
        <w:jc w:val="left"/>
        <w:rPr>
          <w:sz w:val="22"/>
        </w:rPr>
      </w:pPr>
      <w:r>
        <w:rPr>
          <w:sz w:val="22"/>
        </w:rPr>
        <w:t>aminoglycosides that cause kidney damage by collecting in the renal cortex and   </w:t>
      </w:r>
      <w:r>
        <w:rPr>
          <w:spacing w:val="1"/>
          <w:sz w:val="22"/>
        </w:rPr>
        <w:t> </w:t>
      </w:r>
      <w:r>
        <w:rPr>
          <w:sz w:val="22"/>
        </w:rPr>
        <w:t>proximal</w:t>
      </w:r>
    </w:p>
    <w:p>
      <w:pPr>
        <w:pStyle w:val="ListParagraph"/>
        <w:numPr>
          <w:ilvl w:val="0"/>
          <w:numId w:val="11"/>
        </w:numPr>
        <w:tabs>
          <w:tab w:pos="1937" w:val="left" w:leader="none"/>
          <w:tab w:pos="1938" w:val="left" w:leader="none"/>
        </w:tabs>
        <w:spacing w:line="240" w:lineRule="auto" w:before="133" w:after="0"/>
        <w:ind w:left="1937" w:right="0" w:hanging="684"/>
        <w:jc w:val="left"/>
        <w:rPr>
          <w:sz w:val="22"/>
        </w:rPr>
      </w:pPr>
      <w:r>
        <w:rPr>
          <w:sz w:val="22"/>
        </w:rPr>
        <w:t>tubules where they alter normal lysosomal mechanisms, as well as sulfonamides   </w:t>
      </w:r>
      <w:r>
        <w:rPr>
          <w:spacing w:val="6"/>
          <w:sz w:val="22"/>
        </w:rPr>
        <w:t> </w:t>
      </w:r>
      <w:r>
        <w:rPr>
          <w:sz w:val="22"/>
        </w:rPr>
        <w:t>that can</w:t>
      </w:r>
    </w:p>
    <w:p>
      <w:pPr>
        <w:pStyle w:val="ListParagraph"/>
        <w:numPr>
          <w:ilvl w:val="0"/>
          <w:numId w:val="11"/>
        </w:numPr>
        <w:tabs>
          <w:tab w:pos="1937" w:val="left" w:leader="none"/>
          <w:tab w:pos="1938" w:val="left" w:leader="none"/>
        </w:tabs>
        <w:spacing w:line="240" w:lineRule="auto" w:before="138" w:after="0"/>
        <w:ind w:left="1937" w:right="0" w:hanging="684"/>
        <w:jc w:val="left"/>
        <w:rPr>
          <w:sz w:val="22"/>
        </w:rPr>
      </w:pPr>
      <w:r>
        <w:rPr>
          <w:sz w:val="22"/>
        </w:rPr>
        <w:t>cause acute interstitial nephritis, necrotizing arteritis, hemolytic anemia, and  </w:t>
      </w:r>
      <w:r>
        <w:rPr>
          <w:spacing w:val="42"/>
          <w:sz w:val="22"/>
        </w:rPr>
        <w:t> </w:t>
      </w:r>
      <w:r>
        <w:rPr>
          <w:sz w:val="22"/>
        </w:rPr>
        <w:t>cristaluria</w:t>
      </w:r>
    </w:p>
    <w:p>
      <w:pPr>
        <w:pStyle w:val="ListParagraph"/>
        <w:numPr>
          <w:ilvl w:val="0"/>
          <w:numId w:val="11"/>
        </w:numPr>
        <w:tabs>
          <w:tab w:pos="1937" w:val="left" w:leader="none"/>
          <w:tab w:pos="1938" w:val="left" w:leader="none"/>
        </w:tabs>
        <w:spacing w:line="240" w:lineRule="auto" w:before="91" w:after="0"/>
        <w:ind w:left="1937" w:right="0" w:hanging="684"/>
        <w:jc w:val="left"/>
        <w:rPr>
          <w:sz w:val="22"/>
        </w:rPr>
      </w:pPr>
      <w:r>
        <w:rPr>
          <w:sz w:val="22"/>
        </w:rPr>
        <w:t>leading to tubular damage.</w:t>
      </w:r>
      <w:r>
        <w:rPr>
          <w:position w:val="11"/>
          <w:sz w:val="15"/>
        </w:rPr>
        <w:t>27  </w:t>
      </w:r>
      <w:r>
        <w:rPr>
          <w:sz w:val="22"/>
        </w:rPr>
        <w:t>Non-steroidal anti-inflammatory medicines have also  </w:t>
      </w:r>
      <w:r>
        <w:rPr>
          <w:spacing w:val="23"/>
          <w:sz w:val="22"/>
        </w:rPr>
        <w:t> </w:t>
      </w:r>
      <w:r>
        <w:rPr>
          <w:sz w:val="22"/>
        </w:rPr>
        <w:t>been</w:t>
      </w:r>
    </w:p>
    <w:p>
      <w:pPr>
        <w:pStyle w:val="ListParagraph"/>
        <w:numPr>
          <w:ilvl w:val="0"/>
          <w:numId w:val="11"/>
        </w:numPr>
        <w:tabs>
          <w:tab w:pos="1937" w:val="left" w:leader="none"/>
          <w:tab w:pos="1938" w:val="left" w:leader="none"/>
        </w:tabs>
        <w:spacing w:line="240" w:lineRule="auto" w:before="136" w:after="0"/>
        <w:ind w:left="1937" w:right="0" w:hanging="684"/>
        <w:jc w:val="left"/>
        <w:rPr>
          <w:sz w:val="22"/>
        </w:rPr>
      </w:pPr>
      <w:r>
        <w:rPr>
          <w:sz w:val="22"/>
        </w:rPr>
        <w:t>associated with CKD, manifesting itself via chronic interstitial nephritis with  </w:t>
      </w:r>
      <w:r>
        <w:rPr>
          <w:spacing w:val="45"/>
          <w:sz w:val="22"/>
        </w:rPr>
        <w:t> </w:t>
      </w:r>
      <w:r>
        <w:rPr>
          <w:sz w:val="22"/>
        </w:rPr>
        <w:t>capillary</w:t>
      </w:r>
    </w:p>
    <w:p>
      <w:pPr>
        <w:pStyle w:val="ListParagraph"/>
        <w:numPr>
          <w:ilvl w:val="0"/>
          <w:numId w:val="11"/>
        </w:numPr>
        <w:tabs>
          <w:tab w:pos="1937" w:val="left" w:leader="none"/>
          <w:tab w:pos="1938" w:val="left" w:leader="none"/>
        </w:tabs>
        <w:spacing w:line="240" w:lineRule="auto" w:before="136" w:after="0"/>
        <w:ind w:left="1937" w:right="0" w:hanging="684"/>
        <w:jc w:val="left"/>
        <w:rPr>
          <w:sz w:val="22"/>
        </w:rPr>
      </w:pPr>
      <w:r>
        <w:rPr>
          <w:sz w:val="22"/>
        </w:rPr>
        <w:t>sclerosis in the renal vessels followed by necrosis and calcification mediated by the  </w:t>
      </w:r>
      <w:r>
        <w:rPr>
          <w:spacing w:val="52"/>
          <w:sz w:val="22"/>
        </w:rPr>
        <w:t> </w:t>
      </w:r>
      <w:r>
        <w:rPr>
          <w:sz w:val="22"/>
        </w:rPr>
        <w:t>ischemia</w:t>
      </w:r>
    </w:p>
    <w:p>
      <w:pPr>
        <w:pStyle w:val="ListParagraph"/>
        <w:numPr>
          <w:ilvl w:val="0"/>
          <w:numId w:val="11"/>
        </w:numPr>
        <w:tabs>
          <w:tab w:pos="1937" w:val="left" w:leader="none"/>
          <w:tab w:pos="1938" w:val="left" w:leader="none"/>
        </w:tabs>
        <w:spacing w:line="240" w:lineRule="auto" w:before="101" w:after="0"/>
        <w:ind w:left="1937" w:right="0" w:hanging="684"/>
        <w:jc w:val="left"/>
        <w:rPr>
          <w:sz w:val="22"/>
        </w:rPr>
      </w:pPr>
      <w:r>
        <w:rPr>
          <w:sz w:val="22"/>
        </w:rPr>
        <w:t>induced by the vasodilator effects in the prostaglandins along the straight base.</w:t>
      </w:r>
      <w:r>
        <w:rPr>
          <w:position w:val="10"/>
          <w:sz w:val="15"/>
        </w:rPr>
        <w:t>27, 28    </w:t>
      </w:r>
      <w:r>
        <w:rPr>
          <w:spacing w:val="28"/>
          <w:position w:val="10"/>
          <w:sz w:val="15"/>
        </w:rPr>
        <w:t> </w:t>
      </w:r>
      <w:r>
        <w:rPr>
          <w:sz w:val="22"/>
        </w:rPr>
        <w:t>However,</w:t>
      </w:r>
    </w:p>
    <w:p>
      <w:pPr>
        <w:pStyle w:val="ListParagraph"/>
        <w:numPr>
          <w:ilvl w:val="0"/>
          <w:numId w:val="11"/>
        </w:numPr>
        <w:tabs>
          <w:tab w:pos="1937" w:val="left" w:leader="none"/>
          <w:tab w:pos="1938" w:val="left" w:leader="none"/>
        </w:tabs>
        <w:spacing w:line="240" w:lineRule="auto" w:before="136" w:after="0"/>
        <w:ind w:left="1937" w:right="0" w:hanging="684"/>
        <w:jc w:val="left"/>
        <w:rPr>
          <w:sz w:val="22"/>
        </w:rPr>
      </w:pPr>
      <w:r>
        <w:rPr>
          <w:sz w:val="22"/>
        </w:rPr>
        <w:t>according to the results, ingestion of these drugs did not turn   </w:t>
      </w:r>
      <w:r>
        <w:rPr>
          <w:spacing w:val="3"/>
          <w:sz w:val="22"/>
        </w:rPr>
        <w:t> </w:t>
      </w:r>
      <w:r>
        <w:rPr>
          <w:sz w:val="22"/>
        </w:rPr>
        <w:t>out to be a risk factor for CRD,</w:t>
      </w:r>
    </w:p>
    <w:p>
      <w:pPr>
        <w:pStyle w:val="ListParagraph"/>
        <w:numPr>
          <w:ilvl w:val="0"/>
          <w:numId w:val="11"/>
        </w:numPr>
        <w:tabs>
          <w:tab w:pos="1937" w:val="left" w:leader="none"/>
          <w:tab w:pos="1938" w:val="left" w:leader="none"/>
        </w:tabs>
        <w:spacing w:line="240" w:lineRule="auto" w:before="138" w:after="0"/>
        <w:ind w:left="1937" w:right="0" w:hanging="684"/>
        <w:jc w:val="left"/>
        <w:rPr>
          <w:sz w:val="22"/>
        </w:rPr>
      </w:pPr>
      <w:r>
        <w:rPr>
          <w:sz w:val="22"/>
        </w:rPr>
        <w:t>probably because the time periods and/or doses in which these drugs were administered to   </w:t>
      </w:r>
      <w:r>
        <w:rPr>
          <w:spacing w:val="7"/>
          <w:sz w:val="22"/>
        </w:rPr>
        <w:t> </w:t>
      </w:r>
      <w:r>
        <w:rPr>
          <w:sz w:val="22"/>
        </w:rPr>
        <w:t>the</w:t>
      </w:r>
    </w:p>
    <w:p>
      <w:pPr>
        <w:pStyle w:val="ListParagraph"/>
        <w:numPr>
          <w:ilvl w:val="0"/>
          <w:numId w:val="11"/>
        </w:numPr>
        <w:tabs>
          <w:tab w:pos="1937" w:val="left" w:leader="none"/>
          <w:tab w:pos="1938" w:val="left" w:leader="none"/>
        </w:tabs>
        <w:spacing w:line="240" w:lineRule="auto" w:before="133" w:after="0"/>
        <w:ind w:left="1937" w:right="0" w:hanging="684"/>
        <w:jc w:val="left"/>
        <w:rPr>
          <w:sz w:val="22"/>
        </w:rPr>
      </w:pPr>
      <w:r>
        <w:rPr>
          <w:sz w:val="22"/>
        </w:rPr>
        <w:t>patients were insufficient to cause kidney </w:t>
      </w:r>
      <w:r>
        <w:rPr>
          <w:spacing w:val="34"/>
          <w:sz w:val="22"/>
        </w:rPr>
        <w:t> </w:t>
      </w:r>
      <w:r>
        <w:rPr>
          <w:sz w:val="22"/>
        </w:rPr>
        <w:t>damage.</w:t>
      </w:r>
    </w:p>
    <w:p>
      <w:pPr>
        <w:pStyle w:val="BodyText"/>
        <w:spacing w:before="6"/>
        <w:rPr>
          <w:rFonts w:ascii="Times New Roman"/>
          <w:sz w:val="13"/>
        </w:rPr>
      </w:pPr>
    </w:p>
    <w:p>
      <w:pPr>
        <w:pStyle w:val="ListParagraph"/>
        <w:numPr>
          <w:ilvl w:val="0"/>
          <w:numId w:val="11"/>
        </w:numPr>
        <w:tabs>
          <w:tab w:pos="1937" w:val="left" w:leader="none"/>
          <w:tab w:pos="1938" w:val="left" w:leader="none"/>
        </w:tabs>
        <w:spacing w:line="240" w:lineRule="auto" w:before="76" w:after="0"/>
        <w:ind w:left="1937" w:right="0" w:hanging="684"/>
        <w:jc w:val="left"/>
        <w:rPr>
          <w:sz w:val="22"/>
        </w:rPr>
      </w:pPr>
      <w:r>
        <w:rPr>
          <w:sz w:val="22"/>
        </w:rPr>
        <w:t>Perianesthetic related kidney injuries can develop from tubular ischemia due to a decrease   </w:t>
      </w:r>
      <w:r>
        <w:rPr>
          <w:spacing w:val="2"/>
          <w:sz w:val="22"/>
        </w:rPr>
        <w:t> </w:t>
      </w:r>
      <w:r>
        <w:rPr>
          <w:sz w:val="22"/>
        </w:rPr>
        <w:t>in</w:t>
      </w:r>
    </w:p>
    <w:p>
      <w:pPr>
        <w:pStyle w:val="ListParagraph"/>
        <w:numPr>
          <w:ilvl w:val="0"/>
          <w:numId w:val="11"/>
        </w:numPr>
        <w:tabs>
          <w:tab w:pos="1937" w:val="left" w:leader="none"/>
          <w:tab w:pos="1938" w:val="left" w:leader="none"/>
        </w:tabs>
        <w:spacing w:line="240" w:lineRule="auto" w:before="136" w:after="0"/>
        <w:ind w:left="1937" w:right="0" w:hanging="684"/>
        <w:jc w:val="left"/>
        <w:rPr>
          <w:sz w:val="22"/>
        </w:rPr>
      </w:pPr>
      <w:r>
        <w:rPr>
          <w:sz w:val="22"/>
        </w:rPr>
        <w:t>blood flow in the kidneys caused by drugs that alter   </w:t>
      </w:r>
      <w:r>
        <w:rPr>
          <w:spacing w:val="3"/>
          <w:sz w:val="22"/>
        </w:rPr>
        <w:t> </w:t>
      </w:r>
      <w:r>
        <w:rPr>
          <w:sz w:val="22"/>
        </w:rPr>
        <w:t>intrarenal blood distribution and/or pre-</w:t>
      </w:r>
    </w:p>
    <w:p>
      <w:pPr>
        <w:pStyle w:val="ListParagraph"/>
        <w:numPr>
          <w:ilvl w:val="0"/>
          <w:numId w:val="11"/>
        </w:numPr>
        <w:tabs>
          <w:tab w:pos="1937" w:val="left" w:leader="none"/>
          <w:tab w:pos="1938" w:val="left" w:leader="none"/>
        </w:tabs>
        <w:spacing w:line="240" w:lineRule="auto" w:before="136" w:after="0"/>
        <w:ind w:left="1937" w:right="0" w:hanging="684"/>
        <w:jc w:val="left"/>
        <w:rPr>
          <w:sz w:val="22"/>
        </w:rPr>
      </w:pPr>
      <w:r>
        <w:rPr>
          <w:sz w:val="22"/>
        </w:rPr>
        <w:t>existing diseases that may cause hemodynamic anomalies, renal thrombosis, renal   </w:t>
      </w:r>
      <w:r>
        <w:rPr>
          <w:spacing w:val="10"/>
          <w:sz w:val="22"/>
        </w:rPr>
        <w:t> </w:t>
      </w:r>
      <w:r>
        <w:rPr>
          <w:sz w:val="22"/>
        </w:rPr>
        <w:t>embolisms,</w:t>
      </w:r>
    </w:p>
    <w:p>
      <w:pPr>
        <w:spacing w:after="0" w:line="240" w:lineRule="auto"/>
        <w:jc w:val="left"/>
        <w:rPr>
          <w:sz w:val="22"/>
        </w:rPr>
        <w:sectPr>
          <w:headerReference w:type="default" r:id="rId77"/>
          <w:footerReference w:type="default" r:id="rId78"/>
          <w:pgSz w:w="12240" w:h="15840"/>
          <w:pgMar w:header="0" w:footer="0" w:top="140" w:bottom="280" w:left="0" w:right="240"/>
        </w:sectPr>
      </w:pPr>
    </w:p>
    <w:p>
      <w:pPr>
        <w:tabs>
          <w:tab w:pos="3549" w:val="left" w:leader="none"/>
        </w:tabs>
        <w:spacing w:before="56"/>
        <w:ind w:left="373" w:right="0" w:firstLine="0"/>
        <w:jc w:val="left"/>
        <w:rPr>
          <w:b/>
          <w:sz w:val="20"/>
        </w:rPr>
      </w:pPr>
      <w:r>
        <w:rPr>
          <w:b/>
          <w:sz w:val="20"/>
        </w:rPr>
        <w:t>age 9</w:t>
      </w:r>
      <w:r>
        <w:rPr>
          <w:b/>
          <w:spacing w:val="-1"/>
          <w:sz w:val="20"/>
        </w:rPr>
        <w:t> </w:t>
      </w:r>
      <w:r>
        <w:rPr>
          <w:b/>
          <w:sz w:val="20"/>
        </w:rPr>
        <w:t>of</w:t>
      </w:r>
      <w:r>
        <w:rPr>
          <w:b/>
          <w:spacing w:val="-1"/>
          <w:sz w:val="20"/>
        </w:rPr>
        <w:t> </w:t>
      </w:r>
      <w:r>
        <w:rPr>
          <w:b/>
          <w:sz w:val="20"/>
        </w:rPr>
        <w:t>16</w:t>
        <w:tab/>
        <w:t>Journal of the American Veterinary Medical</w:t>
      </w:r>
      <w:r>
        <w:rPr>
          <w:b/>
          <w:spacing w:val="-25"/>
          <w:sz w:val="20"/>
        </w:rPr>
        <w:t> </w:t>
      </w:r>
      <w:r>
        <w:rPr>
          <w:b/>
          <w:sz w:val="20"/>
        </w:rPr>
        <w:t>Association</w:t>
      </w:r>
    </w:p>
    <w:p>
      <w:pPr>
        <w:pStyle w:val="BodyText"/>
        <w:rPr>
          <w:b/>
          <w:sz w:val="20"/>
        </w:rPr>
      </w:pPr>
    </w:p>
    <w:p>
      <w:pPr>
        <w:pStyle w:val="BodyText"/>
        <w:rPr>
          <w:b/>
          <w:sz w:val="20"/>
        </w:rPr>
      </w:pPr>
    </w:p>
    <w:p>
      <w:pPr>
        <w:pStyle w:val="BodyText"/>
        <w:spacing w:before="3"/>
        <w:rPr>
          <w:b/>
          <w:sz w:val="28"/>
        </w:rPr>
      </w:pPr>
    </w:p>
    <w:p>
      <w:pPr>
        <w:pStyle w:val="ListParagraph"/>
        <w:numPr>
          <w:ilvl w:val="0"/>
          <w:numId w:val="11"/>
        </w:numPr>
        <w:tabs>
          <w:tab w:pos="1937" w:val="left" w:leader="none"/>
          <w:tab w:pos="1938" w:val="left" w:leader="none"/>
        </w:tabs>
        <w:spacing w:line="240" w:lineRule="auto" w:before="85" w:after="0"/>
        <w:ind w:left="1937" w:right="0" w:hanging="684"/>
        <w:jc w:val="left"/>
        <w:rPr>
          <w:sz w:val="22"/>
        </w:rPr>
      </w:pPr>
      <w:r>
        <w:rPr>
          <w:sz w:val="22"/>
        </w:rPr>
        <w:t>hemolysis and nephrotoxic agents used before, during, or after anesthesia;</w:t>
      </w:r>
      <w:r>
        <w:rPr>
          <w:position w:val="10"/>
          <w:sz w:val="15"/>
        </w:rPr>
        <w:t>29, 30  </w:t>
      </w:r>
      <w:r>
        <w:rPr>
          <w:sz w:val="22"/>
        </w:rPr>
        <w:t>however,  </w:t>
      </w:r>
      <w:r>
        <w:rPr>
          <w:spacing w:val="24"/>
          <w:sz w:val="22"/>
        </w:rPr>
        <w:t> </w:t>
      </w:r>
      <w:r>
        <w:rPr>
          <w:sz w:val="22"/>
        </w:rPr>
        <w:t>in</w:t>
      </w:r>
    </w:p>
    <w:p>
      <w:pPr>
        <w:pStyle w:val="ListParagraph"/>
        <w:numPr>
          <w:ilvl w:val="0"/>
          <w:numId w:val="11"/>
        </w:numPr>
        <w:tabs>
          <w:tab w:pos="1937" w:val="left" w:leader="none"/>
          <w:tab w:pos="1938" w:val="left" w:leader="none"/>
        </w:tabs>
        <w:spacing w:line="240" w:lineRule="auto" w:before="136" w:after="0"/>
        <w:ind w:left="1937" w:right="0" w:hanging="684"/>
        <w:jc w:val="left"/>
        <w:rPr>
          <w:sz w:val="22"/>
        </w:rPr>
      </w:pPr>
      <w:r>
        <w:rPr>
          <w:sz w:val="22"/>
        </w:rPr>
        <w:t>this</w:t>
      </w:r>
      <w:r>
        <w:rPr>
          <w:spacing w:val="9"/>
          <w:sz w:val="22"/>
        </w:rPr>
        <w:t> </w:t>
      </w:r>
      <w:r>
        <w:rPr>
          <w:sz w:val="22"/>
        </w:rPr>
        <w:t>study,</w:t>
      </w:r>
      <w:r>
        <w:rPr>
          <w:spacing w:val="12"/>
          <w:sz w:val="22"/>
        </w:rPr>
        <w:t> </w:t>
      </w:r>
      <w:r>
        <w:rPr>
          <w:sz w:val="22"/>
        </w:rPr>
        <w:t>a</w:t>
      </w:r>
      <w:r>
        <w:rPr>
          <w:spacing w:val="9"/>
          <w:sz w:val="22"/>
        </w:rPr>
        <w:t> </w:t>
      </w:r>
      <w:r>
        <w:rPr>
          <w:sz w:val="22"/>
        </w:rPr>
        <w:t>clinical</w:t>
      </w:r>
      <w:r>
        <w:rPr>
          <w:spacing w:val="10"/>
          <w:sz w:val="22"/>
        </w:rPr>
        <w:t> </w:t>
      </w:r>
      <w:r>
        <w:rPr>
          <w:sz w:val="22"/>
        </w:rPr>
        <w:t>history</w:t>
      </w:r>
      <w:r>
        <w:rPr>
          <w:spacing w:val="11"/>
          <w:sz w:val="22"/>
        </w:rPr>
        <w:t> </w:t>
      </w:r>
      <w:r>
        <w:rPr>
          <w:sz w:val="22"/>
        </w:rPr>
        <w:t>of</w:t>
      </w:r>
      <w:r>
        <w:rPr>
          <w:spacing w:val="12"/>
          <w:sz w:val="22"/>
        </w:rPr>
        <w:t> </w:t>
      </w:r>
      <w:r>
        <w:rPr>
          <w:sz w:val="22"/>
        </w:rPr>
        <w:t>prior</w:t>
      </w:r>
      <w:r>
        <w:rPr>
          <w:spacing w:val="7"/>
          <w:sz w:val="22"/>
        </w:rPr>
        <w:t> </w:t>
      </w:r>
      <w:r>
        <w:rPr>
          <w:sz w:val="22"/>
        </w:rPr>
        <w:t>surgical</w:t>
      </w:r>
      <w:r>
        <w:rPr>
          <w:spacing w:val="10"/>
          <w:sz w:val="22"/>
        </w:rPr>
        <w:t> </w:t>
      </w:r>
      <w:r>
        <w:rPr>
          <w:sz w:val="22"/>
        </w:rPr>
        <w:t>procedures</w:t>
      </w:r>
      <w:r>
        <w:rPr>
          <w:spacing w:val="11"/>
          <w:sz w:val="22"/>
        </w:rPr>
        <w:t> </w:t>
      </w:r>
      <w:r>
        <w:rPr>
          <w:sz w:val="22"/>
        </w:rPr>
        <w:t>did</w:t>
      </w:r>
      <w:r>
        <w:rPr>
          <w:spacing w:val="10"/>
          <w:sz w:val="22"/>
        </w:rPr>
        <w:t> </w:t>
      </w:r>
      <w:r>
        <w:rPr>
          <w:sz w:val="22"/>
        </w:rPr>
        <w:t>not</w:t>
      </w:r>
      <w:r>
        <w:rPr>
          <w:spacing w:val="10"/>
          <w:sz w:val="22"/>
        </w:rPr>
        <w:t> </w:t>
      </w:r>
      <w:r>
        <w:rPr>
          <w:sz w:val="22"/>
        </w:rPr>
        <w:t>turn</w:t>
      </w:r>
      <w:r>
        <w:rPr>
          <w:spacing w:val="8"/>
          <w:sz w:val="22"/>
        </w:rPr>
        <w:t> </w:t>
      </w:r>
      <w:r>
        <w:rPr>
          <w:sz w:val="22"/>
        </w:rPr>
        <w:t>out</w:t>
      </w:r>
      <w:r>
        <w:rPr>
          <w:spacing w:val="10"/>
          <w:sz w:val="22"/>
        </w:rPr>
        <w:t> </w:t>
      </w:r>
      <w:r>
        <w:rPr>
          <w:sz w:val="22"/>
        </w:rPr>
        <w:t>to</w:t>
      </w:r>
      <w:r>
        <w:rPr>
          <w:spacing w:val="4"/>
          <w:sz w:val="22"/>
        </w:rPr>
        <w:t> </w:t>
      </w:r>
      <w:r>
        <w:rPr>
          <w:sz w:val="22"/>
        </w:rPr>
        <w:t>be</w:t>
      </w:r>
      <w:r>
        <w:rPr>
          <w:spacing w:val="11"/>
          <w:sz w:val="22"/>
        </w:rPr>
        <w:t> </w:t>
      </w:r>
      <w:r>
        <w:rPr>
          <w:sz w:val="22"/>
        </w:rPr>
        <w:t>a</w:t>
      </w:r>
      <w:r>
        <w:rPr>
          <w:spacing w:val="11"/>
          <w:sz w:val="22"/>
        </w:rPr>
        <w:t> </w:t>
      </w:r>
      <w:r>
        <w:rPr>
          <w:sz w:val="22"/>
        </w:rPr>
        <w:t>risk</w:t>
      </w:r>
      <w:r>
        <w:rPr>
          <w:spacing w:val="5"/>
          <w:sz w:val="22"/>
        </w:rPr>
        <w:t> </w:t>
      </w:r>
      <w:r>
        <w:rPr>
          <w:sz w:val="22"/>
        </w:rPr>
        <w:t>factor</w:t>
      </w:r>
      <w:r>
        <w:rPr>
          <w:spacing w:val="7"/>
          <w:sz w:val="22"/>
        </w:rPr>
        <w:t> </w:t>
      </w:r>
      <w:r>
        <w:rPr>
          <w:sz w:val="22"/>
        </w:rPr>
        <w:t>for</w:t>
      </w:r>
    </w:p>
    <w:p>
      <w:pPr>
        <w:pStyle w:val="ListParagraph"/>
        <w:numPr>
          <w:ilvl w:val="0"/>
          <w:numId w:val="11"/>
        </w:numPr>
        <w:tabs>
          <w:tab w:pos="1937" w:val="left" w:leader="none"/>
          <w:tab w:pos="1938" w:val="left" w:leader="none"/>
        </w:tabs>
        <w:spacing w:line="240" w:lineRule="auto" w:before="136" w:after="0"/>
        <w:ind w:left="1937" w:right="0" w:hanging="684"/>
        <w:jc w:val="left"/>
        <w:rPr>
          <w:sz w:val="22"/>
        </w:rPr>
      </w:pPr>
      <w:r>
        <w:rPr>
          <w:sz w:val="22"/>
        </w:rPr>
        <w:t>CKD.</w:t>
      </w:r>
    </w:p>
    <w:p>
      <w:pPr>
        <w:pStyle w:val="BodyText"/>
        <w:spacing w:before="6"/>
        <w:rPr>
          <w:rFonts w:ascii="Times New Roman"/>
          <w:sz w:val="13"/>
        </w:rPr>
      </w:pPr>
    </w:p>
    <w:p>
      <w:pPr>
        <w:pStyle w:val="ListParagraph"/>
        <w:numPr>
          <w:ilvl w:val="0"/>
          <w:numId w:val="11"/>
        </w:numPr>
        <w:tabs>
          <w:tab w:pos="1937" w:val="left" w:leader="none"/>
          <w:tab w:pos="1938" w:val="left" w:leader="none"/>
        </w:tabs>
        <w:spacing w:line="240" w:lineRule="auto" w:before="76" w:after="0"/>
        <w:ind w:left="1937" w:right="0" w:hanging="684"/>
        <w:jc w:val="left"/>
        <w:rPr>
          <w:sz w:val="22"/>
        </w:rPr>
      </w:pPr>
      <w:r>
        <w:rPr>
          <w:sz w:val="22"/>
        </w:rPr>
        <w:t>In this study, the group of endocrine diseases such as diabetes mellitus,   </w:t>
      </w:r>
      <w:r>
        <w:rPr>
          <w:spacing w:val="7"/>
          <w:sz w:val="22"/>
        </w:rPr>
        <w:t> </w:t>
      </w:r>
      <w:r>
        <w:rPr>
          <w:sz w:val="22"/>
        </w:rPr>
        <w:t>hyperadrenocorticism,</w:t>
      </w:r>
    </w:p>
    <w:p>
      <w:pPr>
        <w:pStyle w:val="ListParagraph"/>
        <w:numPr>
          <w:ilvl w:val="0"/>
          <w:numId w:val="11"/>
        </w:numPr>
        <w:tabs>
          <w:tab w:pos="1937" w:val="left" w:leader="none"/>
          <w:tab w:pos="1938" w:val="left" w:leader="none"/>
        </w:tabs>
        <w:spacing w:line="240" w:lineRule="auto" w:before="133" w:after="0"/>
        <w:ind w:left="1937" w:right="0" w:hanging="684"/>
        <w:jc w:val="left"/>
        <w:rPr>
          <w:sz w:val="22"/>
        </w:rPr>
      </w:pPr>
      <w:r>
        <w:rPr>
          <w:sz w:val="22"/>
        </w:rPr>
        <w:t>and hypothyroidism turned out to be direct risk factors due to their  </w:t>
      </w:r>
      <w:r>
        <w:rPr>
          <w:spacing w:val="54"/>
          <w:sz w:val="22"/>
        </w:rPr>
        <w:t> </w:t>
      </w:r>
      <w:r>
        <w:rPr>
          <w:sz w:val="22"/>
        </w:rPr>
        <w:t>physiopathological</w:t>
      </w:r>
    </w:p>
    <w:p>
      <w:pPr>
        <w:pStyle w:val="ListParagraph"/>
        <w:numPr>
          <w:ilvl w:val="0"/>
          <w:numId w:val="11"/>
        </w:numPr>
        <w:tabs>
          <w:tab w:pos="1937" w:val="left" w:leader="none"/>
          <w:tab w:pos="1938" w:val="left" w:leader="none"/>
        </w:tabs>
        <w:spacing w:line="240" w:lineRule="auto" w:before="138" w:after="0"/>
        <w:ind w:left="1937" w:right="0" w:hanging="684"/>
        <w:jc w:val="left"/>
        <w:rPr>
          <w:sz w:val="22"/>
        </w:rPr>
      </w:pPr>
      <w:r>
        <w:rPr>
          <w:sz w:val="22"/>
        </w:rPr>
        <w:t>mechanisms being related to </w:t>
      </w:r>
      <w:r>
        <w:rPr>
          <w:spacing w:val="13"/>
          <w:sz w:val="22"/>
        </w:rPr>
        <w:t> </w:t>
      </w:r>
      <w:r>
        <w:rPr>
          <w:sz w:val="22"/>
        </w:rPr>
        <w:t>CKD.</w:t>
      </w:r>
    </w:p>
    <w:p>
      <w:pPr>
        <w:pStyle w:val="ListParagraph"/>
        <w:numPr>
          <w:ilvl w:val="0"/>
          <w:numId w:val="11"/>
        </w:numPr>
        <w:tabs>
          <w:tab w:pos="1937" w:val="left" w:leader="none"/>
          <w:tab w:pos="1938" w:val="left" w:leader="none"/>
        </w:tabs>
        <w:spacing w:line="240" w:lineRule="auto" w:before="194" w:after="0"/>
        <w:ind w:left="1937" w:right="0" w:hanging="684"/>
        <w:jc w:val="left"/>
        <w:rPr>
          <w:sz w:val="22"/>
        </w:rPr>
      </w:pPr>
      <w:r>
        <w:rPr/>
        <w:pict>
          <v:shape style="position:absolute;margin-left:120.872412pt;margin-top:186.523042pt;width:376.45pt;height:48pt;mso-position-horizontal-relative:page;mso-position-vertical-relative:paragraph;z-index:-122992;rotation:51" type="#_x0000_t136" fillcolor="#d6f1fe" stroked="f">
            <o:extrusion v:ext="view" autorotationcenter="t"/>
            <v:textpath style="font-family:&amp;quot;Arial&amp;quot;;font-size:48pt;v-text-kern:t;mso-text-shadow:auto;font-weight:bold" string="For Review Only"/>
            <w10:wrap type="none"/>
          </v:shape>
        </w:pict>
      </w:r>
      <w:r>
        <w:rPr>
          <w:sz w:val="22"/>
        </w:rPr>
        <w:t>Diabetes mellitus is considered a risk factor for </w:t>
      </w:r>
      <w:r>
        <w:rPr>
          <w:spacing w:val="-3"/>
          <w:sz w:val="22"/>
        </w:rPr>
        <w:t>CKD </w:t>
      </w:r>
      <w:r>
        <w:rPr>
          <w:sz w:val="22"/>
        </w:rPr>
        <w:t>in humans;</w:t>
      </w:r>
      <w:r>
        <w:rPr>
          <w:position w:val="10"/>
          <w:sz w:val="15"/>
        </w:rPr>
        <w:t>31, 32  </w:t>
      </w:r>
      <w:r>
        <w:rPr>
          <w:sz w:val="22"/>
        </w:rPr>
        <w:t>in its initial stages it  </w:t>
      </w:r>
      <w:r>
        <w:rPr>
          <w:spacing w:val="38"/>
          <w:sz w:val="22"/>
        </w:rPr>
        <w:t> </w:t>
      </w:r>
      <w:r>
        <w:rPr>
          <w:sz w:val="22"/>
        </w:rPr>
        <w:t>is</w:t>
      </w:r>
    </w:p>
    <w:p>
      <w:pPr>
        <w:pStyle w:val="ListParagraph"/>
        <w:numPr>
          <w:ilvl w:val="0"/>
          <w:numId w:val="11"/>
        </w:numPr>
        <w:tabs>
          <w:tab w:pos="1937" w:val="left" w:leader="none"/>
          <w:tab w:pos="1938" w:val="left" w:leader="none"/>
        </w:tabs>
        <w:spacing w:line="240" w:lineRule="auto" w:before="138" w:after="0"/>
        <w:ind w:left="1937" w:right="0" w:hanging="684"/>
        <w:jc w:val="left"/>
        <w:rPr>
          <w:sz w:val="22"/>
        </w:rPr>
      </w:pPr>
      <w:r>
        <w:rPr>
          <w:sz w:val="22"/>
        </w:rPr>
        <w:t>associated with stimulation of vasoconstriction and an increase in general  </w:t>
      </w:r>
      <w:r>
        <w:rPr>
          <w:spacing w:val="39"/>
          <w:sz w:val="22"/>
        </w:rPr>
        <w:t> </w:t>
      </w:r>
      <w:r>
        <w:rPr>
          <w:sz w:val="22"/>
        </w:rPr>
        <w:t>vascular</w:t>
      </w:r>
    </w:p>
    <w:p>
      <w:pPr>
        <w:pStyle w:val="ListParagraph"/>
        <w:numPr>
          <w:ilvl w:val="0"/>
          <w:numId w:val="11"/>
        </w:numPr>
        <w:tabs>
          <w:tab w:pos="1937" w:val="left" w:leader="none"/>
          <w:tab w:pos="1938" w:val="left" w:leader="none"/>
        </w:tabs>
        <w:spacing w:line="240" w:lineRule="auto" w:before="98" w:after="0"/>
        <w:ind w:left="1937" w:right="0" w:hanging="684"/>
        <w:jc w:val="left"/>
        <w:rPr>
          <w:sz w:val="22"/>
        </w:rPr>
      </w:pPr>
      <w:r>
        <w:rPr>
          <w:sz w:val="22"/>
        </w:rPr>
        <w:t>permeability mediated by the state of hyperglycaemia;</w:t>
      </w:r>
      <w:r>
        <w:rPr>
          <w:position w:val="10"/>
          <w:sz w:val="15"/>
        </w:rPr>
        <w:t>33  </w:t>
      </w:r>
      <w:r>
        <w:rPr>
          <w:sz w:val="22"/>
        </w:rPr>
        <w:t>on the other hand, it is also related  </w:t>
      </w:r>
      <w:r>
        <w:rPr>
          <w:spacing w:val="34"/>
          <w:sz w:val="22"/>
        </w:rPr>
        <w:t> </w:t>
      </w:r>
      <w:r>
        <w:rPr>
          <w:sz w:val="22"/>
        </w:rPr>
        <w:t>to</w:t>
      </w:r>
    </w:p>
    <w:p>
      <w:pPr>
        <w:pStyle w:val="ListParagraph"/>
        <w:numPr>
          <w:ilvl w:val="0"/>
          <w:numId w:val="11"/>
        </w:numPr>
        <w:tabs>
          <w:tab w:pos="1937" w:val="left" w:leader="none"/>
          <w:tab w:pos="1938" w:val="left" w:leader="none"/>
        </w:tabs>
        <w:spacing w:line="240" w:lineRule="auto" w:before="138" w:after="0"/>
        <w:ind w:left="1937" w:right="0" w:hanging="684"/>
        <w:jc w:val="left"/>
        <w:rPr>
          <w:sz w:val="22"/>
        </w:rPr>
      </w:pPr>
      <w:r>
        <w:rPr>
          <w:sz w:val="22"/>
        </w:rPr>
        <w:t>vasodilation, inflammation, and oxidative stress, suggesting a link between vascular    and</w:t>
      </w:r>
    </w:p>
    <w:p>
      <w:pPr>
        <w:pStyle w:val="ListParagraph"/>
        <w:numPr>
          <w:ilvl w:val="0"/>
          <w:numId w:val="11"/>
        </w:numPr>
        <w:tabs>
          <w:tab w:pos="1937" w:val="left" w:leader="none"/>
          <w:tab w:pos="1938" w:val="left" w:leader="none"/>
        </w:tabs>
        <w:spacing w:line="240" w:lineRule="auto" w:before="91" w:after="0"/>
        <w:ind w:left="1937" w:right="0" w:hanging="684"/>
        <w:jc w:val="left"/>
        <w:rPr>
          <w:sz w:val="22"/>
        </w:rPr>
      </w:pPr>
      <w:r>
        <w:rPr>
          <w:sz w:val="22"/>
        </w:rPr>
        <w:t>metabolic anomalies.</w:t>
      </w:r>
      <w:r>
        <w:rPr>
          <w:position w:val="11"/>
          <w:sz w:val="15"/>
        </w:rPr>
        <w:t>34  </w:t>
      </w:r>
      <w:r>
        <w:rPr>
          <w:sz w:val="22"/>
        </w:rPr>
        <w:t>This is aside from the requisite proteinuria due to an increase in  </w:t>
      </w:r>
      <w:r>
        <w:rPr>
          <w:spacing w:val="36"/>
          <w:sz w:val="22"/>
        </w:rPr>
        <w:t> </w:t>
      </w:r>
      <w:r>
        <w:rPr>
          <w:sz w:val="22"/>
        </w:rPr>
        <w:t>the</w:t>
      </w:r>
    </w:p>
    <w:p>
      <w:pPr>
        <w:pStyle w:val="ListParagraph"/>
        <w:numPr>
          <w:ilvl w:val="0"/>
          <w:numId w:val="11"/>
        </w:numPr>
        <w:tabs>
          <w:tab w:pos="1937" w:val="left" w:leader="none"/>
          <w:tab w:pos="1938" w:val="left" w:leader="none"/>
        </w:tabs>
        <w:spacing w:line="240" w:lineRule="auto" w:before="136" w:after="0"/>
        <w:ind w:left="1937" w:right="0" w:hanging="684"/>
        <w:jc w:val="left"/>
        <w:rPr>
          <w:sz w:val="22"/>
        </w:rPr>
      </w:pPr>
      <w:r>
        <w:rPr>
          <w:sz w:val="22"/>
        </w:rPr>
        <w:t>glomerular filtration rate as well as diabetic and hypertensive nephrosclerosis  </w:t>
      </w:r>
      <w:r>
        <w:rPr>
          <w:spacing w:val="53"/>
          <w:sz w:val="22"/>
        </w:rPr>
        <w:t> </w:t>
      </w:r>
      <w:r>
        <w:rPr>
          <w:sz w:val="22"/>
        </w:rPr>
        <w:t>causing</w:t>
      </w:r>
    </w:p>
    <w:p>
      <w:pPr>
        <w:pStyle w:val="ListParagraph"/>
        <w:numPr>
          <w:ilvl w:val="0"/>
          <w:numId w:val="11"/>
        </w:numPr>
        <w:tabs>
          <w:tab w:pos="1937" w:val="left" w:leader="none"/>
          <w:tab w:pos="1938" w:val="left" w:leader="none"/>
        </w:tabs>
        <w:spacing w:line="240" w:lineRule="auto" w:before="101" w:after="0"/>
        <w:ind w:left="1937" w:right="0" w:hanging="684"/>
        <w:jc w:val="left"/>
        <w:rPr>
          <w:sz w:val="15"/>
        </w:rPr>
      </w:pPr>
      <w:r>
        <w:rPr>
          <w:sz w:val="22"/>
        </w:rPr>
        <w:t>excessive leakage and decreased degradation and reabsorption of albumin by tubular  </w:t>
      </w:r>
      <w:r>
        <w:rPr>
          <w:spacing w:val="47"/>
          <w:sz w:val="22"/>
        </w:rPr>
        <w:t> </w:t>
      </w:r>
      <w:r>
        <w:rPr>
          <w:sz w:val="22"/>
        </w:rPr>
        <w:t>cells.</w:t>
      </w:r>
      <w:r>
        <w:rPr>
          <w:position w:val="10"/>
          <w:sz w:val="15"/>
        </w:rPr>
        <w:t>35</w:t>
      </w:r>
    </w:p>
    <w:p>
      <w:pPr>
        <w:pStyle w:val="ListParagraph"/>
        <w:numPr>
          <w:ilvl w:val="0"/>
          <w:numId w:val="11"/>
        </w:numPr>
        <w:tabs>
          <w:tab w:pos="1937" w:val="left" w:leader="none"/>
          <w:tab w:pos="1938" w:val="left" w:leader="none"/>
        </w:tabs>
        <w:spacing w:line="240" w:lineRule="auto" w:before="136" w:after="0"/>
        <w:ind w:left="1937" w:right="0" w:hanging="684"/>
        <w:jc w:val="left"/>
        <w:rPr>
          <w:sz w:val="22"/>
        </w:rPr>
      </w:pPr>
      <w:r>
        <w:rPr>
          <w:sz w:val="22"/>
        </w:rPr>
        <w:t>The aforementioned has been associated with long term damage and malfunction in  </w:t>
      </w:r>
      <w:r>
        <w:rPr>
          <w:spacing w:val="53"/>
          <w:sz w:val="22"/>
        </w:rPr>
        <w:t> </w:t>
      </w:r>
      <w:r>
        <w:rPr>
          <w:sz w:val="22"/>
        </w:rPr>
        <w:t>several</w:t>
      </w:r>
    </w:p>
    <w:p>
      <w:pPr>
        <w:pStyle w:val="ListParagraph"/>
        <w:numPr>
          <w:ilvl w:val="0"/>
          <w:numId w:val="11"/>
        </w:numPr>
        <w:tabs>
          <w:tab w:pos="1937" w:val="left" w:leader="none"/>
          <w:tab w:pos="1938" w:val="left" w:leader="none"/>
        </w:tabs>
        <w:spacing w:line="240" w:lineRule="auto" w:before="101" w:after="0"/>
        <w:ind w:left="1937" w:right="0" w:hanging="684"/>
        <w:jc w:val="left"/>
        <w:rPr>
          <w:sz w:val="15"/>
        </w:rPr>
      </w:pPr>
      <w:r>
        <w:rPr>
          <w:sz w:val="22"/>
        </w:rPr>
        <w:t>organs, especially eyes, kidneys, nerves, heart, and blood  </w:t>
      </w:r>
      <w:r>
        <w:rPr>
          <w:spacing w:val="8"/>
          <w:sz w:val="22"/>
        </w:rPr>
        <w:t> </w:t>
      </w:r>
      <w:r>
        <w:rPr>
          <w:sz w:val="22"/>
        </w:rPr>
        <w:t>vessels.</w:t>
      </w:r>
      <w:r>
        <w:rPr>
          <w:position w:val="10"/>
          <w:sz w:val="15"/>
        </w:rPr>
        <w:t>35</w:t>
      </w:r>
    </w:p>
    <w:p>
      <w:pPr>
        <w:pStyle w:val="BodyText"/>
        <w:spacing w:before="3"/>
        <w:rPr>
          <w:rFonts w:ascii="Times New Roman"/>
          <w:sz w:val="13"/>
        </w:rPr>
      </w:pPr>
    </w:p>
    <w:p>
      <w:pPr>
        <w:pStyle w:val="ListParagraph"/>
        <w:numPr>
          <w:ilvl w:val="0"/>
          <w:numId w:val="11"/>
        </w:numPr>
        <w:tabs>
          <w:tab w:pos="1937" w:val="left" w:leader="none"/>
          <w:tab w:pos="1938" w:val="left" w:leader="none"/>
        </w:tabs>
        <w:spacing w:line="240" w:lineRule="auto" w:before="77" w:after="0"/>
        <w:ind w:left="1937" w:right="0" w:hanging="684"/>
        <w:jc w:val="left"/>
        <w:rPr>
          <w:sz w:val="22"/>
        </w:rPr>
      </w:pPr>
      <w:r>
        <w:rPr>
          <w:sz w:val="22"/>
        </w:rPr>
        <w:t>Hyperadrenocorticism causes an increase in the GFR and in protein excretion in the  </w:t>
      </w:r>
      <w:r>
        <w:rPr>
          <w:spacing w:val="48"/>
          <w:sz w:val="22"/>
        </w:rPr>
        <w:t> </w:t>
      </w:r>
      <w:r>
        <w:rPr>
          <w:sz w:val="22"/>
        </w:rPr>
        <w:t>urine,</w:t>
      </w:r>
    </w:p>
    <w:p>
      <w:pPr>
        <w:pStyle w:val="ListParagraph"/>
        <w:numPr>
          <w:ilvl w:val="0"/>
          <w:numId w:val="11"/>
        </w:numPr>
        <w:tabs>
          <w:tab w:pos="1937" w:val="left" w:leader="none"/>
          <w:tab w:pos="1938" w:val="left" w:leader="none"/>
        </w:tabs>
        <w:spacing w:line="240" w:lineRule="auto" w:before="103" w:after="0"/>
        <w:ind w:left="1937" w:right="0" w:hanging="684"/>
        <w:jc w:val="left"/>
        <w:rPr>
          <w:sz w:val="22"/>
        </w:rPr>
      </w:pPr>
      <w:r>
        <w:rPr>
          <w:sz w:val="22"/>
        </w:rPr>
        <w:t>hypertension, and the activation of inflammation factors at the glomerular level.</w:t>
      </w:r>
      <w:r>
        <w:rPr>
          <w:position w:val="10"/>
          <w:sz w:val="15"/>
        </w:rPr>
        <w:t>36  </w:t>
      </w:r>
      <w:r>
        <w:rPr>
          <w:sz w:val="22"/>
        </w:rPr>
        <w:t>In  </w:t>
      </w:r>
      <w:r>
        <w:rPr>
          <w:spacing w:val="28"/>
          <w:sz w:val="22"/>
        </w:rPr>
        <w:t> </w:t>
      </w:r>
      <w:r>
        <w:rPr>
          <w:sz w:val="22"/>
        </w:rPr>
        <w:t>addition,</w:t>
      </w:r>
    </w:p>
    <w:p>
      <w:pPr>
        <w:pStyle w:val="ListParagraph"/>
        <w:numPr>
          <w:ilvl w:val="0"/>
          <w:numId w:val="11"/>
        </w:numPr>
        <w:tabs>
          <w:tab w:pos="1937" w:val="left" w:leader="none"/>
          <w:tab w:pos="1938" w:val="left" w:leader="none"/>
        </w:tabs>
        <w:spacing w:line="240" w:lineRule="auto" w:before="136" w:after="0"/>
        <w:ind w:left="1937" w:right="0" w:hanging="684"/>
        <w:jc w:val="left"/>
        <w:rPr>
          <w:sz w:val="22"/>
        </w:rPr>
      </w:pPr>
      <w:r>
        <w:rPr>
          <w:sz w:val="22"/>
        </w:rPr>
        <w:t>several studies have documented the presence of glomeruloesclerosis and the existence of   </w:t>
      </w:r>
      <w:r>
        <w:rPr>
          <w:spacing w:val="8"/>
          <w:sz w:val="22"/>
        </w:rPr>
        <w:t> </w:t>
      </w:r>
      <w:r>
        <w:rPr>
          <w:sz w:val="22"/>
        </w:rPr>
        <w:t>a</w:t>
      </w:r>
    </w:p>
    <w:p>
      <w:pPr>
        <w:pStyle w:val="ListParagraph"/>
        <w:numPr>
          <w:ilvl w:val="0"/>
          <w:numId w:val="11"/>
        </w:numPr>
        <w:tabs>
          <w:tab w:pos="1937" w:val="left" w:leader="none"/>
          <w:tab w:pos="1938" w:val="left" w:leader="none"/>
        </w:tabs>
        <w:spacing w:line="240" w:lineRule="auto" w:before="136" w:after="0"/>
        <w:ind w:left="1937" w:right="0" w:hanging="684"/>
        <w:jc w:val="left"/>
        <w:rPr>
          <w:sz w:val="22"/>
        </w:rPr>
      </w:pPr>
      <w:r>
        <w:rPr>
          <w:sz w:val="22"/>
        </w:rPr>
        <w:t>relation between blood pressure and the severity of proteinuria, glomerulonephritis,  </w:t>
      </w:r>
      <w:r>
        <w:rPr>
          <w:spacing w:val="48"/>
          <w:sz w:val="22"/>
        </w:rPr>
        <w:t> </w:t>
      </w:r>
      <w:r>
        <w:rPr>
          <w:sz w:val="22"/>
        </w:rPr>
        <w:t>and</w:t>
      </w:r>
    </w:p>
    <w:p>
      <w:pPr>
        <w:pStyle w:val="ListParagraph"/>
        <w:numPr>
          <w:ilvl w:val="0"/>
          <w:numId w:val="11"/>
        </w:numPr>
        <w:tabs>
          <w:tab w:pos="1937" w:val="left" w:leader="none"/>
          <w:tab w:pos="1938" w:val="left" w:leader="none"/>
        </w:tabs>
        <w:spacing w:line="240" w:lineRule="auto" w:before="101" w:after="0"/>
        <w:ind w:left="1937" w:right="0" w:hanging="684"/>
        <w:jc w:val="left"/>
        <w:rPr>
          <w:sz w:val="15"/>
        </w:rPr>
      </w:pPr>
      <w:r>
        <w:rPr>
          <w:sz w:val="22"/>
        </w:rPr>
        <w:t>amyloidosis in dogs with Cushing </w:t>
      </w:r>
      <w:r>
        <w:rPr>
          <w:spacing w:val="28"/>
          <w:sz w:val="22"/>
        </w:rPr>
        <w:t> </w:t>
      </w:r>
      <w:r>
        <w:rPr>
          <w:sz w:val="22"/>
        </w:rPr>
        <w:t>syndrome.</w:t>
      </w:r>
      <w:r>
        <w:rPr>
          <w:position w:val="10"/>
          <w:sz w:val="15"/>
        </w:rPr>
        <w:t>37,38</w:t>
      </w:r>
    </w:p>
    <w:p>
      <w:pPr>
        <w:pStyle w:val="BodyText"/>
        <w:spacing w:before="3"/>
        <w:rPr>
          <w:rFonts w:ascii="Times New Roman"/>
          <w:sz w:val="13"/>
        </w:rPr>
      </w:pPr>
    </w:p>
    <w:p>
      <w:pPr>
        <w:pStyle w:val="ListParagraph"/>
        <w:numPr>
          <w:ilvl w:val="0"/>
          <w:numId w:val="11"/>
        </w:numPr>
        <w:tabs>
          <w:tab w:pos="1937" w:val="left" w:leader="none"/>
          <w:tab w:pos="1938" w:val="left" w:leader="none"/>
        </w:tabs>
        <w:spacing w:line="240" w:lineRule="auto" w:before="77" w:after="0"/>
        <w:ind w:left="1937" w:right="0" w:hanging="684"/>
        <w:jc w:val="left"/>
        <w:rPr>
          <w:sz w:val="22"/>
        </w:rPr>
      </w:pPr>
      <w:r>
        <w:rPr>
          <w:sz w:val="22"/>
        </w:rPr>
        <w:t>Hypothyroidism produces a decrease in kidney blood flow due to a reduction in  </w:t>
      </w:r>
      <w:r>
        <w:rPr>
          <w:spacing w:val="53"/>
          <w:sz w:val="22"/>
        </w:rPr>
        <w:t> </w:t>
      </w:r>
      <w:r>
        <w:rPr>
          <w:sz w:val="22"/>
        </w:rPr>
        <w:t>cardiac</w:t>
      </w:r>
    </w:p>
    <w:p>
      <w:pPr>
        <w:pStyle w:val="ListParagraph"/>
        <w:numPr>
          <w:ilvl w:val="0"/>
          <w:numId w:val="11"/>
        </w:numPr>
        <w:tabs>
          <w:tab w:pos="1937" w:val="left" w:leader="none"/>
          <w:tab w:pos="1938" w:val="left" w:leader="none"/>
        </w:tabs>
        <w:spacing w:line="240" w:lineRule="auto" w:before="138" w:after="0"/>
        <w:ind w:left="1937" w:right="0" w:hanging="684"/>
        <w:jc w:val="left"/>
        <w:rPr>
          <w:sz w:val="22"/>
        </w:rPr>
      </w:pPr>
      <w:r>
        <w:rPr>
          <w:sz w:val="22"/>
        </w:rPr>
        <w:t>output as a result of bradycardia, decreased ventricular refilling and cardiac contractibility,   </w:t>
      </w:r>
      <w:r>
        <w:rPr>
          <w:spacing w:val="2"/>
          <w:sz w:val="22"/>
        </w:rPr>
        <w:t> </w:t>
      </w:r>
      <w:r>
        <w:rPr>
          <w:spacing w:val="3"/>
          <w:sz w:val="22"/>
        </w:rPr>
        <w:t>as</w:t>
      </w:r>
    </w:p>
    <w:p>
      <w:pPr>
        <w:pStyle w:val="ListParagraph"/>
        <w:numPr>
          <w:ilvl w:val="0"/>
          <w:numId w:val="11"/>
        </w:numPr>
        <w:tabs>
          <w:tab w:pos="1937" w:val="left" w:leader="none"/>
          <w:tab w:pos="1938" w:val="left" w:leader="none"/>
        </w:tabs>
        <w:spacing w:line="240" w:lineRule="auto" w:before="136" w:after="0"/>
        <w:ind w:left="1937" w:right="0" w:hanging="684"/>
        <w:jc w:val="left"/>
        <w:rPr>
          <w:sz w:val="22"/>
        </w:rPr>
      </w:pPr>
      <w:r>
        <w:rPr>
          <w:sz w:val="22"/>
        </w:rPr>
        <w:t>well as preglomerular vasoconstriction due to hypertension. This decreases tubular   </w:t>
      </w:r>
      <w:r>
        <w:rPr>
          <w:spacing w:val="3"/>
          <w:sz w:val="22"/>
        </w:rPr>
        <w:t> </w:t>
      </w:r>
      <w:r>
        <w:rPr>
          <w:sz w:val="22"/>
        </w:rPr>
        <w:t>excretion</w:t>
      </w:r>
    </w:p>
    <w:p>
      <w:pPr>
        <w:pStyle w:val="ListParagraph"/>
        <w:numPr>
          <w:ilvl w:val="0"/>
          <w:numId w:val="11"/>
        </w:numPr>
        <w:tabs>
          <w:tab w:pos="1937" w:val="left" w:leader="none"/>
          <w:tab w:pos="1938" w:val="left" w:leader="none"/>
        </w:tabs>
        <w:spacing w:line="240" w:lineRule="auto" w:before="136" w:after="0"/>
        <w:ind w:left="1937" w:right="0" w:hanging="684"/>
        <w:jc w:val="left"/>
        <w:rPr>
          <w:sz w:val="22"/>
        </w:rPr>
      </w:pPr>
      <w:r>
        <w:rPr>
          <w:sz w:val="22"/>
        </w:rPr>
        <w:t>and absorption, interfering with electrolyte transport at the epithelial level and creating a   </w:t>
      </w:r>
      <w:r>
        <w:rPr>
          <w:spacing w:val="4"/>
          <w:sz w:val="22"/>
        </w:rPr>
        <w:t> </w:t>
      </w:r>
      <w:r>
        <w:rPr>
          <w:sz w:val="22"/>
        </w:rPr>
        <w:t>long-</w:t>
      </w:r>
    </w:p>
    <w:p>
      <w:pPr>
        <w:pStyle w:val="ListParagraph"/>
        <w:numPr>
          <w:ilvl w:val="0"/>
          <w:numId w:val="11"/>
        </w:numPr>
        <w:tabs>
          <w:tab w:pos="1937" w:val="left" w:leader="none"/>
          <w:tab w:pos="1938" w:val="left" w:leader="none"/>
        </w:tabs>
        <w:spacing w:line="240" w:lineRule="auto" w:before="101" w:after="0"/>
        <w:ind w:left="1937" w:right="0" w:hanging="684"/>
        <w:jc w:val="left"/>
        <w:rPr>
          <w:sz w:val="15"/>
        </w:rPr>
      </w:pPr>
      <w:r>
        <w:rPr>
          <w:sz w:val="22"/>
        </w:rPr>
        <w:t>term decrease in kidney mass.</w:t>
      </w:r>
      <w:r>
        <w:rPr>
          <w:position w:val="10"/>
          <w:sz w:val="15"/>
        </w:rPr>
        <w:t>39, </w:t>
      </w:r>
      <w:r>
        <w:rPr>
          <w:spacing w:val="17"/>
          <w:position w:val="10"/>
          <w:sz w:val="15"/>
        </w:rPr>
        <w:t> </w:t>
      </w:r>
      <w:r>
        <w:rPr>
          <w:position w:val="10"/>
          <w:sz w:val="15"/>
        </w:rPr>
        <w:t>40</w:t>
      </w:r>
    </w:p>
    <w:p>
      <w:pPr>
        <w:pStyle w:val="BodyText"/>
        <w:spacing w:before="3"/>
        <w:rPr>
          <w:rFonts w:ascii="Times New Roman"/>
          <w:sz w:val="13"/>
        </w:rPr>
      </w:pPr>
    </w:p>
    <w:p>
      <w:pPr>
        <w:pStyle w:val="ListParagraph"/>
        <w:numPr>
          <w:ilvl w:val="0"/>
          <w:numId w:val="11"/>
        </w:numPr>
        <w:tabs>
          <w:tab w:pos="1937" w:val="left" w:leader="none"/>
          <w:tab w:pos="1938" w:val="left" w:leader="none"/>
        </w:tabs>
        <w:spacing w:line="240" w:lineRule="auto" w:before="77" w:after="0"/>
        <w:ind w:left="1937" w:right="0" w:hanging="684"/>
        <w:jc w:val="left"/>
        <w:rPr>
          <w:sz w:val="22"/>
        </w:rPr>
      </w:pPr>
      <w:r>
        <w:rPr>
          <w:sz w:val="22"/>
        </w:rPr>
        <w:t>Within the group of infectious diseases considered (patients with a background of   </w:t>
      </w:r>
      <w:r>
        <w:rPr>
          <w:spacing w:val="1"/>
          <w:sz w:val="22"/>
        </w:rPr>
        <w:t> </w:t>
      </w:r>
      <w:r>
        <w:rPr>
          <w:sz w:val="22"/>
        </w:rPr>
        <w:t>parvovirus,</w:t>
      </w:r>
    </w:p>
    <w:p>
      <w:pPr>
        <w:pStyle w:val="ListParagraph"/>
        <w:numPr>
          <w:ilvl w:val="0"/>
          <w:numId w:val="11"/>
        </w:numPr>
        <w:tabs>
          <w:tab w:pos="1937" w:val="left" w:leader="none"/>
          <w:tab w:pos="1938" w:val="left" w:leader="none"/>
        </w:tabs>
        <w:spacing w:line="240" w:lineRule="auto" w:before="138" w:after="0"/>
        <w:ind w:left="1937" w:right="0" w:hanging="684"/>
        <w:jc w:val="left"/>
        <w:rPr>
          <w:sz w:val="22"/>
        </w:rPr>
      </w:pPr>
      <w:r>
        <w:rPr>
          <w:sz w:val="22"/>
        </w:rPr>
        <w:t>distemper and/or leptospirosis) glomerular damage can be related to the  </w:t>
      </w:r>
      <w:r>
        <w:rPr>
          <w:spacing w:val="35"/>
          <w:sz w:val="22"/>
        </w:rPr>
        <w:t> </w:t>
      </w:r>
      <w:r>
        <w:rPr>
          <w:sz w:val="22"/>
        </w:rPr>
        <w:t>resulting</w:t>
      </w:r>
    </w:p>
    <w:p>
      <w:pPr>
        <w:pStyle w:val="ListParagraph"/>
        <w:numPr>
          <w:ilvl w:val="0"/>
          <w:numId w:val="11"/>
        </w:numPr>
        <w:tabs>
          <w:tab w:pos="1937" w:val="left" w:leader="none"/>
          <w:tab w:pos="1938" w:val="left" w:leader="none"/>
        </w:tabs>
        <w:spacing w:line="240" w:lineRule="auto" w:before="133" w:after="0"/>
        <w:ind w:left="1937" w:right="0" w:hanging="684"/>
        <w:jc w:val="left"/>
        <w:rPr>
          <w:sz w:val="22"/>
        </w:rPr>
      </w:pPr>
      <w:r>
        <w:rPr>
          <w:sz w:val="22"/>
        </w:rPr>
        <w:t>inflammatory reaction as well as to direct damage to the   </w:t>
      </w:r>
      <w:r>
        <w:rPr>
          <w:spacing w:val="10"/>
          <w:sz w:val="22"/>
        </w:rPr>
        <w:t> </w:t>
      </w:r>
      <w:r>
        <w:rPr>
          <w:sz w:val="22"/>
        </w:rPr>
        <w:t>glomerular membrane caused by the</w:t>
      </w:r>
    </w:p>
    <w:p>
      <w:pPr>
        <w:pStyle w:val="ListParagraph"/>
        <w:numPr>
          <w:ilvl w:val="0"/>
          <w:numId w:val="11"/>
        </w:numPr>
        <w:tabs>
          <w:tab w:pos="1937" w:val="left" w:leader="none"/>
          <w:tab w:pos="1938" w:val="left" w:leader="none"/>
        </w:tabs>
        <w:spacing w:line="240" w:lineRule="auto" w:before="103" w:after="0"/>
        <w:ind w:left="1937" w:right="0" w:hanging="684"/>
        <w:jc w:val="left"/>
        <w:rPr>
          <w:sz w:val="22"/>
        </w:rPr>
      </w:pPr>
      <w:r>
        <w:rPr>
          <w:sz w:val="22"/>
        </w:rPr>
        <w:t>interaction between it and antigen-antibody complexes.</w:t>
      </w:r>
      <w:r>
        <w:rPr>
          <w:position w:val="10"/>
          <w:sz w:val="15"/>
        </w:rPr>
        <w:t>51  </w:t>
      </w:r>
      <w:r>
        <w:rPr>
          <w:sz w:val="22"/>
        </w:rPr>
        <w:t>In this study, infectious diseases  </w:t>
      </w:r>
      <w:r>
        <w:rPr>
          <w:spacing w:val="38"/>
          <w:sz w:val="22"/>
        </w:rPr>
        <w:t> </w:t>
      </w:r>
      <w:r>
        <w:rPr>
          <w:sz w:val="22"/>
        </w:rPr>
        <w:t>did</w:t>
      </w:r>
    </w:p>
    <w:p>
      <w:pPr>
        <w:pStyle w:val="ListParagraph"/>
        <w:numPr>
          <w:ilvl w:val="0"/>
          <w:numId w:val="11"/>
        </w:numPr>
        <w:tabs>
          <w:tab w:pos="1937" w:val="left" w:leader="none"/>
          <w:tab w:pos="1938" w:val="left" w:leader="none"/>
        </w:tabs>
        <w:spacing w:line="240" w:lineRule="auto" w:before="136" w:after="0"/>
        <w:ind w:left="1937" w:right="0" w:hanging="684"/>
        <w:jc w:val="left"/>
        <w:rPr>
          <w:sz w:val="22"/>
        </w:rPr>
      </w:pPr>
      <w:r>
        <w:rPr>
          <w:sz w:val="22"/>
        </w:rPr>
        <w:t>not</w:t>
      </w:r>
      <w:r>
        <w:rPr>
          <w:spacing w:val="10"/>
          <w:sz w:val="22"/>
        </w:rPr>
        <w:t> </w:t>
      </w:r>
      <w:r>
        <w:rPr>
          <w:sz w:val="22"/>
        </w:rPr>
        <w:t>turn</w:t>
      </w:r>
      <w:r>
        <w:rPr>
          <w:spacing w:val="7"/>
          <w:sz w:val="22"/>
        </w:rPr>
        <w:t> </w:t>
      </w:r>
      <w:r>
        <w:rPr>
          <w:sz w:val="22"/>
        </w:rPr>
        <w:t>out</w:t>
      </w:r>
      <w:r>
        <w:rPr>
          <w:spacing w:val="6"/>
          <w:sz w:val="22"/>
        </w:rPr>
        <w:t> </w:t>
      </w:r>
      <w:r>
        <w:rPr>
          <w:sz w:val="22"/>
        </w:rPr>
        <w:t>to</w:t>
      </w:r>
      <w:r>
        <w:rPr>
          <w:spacing w:val="10"/>
          <w:sz w:val="22"/>
        </w:rPr>
        <w:t> </w:t>
      </w:r>
      <w:r>
        <w:rPr>
          <w:sz w:val="22"/>
        </w:rPr>
        <w:t>be</w:t>
      </w:r>
      <w:r>
        <w:rPr>
          <w:spacing w:val="8"/>
          <w:sz w:val="22"/>
        </w:rPr>
        <w:t> </w:t>
      </w:r>
      <w:r>
        <w:rPr>
          <w:sz w:val="22"/>
        </w:rPr>
        <w:t>a</w:t>
      </w:r>
      <w:r>
        <w:rPr>
          <w:spacing w:val="11"/>
          <w:sz w:val="22"/>
        </w:rPr>
        <w:t> </w:t>
      </w:r>
      <w:r>
        <w:rPr>
          <w:sz w:val="22"/>
        </w:rPr>
        <w:t>risk</w:t>
      </w:r>
      <w:r>
        <w:rPr>
          <w:spacing w:val="7"/>
          <w:sz w:val="22"/>
        </w:rPr>
        <w:t> </w:t>
      </w:r>
      <w:r>
        <w:rPr>
          <w:sz w:val="22"/>
        </w:rPr>
        <w:t>factor,</w:t>
      </w:r>
      <w:r>
        <w:rPr>
          <w:spacing w:val="11"/>
          <w:sz w:val="22"/>
        </w:rPr>
        <w:t> </w:t>
      </w:r>
      <w:r>
        <w:rPr>
          <w:sz w:val="22"/>
        </w:rPr>
        <w:t>but</w:t>
      </w:r>
      <w:r>
        <w:rPr>
          <w:spacing w:val="7"/>
          <w:sz w:val="22"/>
        </w:rPr>
        <w:t> </w:t>
      </w:r>
      <w:r>
        <w:rPr>
          <w:sz w:val="22"/>
        </w:rPr>
        <w:t>this</w:t>
      </w:r>
      <w:r>
        <w:rPr>
          <w:spacing w:val="11"/>
          <w:sz w:val="22"/>
        </w:rPr>
        <w:t> </w:t>
      </w:r>
      <w:r>
        <w:rPr>
          <w:sz w:val="22"/>
        </w:rPr>
        <w:t>was</w:t>
      </w:r>
      <w:r>
        <w:rPr>
          <w:spacing w:val="8"/>
          <w:sz w:val="22"/>
        </w:rPr>
        <w:t> </w:t>
      </w:r>
      <w:r>
        <w:rPr>
          <w:sz w:val="22"/>
        </w:rPr>
        <w:t>probably</w:t>
      </w:r>
      <w:r>
        <w:rPr>
          <w:spacing w:val="7"/>
          <w:sz w:val="22"/>
        </w:rPr>
        <w:t> </w:t>
      </w:r>
      <w:r>
        <w:rPr>
          <w:sz w:val="22"/>
        </w:rPr>
        <w:t>due</w:t>
      </w:r>
      <w:r>
        <w:rPr>
          <w:spacing w:val="11"/>
          <w:sz w:val="22"/>
        </w:rPr>
        <w:t> </w:t>
      </w:r>
      <w:r>
        <w:rPr>
          <w:sz w:val="22"/>
        </w:rPr>
        <w:t>to</w:t>
      </w:r>
      <w:r>
        <w:rPr>
          <w:spacing w:val="10"/>
          <w:sz w:val="22"/>
        </w:rPr>
        <w:t> </w:t>
      </w:r>
      <w:r>
        <w:rPr>
          <w:sz w:val="22"/>
        </w:rPr>
        <w:t>the</w:t>
      </w:r>
      <w:r>
        <w:rPr>
          <w:spacing w:val="11"/>
          <w:sz w:val="22"/>
        </w:rPr>
        <w:t> </w:t>
      </w:r>
      <w:r>
        <w:rPr>
          <w:sz w:val="22"/>
        </w:rPr>
        <w:t>small</w:t>
      </w:r>
      <w:r>
        <w:rPr>
          <w:spacing w:val="7"/>
          <w:sz w:val="22"/>
        </w:rPr>
        <w:t> </w:t>
      </w:r>
      <w:r>
        <w:rPr>
          <w:sz w:val="22"/>
        </w:rPr>
        <w:t>number</w:t>
      </w:r>
      <w:r>
        <w:rPr>
          <w:spacing w:val="10"/>
          <w:sz w:val="22"/>
        </w:rPr>
        <w:t> </w:t>
      </w:r>
      <w:r>
        <w:rPr>
          <w:sz w:val="22"/>
        </w:rPr>
        <w:t>of</w:t>
      </w:r>
      <w:r>
        <w:rPr>
          <w:spacing w:val="6"/>
          <w:sz w:val="22"/>
        </w:rPr>
        <w:t> </w:t>
      </w:r>
      <w:r>
        <w:rPr>
          <w:sz w:val="22"/>
        </w:rPr>
        <w:t>cases</w:t>
      </w:r>
    </w:p>
    <w:p>
      <w:pPr>
        <w:pStyle w:val="ListParagraph"/>
        <w:numPr>
          <w:ilvl w:val="0"/>
          <w:numId w:val="11"/>
        </w:numPr>
        <w:tabs>
          <w:tab w:pos="1937" w:val="left" w:leader="none"/>
          <w:tab w:pos="1938" w:val="left" w:leader="none"/>
        </w:tabs>
        <w:spacing w:line="240" w:lineRule="auto" w:before="136" w:after="0"/>
        <w:ind w:left="1937" w:right="0" w:hanging="684"/>
        <w:jc w:val="left"/>
        <w:rPr>
          <w:sz w:val="22"/>
        </w:rPr>
      </w:pPr>
      <w:r>
        <w:rPr>
          <w:sz w:val="22"/>
        </w:rPr>
        <w:t>considered.</w:t>
      </w:r>
    </w:p>
    <w:p>
      <w:pPr>
        <w:spacing w:after="0" w:line="240" w:lineRule="auto"/>
        <w:jc w:val="left"/>
        <w:rPr>
          <w:sz w:val="22"/>
        </w:rPr>
        <w:sectPr>
          <w:headerReference w:type="default" r:id="rId79"/>
          <w:footerReference w:type="default" r:id="rId80"/>
          <w:pgSz w:w="12240" w:h="15840"/>
          <w:pgMar w:header="0" w:footer="0" w:top="140" w:bottom="280" w:left="0" w:right="1680"/>
        </w:sectPr>
      </w:pPr>
    </w:p>
    <w:p>
      <w:pPr>
        <w:tabs>
          <w:tab w:pos="10881" w:val="left" w:leader="none"/>
        </w:tabs>
        <w:spacing w:before="56"/>
        <w:ind w:left="3549" w:right="0" w:firstLine="0"/>
        <w:jc w:val="left"/>
        <w:rPr>
          <w:b/>
          <w:sz w:val="20"/>
        </w:rPr>
      </w:pPr>
      <w:r>
        <w:rPr>
          <w:b/>
          <w:sz w:val="20"/>
        </w:rPr>
        <w:t>Journal of the American Veterinary</w:t>
      </w:r>
      <w:r>
        <w:rPr>
          <w:b/>
          <w:spacing w:val="-16"/>
          <w:sz w:val="20"/>
        </w:rPr>
        <w:t> </w:t>
      </w:r>
      <w:r>
        <w:rPr>
          <w:b/>
          <w:sz w:val="20"/>
        </w:rPr>
        <w:t>Medical</w:t>
      </w:r>
      <w:r>
        <w:rPr>
          <w:b/>
          <w:spacing w:val="-3"/>
          <w:sz w:val="20"/>
        </w:rPr>
        <w:t> </w:t>
      </w:r>
      <w:r>
        <w:rPr>
          <w:b/>
          <w:sz w:val="20"/>
        </w:rPr>
        <w:t>Association</w:t>
        <w:tab/>
        <w:t>Page 10</w:t>
      </w:r>
      <w:r>
        <w:rPr>
          <w:b/>
          <w:spacing w:val="-1"/>
          <w:sz w:val="20"/>
        </w:rPr>
        <w:t> </w:t>
      </w:r>
      <w:r>
        <w:rPr>
          <w:b/>
          <w:sz w:val="20"/>
        </w:rPr>
        <w:t>of</w:t>
      </w:r>
    </w:p>
    <w:p>
      <w:pPr>
        <w:pStyle w:val="BodyText"/>
        <w:rPr>
          <w:b/>
          <w:sz w:val="20"/>
        </w:rPr>
      </w:pPr>
    </w:p>
    <w:p>
      <w:pPr>
        <w:pStyle w:val="BodyText"/>
        <w:rPr>
          <w:b/>
          <w:sz w:val="20"/>
        </w:rPr>
      </w:pPr>
    </w:p>
    <w:p>
      <w:pPr>
        <w:pStyle w:val="BodyText"/>
        <w:rPr>
          <w:b/>
          <w:sz w:val="20"/>
        </w:rPr>
      </w:pPr>
    </w:p>
    <w:p>
      <w:pPr>
        <w:pStyle w:val="BodyText"/>
        <w:spacing w:before="7"/>
        <w:rPr>
          <w:b/>
          <w:sz w:val="18"/>
        </w:rPr>
      </w:pPr>
    </w:p>
    <w:p>
      <w:pPr>
        <w:pStyle w:val="ListParagraph"/>
        <w:numPr>
          <w:ilvl w:val="0"/>
          <w:numId w:val="11"/>
        </w:numPr>
        <w:tabs>
          <w:tab w:pos="1937" w:val="left" w:leader="none"/>
          <w:tab w:pos="1938" w:val="left" w:leader="none"/>
        </w:tabs>
        <w:spacing w:line="240" w:lineRule="auto" w:before="0" w:after="0"/>
        <w:ind w:left="1937" w:right="0" w:hanging="684"/>
        <w:jc w:val="left"/>
        <w:rPr>
          <w:sz w:val="22"/>
        </w:rPr>
      </w:pPr>
      <w:r>
        <w:rPr>
          <w:sz w:val="22"/>
        </w:rPr>
        <w:t>The results showed that hepatopathies tend to be risk factors for CKD; however,  </w:t>
      </w:r>
      <w:r>
        <w:rPr>
          <w:spacing w:val="43"/>
          <w:sz w:val="22"/>
        </w:rPr>
        <w:t> </w:t>
      </w:r>
      <w:r>
        <w:rPr>
          <w:sz w:val="22"/>
        </w:rPr>
        <w:t>it is</w:t>
      </w:r>
    </w:p>
    <w:p>
      <w:pPr>
        <w:pStyle w:val="ListParagraph"/>
        <w:numPr>
          <w:ilvl w:val="0"/>
          <w:numId w:val="11"/>
        </w:numPr>
        <w:tabs>
          <w:tab w:pos="1937" w:val="left" w:leader="none"/>
          <w:tab w:pos="1938" w:val="left" w:leader="none"/>
        </w:tabs>
        <w:spacing w:line="240" w:lineRule="auto" w:before="136" w:after="0"/>
        <w:ind w:left="1937" w:right="0" w:hanging="684"/>
        <w:jc w:val="left"/>
        <w:rPr>
          <w:sz w:val="22"/>
        </w:rPr>
      </w:pPr>
      <w:r>
        <w:rPr>
          <w:sz w:val="22"/>
        </w:rPr>
        <w:t>necessary to perform studies within larger populations since the size of this   </w:t>
      </w:r>
      <w:r>
        <w:rPr>
          <w:spacing w:val="7"/>
          <w:sz w:val="22"/>
        </w:rPr>
        <w:t> </w:t>
      </w:r>
      <w:r>
        <w:rPr>
          <w:sz w:val="22"/>
        </w:rPr>
        <w:t>study simply does</w:t>
      </w:r>
    </w:p>
    <w:p>
      <w:pPr>
        <w:pStyle w:val="ListParagraph"/>
        <w:numPr>
          <w:ilvl w:val="0"/>
          <w:numId w:val="11"/>
        </w:numPr>
        <w:tabs>
          <w:tab w:pos="1937" w:val="left" w:leader="none"/>
          <w:tab w:pos="1938" w:val="left" w:leader="none"/>
        </w:tabs>
        <w:spacing w:line="240" w:lineRule="auto" w:before="136" w:after="0"/>
        <w:ind w:left="1937" w:right="0" w:hanging="684"/>
        <w:jc w:val="left"/>
        <w:rPr>
          <w:sz w:val="22"/>
        </w:rPr>
      </w:pPr>
      <w:r>
        <w:rPr>
          <w:sz w:val="22"/>
        </w:rPr>
        <w:t>not allow them to be defined as such in a conclusive manner. The   </w:t>
      </w:r>
      <w:r>
        <w:rPr>
          <w:spacing w:val="1"/>
          <w:sz w:val="22"/>
        </w:rPr>
        <w:t> </w:t>
      </w:r>
      <w:r>
        <w:rPr>
          <w:sz w:val="22"/>
        </w:rPr>
        <w:t>physiopathology through</w:t>
      </w:r>
    </w:p>
    <w:p>
      <w:pPr>
        <w:pStyle w:val="ListParagraph"/>
        <w:numPr>
          <w:ilvl w:val="0"/>
          <w:numId w:val="11"/>
        </w:numPr>
        <w:tabs>
          <w:tab w:pos="1937" w:val="left" w:leader="none"/>
          <w:tab w:pos="1938" w:val="left" w:leader="none"/>
        </w:tabs>
        <w:spacing w:line="240" w:lineRule="auto" w:before="136" w:after="0"/>
        <w:ind w:left="1937" w:right="0" w:hanging="684"/>
        <w:jc w:val="left"/>
        <w:rPr>
          <w:sz w:val="22"/>
        </w:rPr>
      </w:pPr>
      <w:r>
        <w:rPr>
          <w:sz w:val="22"/>
        </w:rPr>
        <w:t>which hepatopathies are related to CKD is attributable to multiple circulatory  </w:t>
      </w:r>
      <w:r>
        <w:rPr>
          <w:spacing w:val="49"/>
          <w:sz w:val="22"/>
        </w:rPr>
        <w:t> </w:t>
      </w:r>
      <w:r>
        <w:rPr>
          <w:sz w:val="22"/>
        </w:rPr>
        <w:t>alterations,</w:t>
      </w:r>
    </w:p>
    <w:p>
      <w:pPr>
        <w:pStyle w:val="ListParagraph"/>
        <w:numPr>
          <w:ilvl w:val="0"/>
          <w:numId w:val="11"/>
        </w:numPr>
        <w:tabs>
          <w:tab w:pos="1937" w:val="left" w:leader="none"/>
          <w:tab w:pos="1938" w:val="left" w:leader="none"/>
        </w:tabs>
        <w:spacing w:line="240" w:lineRule="auto" w:before="138" w:after="0"/>
        <w:ind w:left="1937" w:right="0" w:hanging="684"/>
        <w:jc w:val="left"/>
        <w:rPr>
          <w:sz w:val="22"/>
        </w:rPr>
      </w:pPr>
      <w:r>
        <w:rPr>
          <w:sz w:val="22"/>
        </w:rPr>
        <w:t>principally a decline in the vascular system due to primary arterial vasodilation in the  </w:t>
      </w:r>
      <w:r>
        <w:rPr>
          <w:spacing w:val="53"/>
          <w:sz w:val="22"/>
        </w:rPr>
        <w:t> </w:t>
      </w:r>
      <w:r>
        <w:rPr>
          <w:sz w:val="22"/>
        </w:rPr>
        <w:t>spleen</w:t>
      </w:r>
    </w:p>
    <w:p>
      <w:pPr>
        <w:pStyle w:val="ListParagraph"/>
        <w:numPr>
          <w:ilvl w:val="0"/>
          <w:numId w:val="11"/>
        </w:numPr>
        <w:tabs>
          <w:tab w:pos="1937" w:val="left" w:leader="none"/>
          <w:tab w:pos="1938" w:val="left" w:leader="none"/>
        </w:tabs>
        <w:spacing w:line="240" w:lineRule="auto" w:before="133" w:after="0"/>
        <w:ind w:left="1937" w:right="0" w:hanging="684"/>
        <w:jc w:val="left"/>
        <w:rPr>
          <w:sz w:val="22"/>
        </w:rPr>
      </w:pPr>
      <w:r>
        <w:rPr>
          <w:sz w:val="22"/>
        </w:rPr>
        <w:t>circulation caused by portal hypertension. Four paths are proposed: 1) peripheral  </w:t>
      </w:r>
      <w:r>
        <w:rPr>
          <w:spacing w:val="49"/>
          <w:sz w:val="22"/>
        </w:rPr>
        <w:t> </w:t>
      </w:r>
      <w:r>
        <w:rPr>
          <w:sz w:val="22"/>
        </w:rPr>
        <w:t>arterial</w:t>
      </w:r>
    </w:p>
    <w:p>
      <w:pPr>
        <w:pStyle w:val="ListParagraph"/>
        <w:numPr>
          <w:ilvl w:val="0"/>
          <w:numId w:val="11"/>
        </w:numPr>
        <w:tabs>
          <w:tab w:pos="1937" w:val="left" w:leader="none"/>
          <w:tab w:pos="1938" w:val="left" w:leader="none"/>
        </w:tabs>
        <w:spacing w:line="240" w:lineRule="auto" w:before="138" w:after="0"/>
        <w:ind w:left="1937" w:right="0" w:hanging="684"/>
        <w:jc w:val="left"/>
        <w:rPr>
          <w:sz w:val="22"/>
        </w:rPr>
      </w:pPr>
      <w:r>
        <w:rPr>
          <w:sz w:val="22"/>
        </w:rPr>
        <w:t>vasodilation with hyperdynamic circulation and subsequent renal vasoconstriction,  </w:t>
      </w:r>
      <w:r>
        <w:rPr>
          <w:spacing w:val="46"/>
          <w:sz w:val="22"/>
        </w:rPr>
        <w:t> </w:t>
      </w:r>
      <w:r>
        <w:rPr>
          <w:sz w:val="22"/>
        </w:rPr>
        <w:t>2)</w:t>
      </w:r>
    </w:p>
    <w:p>
      <w:pPr>
        <w:pStyle w:val="ListParagraph"/>
        <w:numPr>
          <w:ilvl w:val="0"/>
          <w:numId w:val="11"/>
        </w:numPr>
        <w:tabs>
          <w:tab w:pos="1937" w:val="left" w:leader="none"/>
          <w:tab w:pos="1938" w:val="left" w:leader="none"/>
        </w:tabs>
        <w:spacing w:line="240" w:lineRule="auto" w:before="136" w:after="0"/>
        <w:ind w:left="1937" w:right="0" w:hanging="684"/>
        <w:jc w:val="left"/>
        <w:rPr>
          <w:sz w:val="22"/>
        </w:rPr>
      </w:pPr>
      <w:r>
        <w:rPr/>
        <w:pict>
          <v:shape style="position:absolute;margin-left:120.872412pt;margin-top:171.810603pt;width:376.45pt;height:48pt;mso-position-horizontal-relative:page;mso-position-vertical-relative:paragraph;z-index:-122968;rotation:51" type="#_x0000_t136" fillcolor="#d6f1fe" stroked="f">
            <o:extrusion v:ext="view" autorotationcenter="t"/>
            <v:textpath style="font-family:&amp;quot;Arial&amp;quot;;font-size:48pt;v-text-kern:t;mso-text-shadow:auto;font-weight:bold" string="For Review Only"/>
            <w10:wrap type="none"/>
          </v:shape>
        </w:pict>
      </w:r>
      <w:r>
        <w:rPr>
          <w:sz w:val="22"/>
        </w:rPr>
        <w:t>stimulation of the sympathetic renal nervous system, 3) anomalies in cardiac function    that</w:t>
      </w:r>
    </w:p>
    <w:p>
      <w:pPr>
        <w:pStyle w:val="ListParagraph"/>
        <w:numPr>
          <w:ilvl w:val="0"/>
          <w:numId w:val="11"/>
        </w:numPr>
        <w:tabs>
          <w:tab w:pos="1937" w:val="left" w:leader="none"/>
          <w:tab w:pos="1938" w:val="left" w:leader="none"/>
        </w:tabs>
        <w:spacing w:line="240" w:lineRule="auto" w:before="136" w:after="0"/>
        <w:ind w:left="1937" w:right="0" w:hanging="684"/>
        <w:jc w:val="left"/>
        <w:rPr>
          <w:sz w:val="22"/>
        </w:rPr>
      </w:pPr>
      <w:r>
        <w:rPr>
          <w:sz w:val="22"/>
        </w:rPr>
        <w:t>contribute to renal hypoperfusion, and 4) the performance of different cytokines  </w:t>
      </w:r>
      <w:r>
        <w:rPr>
          <w:spacing w:val="44"/>
          <w:sz w:val="22"/>
        </w:rPr>
        <w:t> </w:t>
      </w:r>
      <w:r>
        <w:rPr>
          <w:sz w:val="22"/>
        </w:rPr>
        <w:t>and</w:t>
      </w:r>
    </w:p>
    <w:p>
      <w:pPr>
        <w:pStyle w:val="ListParagraph"/>
        <w:numPr>
          <w:ilvl w:val="0"/>
          <w:numId w:val="11"/>
        </w:numPr>
        <w:tabs>
          <w:tab w:pos="1937" w:val="left" w:leader="none"/>
          <w:tab w:pos="1938" w:val="left" w:leader="none"/>
        </w:tabs>
        <w:spacing w:line="240" w:lineRule="auto" w:before="101" w:after="0"/>
        <w:ind w:left="1937" w:right="0" w:hanging="684"/>
        <w:jc w:val="left"/>
        <w:rPr>
          <w:sz w:val="22"/>
        </w:rPr>
      </w:pPr>
      <w:r>
        <w:rPr>
          <w:sz w:val="22"/>
        </w:rPr>
        <w:t>vasoactive mediators within the renal circulation and other vascular beds.</w:t>
      </w:r>
      <w:r>
        <w:rPr>
          <w:position w:val="10"/>
          <w:sz w:val="15"/>
        </w:rPr>
        <w:t>42  </w:t>
      </w:r>
      <w:r>
        <w:rPr>
          <w:sz w:val="22"/>
        </w:rPr>
        <w:t>Other  </w:t>
      </w:r>
      <w:r>
        <w:rPr>
          <w:spacing w:val="34"/>
          <w:sz w:val="22"/>
        </w:rPr>
        <w:t> </w:t>
      </w:r>
      <w:r>
        <w:rPr>
          <w:sz w:val="22"/>
        </w:rPr>
        <w:t>possible</w:t>
      </w:r>
    </w:p>
    <w:p>
      <w:pPr>
        <w:pStyle w:val="ListParagraph"/>
        <w:numPr>
          <w:ilvl w:val="0"/>
          <w:numId w:val="11"/>
        </w:numPr>
        <w:tabs>
          <w:tab w:pos="1937" w:val="left" w:leader="none"/>
          <w:tab w:pos="1938" w:val="left" w:leader="none"/>
        </w:tabs>
        <w:spacing w:line="240" w:lineRule="auto" w:before="138" w:after="0"/>
        <w:ind w:left="1937" w:right="0" w:hanging="684"/>
        <w:jc w:val="left"/>
        <w:rPr>
          <w:sz w:val="22"/>
        </w:rPr>
      </w:pPr>
      <w:r>
        <w:rPr>
          <w:sz w:val="22"/>
        </w:rPr>
        <w:t>physiopathological mechanisms are: systematic liberation of inflammatory mediators from    the</w:t>
      </w:r>
    </w:p>
    <w:p>
      <w:pPr>
        <w:pStyle w:val="ListParagraph"/>
        <w:numPr>
          <w:ilvl w:val="0"/>
          <w:numId w:val="11"/>
        </w:numPr>
        <w:tabs>
          <w:tab w:pos="1937" w:val="left" w:leader="none"/>
          <w:tab w:pos="1938" w:val="left" w:leader="none"/>
        </w:tabs>
        <w:spacing w:line="240" w:lineRule="auto" w:before="98" w:after="0"/>
        <w:ind w:left="1937" w:right="0" w:hanging="684"/>
        <w:jc w:val="left"/>
        <w:rPr>
          <w:sz w:val="15"/>
        </w:rPr>
      </w:pPr>
      <w:r>
        <w:rPr>
          <w:sz w:val="22"/>
        </w:rPr>
        <w:t>inflamed liver or steatosis, resistence to insulin and atherogenic  </w:t>
      </w:r>
      <w:r>
        <w:rPr>
          <w:spacing w:val="22"/>
          <w:sz w:val="22"/>
        </w:rPr>
        <w:t> </w:t>
      </w:r>
      <w:r>
        <w:rPr>
          <w:sz w:val="22"/>
        </w:rPr>
        <w:t>dislipidemias.</w:t>
      </w:r>
      <w:r>
        <w:rPr>
          <w:position w:val="10"/>
          <w:sz w:val="15"/>
        </w:rPr>
        <w:t>43, 44</w:t>
      </w:r>
    </w:p>
    <w:p>
      <w:pPr>
        <w:pStyle w:val="BodyText"/>
        <w:spacing w:before="6"/>
        <w:rPr>
          <w:rFonts w:ascii="Times New Roman"/>
          <w:sz w:val="13"/>
        </w:rPr>
      </w:pPr>
    </w:p>
    <w:p>
      <w:pPr>
        <w:pStyle w:val="ListParagraph"/>
        <w:numPr>
          <w:ilvl w:val="0"/>
          <w:numId w:val="11"/>
        </w:numPr>
        <w:tabs>
          <w:tab w:pos="1937" w:val="left" w:leader="none"/>
          <w:tab w:pos="1938" w:val="left" w:leader="none"/>
        </w:tabs>
        <w:spacing w:line="240" w:lineRule="auto" w:before="76" w:after="0"/>
        <w:ind w:left="1937" w:right="0" w:hanging="684"/>
        <w:jc w:val="left"/>
        <w:rPr>
          <w:sz w:val="22"/>
        </w:rPr>
      </w:pPr>
      <w:r>
        <w:rPr>
          <w:sz w:val="22"/>
        </w:rPr>
        <w:t>The</w:t>
      </w:r>
      <w:r>
        <w:rPr>
          <w:spacing w:val="10"/>
          <w:sz w:val="22"/>
        </w:rPr>
        <w:t> </w:t>
      </w:r>
      <w:r>
        <w:rPr>
          <w:sz w:val="22"/>
        </w:rPr>
        <w:t>very</w:t>
      </w:r>
      <w:r>
        <w:rPr>
          <w:spacing w:val="8"/>
          <w:sz w:val="22"/>
        </w:rPr>
        <w:t> </w:t>
      </w:r>
      <w:r>
        <w:rPr>
          <w:sz w:val="22"/>
        </w:rPr>
        <w:t>fact</w:t>
      </w:r>
      <w:r>
        <w:rPr>
          <w:spacing w:val="8"/>
          <w:sz w:val="22"/>
        </w:rPr>
        <w:t> </w:t>
      </w:r>
      <w:r>
        <w:rPr>
          <w:sz w:val="22"/>
        </w:rPr>
        <w:t>of</w:t>
      </w:r>
      <w:r>
        <w:rPr>
          <w:spacing w:val="11"/>
          <w:sz w:val="22"/>
        </w:rPr>
        <w:t> </w:t>
      </w:r>
      <w:r>
        <w:rPr>
          <w:sz w:val="22"/>
        </w:rPr>
        <w:t>having</w:t>
      </w:r>
      <w:r>
        <w:rPr>
          <w:spacing w:val="8"/>
          <w:sz w:val="22"/>
        </w:rPr>
        <w:t> </w:t>
      </w:r>
      <w:r>
        <w:rPr>
          <w:sz w:val="22"/>
        </w:rPr>
        <w:t>some</w:t>
      </w:r>
      <w:r>
        <w:rPr>
          <w:spacing w:val="10"/>
          <w:sz w:val="22"/>
        </w:rPr>
        <w:t> </w:t>
      </w:r>
      <w:r>
        <w:rPr>
          <w:sz w:val="22"/>
        </w:rPr>
        <w:t>sort</w:t>
      </w:r>
      <w:r>
        <w:rPr>
          <w:spacing w:val="8"/>
          <w:sz w:val="22"/>
        </w:rPr>
        <w:t> </w:t>
      </w:r>
      <w:r>
        <w:rPr>
          <w:sz w:val="22"/>
        </w:rPr>
        <w:t>of</w:t>
      </w:r>
      <w:r>
        <w:rPr>
          <w:spacing w:val="11"/>
          <w:sz w:val="22"/>
        </w:rPr>
        <w:t> </w:t>
      </w:r>
      <w:r>
        <w:rPr>
          <w:sz w:val="22"/>
        </w:rPr>
        <w:t>LUTD</w:t>
      </w:r>
      <w:r>
        <w:rPr>
          <w:spacing w:val="10"/>
          <w:sz w:val="22"/>
        </w:rPr>
        <w:t> </w:t>
      </w:r>
      <w:r>
        <w:rPr>
          <w:sz w:val="22"/>
        </w:rPr>
        <w:t>as</w:t>
      </w:r>
      <w:r>
        <w:rPr>
          <w:spacing w:val="10"/>
          <w:sz w:val="22"/>
        </w:rPr>
        <w:t> </w:t>
      </w:r>
      <w:r>
        <w:rPr>
          <w:sz w:val="22"/>
        </w:rPr>
        <w:t>urolithiasis</w:t>
      </w:r>
      <w:r>
        <w:rPr>
          <w:spacing w:val="7"/>
          <w:sz w:val="22"/>
        </w:rPr>
        <w:t> </w:t>
      </w:r>
      <w:r>
        <w:rPr>
          <w:sz w:val="22"/>
        </w:rPr>
        <w:t>also</w:t>
      </w:r>
      <w:r>
        <w:rPr>
          <w:spacing w:val="6"/>
          <w:sz w:val="22"/>
        </w:rPr>
        <w:t> </w:t>
      </w:r>
      <w:r>
        <w:rPr>
          <w:sz w:val="22"/>
        </w:rPr>
        <w:t>did</w:t>
      </w:r>
      <w:r>
        <w:rPr>
          <w:spacing w:val="6"/>
          <w:sz w:val="22"/>
        </w:rPr>
        <w:t> </w:t>
      </w:r>
      <w:r>
        <w:rPr>
          <w:sz w:val="22"/>
        </w:rPr>
        <w:t>not</w:t>
      </w:r>
      <w:r>
        <w:rPr>
          <w:spacing w:val="8"/>
          <w:sz w:val="22"/>
        </w:rPr>
        <w:t> </w:t>
      </w:r>
      <w:r>
        <w:rPr>
          <w:sz w:val="22"/>
        </w:rPr>
        <w:t>turn</w:t>
      </w:r>
      <w:r>
        <w:rPr>
          <w:spacing w:val="6"/>
          <w:sz w:val="22"/>
        </w:rPr>
        <w:t> </w:t>
      </w:r>
      <w:r>
        <w:rPr>
          <w:sz w:val="22"/>
        </w:rPr>
        <w:t>to</w:t>
      </w:r>
      <w:r>
        <w:rPr>
          <w:spacing w:val="12"/>
          <w:sz w:val="22"/>
        </w:rPr>
        <w:t> </w:t>
      </w:r>
      <w:r>
        <w:rPr>
          <w:sz w:val="22"/>
        </w:rPr>
        <w:t>be</w:t>
      </w:r>
      <w:r>
        <w:rPr>
          <w:spacing w:val="7"/>
          <w:sz w:val="22"/>
        </w:rPr>
        <w:t> </w:t>
      </w:r>
      <w:r>
        <w:rPr>
          <w:sz w:val="22"/>
        </w:rPr>
        <w:t>a</w:t>
      </w:r>
      <w:r>
        <w:rPr>
          <w:spacing w:val="10"/>
          <w:sz w:val="22"/>
        </w:rPr>
        <w:t> </w:t>
      </w:r>
      <w:r>
        <w:rPr>
          <w:sz w:val="22"/>
        </w:rPr>
        <w:t>risk</w:t>
      </w:r>
      <w:r>
        <w:rPr>
          <w:spacing w:val="6"/>
          <w:sz w:val="22"/>
        </w:rPr>
        <w:t> </w:t>
      </w:r>
      <w:r>
        <w:rPr>
          <w:sz w:val="22"/>
        </w:rPr>
        <w:t>factor</w:t>
      </w:r>
    </w:p>
    <w:p>
      <w:pPr>
        <w:pStyle w:val="ListParagraph"/>
        <w:numPr>
          <w:ilvl w:val="0"/>
          <w:numId w:val="11"/>
        </w:numPr>
        <w:tabs>
          <w:tab w:pos="1937" w:val="left" w:leader="none"/>
          <w:tab w:pos="1938" w:val="left" w:leader="none"/>
        </w:tabs>
        <w:spacing w:line="240" w:lineRule="auto" w:before="136" w:after="0"/>
        <w:ind w:left="1937" w:right="0" w:hanging="684"/>
        <w:jc w:val="left"/>
        <w:rPr>
          <w:sz w:val="22"/>
        </w:rPr>
      </w:pPr>
      <w:r>
        <w:rPr>
          <w:sz w:val="22"/>
        </w:rPr>
        <w:t>for</w:t>
      </w:r>
      <w:r>
        <w:rPr>
          <w:spacing w:val="6"/>
          <w:sz w:val="22"/>
        </w:rPr>
        <w:t> </w:t>
      </w:r>
      <w:r>
        <w:rPr>
          <w:sz w:val="22"/>
        </w:rPr>
        <w:t>CKD</w:t>
      </w:r>
      <w:r>
        <w:rPr>
          <w:spacing w:val="10"/>
          <w:sz w:val="22"/>
        </w:rPr>
        <w:t> </w:t>
      </w:r>
      <w:r>
        <w:rPr>
          <w:sz w:val="22"/>
        </w:rPr>
        <w:t>in</w:t>
      </w:r>
      <w:r>
        <w:rPr>
          <w:spacing w:val="9"/>
          <w:sz w:val="22"/>
        </w:rPr>
        <w:t> </w:t>
      </w:r>
      <w:r>
        <w:rPr>
          <w:sz w:val="22"/>
        </w:rPr>
        <w:t>the</w:t>
      </w:r>
      <w:r>
        <w:rPr>
          <w:spacing w:val="10"/>
          <w:sz w:val="22"/>
        </w:rPr>
        <w:t> </w:t>
      </w:r>
      <w:r>
        <w:rPr>
          <w:sz w:val="22"/>
        </w:rPr>
        <w:t>study,</w:t>
      </w:r>
      <w:r>
        <w:rPr>
          <w:spacing w:val="10"/>
          <w:sz w:val="22"/>
        </w:rPr>
        <w:t> </w:t>
      </w:r>
      <w:r>
        <w:rPr>
          <w:sz w:val="22"/>
        </w:rPr>
        <w:t>probably</w:t>
      </w:r>
      <w:r>
        <w:rPr>
          <w:spacing w:val="9"/>
          <w:sz w:val="22"/>
        </w:rPr>
        <w:t> </w:t>
      </w:r>
      <w:r>
        <w:rPr>
          <w:sz w:val="22"/>
        </w:rPr>
        <w:t>due</w:t>
      </w:r>
      <w:r>
        <w:rPr>
          <w:spacing w:val="8"/>
          <w:sz w:val="22"/>
        </w:rPr>
        <w:t> </w:t>
      </w:r>
      <w:r>
        <w:rPr>
          <w:sz w:val="22"/>
        </w:rPr>
        <w:t>to</w:t>
      </w:r>
      <w:r>
        <w:rPr>
          <w:spacing w:val="9"/>
          <w:sz w:val="22"/>
        </w:rPr>
        <w:t> </w:t>
      </w:r>
      <w:r>
        <w:rPr>
          <w:sz w:val="22"/>
        </w:rPr>
        <w:t>the</w:t>
      </w:r>
      <w:r>
        <w:rPr>
          <w:spacing w:val="8"/>
          <w:sz w:val="22"/>
        </w:rPr>
        <w:t> </w:t>
      </w:r>
      <w:r>
        <w:rPr>
          <w:sz w:val="22"/>
        </w:rPr>
        <w:t>size</w:t>
      </w:r>
      <w:r>
        <w:rPr>
          <w:spacing w:val="10"/>
          <w:sz w:val="22"/>
        </w:rPr>
        <w:t> </w:t>
      </w:r>
      <w:r>
        <w:rPr>
          <w:sz w:val="22"/>
        </w:rPr>
        <w:t>of</w:t>
      </w:r>
      <w:r>
        <w:rPr>
          <w:spacing w:val="9"/>
          <w:sz w:val="22"/>
        </w:rPr>
        <w:t> </w:t>
      </w:r>
      <w:r>
        <w:rPr>
          <w:sz w:val="22"/>
        </w:rPr>
        <w:t>the</w:t>
      </w:r>
      <w:r>
        <w:rPr>
          <w:spacing w:val="10"/>
          <w:sz w:val="22"/>
        </w:rPr>
        <w:t> </w:t>
      </w:r>
      <w:r>
        <w:rPr>
          <w:sz w:val="22"/>
        </w:rPr>
        <w:t>sample;</w:t>
      </w:r>
      <w:r>
        <w:rPr>
          <w:spacing w:val="9"/>
          <w:sz w:val="22"/>
        </w:rPr>
        <w:t> </w:t>
      </w:r>
      <w:r>
        <w:rPr>
          <w:sz w:val="22"/>
        </w:rPr>
        <w:t>however,</w:t>
      </w:r>
      <w:r>
        <w:rPr>
          <w:spacing w:val="8"/>
          <w:sz w:val="22"/>
        </w:rPr>
        <w:t> </w:t>
      </w:r>
      <w:r>
        <w:rPr>
          <w:sz w:val="22"/>
        </w:rPr>
        <w:t>it</w:t>
      </w:r>
      <w:r>
        <w:rPr>
          <w:spacing w:val="9"/>
          <w:sz w:val="22"/>
        </w:rPr>
        <w:t> </w:t>
      </w:r>
      <w:r>
        <w:rPr>
          <w:sz w:val="22"/>
        </w:rPr>
        <w:t>has</w:t>
      </w:r>
      <w:r>
        <w:rPr>
          <w:spacing w:val="10"/>
          <w:sz w:val="22"/>
        </w:rPr>
        <w:t> </w:t>
      </w:r>
      <w:r>
        <w:rPr>
          <w:sz w:val="22"/>
        </w:rPr>
        <w:t>been</w:t>
      </w:r>
      <w:r>
        <w:rPr>
          <w:spacing w:val="9"/>
          <w:sz w:val="22"/>
        </w:rPr>
        <w:t> </w:t>
      </w:r>
      <w:r>
        <w:rPr>
          <w:sz w:val="22"/>
        </w:rPr>
        <w:t>seen</w:t>
      </w:r>
      <w:r>
        <w:rPr>
          <w:spacing w:val="9"/>
          <w:sz w:val="22"/>
        </w:rPr>
        <w:t> </w:t>
      </w:r>
      <w:r>
        <w:rPr>
          <w:sz w:val="22"/>
        </w:rPr>
        <w:t>in</w:t>
      </w:r>
      <w:r>
        <w:rPr>
          <w:spacing w:val="3"/>
          <w:sz w:val="22"/>
        </w:rPr>
        <w:t> </w:t>
      </w:r>
      <w:r>
        <w:rPr>
          <w:sz w:val="22"/>
        </w:rPr>
        <w:t>the</w:t>
      </w:r>
    </w:p>
    <w:p>
      <w:pPr>
        <w:pStyle w:val="ListParagraph"/>
        <w:numPr>
          <w:ilvl w:val="0"/>
          <w:numId w:val="11"/>
        </w:numPr>
        <w:tabs>
          <w:tab w:pos="1937" w:val="left" w:leader="none"/>
          <w:tab w:pos="1938" w:val="left" w:leader="none"/>
        </w:tabs>
        <w:spacing w:line="240" w:lineRule="auto" w:before="136" w:after="0"/>
        <w:ind w:left="1937" w:right="0" w:hanging="684"/>
        <w:jc w:val="left"/>
        <w:rPr>
          <w:sz w:val="22"/>
        </w:rPr>
      </w:pPr>
      <w:r>
        <w:rPr>
          <w:sz w:val="22"/>
        </w:rPr>
        <w:t>case of urinary tract flow infections, involving changes in the   </w:t>
      </w:r>
      <w:r>
        <w:rPr>
          <w:spacing w:val="4"/>
          <w:sz w:val="22"/>
        </w:rPr>
        <w:t> </w:t>
      </w:r>
      <w:r>
        <w:rPr>
          <w:sz w:val="22"/>
        </w:rPr>
        <w:t>alkalinity of urinary pH and the</w:t>
      </w:r>
    </w:p>
    <w:p>
      <w:pPr>
        <w:pStyle w:val="ListParagraph"/>
        <w:numPr>
          <w:ilvl w:val="0"/>
          <w:numId w:val="11"/>
        </w:numPr>
        <w:tabs>
          <w:tab w:pos="1937" w:val="left" w:leader="none"/>
          <w:tab w:pos="1938" w:val="left" w:leader="none"/>
        </w:tabs>
        <w:spacing w:line="240" w:lineRule="auto" w:before="136" w:after="0"/>
        <w:ind w:left="1937" w:right="0" w:hanging="684"/>
        <w:jc w:val="left"/>
        <w:rPr>
          <w:sz w:val="22"/>
        </w:rPr>
      </w:pPr>
      <w:r>
        <w:rPr>
          <w:sz w:val="22"/>
        </w:rPr>
        <w:t>liberation of ammoniac ions, which are toxic to kidney tubule   </w:t>
      </w:r>
      <w:r>
        <w:rPr>
          <w:spacing w:val="4"/>
          <w:sz w:val="22"/>
        </w:rPr>
        <w:t> </w:t>
      </w:r>
      <w:r>
        <w:rPr>
          <w:sz w:val="22"/>
        </w:rPr>
        <w:t>cells and can lead to long term</w:t>
      </w:r>
    </w:p>
    <w:p>
      <w:pPr>
        <w:pStyle w:val="ListParagraph"/>
        <w:numPr>
          <w:ilvl w:val="0"/>
          <w:numId w:val="11"/>
        </w:numPr>
        <w:tabs>
          <w:tab w:pos="1937" w:val="left" w:leader="none"/>
          <w:tab w:pos="1938" w:val="left" w:leader="none"/>
        </w:tabs>
        <w:spacing w:line="240" w:lineRule="auto" w:before="101" w:after="0"/>
        <w:ind w:left="1937" w:right="0" w:hanging="684"/>
        <w:jc w:val="left"/>
        <w:rPr>
          <w:sz w:val="22"/>
        </w:rPr>
      </w:pPr>
      <w:r>
        <w:rPr>
          <w:sz w:val="22"/>
        </w:rPr>
        <w:t>kidney injuries.</w:t>
      </w:r>
      <w:r>
        <w:rPr>
          <w:position w:val="10"/>
          <w:sz w:val="15"/>
        </w:rPr>
        <w:t>45  </w:t>
      </w:r>
      <w:r>
        <w:rPr>
          <w:sz w:val="22"/>
        </w:rPr>
        <w:t>They could also develop pyelonephritis as a direct result of the infectious  </w:t>
      </w:r>
      <w:r>
        <w:rPr>
          <w:spacing w:val="32"/>
          <w:sz w:val="22"/>
        </w:rPr>
        <w:t> </w:t>
      </w:r>
      <w:r>
        <w:rPr>
          <w:sz w:val="22"/>
        </w:rPr>
        <w:t>of</w:t>
      </w:r>
    </w:p>
    <w:p>
      <w:pPr>
        <w:pStyle w:val="ListParagraph"/>
        <w:numPr>
          <w:ilvl w:val="0"/>
          <w:numId w:val="11"/>
        </w:numPr>
        <w:tabs>
          <w:tab w:pos="1937" w:val="left" w:leader="none"/>
          <w:tab w:pos="1938" w:val="left" w:leader="none"/>
        </w:tabs>
        <w:spacing w:line="240" w:lineRule="auto" w:before="93" w:after="0"/>
        <w:ind w:left="1937" w:right="0" w:hanging="684"/>
        <w:jc w:val="left"/>
        <w:rPr>
          <w:sz w:val="22"/>
        </w:rPr>
      </w:pPr>
      <w:r>
        <w:rPr>
          <w:sz w:val="22"/>
        </w:rPr>
        <w:t>LUTD.</w:t>
      </w:r>
      <w:r>
        <w:rPr>
          <w:position w:val="11"/>
          <w:sz w:val="15"/>
        </w:rPr>
        <w:t>46  </w:t>
      </w:r>
      <w:r>
        <w:rPr>
          <w:sz w:val="22"/>
        </w:rPr>
        <w:t>On the other hand, nephrolithiasis are associated with obstructive  </w:t>
      </w:r>
      <w:r>
        <w:rPr>
          <w:spacing w:val="30"/>
          <w:sz w:val="22"/>
        </w:rPr>
        <w:t> </w:t>
      </w:r>
      <w:r>
        <w:rPr>
          <w:sz w:val="22"/>
        </w:rPr>
        <w:t>nephropathies,</w:t>
      </w:r>
    </w:p>
    <w:p>
      <w:pPr>
        <w:pStyle w:val="ListParagraph"/>
        <w:numPr>
          <w:ilvl w:val="0"/>
          <w:numId w:val="11"/>
        </w:numPr>
        <w:tabs>
          <w:tab w:pos="1937" w:val="left" w:leader="none"/>
          <w:tab w:pos="1938" w:val="left" w:leader="none"/>
        </w:tabs>
        <w:spacing w:line="240" w:lineRule="auto" w:before="133" w:after="0"/>
        <w:ind w:left="1937" w:right="0" w:hanging="684"/>
        <w:jc w:val="left"/>
        <w:rPr>
          <w:sz w:val="22"/>
        </w:rPr>
      </w:pPr>
      <w:r>
        <w:rPr>
          <w:sz w:val="22"/>
        </w:rPr>
        <w:t>since urethral obstruction increases urethral pressure and this carries over to the space   </w:t>
      </w:r>
      <w:r>
        <w:rPr>
          <w:spacing w:val="7"/>
          <w:sz w:val="22"/>
        </w:rPr>
        <w:t> </w:t>
      </w:r>
      <w:r>
        <w:rPr>
          <w:sz w:val="22"/>
        </w:rPr>
        <w:t>within</w:t>
      </w:r>
    </w:p>
    <w:p>
      <w:pPr>
        <w:pStyle w:val="ListParagraph"/>
        <w:numPr>
          <w:ilvl w:val="0"/>
          <w:numId w:val="11"/>
        </w:numPr>
        <w:tabs>
          <w:tab w:pos="1937" w:val="left" w:leader="none"/>
          <w:tab w:pos="1938" w:val="left" w:leader="none"/>
        </w:tabs>
        <w:spacing w:line="240" w:lineRule="auto" w:before="138" w:after="0"/>
        <w:ind w:left="1937" w:right="0" w:hanging="684"/>
        <w:jc w:val="left"/>
        <w:rPr>
          <w:sz w:val="22"/>
        </w:rPr>
      </w:pPr>
      <w:r>
        <w:rPr>
          <w:sz w:val="22"/>
        </w:rPr>
        <w:t>the Bowman capsule, resulting in decreases in kidney blood flow as well as the   </w:t>
      </w:r>
      <w:r>
        <w:rPr>
          <w:spacing w:val="10"/>
          <w:sz w:val="22"/>
        </w:rPr>
        <w:t> </w:t>
      </w:r>
      <w:r>
        <w:rPr>
          <w:sz w:val="22"/>
        </w:rPr>
        <w:t>glomerular</w:t>
      </w:r>
    </w:p>
    <w:p>
      <w:pPr>
        <w:pStyle w:val="ListParagraph"/>
        <w:numPr>
          <w:ilvl w:val="0"/>
          <w:numId w:val="11"/>
        </w:numPr>
        <w:tabs>
          <w:tab w:pos="1937" w:val="left" w:leader="none"/>
          <w:tab w:pos="1938" w:val="left" w:leader="none"/>
        </w:tabs>
        <w:spacing w:line="240" w:lineRule="auto" w:before="136" w:after="0"/>
        <w:ind w:left="1937" w:right="0" w:hanging="684"/>
        <w:jc w:val="left"/>
        <w:rPr>
          <w:sz w:val="22"/>
        </w:rPr>
      </w:pPr>
      <w:r>
        <w:rPr>
          <w:sz w:val="22"/>
        </w:rPr>
        <w:t>leakage rate, causing azotemia and hyperphosphatemia, resulting in turn in minor  </w:t>
      </w:r>
      <w:r>
        <w:rPr>
          <w:spacing w:val="54"/>
          <w:sz w:val="22"/>
        </w:rPr>
        <w:t> </w:t>
      </w:r>
      <w:r>
        <w:rPr>
          <w:sz w:val="22"/>
        </w:rPr>
        <w:t>kidney</w:t>
      </w:r>
    </w:p>
    <w:p>
      <w:pPr>
        <w:pStyle w:val="ListParagraph"/>
        <w:numPr>
          <w:ilvl w:val="0"/>
          <w:numId w:val="11"/>
        </w:numPr>
        <w:tabs>
          <w:tab w:pos="1937" w:val="left" w:leader="none"/>
          <w:tab w:pos="1938" w:val="left" w:leader="none"/>
        </w:tabs>
        <w:spacing w:line="240" w:lineRule="auto" w:before="101" w:after="0"/>
        <w:ind w:left="1937" w:right="0" w:hanging="684"/>
        <w:jc w:val="left"/>
        <w:rPr>
          <w:sz w:val="15"/>
        </w:rPr>
      </w:pPr>
      <w:r>
        <w:rPr>
          <w:sz w:val="22"/>
        </w:rPr>
        <w:t>damage in the beginning and gradually evolving into a very significant  </w:t>
      </w:r>
      <w:r>
        <w:rPr>
          <w:spacing w:val="29"/>
          <w:sz w:val="22"/>
        </w:rPr>
        <w:t> </w:t>
      </w:r>
      <w:r>
        <w:rPr>
          <w:sz w:val="22"/>
        </w:rPr>
        <w:t>injury.</w:t>
      </w:r>
      <w:r>
        <w:rPr>
          <w:position w:val="10"/>
          <w:sz w:val="15"/>
        </w:rPr>
        <w:t>47</w:t>
      </w:r>
    </w:p>
    <w:p>
      <w:pPr>
        <w:pStyle w:val="BodyText"/>
        <w:spacing w:before="3"/>
        <w:rPr>
          <w:rFonts w:ascii="Times New Roman"/>
          <w:sz w:val="13"/>
        </w:rPr>
      </w:pPr>
    </w:p>
    <w:p>
      <w:pPr>
        <w:pStyle w:val="ListParagraph"/>
        <w:numPr>
          <w:ilvl w:val="0"/>
          <w:numId w:val="11"/>
        </w:numPr>
        <w:tabs>
          <w:tab w:pos="1937" w:val="left" w:leader="none"/>
          <w:tab w:pos="1938" w:val="left" w:leader="none"/>
        </w:tabs>
        <w:spacing w:line="240" w:lineRule="auto" w:before="77" w:after="0"/>
        <w:ind w:left="1937" w:right="0" w:hanging="684"/>
        <w:jc w:val="left"/>
        <w:rPr>
          <w:sz w:val="22"/>
        </w:rPr>
      </w:pPr>
      <w:r>
        <w:rPr>
          <w:sz w:val="22"/>
        </w:rPr>
        <w:t>According to the results, it can be concluded that the frequency of CKD in dogs   </w:t>
      </w:r>
      <w:r>
        <w:rPr>
          <w:spacing w:val="3"/>
          <w:sz w:val="22"/>
        </w:rPr>
        <w:t> </w:t>
      </w:r>
      <w:r>
        <w:rPr>
          <w:sz w:val="22"/>
        </w:rPr>
        <w:t>with different</w:t>
      </w:r>
    </w:p>
    <w:p>
      <w:pPr>
        <w:pStyle w:val="ListParagraph"/>
        <w:numPr>
          <w:ilvl w:val="0"/>
          <w:numId w:val="11"/>
        </w:numPr>
        <w:tabs>
          <w:tab w:pos="1937" w:val="left" w:leader="none"/>
          <w:tab w:pos="1938" w:val="left" w:leader="none"/>
        </w:tabs>
        <w:spacing w:line="240" w:lineRule="auto" w:before="136" w:after="0"/>
        <w:ind w:left="1937" w:right="0" w:hanging="684"/>
        <w:jc w:val="left"/>
        <w:rPr>
          <w:sz w:val="22"/>
        </w:rPr>
      </w:pPr>
      <w:r>
        <w:rPr>
          <w:sz w:val="22"/>
        </w:rPr>
        <w:t>risk factors and comorbidities in this medical facility is 48.2%. By using an  </w:t>
      </w:r>
      <w:r>
        <w:rPr>
          <w:spacing w:val="50"/>
          <w:sz w:val="22"/>
        </w:rPr>
        <w:t> </w:t>
      </w:r>
      <w:r>
        <w:rPr>
          <w:sz w:val="22"/>
        </w:rPr>
        <w:t>established</w:t>
      </w:r>
    </w:p>
    <w:p>
      <w:pPr>
        <w:pStyle w:val="ListParagraph"/>
        <w:numPr>
          <w:ilvl w:val="0"/>
          <w:numId w:val="11"/>
        </w:numPr>
        <w:tabs>
          <w:tab w:pos="1937" w:val="left" w:leader="none"/>
          <w:tab w:pos="1938" w:val="left" w:leader="none"/>
        </w:tabs>
        <w:spacing w:line="240" w:lineRule="auto" w:before="138" w:after="0"/>
        <w:ind w:left="1937" w:right="0" w:hanging="684"/>
        <w:jc w:val="left"/>
        <w:rPr>
          <w:sz w:val="22"/>
        </w:rPr>
      </w:pPr>
      <w:r>
        <w:rPr>
          <w:sz w:val="22"/>
        </w:rPr>
        <w:t>protocol, we were able to diagnose most of the patients in early stages of the  </w:t>
      </w:r>
      <w:r>
        <w:rPr>
          <w:spacing w:val="40"/>
          <w:sz w:val="22"/>
        </w:rPr>
        <w:t> </w:t>
      </w:r>
      <w:r>
        <w:rPr>
          <w:sz w:val="22"/>
        </w:rPr>
        <w:t>disease.</w:t>
      </w:r>
    </w:p>
    <w:p>
      <w:pPr>
        <w:pStyle w:val="ListParagraph"/>
        <w:numPr>
          <w:ilvl w:val="0"/>
          <w:numId w:val="11"/>
        </w:numPr>
        <w:tabs>
          <w:tab w:pos="1937" w:val="left" w:leader="none"/>
          <w:tab w:pos="1938" w:val="left" w:leader="none"/>
        </w:tabs>
        <w:spacing w:line="240" w:lineRule="auto" w:before="133" w:after="0"/>
        <w:ind w:left="1937" w:right="0" w:hanging="684"/>
        <w:jc w:val="left"/>
        <w:rPr>
          <w:sz w:val="22"/>
        </w:rPr>
      </w:pPr>
      <w:r>
        <w:rPr>
          <w:sz w:val="22"/>
        </w:rPr>
        <w:t>Cardiopathies, endocrinopathies, and hepatopathies were the identified comorbidities that   </w:t>
      </w:r>
      <w:r>
        <w:rPr>
          <w:spacing w:val="6"/>
          <w:sz w:val="22"/>
        </w:rPr>
        <w:t> </w:t>
      </w:r>
      <w:r>
        <w:rPr>
          <w:sz w:val="22"/>
        </w:rPr>
        <w:t>can</w:t>
      </w:r>
    </w:p>
    <w:p>
      <w:pPr>
        <w:pStyle w:val="ListParagraph"/>
        <w:numPr>
          <w:ilvl w:val="0"/>
          <w:numId w:val="11"/>
        </w:numPr>
        <w:tabs>
          <w:tab w:pos="1937" w:val="left" w:leader="none"/>
          <w:tab w:pos="1938" w:val="left" w:leader="none"/>
        </w:tabs>
        <w:spacing w:line="240" w:lineRule="auto" w:before="138" w:after="0"/>
        <w:ind w:left="1937" w:right="0" w:hanging="684"/>
        <w:jc w:val="left"/>
        <w:rPr>
          <w:sz w:val="22"/>
        </w:rPr>
      </w:pPr>
      <w:r>
        <w:rPr>
          <w:sz w:val="22"/>
        </w:rPr>
        <w:t>act as initiation risk factors for developing CKD, without excluding that several  </w:t>
      </w:r>
      <w:r>
        <w:rPr>
          <w:spacing w:val="43"/>
          <w:sz w:val="22"/>
        </w:rPr>
        <w:t> </w:t>
      </w:r>
      <w:r>
        <w:rPr>
          <w:sz w:val="22"/>
        </w:rPr>
        <w:t>distinct</w:t>
      </w:r>
    </w:p>
    <w:p>
      <w:pPr>
        <w:pStyle w:val="ListParagraph"/>
        <w:numPr>
          <w:ilvl w:val="0"/>
          <w:numId w:val="11"/>
        </w:numPr>
        <w:tabs>
          <w:tab w:pos="1937" w:val="left" w:leader="none"/>
          <w:tab w:pos="1938" w:val="left" w:leader="none"/>
        </w:tabs>
        <w:spacing w:line="240" w:lineRule="auto" w:before="136" w:after="0"/>
        <w:ind w:left="1937" w:right="0" w:hanging="684"/>
        <w:jc w:val="left"/>
        <w:rPr>
          <w:sz w:val="22"/>
        </w:rPr>
      </w:pPr>
      <w:r>
        <w:rPr>
          <w:sz w:val="22"/>
        </w:rPr>
        <w:t>physiopathological mechanisms are implied in renal disease originating from  </w:t>
      </w:r>
      <w:r>
        <w:rPr>
          <w:spacing w:val="41"/>
          <w:sz w:val="22"/>
        </w:rPr>
        <w:t> </w:t>
      </w:r>
      <w:r>
        <w:rPr>
          <w:sz w:val="22"/>
        </w:rPr>
        <w:t>multiple</w:t>
      </w:r>
    </w:p>
    <w:p>
      <w:pPr>
        <w:pStyle w:val="ListParagraph"/>
        <w:numPr>
          <w:ilvl w:val="0"/>
          <w:numId w:val="11"/>
        </w:numPr>
        <w:tabs>
          <w:tab w:pos="1937" w:val="left" w:leader="none"/>
          <w:tab w:pos="1938" w:val="left" w:leader="none"/>
        </w:tabs>
        <w:spacing w:line="240" w:lineRule="auto" w:before="136" w:after="0"/>
        <w:ind w:left="1937" w:right="0" w:hanging="684"/>
        <w:jc w:val="left"/>
        <w:rPr>
          <w:sz w:val="22"/>
        </w:rPr>
      </w:pPr>
      <w:r>
        <w:rPr>
          <w:sz w:val="22"/>
        </w:rPr>
        <w:t>diseases; these include proteinuria, which is considered a progressive factor that  </w:t>
      </w:r>
      <w:r>
        <w:rPr>
          <w:spacing w:val="54"/>
          <w:sz w:val="22"/>
        </w:rPr>
        <w:t> </w:t>
      </w:r>
      <w:r>
        <w:rPr>
          <w:sz w:val="22"/>
        </w:rPr>
        <w:t>commonly</w:t>
      </w:r>
    </w:p>
    <w:p>
      <w:pPr>
        <w:pStyle w:val="ListParagraph"/>
        <w:numPr>
          <w:ilvl w:val="0"/>
          <w:numId w:val="11"/>
        </w:numPr>
        <w:tabs>
          <w:tab w:pos="1937" w:val="left" w:leader="none"/>
          <w:tab w:pos="1938" w:val="left" w:leader="none"/>
        </w:tabs>
        <w:spacing w:line="240" w:lineRule="auto" w:before="136" w:after="0"/>
        <w:ind w:left="1937" w:right="0" w:hanging="684"/>
        <w:jc w:val="left"/>
        <w:rPr>
          <w:sz w:val="22"/>
        </w:rPr>
      </w:pPr>
      <w:r>
        <w:rPr>
          <w:sz w:val="22"/>
        </w:rPr>
        <w:t>manifests itself in dogs with CKD. Although one restriction of this study is its  </w:t>
      </w:r>
      <w:r>
        <w:rPr>
          <w:spacing w:val="53"/>
          <w:sz w:val="22"/>
        </w:rPr>
        <w:t> </w:t>
      </w:r>
      <w:r>
        <w:rPr>
          <w:sz w:val="22"/>
        </w:rPr>
        <w:t>population</w:t>
      </w:r>
    </w:p>
    <w:p>
      <w:pPr>
        <w:pStyle w:val="ListParagraph"/>
        <w:numPr>
          <w:ilvl w:val="0"/>
          <w:numId w:val="11"/>
        </w:numPr>
        <w:tabs>
          <w:tab w:pos="1937" w:val="left" w:leader="none"/>
          <w:tab w:pos="1938" w:val="left" w:leader="none"/>
        </w:tabs>
        <w:spacing w:line="240" w:lineRule="auto" w:before="138" w:after="0"/>
        <w:ind w:left="1937" w:right="0" w:hanging="684"/>
        <w:jc w:val="left"/>
        <w:rPr>
          <w:sz w:val="22"/>
        </w:rPr>
      </w:pPr>
      <w:r>
        <w:rPr>
          <w:sz w:val="22"/>
        </w:rPr>
        <w:t>size, the findings could provide a starting point for further studies and for the   </w:t>
      </w:r>
      <w:r>
        <w:rPr>
          <w:spacing w:val="7"/>
          <w:sz w:val="22"/>
        </w:rPr>
        <w:t> </w:t>
      </w:r>
      <w:r>
        <w:rPr>
          <w:sz w:val="22"/>
        </w:rPr>
        <w:t>development of</w:t>
      </w:r>
    </w:p>
    <w:p>
      <w:pPr>
        <w:pStyle w:val="ListParagraph"/>
        <w:numPr>
          <w:ilvl w:val="0"/>
          <w:numId w:val="11"/>
        </w:numPr>
        <w:tabs>
          <w:tab w:pos="1937" w:val="left" w:leader="none"/>
          <w:tab w:pos="1938" w:val="left" w:leader="none"/>
        </w:tabs>
        <w:spacing w:line="240" w:lineRule="auto" w:before="133" w:after="0"/>
        <w:ind w:left="1937" w:right="0" w:hanging="684"/>
        <w:jc w:val="left"/>
        <w:rPr>
          <w:sz w:val="22"/>
        </w:rPr>
      </w:pPr>
      <w:r>
        <w:rPr>
          <w:sz w:val="22"/>
        </w:rPr>
        <w:t>new diagnostic protocols based on the risk factors that exist in different  </w:t>
      </w:r>
      <w:r>
        <w:rPr>
          <w:spacing w:val="41"/>
          <w:sz w:val="22"/>
        </w:rPr>
        <w:t> </w:t>
      </w:r>
      <w:r>
        <w:rPr>
          <w:sz w:val="22"/>
        </w:rPr>
        <w:t>populations.</w:t>
      </w:r>
    </w:p>
    <w:p>
      <w:pPr>
        <w:pStyle w:val="BodyText"/>
        <w:spacing w:before="1"/>
        <w:rPr>
          <w:rFonts w:ascii="Times New Roman"/>
          <w:sz w:val="23"/>
        </w:rPr>
      </w:pPr>
    </w:p>
    <w:p>
      <w:pPr>
        <w:pStyle w:val="ListParagraph"/>
        <w:numPr>
          <w:ilvl w:val="0"/>
          <w:numId w:val="11"/>
        </w:numPr>
        <w:tabs>
          <w:tab w:pos="1600" w:val="left" w:leader="none"/>
        </w:tabs>
        <w:spacing w:line="240" w:lineRule="auto" w:before="1" w:after="0"/>
        <w:ind w:left="1599" w:right="0" w:hanging="346"/>
        <w:jc w:val="left"/>
        <w:rPr>
          <w:rFonts w:ascii="Cambria"/>
          <w:sz w:val="20"/>
        </w:rPr>
      </w:pPr>
    </w:p>
    <w:p>
      <w:pPr>
        <w:spacing w:after="0" w:line="240" w:lineRule="auto"/>
        <w:jc w:val="left"/>
        <w:rPr>
          <w:rFonts w:ascii="Cambria"/>
          <w:sz w:val="20"/>
        </w:rPr>
        <w:sectPr>
          <w:headerReference w:type="default" r:id="rId81"/>
          <w:footerReference w:type="default" r:id="rId82"/>
          <w:pgSz w:w="12240" w:h="15840"/>
          <w:pgMar w:header="0" w:footer="0" w:top="140" w:bottom="280" w:left="0" w:right="240"/>
        </w:sectPr>
      </w:pPr>
    </w:p>
    <w:p>
      <w:pPr>
        <w:tabs>
          <w:tab w:pos="3549" w:val="left" w:leader="none"/>
        </w:tabs>
        <w:spacing w:before="56"/>
        <w:ind w:left="373" w:right="0" w:firstLine="0"/>
        <w:jc w:val="left"/>
        <w:rPr>
          <w:b/>
          <w:sz w:val="20"/>
        </w:rPr>
      </w:pPr>
      <w:r>
        <w:rPr>
          <w:b/>
          <w:sz w:val="20"/>
        </w:rPr>
        <w:t>age 11</w:t>
      </w:r>
      <w:r>
        <w:rPr>
          <w:b/>
          <w:spacing w:val="-1"/>
          <w:sz w:val="20"/>
        </w:rPr>
        <w:t> </w:t>
      </w:r>
      <w:r>
        <w:rPr>
          <w:b/>
          <w:sz w:val="20"/>
        </w:rPr>
        <w:t>of</w:t>
      </w:r>
      <w:r>
        <w:rPr>
          <w:b/>
          <w:spacing w:val="-1"/>
          <w:sz w:val="20"/>
        </w:rPr>
        <w:t> </w:t>
      </w:r>
      <w:r>
        <w:rPr>
          <w:b/>
          <w:sz w:val="20"/>
        </w:rPr>
        <w:t>16</w:t>
        <w:tab/>
        <w:t>Journal of the American Veterinary Medical</w:t>
      </w:r>
      <w:r>
        <w:rPr>
          <w:b/>
          <w:spacing w:val="-25"/>
          <w:sz w:val="20"/>
        </w:rPr>
        <w:t> </w:t>
      </w:r>
      <w:r>
        <w:rPr>
          <w:b/>
          <w:sz w:val="20"/>
        </w:rPr>
        <w:t>Association</w:t>
      </w:r>
    </w:p>
    <w:p>
      <w:pPr>
        <w:pStyle w:val="BodyText"/>
        <w:rPr>
          <w:b/>
          <w:sz w:val="20"/>
        </w:rPr>
      </w:pPr>
    </w:p>
    <w:p>
      <w:pPr>
        <w:pStyle w:val="BodyText"/>
        <w:rPr>
          <w:b/>
          <w:sz w:val="20"/>
        </w:rPr>
      </w:pPr>
    </w:p>
    <w:p>
      <w:pPr>
        <w:pStyle w:val="BodyText"/>
        <w:rPr>
          <w:b/>
          <w:sz w:val="20"/>
        </w:rPr>
      </w:pPr>
    </w:p>
    <w:p>
      <w:pPr>
        <w:pStyle w:val="BodyText"/>
        <w:spacing w:before="3"/>
        <w:rPr>
          <w:b/>
          <w:sz w:val="19"/>
        </w:rPr>
      </w:pPr>
    </w:p>
    <w:p>
      <w:pPr>
        <w:pStyle w:val="ListParagraph"/>
        <w:numPr>
          <w:ilvl w:val="0"/>
          <w:numId w:val="11"/>
        </w:numPr>
        <w:tabs>
          <w:tab w:pos="1937" w:val="left" w:leader="none"/>
          <w:tab w:pos="1938" w:val="left" w:leader="none"/>
        </w:tabs>
        <w:spacing w:line="240" w:lineRule="auto" w:before="0" w:after="0"/>
        <w:ind w:left="1937" w:right="0" w:hanging="684"/>
        <w:jc w:val="left"/>
        <w:rPr>
          <w:b/>
          <w:sz w:val="22"/>
        </w:rPr>
      </w:pPr>
      <w:r>
        <w:rPr>
          <w:b/>
          <w:sz w:val="22"/>
        </w:rPr>
        <w:t>References</w:t>
      </w:r>
    </w:p>
    <w:p>
      <w:pPr>
        <w:pStyle w:val="BodyText"/>
        <w:spacing w:before="6"/>
        <w:rPr>
          <w:rFonts w:ascii="Times New Roman"/>
          <w:b/>
          <w:sz w:val="27"/>
        </w:rPr>
      </w:pPr>
    </w:p>
    <w:p>
      <w:pPr>
        <w:pStyle w:val="ListParagraph"/>
        <w:numPr>
          <w:ilvl w:val="0"/>
          <w:numId w:val="11"/>
        </w:numPr>
        <w:tabs>
          <w:tab w:pos="1937" w:val="left" w:leader="none"/>
          <w:tab w:pos="1938" w:val="left" w:leader="none"/>
        </w:tabs>
        <w:spacing w:line="240" w:lineRule="auto" w:before="76" w:after="0"/>
        <w:ind w:left="1937" w:right="0" w:hanging="684"/>
        <w:jc w:val="left"/>
        <w:rPr>
          <w:sz w:val="22"/>
        </w:rPr>
      </w:pPr>
      <w:r>
        <w:rPr>
          <w:sz w:val="22"/>
        </w:rPr>
        <w:t>1.    KDOQI. Kidney Disease Outcome Quality Initiative. Clinical practice guidelines   for</w:t>
      </w:r>
    </w:p>
    <w:p>
      <w:pPr>
        <w:pStyle w:val="ListParagraph"/>
        <w:numPr>
          <w:ilvl w:val="0"/>
          <w:numId w:val="11"/>
        </w:numPr>
        <w:tabs>
          <w:tab w:pos="2275" w:val="left" w:leader="none"/>
          <w:tab w:pos="2276" w:val="left" w:leader="none"/>
        </w:tabs>
        <w:spacing w:line="240" w:lineRule="auto" w:before="136" w:after="0"/>
        <w:ind w:left="2276" w:right="0" w:hanging="1023"/>
        <w:jc w:val="left"/>
        <w:rPr>
          <w:i/>
          <w:sz w:val="22"/>
        </w:rPr>
      </w:pPr>
      <w:r>
        <w:rPr>
          <w:sz w:val="22"/>
        </w:rPr>
        <w:t>chronic kidney disease: evaluation, classification, and stratification. </w:t>
      </w:r>
      <w:r>
        <w:rPr>
          <w:i/>
          <w:sz w:val="22"/>
        </w:rPr>
        <w:t>Am J Kidney  </w:t>
      </w:r>
      <w:r>
        <w:rPr>
          <w:i/>
          <w:spacing w:val="39"/>
          <w:sz w:val="22"/>
        </w:rPr>
        <w:t> </w:t>
      </w:r>
      <w:r>
        <w:rPr>
          <w:i/>
          <w:sz w:val="22"/>
        </w:rPr>
        <w:t>Dis</w:t>
      </w:r>
    </w:p>
    <w:p>
      <w:pPr>
        <w:tabs>
          <w:tab w:pos="2275" w:val="left" w:leader="none"/>
        </w:tabs>
        <w:spacing w:before="136"/>
        <w:ind w:left="1253" w:right="2029" w:firstLine="0"/>
        <w:jc w:val="left"/>
        <w:rPr>
          <w:rFonts w:ascii="Times New Roman"/>
          <w:sz w:val="22"/>
        </w:rPr>
      </w:pPr>
      <w:r>
        <w:rPr>
          <w:rFonts w:ascii="Cambria"/>
          <w:w w:val="105"/>
          <w:sz w:val="20"/>
        </w:rPr>
        <w:t>313</w:t>
        <w:tab/>
      </w:r>
      <w:r>
        <w:rPr>
          <w:rFonts w:ascii="Times New Roman"/>
          <w:w w:val="105"/>
          <w:sz w:val="22"/>
        </w:rPr>
        <w:t>2002;39 (suppl</w:t>
      </w:r>
      <w:r>
        <w:rPr>
          <w:rFonts w:ascii="Times New Roman"/>
          <w:spacing w:val="-46"/>
          <w:w w:val="105"/>
          <w:sz w:val="22"/>
        </w:rPr>
        <w:t> </w:t>
      </w:r>
      <w:r>
        <w:rPr>
          <w:rFonts w:ascii="Times New Roman"/>
          <w:w w:val="105"/>
          <w:sz w:val="22"/>
        </w:rPr>
        <w:t>1).</w:t>
      </w:r>
    </w:p>
    <w:p>
      <w:pPr>
        <w:pStyle w:val="ListParagraph"/>
        <w:numPr>
          <w:ilvl w:val="0"/>
          <w:numId w:val="12"/>
        </w:numPr>
        <w:tabs>
          <w:tab w:pos="1937" w:val="left" w:leader="none"/>
          <w:tab w:pos="1938" w:val="left" w:leader="none"/>
        </w:tabs>
        <w:spacing w:line="240" w:lineRule="auto" w:before="136" w:after="0"/>
        <w:ind w:left="1937" w:right="0" w:hanging="684"/>
        <w:jc w:val="left"/>
        <w:rPr>
          <w:i/>
          <w:sz w:val="22"/>
        </w:rPr>
      </w:pPr>
      <w:r>
        <w:rPr>
          <w:sz w:val="22"/>
        </w:rPr>
        <w:t>2.    Brown SA. In: Ed Elliot J. and Grauer GF, eds. </w:t>
      </w:r>
      <w:r>
        <w:rPr>
          <w:i/>
          <w:sz w:val="22"/>
        </w:rPr>
        <w:t>BSAVA Manual of canine and  </w:t>
      </w:r>
      <w:r>
        <w:rPr>
          <w:i/>
          <w:spacing w:val="4"/>
          <w:sz w:val="22"/>
        </w:rPr>
        <w:t> </w:t>
      </w:r>
      <w:r>
        <w:rPr>
          <w:i/>
          <w:sz w:val="22"/>
        </w:rPr>
        <w:t>feline</w:t>
      </w:r>
    </w:p>
    <w:p>
      <w:pPr>
        <w:pStyle w:val="ListParagraph"/>
        <w:numPr>
          <w:ilvl w:val="0"/>
          <w:numId w:val="12"/>
        </w:numPr>
        <w:tabs>
          <w:tab w:pos="2275" w:val="left" w:leader="none"/>
          <w:tab w:pos="2276" w:val="left" w:leader="none"/>
        </w:tabs>
        <w:spacing w:line="240" w:lineRule="auto" w:before="101" w:after="0"/>
        <w:ind w:left="2276" w:right="0" w:hanging="1023"/>
        <w:jc w:val="left"/>
        <w:rPr>
          <w:sz w:val="22"/>
        </w:rPr>
      </w:pPr>
      <w:r>
        <w:rPr>
          <w:i/>
          <w:sz w:val="22"/>
        </w:rPr>
        <w:t>nephrology and urology. </w:t>
      </w:r>
      <w:r>
        <w:rPr>
          <w:sz w:val="22"/>
        </w:rPr>
        <w:t>2</w:t>
      </w:r>
      <w:r>
        <w:rPr>
          <w:position w:val="10"/>
          <w:sz w:val="15"/>
        </w:rPr>
        <w:t>nd  </w:t>
      </w:r>
      <w:r>
        <w:rPr>
          <w:sz w:val="22"/>
        </w:rPr>
        <w:t>Ed. Gloucester, England: British Small Animal  </w:t>
      </w:r>
      <w:r>
        <w:rPr>
          <w:spacing w:val="28"/>
          <w:sz w:val="22"/>
        </w:rPr>
        <w:t> </w:t>
      </w:r>
      <w:r>
        <w:rPr>
          <w:sz w:val="22"/>
        </w:rPr>
        <w:t>Veterinary</w:t>
      </w:r>
    </w:p>
    <w:p>
      <w:pPr>
        <w:tabs>
          <w:tab w:pos="2275" w:val="left" w:leader="none"/>
        </w:tabs>
        <w:spacing w:before="136"/>
        <w:ind w:left="1253" w:right="2029" w:firstLine="0"/>
        <w:jc w:val="left"/>
        <w:rPr>
          <w:rFonts w:ascii="Times New Roman"/>
          <w:sz w:val="22"/>
        </w:rPr>
      </w:pPr>
      <w:r>
        <w:rPr/>
        <w:pict>
          <v:shape style="position:absolute;margin-left:120.872412pt;margin-top:178.170588pt;width:376.45pt;height:48pt;mso-position-horizontal-relative:page;mso-position-vertical-relative:paragraph;z-index:-122944;rotation:51" type="#_x0000_t136" fillcolor="#d6f1fe" stroked="f">
            <o:extrusion v:ext="view" autorotationcenter="t"/>
            <v:textpath style="font-family:&amp;quot;Arial&amp;quot;;font-size:48pt;v-text-kern:t;mso-text-shadow:auto;font-weight:bold" string="For Review Only"/>
            <w10:wrap type="none"/>
          </v:shape>
        </w:pict>
      </w:r>
      <w:r>
        <w:rPr>
          <w:rFonts w:ascii="Cambria"/>
          <w:w w:val="105"/>
          <w:sz w:val="20"/>
        </w:rPr>
        <w:t>316</w:t>
        <w:tab/>
      </w:r>
      <w:r>
        <w:rPr>
          <w:rFonts w:ascii="Times New Roman"/>
          <w:sz w:val="22"/>
        </w:rPr>
        <w:t>Association</w:t>
      </w:r>
      <w:r>
        <w:rPr>
          <w:rFonts w:ascii="Times New Roman"/>
          <w:spacing w:val="46"/>
          <w:sz w:val="22"/>
        </w:rPr>
        <w:t> </w:t>
      </w:r>
      <w:r>
        <w:rPr>
          <w:rFonts w:ascii="Times New Roman"/>
          <w:sz w:val="22"/>
        </w:rPr>
        <w:t>2007;223-30.</w:t>
      </w:r>
    </w:p>
    <w:p>
      <w:pPr>
        <w:pStyle w:val="ListParagraph"/>
        <w:numPr>
          <w:ilvl w:val="0"/>
          <w:numId w:val="13"/>
        </w:numPr>
        <w:tabs>
          <w:tab w:pos="1937" w:val="left" w:leader="none"/>
          <w:tab w:pos="1938" w:val="left" w:leader="none"/>
        </w:tabs>
        <w:spacing w:line="240" w:lineRule="auto" w:before="138" w:after="0"/>
        <w:ind w:left="1937" w:right="0" w:hanging="684"/>
        <w:jc w:val="left"/>
        <w:rPr>
          <w:sz w:val="22"/>
        </w:rPr>
      </w:pPr>
      <w:r>
        <w:rPr>
          <w:sz w:val="22"/>
        </w:rPr>
        <w:t>3.    Lulich J, Osborne CA, O'Brien TD, et al. Feline renal failure: questions, </w:t>
      </w:r>
      <w:r>
        <w:rPr>
          <w:spacing w:val="45"/>
          <w:sz w:val="22"/>
        </w:rPr>
        <w:t> </w:t>
      </w:r>
      <w:r>
        <w:rPr>
          <w:sz w:val="22"/>
        </w:rPr>
        <w:t>answers,</w:t>
      </w:r>
    </w:p>
    <w:p>
      <w:pPr>
        <w:pStyle w:val="ListParagraph"/>
        <w:numPr>
          <w:ilvl w:val="0"/>
          <w:numId w:val="13"/>
        </w:numPr>
        <w:tabs>
          <w:tab w:pos="2275" w:val="left" w:leader="none"/>
          <w:tab w:pos="2276" w:val="left" w:leader="none"/>
        </w:tabs>
        <w:spacing w:line="240" w:lineRule="auto" w:before="133" w:after="0"/>
        <w:ind w:left="2276" w:right="0" w:hanging="1023"/>
        <w:jc w:val="left"/>
        <w:rPr>
          <w:sz w:val="22"/>
        </w:rPr>
      </w:pPr>
      <w:r>
        <w:rPr>
          <w:sz w:val="22"/>
        </w:rPr>
        <w:t>questions. </w:t>
      </w:r>
      <w:r>
        <w:rPr>
          <w:i/>
          <w:sz w:val="22"/>
        </w:rPr>
        <w:t>Compend Cont Ed Pract Vet </w:t>
      </w:r>
      <w:r>
        <w:rPr>
          <w:i/>
          <w:spacing w:val="49"/>
          <w:sz w:val="22"/>
        </w:rPr>
        <w:t> </w:t>
      </w:r>
      <w:r>
        <w:rPr>
          <w:sz w:val="22"/>
        </w:rPr>
        <w:t>1992;14:127-52.</w:t>
      </w:r>
    </w:p>
    <w:p>
      <w:pPr>
        <w:pStyle w:val="ListParagraph"/>
        <w:numPr>
          <w:ilvl w:val="0"/>
          <w:numId w:val="13"/>
        </w:numPr>
        <w:tabs>
          <w:tab w:pos="1937" w:val="left" w:leader="none"/>
          <w:tab w:pos="1938" w:val="left" w:leader="none"/>
        </w:tabs>
        <w:spacing w:line="240" w:lineRule="auto" w:before="138" w:after="0"/>
        <w:ind w:left="1937" w:right="0" w:hanging="684"/>
        <w:jc w:val="left"/>
        <w:rPr>
          <w:sz w:val="22"/>
        </w:rPr>
      </w:pPr>
      <w:r>
        <w:rPr>
          <w:sz w:val="22"/>
        </w:rPr>
        <w:t>4.    Levey AS, Coresh J, Balk E, et al. National Kidney Foundation practice guidelines </w:t>
      </w:r>
      <w:r>
        <w:rPr>
          <w:spacing w:val="53"/>
          <w:sz w:val="22"/>
        </w:rPr>
        <w:t> </w:t>
      </w:r>
      <w:r>
        <w:rPr>
          <w:sz w:val="22"/>
        </w:rPr>
        <w:t>for</w:t>
      </w:r>
    </w:p>
    <w:p>
      <w:pPr>
        <w:pStyle w:val="ListParagraph"/>
        <w:numPr>
          <w:ilvl w:val="0"/>
          <w:numId w:val="13"/>
        </w:numPr>
        <w:tabs>
          <w:tab w:pos="2275" w:val="left" w:leader="none"/>
          <w:tab w:pos="2276" w:val="left" w:leader="none"/>
        </w:tabs>
        <w:spacing w:line="240" w:lineRule="auto" w:before="136" w:after="0"/>
        <w:ind w:left="2276" w:right="0" w:hanging="1023"/>
        <w:jc w:val="left"/>
        <w:rPr>
          <w:i/>
          <w:sz w:val="22"/>
        </w:rPr>
      </w:pPr>
      <w:r>
        <w:rPr>
          <w:sz w:val="22"/>
        </w:rPr>
        <w:t>chronic kidney disease: evaluation, classification, and stratification. </w:t>
      </w:r>
      <w:r>
        <w:rPr>
          <w:i/>
          <w:sz w:val="22"/>
        </w:rPr>
        <w:t>Ann Intern  </w:t>
      </w:r>
      <w:r>
        <w:rPr>
          <w:i/>
          <w:spacing w:val="43"/>
          <w:sz w:val="22"/>
        </w:rPr>
        <w:t> </w:t>
      </w:r>
      <w:r>
        <w:rPr>
          <w:i/>
          <w:sz w:val="22"/>
        </w:rPr>
        <w:t>Med</w:t>
      </w:r>
    </w:p>
    <w:p>
      <w:pPr>
        <w:tabs>
          <w:tab w:pos="2275" w:val="left" w:leader="none"/>
        </w:tabs>
        <w:spacing w:before="136"/>
        <w:ind w:left="1253" w:right="2029" w:firstLine="0"/>
        <w:jc w:val="left"/>
        <w:rPr>
          <w:rFonts w:ascii="Times New Roman"/>
          <w:sz w:val="22"/>
        </w:rPr>
      </w:pPr>
      <w:r>
        <w:rPr>
          <w:rFonts w:ascii="Cambria"/>
          <w:w w:val="105"/>
          <w:sz w:val="20"/>
        </w:rPr>
        <w:t>321</w:t>
        <w:tab/>
      </w:r>
      <w:r>
        <w:rPr>
          <w:rFonts w:ascii="Times New Roman"/>
          <w:w w:val="105"/>
          <w:sz w:val="22"/>
        </w:rPr>
        <w:t>2003;139:137-47.</w:t>
      </w:r>
    </w:p>
    <w:p>
      <w:pPr>
        <w:pStyle w:val="ListParagraph"/>
        <w:numPr>
          <w:ilvl w:val="0"/>
          <w:numId w:val="14"/>
        </w:numPr>
        <w:tabs>
          <w:tab w:pos="1937" w:val="left" w:leader="none"/>
          <w:tab w:pos="1938" w:val="left" w:leader="none"/>
        </w:tabs>
        <w:spacing w:line="240" w:lineRule="auto" w:before="136" w:after="0"/>
        <w:ind w:left="1937" w:right="0" w:hanging="684"/>
        <w:jc w:val="left"/>
        <w:rPr>
          <w:sz w:val="22"/>
        </w:rPr>
      </w:pPr>
      <w:r>
        <w:rPr>
          <w:sz w:val="22"/>
        </w:rPr>
        <w:t>5.    Fernández-del Palacio MJ. Risk factors in dogs and cats for development of </w:t>
      </w:r>
      <w:r>
        <w:rPr>
          <w:spacing w:val="51"/>
          <w:sz w:val="22"/>
        </w:rPr>
        <w:t> </w:t>
      </w:r>
      <w:r>
        <w:rPr>
          <w:sz w:val="22"/>
        </w:rPr>
        <w:t>chronic</w:t>
      </w:r>
    </w:p>
    <w:p>
      <w:pPr>
        <w:pStyle w:val="ListParagraph"/>
        <w:numPr>
          <w:ilvl w:val="0"/>
          <w:numId w:val="14"/>
        </w:numPr>
        <w:tabs>
          <w:tab w:pos="2275" w:val="left" w:leader="none"/>
          <w:tab w:pos="2276" w:val="left" w:leader="none"/>
        </w:tabs>
        <w:spacing w:line="240" w:lineRule="auto" w:before="138" w:after="0"/>
        <w:ind w:left="2276" w:right="0" w:hanging="1023"/>
        <w:jc w:val="left"/>
        <w:rPr>
          <w:sz w:val="22"/>
        </w:rPr>
      </w:pPr>
      <w:r>
        <w:rPr>
          <w:sz w:val="22"/>
        </w:rPr>
        <w:t>kidney disease. </w:t>
      </w:r>
      <w:r>
        <w:rPr>
          <w:i/>
          <w:sz w:val="22"/>
        </w:rPr>
        <w:t>IRIS- International Renal Interest Society. </w:t>
      </w:r>
      <w:r>
        <w:rPr>
          <w:sz w:val="22"/>
        </w:rPr>
        <w:t>Novartis Animal Health  </w:t>
      </w:r>
      <w:r>
        <w:rPr>
          <w:spacing w:val="40"/>
          <w:sz w:val="22"/>
        </w:rPr>
        <w:t> </w:t>
      </w:r>
      <w:r>
        <w:rPr>
          <w:sz w:val="22"/>
        </w:rPr>
        <w:t>Inc.</w:t>
      </w:r>
    </w:p>
    <w:p>
      <w:pPr>
        <w:pStyle w:val="ListParagraph"/>
        <w:numPr>
          <w:ilvl w:val="0"/>
          <w:numId w:val="14"/>
        </w:numPr>
        <w:tabs>
          <w:tab w:pos="2275" w:val="left" w:leader="none"/>
          <w:tab w:pos="2276" w:val="left" w:leader="none"/>
        </w:tabs>
        <w:spacing w:line="240" w:lineRule="auto" w:before="133" w:after="0"/>
        <w:ind w:left="2276" w:right="0" w:hanging="1023"/>
        <w:jc w:val="left"/>
        <w:rPr>
          <w:sz w:val="22"/>
        </w:rPr>
      </w:pPr>
      <w:r>
        <w:rPr>
          <w:sz w:val="22"/>
        </w:rPr>
        <w:t>2007  </w:t>
      </w:r>
      <w:r>
        <w:rPr>
          <w:spacing w:val="5"/>
          <w:sz w:val="22"/>
        </w:rPr>
        <w:t> </w:t>
      </w:r>
      <w:hyperlink r:id="rId23">
        <w:r>
          <w:rPr>
            <w:sz w:val="22"/>
          </w:rPr>
          <w:t>http://www.iris-kidney.com/education/en/education07.shtml.</w:t>
        </w:r>
      </w:hyperlink>
    </w:p>
    <w:p>
      <w:pPr>
        <w:pStyle w:val="BodyText"/>
        <w:spacing w:before="7"/>
        <w:rPr>
          <w:rFonts w:ascii="Times New Roman"/>
          <w:sz w:val="21"/>
        </w:rPr>
      </w:pPr>
    </w:p>
    <w:p>
      <w:pPr>
        <w:pStyle w:val="ListParagraph"/>
        <w:numPr>
          <w:ilvl w:val="0"/>
          <w:numId w:val="14"/>
        </w:numPr>
        <w:tabs>
          <w:tab w:pos="1937" w:val="left" w:leader="none"/>
          <w:tab w:pos="1938" w:val="left" w:leader="none"/>
        </w:tabs>
        <w:spacing w:line="240" w:lineRule="auto" w:before="77" w:after="0"/>
        <w:ind w:left="1937" w:right="0" w:hanging="684"/>
        <w:jc w:val="left"/>
        <w:rPr>
          <w:sz w:val="22"/>
        </w:rPr>
      </w:pPr>
      <w:r>
        <w:rPr>
          <w:sz w:val="22"/>
        </w:rPr>
        <w:t>6.    James MT, Hemmelgarn BR, Tonelli M. Early recognition and prevention of </w:t>
      </w:r>
      <w:r>
        <w:rPr>
          <w:spacing w:val="49"/>
          <w:sz w:val="22"/>
        </w:rPr>
        <w:t> </w:t>
      </w:r>
      <w:r>
        <w:rPr>
          <w:sz w:val="22"/>
        </w:rPr>
        <w:t>chronic</w:t>
      </w:r>
    </w:p>
    <w:p>
      <w:pPr>
        <w:pStyle w:val="ListParagraph"/>
        <w:numPr>
          <w:ilvl w:val="0"/>
          <w:numId w:val="14"/>
        </w:numPr>
        <w:tabs>
          <w:tab w:pos="2275" w:val="left" w:leader="none"/>
          <w:tab w:pos="2276" w:val="left" w:leader="none"/>
        </w:tabs>
        <w:spacing w:line="240" w:lineRule="auto" w:before="138" w:after="0"/>
        <w:ind w:left="2276" w:right="0" w:hanging="1023"/>
        <w:jc w:val="left"/>
        <w:rPr>
          <w:sz w:val="22"/>
        </w:rPr>
      </w:pPr>
      <w:r>
        <w:rPr>
          <w:sz w:val="22"/>
        </w:rPr>
        <w:t>kidney disease. </w:t>
      </w:r>
      <w:r>
        <w:rPr>
          <w:i/>
          <w:sz w:val="22"/>
        </w:rPr>
        <w:t>Lancet </w:t>
      </w:r>
      <w:r>
        <w:rPr>
          <w:i/>
          <w:spacing w:val="24"/>
          <w:sz w:val="22"/>
        </w:rPr>
        <w:t> </w:t>
      </w:r>
      <w:r>
        <w:rPr>
          <w:sz w:val="22"/>
        </w:rPr>
        <w:t>2010;375:1296-309.</w:t>
      </w:r>
    </w:p>
    <w:p>
      <w:pPr>
        <w:pStyle w:val="ListParagraph"/>
        <w:numPr>
          <w:ilvl w:val="0"/>
          <w:numId w:val="14"/>
        </w:numPr>
        <w:tabs>
          <w:tab w:pos="1937" w:val="left" w:leader="none"/>
          <w:tab w:pos="1938" w:val="left" w:leader="none"/>
        </w:tabs>
        <w:spacing w:line="240" w:lineRule="auto" w:before="133" w:after="0"/>
        <w:ind w:left="1937" w:right="0" w:hanging="684"/>
        <w:jc w:val="left"/>
        <w:rPr>
          <w:sz w:val="22"/>
        </w:rPr>
      </w:pPr>
      <w:r>
        <w:rPr>
          <w:sz w:val="22"/>
        </w:rPr>
        <w:t>7.    Elliot J, Watson ADJ. Chronic kidney disease: staging and management. In: Bonagura  </w:t>
      </w:r>
      <w:r>
        <w:rPr>
          <w:spacing w:val="5"/>
          <w:sz w:val="22"/>
        </w:rPr>
        <w:t> </w:t>
      </w:r>
      <w:r>
        <w:rPr>
          <w:sz w:val="22"/>
        </w:rPr>
        <w:t>JD,</w:t>
      </w:r>
    </w:p>
    <w:p>
      <w:pPr>
        <w:pStyle w:val="ListParagraph"/>
        <w:numPr>
          <w:ilvl w:val="0"/>
          <w:numId w:val="14"/>
        </w:numPr>
        <w:tabs>
          <w:tab w:pos="2275" w:val="left" w:leader="none"/>
          <w:tab w:pos="2276" w:val="left" w:leader="none"/>
        </w:tabs>
        <w:spacing w:line="240" w:lineRule="auto" w:before="138" w:after="0"/>
        <w:ind w:left="2276" w:right="0" w:hanging="1023"/>
        <w:jc w:val="left"/>
        <w:rPr>
          <w:sz w:val="22"/>
        </w:rPr>
      </w:pPr>
      <w:r>
        <w:rPr>
          <w:sz w:val="22"/>
        </w:rPr>
        <w:t>Twetd DC, eds. </w:t>
      </w:r>
      <w:r>
        <w:rPr>
          <w:i/>
          <w:sz w:val="22"/>
        </w:rPr>
        <w:t>Current Veterinary Therapy XIV</w:t>
      </w:r>
      <w:r>
        <w:rPr>
          <w:sz w:val="22"/>
        </w:rPr>
        <w:t>. St. Louis. Saunders-Elsevier.  </w:t>
      </w:r>
      <w:r>
        <w:rPr>
          <w:spacing w:val="53"/>
          <w:sz w:val="22"/>
        </w:rPr>
        <w:t> </w:t>
      </w:r>
      <w:r>
        <w:rPr>
          <w:sz w:val="22"/>
        </w:rPr>
        <w:t>2008;883-</w:t>
      </w:r>
    </w:p>
    <w:p>
      <w:pPr>
        <w:tabs>
          <w:tab w:pos="2275" w:val="left" w:leader="none"/>
        </w:tabs>
        <w:spacing w:before="136"/>
        <w:ind w:left="1253" w:right="2029" w:firstLine="0"/>
        <w:jc w:val="left"/>
        <w:rPr>
          <w:rFonts w:ascii="Times New Roman"/>
          <w:sz w:val="22"/>
        </w:rPr>
      </w:pPr>
      <w:r>
        <w:rPr>
          <w:rFonts w:ascii="Cambria"/>
          <w:w w:val="105"/>
          <w:sz w:val="20"/>
        </w:rPr>
        <w:t>329</w:t>
        <w:tab/>
      </w:r>
      <w:r>
        <w:rPr>
          <w:rFonts w:ascii="Times New Roman"/>
          <w:w w:val="105"/>
          <w:sz w:val="22"/>
        </w:rPr>
        <w:t>92.</w:t>
      </w:r>
    </w:p>
    <w:p>
      <w:pPr>
        <w:pStyle w:val="ListParagraph"/>
        <w:numPr>
          <w:ilvl w:val="0"/>
          <w:numId w:val="15"/>
        </w:numPr>
        <w:tabs>
          <w:tab w:pos="1937" w:val="left" w:leader="none"/>
          <w:tab w:pos="1938" w:val="left" w:leader="none"/>
        </w:tabs>
        <w:spacing w:line="240" w:lineRule="auto" w:before="136" w:after="0"/>
        <w:ind w:left="1937" w:right="0" w:hanging="684"/>
        <w:jc w:val="left"/>
        <w:rPr>
          <w:sz w:val="22"/>
        </w:rPr>
      </w:pPr>
      <w:r>
        <w:rPr>
          <w:sz w:val="22"/>
        </w:rPr>
        <w:t>8.    Cortadellas O, Fernández del Palacio MJ, Talavera J, et al. Serum </w:t>
      </w:r>
      <w:r>
        <w:rPr>
          <w:spacing w:val="39"/>
          <w:sz w:val="22"/>
        </w:rPr>
        <w:t> </w:t>
      </w:r>
      <w:r>
        <w:rPr>
          <w:sz w:val="22"/>
        </w:rPr>
        <w:t>phosphorus</w:t>
      </w:r>
    </w:p>
    <w:p>
      <w:pPr>
        <w:pStyle w:val="ListParagraph"/>
        <w:numPr>
          <w:ilvl w:val="0"/>
          <w:numId w:val="15"/>
        </w:numPr>
        <w:tabs>
          <w:tab w:pos="2275" w:val="left" w:leader="none"/>
          <w:tab w:pos="2276" w:val="left" w:leader="none"/>
        </w:tabs>
        <w:spacing w:line="240" w:lineRule="auto" w:before="136" w:after="0"/>
        <w:ind w:left="2276" w:right="0" w:hanging="1023"/>
        <w:jc w:val="left"/>
        <w:rPr>
          <w:sz w:val="22"/>
        </w:rPr>
      </w:pPr>
      <w:r>
        <w:rPr>
          <w:sz w:val="22"/>
        </w:rPr>
        <w:t>concentrations in dogs with leishmaniosis at different stages of chronic kidney  </w:t>
      </w:r>
      <w:r>
        <w:rPr>
          <w:spacing w:val="42"/>
          <w:sz w:val="22"/>
        </w:rPr>
        <w:t> </w:t>
      </w:r>
      <w:r>
        <w:rPr>
          <w:sz w:val="22"/>
        </w:rPr>
        <w:t>disease.</w:t>
      </w:r>
    </w:p>
    <w:p>
      <w:pPr>
        <w:tabs>
          <w:tab w:pos="2275" w:val="left" w:leader="none"/>
        </w:tabs>
        <w:spacing w:before="136"/>
        <w:ind w:left="1253" w:right="2029" w:firstLine="0"/>
        <w:jc w:val="left"/>
        <w:rPr>
          <w:rFonts w:ascii="Times New Roman"/>
          <w:sz w:val="22"/>
        </w:rPr>
      </w:pPr>
      <w:r>
        <w:rPr>
          <w:rFonts w:ascii="Cambria"/>
          <w:w w:val="105"/>
          <w:sz w:val="20"/>
        </w:rPr>
        <w:t>332</w:t>
        <w:tab/>
      </w:r>
      <w:r>
        <w:rPr>
          <w:rFonts w:ascii="Times New Roman"/>
          <w:i/>
          <w:w w:val="105"/>
          <w:sz w:val="22"/>
        </w:rPr>
        <w:t>Vet</w:t>
      </w:r>
      <w:r>
        <w:rPr>
          <w:rFonts w:ascii="Times New Roman"/>
          <w:i/>
          <w:spacing w:val="-34"/>
          <w:w w:val="105"/>
          <w:sz w:val="22"/>
        </w:rPr>
        <w:t> </w:t>
      </w:r>
      <w:r>
        <w:rPr>
          <w:rFonts w:ascii="Times New Roman"/>
          <w:i/>
          <w:w w:val="105"/>
          <w:sz w:val="22"/>
        </w:rPr>
        <w:t>Rec</w:t>
      </w:r>
      <w:r>
        <w:rPr>
          <w:rFonts w:ascii="Times New Roman"/>
          <w:i/>
          <w:spacing w:val="-34"/>
          <w:w w:val="105"/>
          <w:sz w:val="22"/>
        </w:rPr>
        <w:t> </w:t>
      </w:r>
      <w:r>
        <w:rPr>
          <w:rFonts w:ascii="Times New Roman"/>
          <w:w w:val="105"/>
          <w:sz w:val="22"/>
        </w:rPr>
        <w:t>2009;164:487-90.</w:t>
      </w:r>
    </w:p>
    <w:p>
      <w:pPr>
        <w:pStyle w:val="ListParagraph"/>
        <w:numPr>
          <w:ilvl w:val="0"/>
          <w:numId w:val="16"/>
        </w:numPr>
        <w:tabs>
          <w:tab w:pos="1937" w:val="left" w:leader="none"/>
          <w:tab w:pos="1938" w:val="left" w:leader="none"/>
        </w:tabs>
        <w:spacing w:line="240" w:lineRule="auto" w:before="136" w:after="0"/>
        <w:ind w:left="1937" w:right="0" w:hanging="684"/>
        <w:jc w:val="left"/>
        <w:rPr>
          <w:sz w:val="22"/>
        </w:rPr>
      </w:pPr>
      <w:r>
        <w:rPr>
          <w:sz w:val="22"/>
        </w:rPr>
        <w:t>9.    Quijano-Hernández IA, Castro-Bárcena </w:t>
      </w:r>
      <w:r>
        <w:rPr>
          <w:spacing w:val="-3"/>
          <w:sz w:val="22"/>
        </w:rPr>
        <w:t>A, </w:t>
      </w:r>
      <w:r>
        <w:rPr>
          <w:sz w:val="22"/>
        </w:rPr>
        <w:t>Barbabosa-Pliego A, et al.  </w:t>
      </w:r>
      <w:r>
        <w:rPr>
          <w:spacing w:val="13"/>
          <w:sz w:val="22"/>
        </w:rPr>
        <w:t> </w:t>
      </w:r>
      <w:r>
        <w:rPr>
          <w:sz w:val="22"/>
        </w:rPr>
        <w:t>Seroprevalence</w:t>
      </w:r>
    </w:p>
    <w:p>
      <w:pPr>
        <w:pStyle w:val="ListParagraph"/>
        <w:numPr>
          <w:ilvl w:val="0"/>
          <w:numId w:val="16"/>
        </w:numPr>
        <w:tabs>
          <w:tab w:pos="2275" w:val="left" w:leader="none"/>
          <w:tab w:pos="2276" w:val="left" w:leader="none"/>
        </w:tabs>
        <w:spacing w:line="240" w:lineRule="auto" w:before="136" w:after="0"/>
        <w:ind w:left="2276" w:right="0" w:hanging="1023"/>
        <w:jc w:val="left"/>
        <w:rPr>
          <w:i/>
          <w:sz w:val="22"/>
        </w:rPr>
      </w:pPr>
      <w:r>
        <w:rPr>
          <w:sz w:val="22"/>
        </w:rPr>
        <w:t>Survey of American Trypanosomiasis in Central Valley of Toluca. </w:t>
      </w:r>
      <w:r>
        <w:rPr>
          <w:i/>
          <w:sz w:val="22"/>
        </w:rPr>
        <w:t>Scientific World  </w:t>
      </w:r>
      <w:r>
        <w:rPr>
          <w:i/>
          <w:spacing w:val="47"/>
          <w:sz w:val="22"/>
        </w:rPr>
        <w:t> </w:t>
      </w:r>
      <w:r>
        <w:rPr>
          <w:i/>
          <w:sz w:val="22"/>
        </w:rPr>
        <w:t>J</w:t>
      </w:r>
    </w:p>
    <w:p>
      <w:pPr>
        <w:tabs>
          <w:tab w:pos="2275" w:val="left" w:leader="none"/>
        </w:tabs>
        <w:spacing w:before="136"/>
        <w:ind w:left="1253" w:right="2029" w:firstLine="0"/>
        <w:jc w:val="left"/>
        <w:rPr>
          <w:rFonts w:ascii="Times New Roman"/>
          <w:sz w:val="22"/>
        </w:rPr>
      </w:pPr>
      <w:r>
        <w:rPr>
          <w:rFonts w:ascii="Cambria"/>
          <w:w w:val="105"/>
          <w:sz w:val="20"/>
        </w:rPr>
        <w:t>335</w:t>
        <w:tab/>
      </w:r>
      <w:r>
        <w:rPr>
          <w:rFonts w:ascii="Times New Roman"/>
          <w:w w:val="105"/>
          <w:sz w:val="22"/>
        </w:rPr>
        <w:t>2012,</w:t>
      </w:r>
      <w:r>
        <w:rPr>
          <w:rFonts w:ascii="Times New Roman"/>
          <w:spacing w:val="-24"/>
          <w:w w:val="105"/>
          <w:sz w:val="22"/>
        </w:rPr>
        <w:t> </w:t>
      </w:r>
      <w:r>
        <w:rPr>
          <w:rFonts w:ascii="Times New Roman"/>
          <w:w w:val="105"/>
          <w:sz w:val="22"/>
        </w:rPr>
        <w:t>Art</w:t>
      </w:r>
      <w:r>
        <w:rPr>
          <w:rFonts w:ascii="Times New Roman"/>
          <w:spacing w:val="-25"/>
          <w:w w:val="105"/>
          <w:sz w:val="22"/>
        </w:rPr>
        <w:t> </w:t>
      </w:r>
      <w:r>
        <w:rPr>
          <w:rFonts w:ascii="Times New Roman"/>
          <w:w w:val="105"/>
          <w:sz w:val="22"/>
        </w:rPr>
        <w:t>ID</w:t>
      </w:r>
      <w:r>
        <w:rPr>
          <w:rFonts w:ascii="Times New Roman"/>
          <w:spacing w:val="-24"/>
          <w:w w:val="105"/>
          <w:sz w:val="22"/>
        </w:rPr>
        <w:t> </w:t>
      </w:r>
      <w:r>
        <w:rPr>
          <w:rFonts w:ascii="Times New Roman"/>
          <w:w w:val="105"/>
          <w:sz w:val="22"/>
        </w:rPr>
        <w:t>450619,</w:t>
      </w:r>
      <w:r>
        <w:rPr>
          <w:rFonts w:ascii="Times New Roman"/>
          <w:spacing w:val="-24"/>
          <w:w w:val="105"/>
          <w:sz w:val="22"/>
        </w:rPr>
        <w:t> </w:t>
      </w:r>
      <w:r>
        <w:rPr>
          <w:rFonts w:ascii="Times New Roman"/>
          <w:w w:val="105"/>
          <w:sz w:val="22"/>
        </w:rPr>
        <w:t>3</w:t>
      </w:r>
      <w:r>
        <w:rPr>
          <w:rFonts w:ascii="Times New Roman"/>
          <w:spacing w:val="-25"/>
          <w:w w:val="105"/>
          <w:sz w:val="22"/>
        </w:rPr>
        <w:t> </w:t>
      </w:r>
      <w:r>
        <w:rPr>
          <w:rFonts w:ascii="Times New Roman"/>
          <w:w w:val="105"/>
          <w:sz w:val="22"/>
        </w:rPr>
        <w:t>pages.</w:t>
      </w:r>
      <w:r>
        <w:rPr>
          <w:rFonts w:ascii="Times New Roman"/>
          <w:spacing w:val="-24"/>
          <w:w w:val="105"/>
          <w:sz w:val="22"/>
        </w:rPr>
        <w:t> </w:t>
      </w:r>
      <w:r>
        <w:rPr>
          <w:rFonts w:ascii="Times New Roman"/>
          <w:w w:val="105"/>
          <w:sz w:val="22"/>
        </w:rPr>
        <w:t>DOI:10.1100/2012/450619.</w:t>
      </w:r>
    </w:p>
    <w:p>
      <w:pPr>
        <w:pStyle w:val="ListParagraph"/>
        <w:numPr>
          <w:ilvl w:val="0"/>
          <w:numId w:val="17"/>
        </w:numPr>
        <w:tabs>
          <w:tab w:pos="1937" w:val="left" w:leader="none"/>
          <w:tab w:pos="1938" w:val="left" w:leader="none"/>
        </w:tabs>
        <w:spacing w:line="240" w:lineRule="auto" w:before="136" w:after="0"/>
        <w:ind w:left="1937" w:right="0" w:hanging="684"/>
        <w:jc w:val="left"/>
        <w:rPr>
          <w:sz w:val="22"/>
        </w:rPr>
      </w:pPr>
      <w:r>
        <w:rPr>
          <w:sz w:val="22"/>
        </w:rPr>
        <w:t>10.</w:t>
      </w:r>
      <w:r>
        <w:rPr>
          <w:spacing w:val="10"/>
          <w:sz w:val="22"/>
        </w:rPr>
        <w:t> </w:t>
      </w:r>
      <w:r>
        <w:rPr>
          <w:sz w:val="22"/>
        </w:rPr>
        <w:t>Lees</w:t>
      </w:r>
      <w:r>
        <w:rPr>
          <w:spacing w:val="13"/>
          <w:sz w:val="22"/>
        </w:rPr>
        <w:t> </w:t>
      </w:r>
      <w:r>
        <w:rPr>
          <w:sz w:val="22"/>
        </w:rPr>
        <w:t>GE,</w:t>
      </w:r>
      <w:r>
        <w:rPr>
          <w:spacing w:val="14"/>
          <w:sz w:val="22"/>
        </w:rPr>
        <w:t> </w:t>
      </w:r>
      <w:r>
        <w:rPr>
          <w:sz w:val="22"/>
        </w:rPr>
        <w:t>Brown</w:t>
      </w:r>
      <w:r>
        <w:rPr>
          <w:spacing w:val="11"/>
          <w:sz w:val="22"/>
        </w:rPr>
        <w:t> </w:t>
      </w:r>
      <w:r>
        <w:rPr>
          <w:sz w:val="22"/>
        </w:rPr>
        <w:t>SA,</w:t>
      </w:r>
      <w:r>
        <w:rPr>
          <w:spacing w:val="14"/>
          <w:sz w:val="22"/>
        </w:rPr>
        <w:t> </w:t>
      </w:r>
      <w:r>
        <w:rPr>
          <w:sz w:val="22"/>
        </w:rPr>
        <w:t>Elliot</w:t>
      </w:r>
      <w:r>
        <w:rPr>
          <w:spacing w:val="11"/>
          <w:sz w:val="22"/>
        </w:rPr>
        <w:t> </w:t>
      </w:r>
      <w:r>
        <w:rPr>
          <w:sz w:val="22"/>
        </w:rPr>
        <w:t>J,</w:t>
      </w:r>
      <w:r>
        <w:rPr>
          <w:spacing w:val="10"/>
          <w:sz w:val="22"/>
        </w:rPr>
        <w:t> </w:t>
      </w:r>
      <w:r>
        <w:rPr>
          <w:sz w:val="22"/>
        </w:rPr>
        <w:t>et</w:t>
      </w:r>
      <w:r>
        <w:rPr>
          <w:spacing w:val="8"/>
          <w:sz w:val="22"/>
        </w:rPr>
        <w:t> </w:t>
      </w:r>
      <w:r>
        <w:rPr>
          <w:sz w:val="22"/>
        </w:rPr>
        <w:t>al.</w:t>
      </w:r>
      <w:r>
        <w:rPr>
          <w:spacing w:val="14"/>
          <w:sz w:val="22"/>
        </w:rPr>
        <w:t> </w:t>
      </w:r>
      <w:r>
        <w:rPr>
          <w:sz w:val="22"/>
        </w:rPr>
        <w:t>Assesment</w:t>
      </w:r>
      <w:r>
        <w:rPr>
          <w:spacing w:val="9"/>
          <w:sz w:val="22"/>
        </w:rPr>
        <w:t> </w:t>
      </w:r>
      <w:r>
        <w:rPr>
          <w:sz w:val="22"/>
        </w:rPr>
        <w:t>and</w:t>
      </w:r>
      <w:r>
        <w:rPr>
          <w:spacing w:val="9"/>
          <w:sz w:val="22"/>
        </w:rPr>
        <w:t> </w:t>
      </w:r>
      <w:r>
        <w:rPr>
          <w:sz w:val="22"/>
        </w:rPr>
        <w:t>management</w:t>
      </w:r>
      <w:r>
        <w:rPr>
          <w:spacing w:val="11"/>
          <w:sz w:val="22"/>
        </w:rPr>
        <w:t> </w:t>
      </w:r>
      <w:r>
        <w:rPr>
          <w:sz w:val="22"/>
        </w:rPr>
        <w:t>of</w:t>
      </w:r>
      <w:r>
        <w:rPr>
          <w:spacing w:val="14"/>
          <w:sz w:val="22"/>
        </w:rPr>
        <w:t> </w:t>
      </w:r>
      <w:r>
        <w:rPr>
          <w:sz w:val="22"/>
        </w:rPr>
        <w:t>proteinuriain</w:t>
      </w:r>
      <w:r>
        <w:rPr>
          <w:spacing w:val="9"/>
          <w:sz w:val="22"/>
        </w:rPr>
        <w:t> </w:t>
      </w:r>
      <w:r>
        <w:rPr>
          <w:sz w:val="22"/>
        </w:rPr>
        <w:t>dogs</w:t>
      </w:r>
      <w:r>
        <w:rPr>
          <w:spacing w:val="13"/>
          <w:sz w:val="22"/>
        </w:rPr>
        <w:t> </w:t>
      </w:r>
      <w:r>
        <w:rPr>
          <w:sz w:val="22"/>
        </w:rPr>
        <w:t>and</w:t>
      </w:r>
    </w:p>
    <w:p>
      <w:pPr>
        <w:pStyle w:val="ListParagraph"/>
        <w:numPr>
          <w:ilvl w:val="0"/>
          <w:numId w:val="17"/>
        </w:numPr>
        <w:tabs>
          <w:tab w:pos="2275" w:val="left" w:leader="none"/>
          <w:tab w:pos="2276" w:val="left" w:leader="none"/>
        </w:tabs>
        <w:spacing w:line="240" w:lineRule="auto" w:before="138" w:after="0"/>
        <w:ind w:left="2276" w:right="0" w:hanging="1023"/>
        <w:jc w:val="left"/>
        <w:rPr>
          <w:i/>
          <w:sz w:val="22"/>
        </w:rPr>
      </w:pPr>
      <w:r>
        <w:rPr>
          <w:sz w:val="22"/>
        </w:rPr>
        <w:t>cats: 2004 ACVIM forum consensus statement (small animal). </w:t>
      </w:r>
      <w:r>
        <w:rPr>
          <w:i/>
          <w:sz w:val="22"/>
        </w:rPr>
        <w:t>J Vet Intern  </w:t>
      </w:r>
      <w:r>
        <w:rPr>
          <w:i/>
          <w:spacing w:val="42"/>
          <w:sz w:val="22"/>
        </w:rPr>
        <w:t> </w:t>
      </w:r>
      <w:r>
        <w:rPr>
          <w:i/>
          <w:sz w:val="22"/>
        </w:rPr>
        <w:t>Med</w:t>
      </w:r>
    </w:p>
    <w:p>
      <w:pPr>
        <w:tabs>
          <w:tab w:pos="2275" w:val="left" w:leader="none"/>
        </w:tabs>
        <w:spacing w:before="133"/>
        <w:ind w:left="1253" w:right="2029" w:firstLine="0"/>
        <w:jc w:val="left"/>
        <w:rPr>
          <w:rFonts w:ascii="Times New Roman"/>
          <w:sz w:val="22"/>
        </w:rPr>
      </w:pPr>
      <w:r>
        <w:rPr>
          <w:rFonts w:ascii="Cambria"/>
          <w:w w:val="105"/>
          <w:sz w:val="20"/>
        </w:rPr>
        <w:t>338</w:t>
        <w:tab/>
      </w:r>
      <w:r>
        <w:rPr>
          <w:rFonts w:ascii="Times New Roman"/>
          <w:w w:val="105"/>
          <w:sz w:val="22"/>
        </w:rPr>
        <w:t>2005;19:377-85.</w:t>
      </w:r>
    </w:p>
    <w:p>
      <w:pPr>
        <w:pStyle w:val="ListParagraph"/>
        <w:numPr>
          <w:ilvl w:val="0"/>
          <w:numId w:val="18"/>
        </w:numPr>
        <w:tabs>
          <w:tab w:pos="1937" w:val="left" w:leader="none"/>
          <w:tab w:pos="1938" w:val="left" w:leader="none"/>
        </w:tabs>
        <w:spacing w:line="240" w:lineRule="auto" w:before="138" w:after="0"/>
        <w:ind w:left="1937" w:right="0" w:hanging="684"/>
        <w:jc w:val="left"/>
        <w:rPr>
          <w:sz w:val="22"/>
        </w:rPr>
      </w:pPr>
      <w:r>
        <w:rPr>
          <w:sz w:val="22"/>
        </w:rPr>
        <w:t>11. Cortadellas O, Fernández del Palacio MJ, Talavera J, et al. Calcium and  </w:t>
      </w:r>
      <w:r>
        <w:rPr>
          <w:spacing w:val="50"/>
          <w:sz w:val="22"/>
        </w:rPr>
        <w:t> </w:t>
      </w:r>
      <w:r>
        <w:rPr>
          <w:sz w:val="22"/>
        </w:rPr>
        <w:t>phosphorus</w:t>
      </w:r>
    </w:p>
    <w:p>
      <w:pPr>
        <w:pStyle w:val="ListParagraph"/>
        <w:numPr>
          <w:ilvl w:val="0"/>
          <w:numId w:val="18"/>
        </w:numPr>
        <w:tabs>
          <w:tab w:pos="2275" w:val="left" w:leader="none"/>
          <w:tab w:pos="2276" w:val="left" w:leader="none"/>
        </w:tabs>
        <w:spacing w:line="240" w:lineRule="auto" w:before="136" w:after="0"/>
        <w:ind w:left="2276" w:right="0" w:hanging="1023"/>
        <w:jc w:val="left"/>
        <w:rPr>
          <w:sz w:val="22"/>
        </w:rPr>
      </w:pPr>
      <w:r>
        <w:rPr>
          <w:sz w:val="22"/>
        </w:rPr>
        <w:t>homeostasis in dogs with spontaneous chronic kidney disease at different stages  </w:t>
      </w:r>
      <w:r>
        <w:rPr>
          <w:spacing w:val="37"/>
          <w:sz w:val="22"/>
        </w:rPr>
        <w:t> </w:t>
      </w:r>
      <w:r>
        <w:rPr>
          <w:sz w:val="22"/>
        </w:rPr>
        <w:t>of</w:t>
      </w:r>
    </w:p>
    <w:p>
      <w:pPr>
        <w:pStyle w:val="ListParagraph"/>
        <w:numPr>
          <w:ilvl w:val="0"/>
          <w:numId w:val="18"/>
        </w:numPr>
        <w:tabs>
          <w:tab w:pos="2275" w:val="left" w:leader="none"/>
          <w:tab w:pos="2276" w:val="left" w:leader="none"/>
        </w:tabs>
        <w:spacing w:line="240" w:lineRule="auto" w:before="136" w:after="0"/>
        <w:ind w:left="2276" w:right="0" w:hanging="1023"/>
        <w:jc w:val="left"/>
        <w:rPr>
          <w:sz w:val="22"/>
        </w:rPr>
      </w:pPr>
      <w:r>
        <w:rPr>
          <w:sz w:val="22"/>
        </w:rPr>
        <w:t>severity. </w:t>
      </w:r>
      <w:r>
        <w:rPr>
          <w:i/>
          <w:sz w:val="22"/>
        </w:rPr>
        <w:t>J Vet Intern Med </w:t>
      </w:r>
      <w:r>
        <w:rPr>
          <w:i/>
          <w:spacing w:val="18"/>
          <w:sz w:val="22"/>
        </w:rPr>
        <w:t> </w:t>
      </w:r>
      <w:r>
        <w:rPr>
          <w:sz w:val="22"/>
        </w:rPr>
        <w:t>2010;24:73-9.</w:t>
      </w:r>
    </w:p>
    <w:p>
      <w:pPr>
        <w:spacing w:after="0" w:line="240" w:lineRule="auto"/>
        <w:jc w:val="left"/>
        <w:rPr>
          <w:sz w:val="22"/>
        </w:rPr>
        <w:sectPr>
          <w:headerReference w:type="default" r:id="rId83"/>
          <w:footerReference w:type="default" r:id="rId84"/>
          <w:pgSz w:w="12240" w:h="15840"/>
          <w:pgMar w:header="0" w:footer="0" w:top="140" w:bottom="280" w:left="0" w:right="1700"/>
        </w:sectPr>
      </w:pPr>
    </w:p>
    <w:p>
      <w:pPr>
        <w:tabs>
          <w:tab w:pos="10881" w:val="left" w:leader="none"/>
        </w:tabs>
        <w:spacing w:before="56"/>
        <w:ind w:left="3549" w:right="0" w:firstLine="0"/>
        <w:jc w:val="left"/>
        <w:rPr>
          <w:b/>
          <w:sz w:val="20"/>
        </w:rPr>
      </w:pPr>
      <w:r>
        <w:rPr>
          <w:b/>
          <w:sz w:val="20"/>
        </w:rPr>
        <w:t>Journal of the American Veterinary</w:t>
      </w:r>
      <w:r>
        <w:rPr>
          <w:b/>
          <w:spacing w:val="-16"/>
          <w:sz w:val="20"/>
        </w:rPr>
        <w:t> </w:t>
      </w:r>
      <w:r>
        <w:rPr>
          <w:b/>
          <w:sz w:val="20"/>
        </w:rPr>
        <w:t>Medical</w:t>
      </w:r>
      <w:r>
        <w:rPr>
          <w:b/>
          <w:spacing w:val="-3"/>
          <w:sz w:val="20"/>
        </w:rPr>
        <w:t> </w:t>
      </w:r>
      <w:r>
        <w:rPr>
          <w:b/>
          <w:sz w:val="20"/>
        </w:rPr>
        <w:t>Association</w:t>
        <w:tab/>
        <w:t>Page 12</w:t>
      </w:r>
      <w:r>
        <w:rPr>
          <w:b/>
          <w:spacing w:val="-1"/>
          <w:sz w:val="20"/>
        </w:rPr>
        <w:t> </w:t>
      </w:r>
      <w:r>
        <w:rPr>
          <w:b/>
          <w:sz w:val="20"/>
        </w:rPr>
        <w:t>of</w:t>
      </w:r>
    </w:p>
    <w:p>
      <w:pPr>
        <w:pStyle w:val="BodyText"/>
        <w:rPr>
          <w:b/>
          <w:sz w:val="20"/>
        </w:rPr>
      </w:pPr>
    </w:p>
    <w:p>
      <w:pPr>
        <w:pStyle w:val="BodyText"/>
        <w:rPr>
          <w:b/>
          <w:sz w:val="20"/>
        </w:rPr>
      </w:pPr>
    </w:p>
    <w:p>
      <w:pPr>
        <w:pStyle w:val="BodyText"/>
        <w:rPr>
          <w:b/>
          <w:sz w:val="20"/>
        </w:rPr>
      </w:pPr>
    </w:p>
    <w:p>
      <w:pPr>
        <w:pStyle w:val="BodyText"/>
        <w:spacing w:before="7"/>
        <w:rPr>
          <w:b/>
          <w:sz w:val="18"/>
        </w:rPr>
      </w:pPr>
    </w:p>
    <w:p>
      <w:pPr>
        <w:pStyle w:val="ListParagraph"/>
        <w:numPr>
          <w:ilvl w:val="0"/>
          <w:numId w:val="18"/>
        </w:numPr>
        <w:tabs>
          <w:tab w:pos="1937" w:val="left" w:leader="none"/>
          <w:tab w:pos="1938" w:val="left" w:leader="none"/>
        </w:tabs>
        <w:spacing w:line="240" w:lineRule="auto" w:before="0" w:after="0"/>
        <w:ind w:left="1937" w:right="0" w:hanging="684"/>
        <w:jc w:val="left"/>
        <w:rPr>
          <w:sz w:val="22"/>
        </w:rPr>
      </w:pPr>
      <w:r>
        <w:rPr>
          <w:sz w:val="22"/>
        </w:rPr>
        <w:t>12. Grauer GF. Proteinuria: Implications for management. In: Bonagura JD, Twedt   </w:t>
      </w:r>
      <w:r>
        <w:rPr>
          <w:spacing w:val="7"/>
          <w:sz w:val="22"/>
        </w:rPr>
        <w:t> </w:t>
      </w:r>
      <w:r>
        <w:rPr>
          <w:sz w:val="22"/>
        </w:rPr>
        <w:t>DC, eds.</w:t>
      </w:r>
    </w:p>
    <w:p>
      <w:pPr>
        <w:pStyle w:val="ListParagraph"/>
        <w:numPr>
          <w:ilvl w:val="0"/>
          <w:numId w:val="18"/>
        </w:numPr>
        <w:tabs>
          <w:tab w:pos="2275" w:val="left" w:leader="none"/>
          <w:tab w:pos="2276" w:val="left" w:leader="none"/>
        </w:tabs>
        <w:spacing w:line="240" w:lineRule="auto" w:before="136" w:after="0"/>
        <w:ind w:left="2275" w:right="0" w:hanging="1022"/>
        <w:jc w:val="left"/>
        <w:rPr>
          <w:sz w:val="22"/>
        </w:rPr>
      </w:pPr>
      <w:r>
        <w:rPr>
          <w:i/>
          <w:sz w:val="22"/>
        </w:rPr>
        <w:t>Kirk’s Current Veterinary Therapy XIV </w:t>
      </w:r>
      <w:r>
        <w:rPr>
          <w:sz w:val="22"/>
        </w:rPr>
        <w:t>USA </w:t>
      </w:r>
      <w:r>
        <w:rPr>
          <w:spacing w:val="54"/>
          <w:sz w:val="22"/>
        </w:rPr>
        <w:t> </w:t>
      </w:r>
      <w:r>
        <w:rPr>
          <w:sz w:val="22"/>
        </w:rPr>
        <w:t>2009;860-3.</w:t>
      </w:r>
    </w:p>
    <w:p>
      <w:pPr>
        <w:pStyle w:val="ListParagraph"/>
        <w:numPr>
          <w:ilvl w:val="0"/>
          <w:numId w:val="18"/>
        </w:numPr>
        <w:tabs>
          <w:tab w:pos="1937" w:val="left" w:leader="none"/>
          <w:tab w:pos="1938" w:val="left" w:leader="none"/>
        </w:tabs>
        <w:spacing w:line="240" w:lineRule="auto" w:before="136" w:after="0"/>
        <w:ind w:left="1937" w:right="0" w:hanging="684"/>
        <w:jc w:val="left"/>
        <w:rPr>
          <w:i/>
          <w:sz w:val="22"/>
        </w:rPr>
      </w:pPr>
      <w:r>
        <w:rPr>
          <w:sz w:val="22"/>
        </w:rPr>
        <w:t>13. Eddy A. Role of celular infiltrates in response to proteinuria. </w:t>
      </w:r>
      <w:r>
        <w:rPr>
          <w:i/>
          <w:sz w:val="22"/>
        </w:rPr>
        <w:t>Am J Kidney  </w:t>
      </w:r>
      <w:r>
        <w:rPr>
          <w:i/>
          <w:spacing w:val="43"/>
          <w:sz w:val="22"/>
        </w:rPr>
        <w:t> </w:t>
      </w:r>
      <w:r>
        <w:rPr>
          <w:i/>
          <w:sz w:val="22"/>
        </w:rPr>
        <w:t>Dis</w:t>
      </w:r>
    </w:p>
    <w:p>
      <w:pPr>
        <w:tabs>
          <w:tab w:pos="2275" w:val="left" w:leader="none"/>
        </w:tabs>
        <w:spacing w:before="136"/>
        <w:ind w:left="1253" w:right="0" w:firstLine="0"/>
        <w:jc w:val="left"/>
        <w:rPr>
          <w:rFonts w:ascii="Times New Roman"/>
          <w:sz w:val="22"/>
        </w:rPr>
      </w:pPr>
      <w:r>
        <w:rPr>
          <w:rFonts w:ascii="Cambria"/>
          <w:w w:val="105"/>
          <w:sz w:val="20"/>
        </w:rPr>
        <w:t>345</w:t>
        <w:tab/>
      </w:r>
      <w:r>
        <w:rPr>
          <w:rFonts w:ascii="Times New Roman"/>
          <w:w w:val="105"/>
          <w:sz w:val="22"/>
        </w:rPr>
        <w:t>2001;37:25-9.</w:t>
      </w:r>
    </w:p>
    <w:p>
      <w:pPr>
        <w:pStyle w:val="ListParagraph"/>
        <w:numPr>
          <w:ilvl w:val="0"/>
          <w:numId w:val="19"/>
        </w:numPr>
        <w:tabs>
          <w:tab w:pos="1937" w:val="left" w:leader="none"/>
          <w:tab w:pos="1938" w:val="left" w:leader="none"/>
        </w:tabs>
        <w:spacing w:line="240" w:lineRule="auto" w:before="138" w:after="0"/>
        <w:ind w:left="1937" w:right="0" w:hanging="684"/>
        <w:jc w:val="left"/>
        <w:rPr>
          <w:sz w:val="22"/>
        </w:rPr>
      </w:pPr>
      <w:r>
        <w:rPr>
          <w:sz w:val="22"/>
        </w:rPr>
        <w:t>14. Jacob F, Polzin DJ, Osborne CA, et al. Evaluation of the association between  </w:t>
      </w:r>
      <w:r>
        <w:rPr>
          <w:spacing w:val="47"/>
          <w:sz w:val="22"/>
        </w:rPr>
        <w:t> </w:t>
      </w:r>
      <w:r>
        <w:rPr>
          <w:sz w:val="22"/>
        </w:rPr>
        <w:t>initial</w:t>
      </w:r>
    </w:p>
    <w:p>
      <w:pPr>
        <w:pStyle w:val="ListParagraph"/>
        <w:numPr>
          <w:ilvl w:val="0"/>
          <w:numId w:val="19"/>
        </w:numPr>
        <w:tabs>
          <w:tab w:pos="2275" w:val="left" w:leader="none"/>
          <w:tab w:pos="2276" w:val="left" w:leader="none"/>
        </w:tabs>
        <w:spacing w:line="240" w:lineRule="auto" w:before="133" w:after="0"/>
        <w:ind w:left="2275" w:right="0" w:hanging="1022"/>
        <w:jc w:val="left"/>
        <w:rPr>
          <w:sz w:val="22"/>
        </w:rPr>
      </w:pPr>
      <w:r>
        <w:rPr>
          <w:sz w:val="22"/>
        </w:rPr>
        <w:t>proteinuria and morbidity rate or death in dogs with naturally occurring chronic  </w:t>
      </w:r>
      <w:r>
        <w:rPr>
          <w:spacing w:val="45"/>
          <w:sz w:val="22"/>
        </w:rPr>
        <w:t> </w:t>
      </w:r>
      <w:r>
        <w:rPr>
          <w:sz w:val="22"/>
        </w:rPr>
        <w:t>renal</w:t>
      </w:r>
    </w:p>
    <w:p>
      <w:pPr>
        <w:pStyle w:val="ListParagraph"/>
        <w:numPr>
          <w:ilvl w:val="0"/>
          <w:numId w:val="19"/>
        </w:numPr>
        <w:tabs>
          <w:tab w:pos="2275" w:val="left" w:leader="none"/>
          <w:tab w:pos="2276" w:val="left" w:leader="none"/>
        </w:tabs>
        <w:spacing w:line="240" w:lineRule="auto" w:before="138" w:after="0"/>
        <w:ind w:left="2276" w:right="0" w:hanging="1023"/>
        <w:jc w:val="left"/>
        <w:rPr>
          <w:sz w:val="22"/>
        </w:rPr>
      </w:pPr>
      <w:r>
        <w:rPr>
          <w:sz w:val="22"/>
        </w:rPr>
        <w:t>failure. </w:t>
      </w:r>
      <w:r>
        <w:rPr>
          <w:i/>
          <w:sz w:val="22"/>
        </w:rPr>
        <w:t>J Am Vet Med Assoc </w:t>
      </w:r>
      <w:r>
        <w:rPr>
          <w:i/>
          <w:spacing w:val="32"/>
          <w:sz w:val="22"/>
        </w:rPr>
        <w:t> </w:t>
      </w:r>
      <w:r>
        <w:rPr>
          <w:sz w:val="22"/>
        </w:rPr>
        <w:t>2005;3:393-400.</w:t>
      </w:r>
    </w:p>
    <w:p>
      <w:pPr>
        <w:pStyle w:val="ListParagraph"/>
        <w:numPr>
          <w:ilvl w:val="0"/>
          <w:numId w:val="19"/>
        </w:numPr>
        <w:tabs>
          <w:tab w:pos="1937" w:val="left" w:leader="none"/>
          <w:tab w:pos="1938" w:val="left" w:leader="none"/>
        </w:tabs>
        <w:spacing w:line="240" w:lineRule="auto" w:before="136" w:after="0"/>
        <w:ind w:left="1937" w:right="0" w:hanging="684"/>
        <w:jc w:val="left"/>
        <w:rPr>
          <w:sz w:val="22"/>
        </w:rPr>
      </w:pPr>
      <w:r>
        <w:rPr/>
        <w:pict>
          <v:shape style="position:absolute;margin-left:120.872412pt;margin-top:171.810603pt;width:376.45pt;height:48pt;mso-position-horizontal-relative:page;mso-position-vertical-relative:paragraph;z-index:-122920;rotation:51" type="#_x0000_t136" fillcolor="#d6f1fe" stroked="f">
            <o:extrusion v:ext="view" autorotationcenter="t"/>
            <v:textpath style="font-family:&amp;quot;Arial&amp;quot;;font-size:48pt;v-text-kern:t;mso-text-shadow:auto;font-weight:bold" string="For Review Only"/>
            <w10:wrap type="none"/>
          </v:shape>
        </w:pict>
      </w:r>
      <w:r>
        <w:rPr>
          <w:sz w:val="22"/>
        </w:rPr>
        <w:t>15. Syme HM, Markwell PJ, Pfeiffer D, et al. Survival of cats with naturally  </w:t>
      </w:r>
      <w:r>
        <w:rPr>
          <w:spacing w:val="42"/>
          <w:sz w:val="22"/>
        </w:rPr>
        <w:t> </w:t>
      </w:r>
      <w:r>
        <w:rPr>
          <w:sz w:val="22"/>
        </w:rPr>
        <w:t>occurring</w:t>
      </w:r>
    </w:p>
    <w:p>
      <w:pPr>
        <w:pStyle w:val="ListParagraph"/>
        <w:numPr>
          <w:ilvl w:val="0"/>
          <w:numId w:val="19"/>
        </w:numPr>
        <w:tabs>
          <w:tab w:pos="2275" w:val="left" w:leader="none"/>
          <w:tab w:pos="2276" w:val="left" w:leader="none"/>
        </w:tabs>
        <w:spacing w:line="240" w:lineRule="auto" w:before="136" w:after="0"/>
        <w:ind w:left="2276" w:right="0" w:hanging="1023"/>
        <w:jc w:val="left"/>
        <w:rPr>
          <w:sz w:val="22"/>
        </w:rPr>
      </w:pPr>
      <w:r>
        <w:rPr>
          <w:sz w:val="22"/>
        </w:rPr>
        <w:t>chronic renal failure is related to severity of proteinuria. </w:t>
      </w:r>
      <w:r>
        <w:rPr>
          <w:i/>
          <w:sz w:val="22"/>
        </w:rPr>
        <w:t>J Vet Intern Med  </w:t>
      </w:r>
      <w:r>
        <w:rPr>
          <w:i/>
          <w:spacing w:val="50"/>
          <w:sz w:val="22"/>
        </w:rPr>
        <w:t> </w:t>
      </w:r>
      <w:r>
        <w:rPr>
          <w:sz w:val="22"/>
        </w:rPr>
        <w:t>2006;20:528-</w:t>
      </w:r>
    </w:p>
    <w:p>
      <w:pPr>
        <w:tabs>
          <w:tab w:pos="2275" w:val="left" w:leader="none"/>
        </w:tabs>
        <w:spacing w:before="136"/>
        <w:ind w:left="1253" w:right="0" w:firstLine="0"/>
        <w:jc w:val="left"/>
        <w:rPr>
          <w:rFonts w:ascii="Times New Roman"/>
          <w:sz w:val="22"/>
        </w:rPr>
      </w:pPr>
      <w:r>
        <w:rPr>
          <w:rFonts w:ascii="Cambria"/>
          <w:w w:val="105"/>
          <w:sz w:val="20"/>
        </w:rPr>
        <w:t>351</w:t>
        <w:tab/>
      </w:r>
      <w:r>
        <w:rPr>
          <w:rFonts w:ascii="Times New Roman"/>
          <w:w w:val="105"/>
          <w:sz w:val="22"/>
        </w:rPr>
        <w:t>35.</w:t>
      </w:r>
    </w:p>
    <w:p>
      <w:pPr>
        <w:tabs>
          <w:tab w:pos="1937" w:val="left" w:leader="none"/>
        </w:tabs>
        <w:spacing w:before="138"/>
        <w:ind w:left="1253" w:right="0" w:firstLine="0"/>
        <w:jc w:val="left"/>
        <w:rPr>
          <w:rFonts w:ascii="Times New Roman"/>
          <w:i/>
          <w:sz w:val="22"/>
        </w:rPr>
      </w:pPr>
      <w:r>
        <w:rPr>
          <w:rFonts w:ascii="Cambria"/>
          <w:sz w:val="20"/>
        </w:rPr>
        <w:t>352</w:t>
        <w:tab/>
      </w:r>
      <w:r>
        <w:rPr>
          <w:rFonts w:ascii="Times New Roman"/>
          <w:sz w:val="22"/>
        </w:rPr>
        <w:t>16. Syme H. Proteinuria in cats prognostic marker or mediator. </w:t>
      </w:r>
      <w:r>
        <w:rPr>
          <w:rFonts w:ascii="Times New Roman"/>
          <w:i/>
          <w:sz w:val="22"/>
        </w:rPr>
        <w:t>J Feline Med  </w:t>
      </w:r>
      <w:r>
        <w:rPr>
          <w:rFonts w:ascii="Times New Roman"/>
          <w:i/>
          <w:spacing w:val="45"/>
          <w:sz w:val="22"/>
        </w:rPr>
        <w:t> </w:t>
      </w:r>
      <w:r>
        <w:rPr>
          <w:rFonts w:ascii="Times New Roman"/>
          <w:i/>
          <w:sz w:val="22"/>
        </w:rPr>
        <w:t>Surg</w:t>
      </w:r>
    </w:p>
    <w:p>
      <w:pPr>
        <w:tabs>
          <w:tab w:pos="2275" w:val="left" w:leader="none"/>
        </w:tabs>
        <w:spacing w:before="133"/>
        <w:ind w:left="1253" w:right="0" w:firstLine="0"/>
        <w:jc w:val="left"/>
        <w:rPr>
          <w:rFonts w:ascii="Times New Roman"/>
          <w:sz w:val="22"/>
        </w:rPr>
      </w:pPr>
      <w:r>
        <w:rPr>
          <w:rFonts w:ascii="Cambria"/>
          <w:w w:val="105"/>
          <w:sz w:val="20"/>
        </w:rPr>
        <w:t>353</w:t>
        <w:tab/>
      </w:r>
      <w:r>
        <w:rPr>
          <w:rFonts w:ascii="Times New Roman"/>
          <w:w w:val="105"/>
          <w:sz w:val="22"/>
        </w:rPr>
        <w:t>2009;11:211-8.</w:t>
      </w:r>
    </w:p>
    <w:p>
      <w:pPr>
        <w:pStyle w:val="ListParagraph"/>
        <w:numPr>
          <w:ilvl w:val="0"/>
          <w:numId w:val="20"/>
        </w:numPr>
        <w:tabs>
          <w:tab w:pos="1937" w:val="left" w:leader="none"/>
          <w:tab w:pos="1938" w:val="left" w:leader="none"/>
        </w:tabs>
        <w:spacing w:line="240" w:lineRule="auto" w:before="138" w:after="0"/>
        <w:ind w:left="1937" w:right="0" w:hanging="684"/>
        <w:jc w:val="left"/>
        <w:rPr>
          <w:sz w:val="22"/>
        </w:rPr>
      </w:pPr>
      <w:r>
        <w:rPr>
          <w:sz w:val="22"/>
        </w:rPr>
        <w:t>17.</w:t>
      </w:r>
      <w:r>
        <w:rPr>
          <w:spacing w:val="9"/>
          <w:sz w:val="22"/>
        </w:rPr>
        <w:t> </w:t>
      </w:r>
      <w:r>
        <w:rPr>
          <w:sz w:val="22"/>
        </w:rPr>
        <w:t>Sosnar</w:t>
      </w:r>
      <w:r>
        <w:rPr>
          <w:spacing w:val="13"/>
          <w:sz w:val="22"/>
        </w:rPr>
        <w:t> </w:t>
      </w:r>
      <w:r>
        <w:rPr>
          <w:sz w:val="22"/>
        </w:rPr>
        <w:t>M,</w:t>
      </w:r>
      <w:r>
        <w:rPr>
          <w:spacing w:val="11"/>
          <w:sz w:val="22"/>
        </w:rPr>
        <w:t> </w:t>
      </w:r>
      <w:r>
        <w:rPr>
          <w:sz w:val="22"/>
        </w:rPr>
        <w:t>Kohout</w:t>
      </w:r>
      <w:r>
        <w:rPr>
          <w:spacing w:val="13"/>
          <w:sz w:val="22"/>
        </w:rPr>
        <w:t> </w:t>
      </w:r>
      <w:r>
        <w:rPr>
          <w:sz w:val="22"/>
        </w:rPr>
        <w:t>P,</w:t>
      </w:r>
      <w:r>
        <w:rPr>
          <w:spacing w:val="9"/>
          <w:sz w:val="22"/>
        </w:rPr>
        <w:t> </w:t>
      </w:r>
      <w:r>
        <w:rPr>
          <w:sz w:val="22"/>
        </w:rPr>
        <w:t>Ruzicka</w:t>
      </w:r>
      <w:r>
        <w:rPr>
          <w:spacing w:val="11"/>
          <w:sz w:val="22"/>
        </w:rPr>
        <w:t> </w:t>
      </w:r>
      <w:r>
        <w:rPr>
          <w:sz w:val="22"/>
        </w:rPr>
        <w:t>ML,</w:t>
      </w:r>
      <w:r>
        <w:rPr>
          <w:spacing w:val="9"/>
          <w:sz w:val="22"/>
        </w:rPr>
        <w:t> </w:t>
      </w:r>
      <w:r>
        <w:rPr>
          <w:sz w:val="22"/>
        </w:rPr>
        <w:t>et</w:t>
      </w:r>
      <w:r>
        <w:rPr>
          <w:spacing w:val="7"/>
          <w:sz w:val="22"/>
        </w:rPr>
        <w:t> </w:t>
      </w:r>
      <w:r>
        <w:rPr>
          <w:sz w:val="22"/>
        </w:rPr>
        <w:t>al.</w:t>
      </w:r>
      <w:r>
        <w:rPr>
          <w:spacing w:val="11"/>
          <w:sz w:val="22"/>
        </w:rPr>
        <w:t> </w:t>
      </w:r>
      <w:r>
        <w:rPr>
          <w:sz w:val="22"/>
        </w:rPr>
        <w:t>Retrospective</w:t>
      </w:r>
      <w:r>
        <w:rPr>
          <w:spacing w:val="11"/>
          <w:sz w:val="22"/>
        </w:rPr>
        <w:t> </w:t>
      </w:r>
      <w:r>
        <w:rPr>
          <w:sz w:val="22"/>
        </w:rPr>
        <w:t>study</w:t>
      </w:r>
      <w:r>
        <w:rPr>
          <w:spacing w:val="8"/>
          <w:sz w:val="22"/>
        </w:rPr>
        <w:t> </w:t>
      </w:r>
      <w:r>
        <w:rPr>
          <w:sz w:val="22"/>
        </w:rPr>
        <w:t>of</w:t>
      </w:r>
      <w:r>
        <w:rPr>
          <w:spacing w:val="13"/>
          <w:sz w:val="22"/>
        </w:rPr>
        <w:t> </w:t>
      </w:r>
      <w:r>
        <w:rPr>
          <w:sz w:val="22"/>
        </w:rPr>
        <w:t>renal</w:t>
      </w:r>
      <w:r>
        <w:rPr>
          <w:spacing w:val="10"/>
          <w:sz w:val="22"/>
        </w:rPr>
        <w:t> </w:t>
      </w:r>
      <w:r>
        <w:rPr>
          <w:sz w:val="22"/>
        </w:rPr>
        <w:t>failure</w:t>
      </w:r>
      <w:r>
        <w:rPr>
          <w:spacing w:val="11"/>
          <w:sz w:val="22"/>
        </w:rPr>
        <w:t> </w:t>
      </w:r>
      <w:r>
        <w:rPr>
          <w:sz w:val="22"/>
        </w:rPr>
        <w:t>in</w:t>
      </w:r>
      <w:r>
        <w:rPr>
          <w:spacing w:val="10"/>
          <w:sz w:val="22"/>
        </w:rPr>
        <w:t> </w:t>
      </w:r>
      <w:r>
        <w:rPr>
          <w:sz w:val="22"/>
        </w:rPr>
        <w:t>dogs</w:t>
      </w:r>
      <w:r>
        <w:rPr>
          <w:spacing w:val="11"/>
          <w:sz w:val="22"/>
        </w:rPr>
        <w:t> </w:t>
      </w:r>
      <w:r>
        <w:rPr>
          <w:sz w:val="22"/>
        </w:rPr>
        <w:t>and</w:t>
      </w:r>
    </w:p>
    <w:p>
      <w:pPr>
        <w:pStyle w:val="ListParagraph"/>
        <w:numPr>
          <w:ilvl w:val="0"/>
          <w:numId w:val="20"/>
        </w:numPr>
        <w:tabs>
          <w:tab w:pos="2275" w:val="left" w:leader="none"/>
          <w:tab w:pos="2276" w:val="left" w:leader="none"/>
        </w:tabs>
        <w:spacing w:line="240" w:lineRule="auto" w:before="136" w:after="0"/>
        <w:ind w:left="2276" w:right="0" w:hanging="1023"/>
        <w:jc w:val="left"/>
        <w:rPr>
          <w:sz w:val="22"/>
        </w:rPr>
      </w:pPr>
      <w:r>
        <w:rPr>
          <w:sz w:val="22"/>
        </w:rPr>
        <w:t>cats admitted to University of Veterinary and Pharmaceutical Science Brno during  </w:t>
      </w:r>
      <w:r>
        <w:rPr>
          <w:spacing w:val="52"/>
          <w:sz w:val="22"/>
        </w:rPr>
        <w:t> </w:t>
      </w:r>
      <w:r>
        <w:rPr>
          <w:sz w:val="22"/>
        </w:rPr>
        <w:t>1999-</w:t>
      </w:r>
    </w:p>
    <w:p>
      <w:pPr>
        <w:tabs>
          <w:tab w:pos="2275" w:val="left" w:leader="none"/>
        </w:tabs>
        <w:spacing w:before="136"/>
        <w:ind w:left="1253" w:right="0" w:firstLine="0"/>
        <w:jc w:val="left"/>
        <w:rPr>
          <w:rFonts w:ascii="Times New Roman"/>
          <w:sz w:val="22"/>
        </w:rPr>
      </w:pPr>
      <w:r>
        <w:rPr>
          <w:rFonts w:ascii="Cambria"/>
          <w:w w:val="105"/>
          <w:sz w:val="20"/>
        </w:rPr>
        <w:t>356</w:t>
        <w:tab/>
      </w:r>
      <w:r>
        <w:rPr>
          <w:rFonts w:ascii="Times New Roman"/>
          <w:w w:val="105"/>
          <w:sz w:val="22"/>
        </w:rPr>
        <w:t>2001.</w:t>
      </w:r>
      <w:r>
        <w:rPr>
          <w:rFonts w:ascii="Times New Roman"/>
          <w:spacing w:val="-21"/>
          <w:w w:val="105"/>
          <w:sz w:val="22"/>
        </w:rPr>
        <w:t> </w:t>
      </w:r>
      <w:r>
        <w:rPr>
          <w:rFonts w:ascii="Times New Roman"/>
          <w:i/>
          <w:w w:val="105"/>
          <w:sz w:val="22"/>
        </w:rPr>
        <w:t>Acta</w:t>
      </w:r>
      <w:r>
        <w:rPr>
          <w:rFonts w:ascii="Times New Roman"/>
          <w:i/>
          <w:spacing w:val="-23"/>
          <w:w w:val="105"/>
          <w:sz w:val="22"/>
        </w:rPr>
        <w:t> </w:t>
      </w:r>
      <w:r>
        <w:rPr>
          <w:rFonts w:ascii="Times New Roman"/>
          <w:i/>
          <w:w w:val="105"/>
          <w:sz w:val="22"/>
        </w:rPr>
        <w:t>Vet</w:t>
      </w:r>
      <w:r>
        <w:rPr>
          <w:rFonts w:ascii="Times New Roman"/>
          <w:i/>
          <w:spacing w:val="-24"/>
          <w:w w:val="105"/>
          <w:sz w:val="22"/>
        </w:rPr>
        <w:t> </w:t>
      </w:r>
      <w:r>
        <w:rPr>
          <w:rFonts w:ascii="Times New Roman"/>
          <w:i/>
          <w:w w:val="105"/>
          <w:sz w:val="22"/>
        </w:rPr>
        <w:t>Brno</w:t>
      </w:r>
      <w:r>
        <w:rPr>
          <w:rFonts w:ascii="Times New Roman"/>
          <w:i/>
          <w:spacing w:val="-22"/>
          <w:w w:val="105"/>
          <w:sz w:val="22"/>
        </w:rPr>
        <w:t> </w:t>
      </w:r>
      <w:r>
        <w:rPr>
          <w:rFonts w:ascii="Times New Roman"/>
          <w:w w:val="105"/>
          <w:sz w:val="22"/>
        </w:rPr>
        <w:t>2003;72:593-8.</w:t>
      </w:r>
    </w:p>
    <w:p>
      <w:pPr>
        <w:pStyle w:val="ListParagraph"/>
        <w:numPr>
          <w:ilvl w:val="0"/>
          <w:numId w:val="21"/>
        </w:numPr>
        <w:tabs>
          <w:tab w:pos="1937" w:val="left" w:leader="none"/>
          <w:tab w:pos="1938" w:val="left" w:leader="none"/>
        </w:tabs>
        <w:spacing w:line="240" w:lineRule="auto" w:before="136" w:after="0"/>
        <w:ind w:left="1937" w:right="0" w:hanging="684"/>
        <w:jc w:val="left"/>
        <w:rPr>
          <w:sz w:val="22"/>
        </w:rPr>
      </w:pPr>
      <w:r>
        <w:rPr>
          <w:sz w:val="22"/>
        </w:rPr>
        <w:t>18. Herzberg MC. Coagulation and thrombosis in cardiovascular disease:  </w:t>
      </w:r>
      <w:r>
        <w:rPr>
          <w:spacing w:val="48"/>
          <w:sz w:val="22"/>
        </w:rPr>
        <w:t> </w:t>
      </w:r>
      <w:r>
        <w:rPr>
          <w:sz w:val="22"/>
        </w:rPr>
        <w:t>plausible</w:t>
      </w:r>
    </w:p>
    <w:p>
      <w:pPr>
        <w:pStyle w:val="ListParagraph"/>
        <w:numPr>
          <w:ilvl w:val="0"/>
          <w:numId w:val="21"/>
        </w:numPr>
        <w:tabs>
          <w:tab w:pos="2275" w:val="left" w:leader="none"/>
          <w:tab w:pos="2276" w:val="left" w:leader="none"/>
        </w:tabs>
        <w:spacing w:line="240" w:lineRule="auto" w:before="138" w:after="0"/>
        <w:ind w:left="2276" w:right="0" w:hanging="1023"/>
        <w:jc w:val="left"/>
        <w:rPr>
          <w:sz w:val="22"/>
        </w:rPr>
      </w:pPr>
      <w:r>
        <w:rPr>
          <w:sz w:val="22"/>
        </w:rPr>
        <w:t>contributions of infectious agents. </w:t>
      </w:r>
      <w:r>
        <w:rPr>
          <w:i/>
          <w:sz w:val="22"/>
        </w:rPr>
        <w:t>Ann Periodontol  </w:t>
      </w:r>
      <w:r>
        <w:rPr>
          <w:i/>
          <w:spacing w:val="8"/>
          <w:sz w:val="22"/>
        </w:rPr>
        <w:t> </w:t>
      </w:r>
      <w:r>
        <w:rPr>
          <w:sz w:val="22"/>
        </w:rPr>
        <w:t>2001;6:16-9.</w:t>
      </w:r>
    </w:p>
    <w:p>
      <w:pPr>
        <w:pStyle w:val="ListParagraph"/>
        <w:numPr>
          <w:ilvl w:val="0"/>
          <w:numId w:val="21"/>
        </w:numPr>
        <w:tabs>
          <w:tab w:pos="1937" w:val="left" w:leader="none"/>
          <w:tab w:pos="1938" w:val="left" w:leader="none"/>
        </w:tabs>
        <w:spacing w:line="240" w:lineRule="auto" w:before="133" w:after="0"/>
        <w:ind w:left="1937" w:right="0" w:hanging="684"/>
        <w:jc w:val="left"/>
        <w:rPr>
          <w:i/>
          <w:sz w:val="22"/>
        </w:rPr>
      </w:pPr>
      <w:r>
        <w:rPr>
          <w:sz w:val="22"/>
        </w:rPr>
        <w:t>19. Libby P, Ridker PM, Maseri A. Infammation and atherosclerosis.  </w:t>
      </w:r>
      <w:r>
        <w:rPr>
          <w:spacing w:val="39"/>
          <w:sz w:val="22"/>
        </w:rPr>
        <w:t> </w:t>
      </w:r>
      <w:r>
        <w:rPr>
          <w:i/>
          <w:sz w:val="22"/>
        </w:rPr>
        <w:t>Circulation</w:t>
      </w:r>
    </w:p>
    <w:p>
      <w:pPr>
        <w:tabs>
          <w:tab w:pos="2275" w:val="left" w:leader="none"/>
        </w:tabs>
        <w:spacing w:before="138"/>
        <w:ind w:left="1253" w:right="0" w:firstLine="0"/>
        <w:jc w:val="left"/>
        <w:rPr>
          <w:rFonts w:ascii="Times New Roman"/>
          <w:sz w:val="22"/>
        </w:rPr>
      </w:pPr>
      <w:r>
        <w:rPr>
          <w:rFonts w:ascii="Cambria"/>
          <w:w w:val="105"/>
          <w:sz w:val="20"/>
        </w:rPr>
        <w:t>360</w:t>
        <w:tab/>
      </w:r>
      <w:r>
        <w:rPr>
          <w:rFonts w:ascii="Times New Roman"/>
          <w:w w:val="105"/>
          <w:sz w:val="22"/>
        </w:rPr>
        <w:t>2002;10(5):1135-43.</w:t>
      </w:r>
    </w:p>
    <w:p>
      <w:pPr>
        <w:pStyle w:val="ListParagraph"/>
        <w:numPr>
          <w:ilvl w:val="0"/>
          <w:numId w:val="22"/>
        </w:numPr>
        <w:tabs>
          <w:tab w:pos="1937" w:val="left" w:leader="none"/>
          <w:tab w:pos="1938" w:val="left" w:leader="none"/>
        </w:tabs>
        <w:spacing w:line="240" w:lineRule="auto" w:before="136" w:after="0"/>
        <w:ind w:left="1937" w:right="0" w:hanging="684"/>
        <w:jc w:val="left"/>
        <w:rPr>
          <w:sz w:val="22"/>
        </w:rPr>
      </w:pPr>
      <w:r>
        <w:rPr>
          <w:sz w:val="22"/>
        </w:rPr>
        <w:t>20. Hess RS, Kass PH, Van Winkle TJ. Association between aterosclerosis  </w:t>
      </w:r>
      <w:r>
        <w:rPr>
          <w:spacing w:val="43"/>
          <w:sz w:val="22"/>
        </w:rPr>
        <w:t> </w:t>
      </w:r>
      <w:r>
        <w:rPr>
          <w:sz w:val="22"/>
        </w:rPr>
        <w:t>and</w:t>
      </w:r>
    </w:p>
    <w:p>
      <w:pPr>
        <w:pStyle w:val="ListParagraph"/>
        <w:numPr>
          <w:ilvl w:val="0"/>
          <w:numId w:val="22"/>
        </w:numPr>
        <w:tabs>
          <w:tab w:pos="2275" w:val="left" w:leader="none"/>
          <w:tab w:pos="2276" w:val="left" w:leader="none"/>
        </w:tabs>
        <w:spacing w:line="240" w:lineRule="auto" w:before="136" w:after="0"/>
        <w:ind w:left="2276" w:right="0" w:hanging="1023"/>
        <w:jc w:val="left"/>
        <w:rPr>
          <w:sz w:val="22"/>
        </w:rPr>
      </w:pPr>
      <w:r>
        <w:rPr>
          <w:sz w:val="22"/>
        </w:rPr>
        <w:t>glomerulopathy in dogs. </w:t>
      </w:r>
      <w:r>
        <w:rPr>
          <w:i/>
          <w:sz w:val="22"/>
        </w:rPr>
        <w:t>Intern J App Res Vet Med  </w:t>
      </w:r>
      <w:r>
        <w:rPr>
          <w:i/>
          <w:spacing w:val="23"/>
          <w:sz w:val="22"/>
        </w:rPr>
        <w:t> </w:t>
      </w:r>
      <w:r>
        <w:rPr>
          <w:sz w:val="22"/>
        </w:rPr>
        <w:t>2006;4(3):244-31.</w:t>
      </w:r>
    </w:p>
    <w:p>
      <w:pPr>
        <w:pStyle w:val="ListParagraph"/>
        <w:numPr>
          <w:ilvl w:val="0"/>
          <w:numId w:val="22"/>
        </w:numPr>
        <w:tabs>
          <w:tab w:pos="1937" w:val="left" w:leader="none"/>
          <w:tab w:pos="1938" w:val="left" w:leader="none"/>
        </w:tabs>
        <w:spacing w:line="240" w:lineRule="auto" w:before="136" w:after="0"/>
        <w:ind w:left="1937" w:right="0" w:hanging="684"/>
        <w:jc w:val="left"/>
        <w:rPr>
          <w:sz w:val="22"/>
        </w:rPr>
      </w:pPr>
      <w:r>
        <w:rPr>
          <w:sz w:val="22"/>
        </w:rPr>
        <w:t>21.</w:t>
      </w:r>
      <w:r>
        <w:rPr>
          <w:spacing w:val="9"/>
          <w:sz w:val="22"/>
        </w:rPr>
        <w:t> </w:t>
      </w:r>
      <w:r>
        <w:rPr>
          <w:sz w:val="22"/>
        </w:rPr>
        <w:t>Yabuki</w:t>
      </w:r>
      <w:r>
        <w:rPr>
          <w:spacing w:val="8"/>
          <w:sz w:val="22"/>
        </w:rPr>
        <w:t> </w:t>
      </w:r>
      <w:r>
        <w:rPr>
          <w:sz w:val="22"/>
        </w:rPr>
        <w:t>A,</w:t>
      </w:r>
      <w:r>
        <w:rPr>
          <w:spacing w:val="12"/>
          <w:sz w:val="22"/>
        </w:rPr>
        <w:t> </w:t>
      </w:r>
      <w:r>
        <w:rPr>
          <w:sz w:val="22"/>
        </w:rPr>
        <w:t>Mitani</w:t>
      </w:r>
      <w:r>
        <w:rPr>
          <w:spacing w:val="10"/>
          <w:sz w:val="22"/>
        </w:rPr>
        <w:t> </w:t>
      </w:r>
      <w:r>
        <w:rPr>
          <w:sz w:val="22"/>
        </w:rPr>
        <w:t>S,</w:t>
      </w:r>
      <w:r>
        <w:rPr>
          <w:spacing w:val="12"/>
          <w:sz w:val="22"/>
        </w:rPr>
        <w:t> </w:t>
      </w:r>
      <w:r>
        <w:rPr>
          <w:sz w:val="22"/>
        </w:rPr>
        <w:t>Sawa</w:t>
      </w:r>
      <w:r>
        <w:rPr>
          <w:spacing w:val="11"/>
          <w:sz w:val="22"/>
        </w:rPr>
        <w:t> </w:t>
      </w:r>
      <w:r>
        <w:rPr>
          <w:sz w:val="22"/>
        </w:rPr>
        <w:t>M,</w:t>
      </w:r>
      <w:r>
        <w:rPr>
          <w:spacing w:val="12"/>
          <w:sz w:val="22"/>
        </w:rPr>
        <w:t> </w:t>
      </w:r>
      <w:r>
        <w:rPr>
          <w:sz w:val="22"/>
        </w:rPr>
        <w:t>et</w:t>
      </w:r>
      <w:r>
        <w:rPr>
          <w:spacing w:val="10"/>
          <w:sz w:val="22"/>
        </w:rPr>
        <w:t> </w:t>
      </w:r>
      <w:r>
        <w:rPr>
          <w:sz w:val="22"/>
        </w:rPr>
        <w:t>al.</w:t>
      </w:r>
      <w:r>
        <w:rPr>
          <w:spacing w:val="12"/>
          <w:sz w:val="22"/>
        </w:rPr>
        <w:t> </w:t>
      </w:r>
      <w:r>
        <w:rPr>
          <w:sz w:val="22"/>
        </w:rPr>
        <w:t>A</w:t>
      </w:r>
      <w:r>
        <w:rPr>
          <w:spacing w:val="5"/>
          <w:sz w:val="22"/>
        </w:rPr>
        <w:t> </w:t>
      </w:r>
      <w:r>
        <w:rPr>
          <w:sz w:val="22"/>
        </w:rPr>
        <w:t>comparative</w:t>
      </w:r>
      <w:r>
        <w:rPr>
          <w:spacing w:val="11"/>
          <w:sz w:val="22"/>
        </w:rPr>
        <w:t> </w:t>
      </w:r>
      <w:r>
        <w:rPr>
          <w:sz w:val="22"/>
        </w:rPr>
        <w:t>study</w:t>
      </w:r>
      <w:r>
        <w:rPr>
          <w:spacing w:val="10"/>
          <w:sz w:val="22"/>
        </w:rPr>
        <w:t> </w:t>
      </w:r>
      <w:r>
        <w:rPr>
          <w:sz w:val="22"/>
        </w:rPr>
        <w:t>of</w:t>
      </w:r>
      <w:r>
        <w:rPr>
          <w:spacing w:val="7"/>
          <w:sz w:val="22"/>
        </w:rPr>
        <w:t> </w:t>
      </w:r>
      <w:r>
        <w:rPr>
          <w:sz w:val="22"/>
        </w:rPr>
        <w:t>chronic</w:t>
      </w:r>
      <w:r>
        <w:rPr>
          <w:spacing w:val="11"/>
          <w:sz w:val="22"/>
        </w:rPr>
        <w:t> </w:t>
      </w:r>
      <w:r>
        <w:rPr>
          <w:sz w:val="22"/>
        </w:rPr>
        <w:t>kidney</w:t>
      </w:r>
      <w:r>
        <w:rPr>
          <w:spacing w:val="8"/>
          <w:sz w:val="22"/>
        </w:rPr>
        <w:t> </w:t>
      </w:r>
      <w:r>
        <w:rPr>
          <w:sz w:val="22"/>
        </w:rPr>
        <w:t>disease</w:t>
      </w:r>
      <w:r>
        <w:rPr>
          <w:spacing w:val="11"/>
          <w:sz w:val="22"/>
        </w:rPr>
        <w:t> </w:t>
      </w:r>
      <w:r>
        <w:rPr>
          <w:sz w:val="22"/>
        </w:rPr>
        <w:t>in</w:t>
      </w:r>
      <w:r>
        <w:rPr>
          <w:spacing w:val="10"/>
          <w:sz w:val="22"/>
        </w:rPr>
        <w:t> </w:t>
      </w:r>
      <w:r>
        <w:rPr>
          <w:sz w:val="22"/>
        </w:rPr>
        <w:t>dos</w:t>
      </w:r>
    </w:p>
    <w:p>
      <w:pPr>
        <w:pStyle w:val="ListParagraph"/>
        <w:numPr>
          <w:ilvl w:val="0"/>
          <w:numId w:val="22"/>
        </w:numPr>
        <w:tabs>
          <w:tab w:pos="2275" w:val="left" w:leader="none"/>
          <w:tab w:pos="2276" w:val="left" w:leader="none"/>
        </w:tabs>
        <w:spacing w:line="240" w:lineRule="auto" w:before="136" w:after="0"/>
        <w:ind w:left="2276" w:right="0" w:hanging="1023"/>
        <w:jc w:val="left"/>
        <w:rPr>
          <w:sz w:val="22"/>
        </w:rPr>
      </w:pPr>
      <w:r>
        <w:rPr>
          <w:sz w:val="22"/>
        </w:rPr>
        <w:t>and cats: Induction of cyclooxygenases. </w:t>
      </w:r>
      <w:r>
        <w:rPr>
          <w:i/>
          <w:sz w:val="22"/>
        </w:rPr>
        <w:t>Res Vet Sci  </w:t>
      </w:r>
      <w:r>
        <w:rPr>
          <w:i/>
          <w:spacing w:val="12"/>
          <w:sz w:val="22"/>
        </w:rPr>
        <w:t> </w:t>
      </w:r>
      <w:r>
        <w:rPr>
          <w:sz w:val="22"/>
        </w:rPr>
        <w:t>2012;93:892-7.</w:t>
      </w:r>
    </w:p>
    <w:p>
      <w:pPr>
        <w:pStyle w:val="ListParagraph"/>
        <w:numPr>
          <w:ilvl w:val="0"/>
          <w:numId w:val="22"/>
        </w:numPr>
        <w:tabs>
          <w:tab w:pos="1937" w:val="left" w:leader="none"/>
          <w:tab w:pos="1938" w:val="left" w:leader="none"/>
        </w:tabs>
        <w:spacing w:line="240" w:lineRule="auto" w:before="136" w:after="0"/>
        <w:ind w:left="1937" w:right="0" w:hanging="684"/>
        <w:jc w:val="left"/>
        <w:rPr>
          <w:sz w:val="22"/>
        </w:rPr>
      </w:pPr>
      <w:r>
        <w:rPr>
          <w:sz w:val="22"/>
        </w:rPr>
        <w:t>22. Thariat J, Vendrely B, Roca </w:t>
      </w:r>
      <w:r>
        <w:rPr>
          <w:spacing w:val="-3"/>
          <w:sz w:val="22"/>
        </w:rPr>
        <w:t>S, </w:t>
      </w:r>
      <w:r>
        <w:rPr>
          <w:sz w:val="22"/>
        </w:rPr>
        <w:t>et al. Syndromes paranéoplasiques à expression   </w:t>
      </w:r>
      <w:r>
        <w:rPr>
          <w:spacing w:val="12"/>
          <w:sz w:val="22"/>
        </w:rPr>
        <w:t> </w:t>
      </w:r>
      <w:r>
        <w:rPr>
          <w:sz w:val="22"/>
        </w:rPr>
        <w:t>rénale et</w:t>
      </w:r>
    </w:p>
    <w:p>
      <w:pPr>
        <w:pStyle w:val="ListParagraph"/>
        <w:numPr>
          <w:ilvl w:val="0"/>
          <w:numId w:val="22"/>
        </w:numPr>
        <w:tabs>
          <w:tab w:pos="2275" w:val="left" w:leader="none"/>
          <w:tab w:pos="2276" w:val="left" w:leader="none"/>
        </w:tabs>
        <w:spacing w:line="240" w:lineRule="auto" w:before="136" w:after="0"/>
        <w:ind w:left="2276" w:right="0" w:hanging="1023"/>
        <w:jc w:val="left"/>
        <w:rPr>
          <w:sz w:val="22"/>
        </w:rPr>
      </w:pPr>
      <w:r>
        <w:rPr>
          <w:sz w:val="22"/>
        </w:rPr>
        <w:t>atteintes rénales des cancers. Bull Cancer </w:t>
      </w:r>
      <w:r>
        <w:rPr>
          <w:spacing w:val="49"/>
          <w:sz w:val="22"/>
        </w:rPr>
        <w:t> </w:t>
      </w:r>
      <w:r>
        <w:rPr>
          <w:sz w:val="22"/>
        </w:rPr>
        <w:t>2012;99:263-75.</w:t>
      </w:r>
    </w:p>
    <w:p>
      <w:pPr>
        <w:pStyle w:val="ListParagraph"/>
        <w:numPr>
          <w:ilvl w:val="0"/>
          <w:numId w:val="22"/>
        </w:numPr>
        <w:tabs>
          <w:tab w:pos="1937" w:val="left" w:leader="none"/>
          <w:tab w:pos="1938" w:val="left" w:leader="none"/>
        </w:tabs>
        <w:spacing w:line="240" w:lineRule="auto" w:before="136" w:after="0"/>
        <w:ind w:left="1937" w:right="0" w:hanging="684"/>
        <w:jc w:val="left"/>
        <w:rPr>
          <w:sz w:val="22"/>
        </w:rPr>
      </w:pPr>
      <w:r>
        <w:rPr>
          <w:sz w:val="22"/>
        </w:rPr>
        <w:t>23. Birkeland SA, Storm HH. Glomerulonephritis and malignancy: a   </w:t>
      </w:r>
      <w:r>
        <w:rPr>
          <w:spacing w:val="1"/>
          <w:sz w:val="22"/>
        </w:rPr>
        <w:t> </w:t>
      </w:r>
      <w:r>
        <w:rPr>
          <w:sz w:val="22"/>
        </w:rPr>
        <w:t>population-based</w:t>
      </w:r>
    </w:p>
    <w:p>
      <w:pPr>
        <w:pStyle w:val="ListParagraph"/>
        <w:numPr>
          <w:ilvl w:val="0"/>
          <w:numId w:val="22"/>
        </w:numPr>
        <w:tabs>
          <w:tab w:pos="2275" w:val="left" w:leader="none"/>
          <w:tab w:pos="2276" w:val="left" w:leader="none"/>
        </w:tabs>
        <w:spacing w:line="240" w:lineRule="auto" w:before="136" w:after="0"/>
        <w:ind w:left="2276" w:right="0" w:hanging="1023"/>
        <w:jc w:val="left"/>
        <w:rPr>
          <w:sz w:val="22"/>
        </w:rPr>
      </w:pPr>
      <w:r>
        <w:rPr>
          <w:sz w:val="22"/>
        </w:rPr>
        <w:t>analysis. </w:t>
      </w:r>
      <w:r>
        <w:rPr>
          <w:i/>
          <w:sz w:val="22"/>
        </w:rPr>
        <w:t>Kidney Int </w:t>
      </w:r>
      <w:r>
        <w:rPr>
          <w:i/>
          <w:spacing w:val="14"/>
          <w:sz w:val="22"/>
        </w:rPr>
        <w:t> </w:t>
      </w:r>
      <w:r>
        <w:rPr>
          <w:sz w:val="22"/>
        </w:rPr>
        <w:t>2003;63:716-21.</w:t>
      </w:r>
    </w:p>
    <w:p>
      <w:pPr>
        <w:pStyle w:val="ListParagraph"/>
        <w:numPr>
          <w:ilvl w:val="0"/>
          <w:numId w:val="22"/>
        </w:numPr>
        <w:tabs>
          <w:tab w:pos="1937" w:val="left" w:leader="none"/>
          <w:tab w:pos="1938" w:val="left" w:leader="none"/>
        </w:tabs>
        <w:spacing w:line="240" w:lineRule="auto" w:before="138" w:after="0"/>
        <w:ind w:left="1937" w:right="0" w:hanging="684"/>
        <w:jc w:val="left"/>
        <w:rPr>
          <w:sz w:val="22"/>
        </w:rPr>
      </w:pPr>
      <w:r>
        <w:rPr>
          <w:sz w:val="22"/>
        </w:rPr>
        <w:t>24. O’Neill DG, Elliot J, Church DB, et al.   </w:t>
      </w:r>
      <w:r>
        <w:rPr>
          <w:spacing w:val="4"/>
          <w:sz w:val="22"/>
        </w:rPr>
        <w:t> </w:t>
      </w:r>
      <w:r>
        <w:rPr>
          <w:sz w:val="22"/>
        </w:rPr>
        <w:t>Chornic kidney disease in dogs in UK veterinary</w:t>
      </w:r>
    </w:p>
    <w:p>
      <w:pPr>
        <w:pStyle w:val="ListParagraph"/>
        <w:numPr>
          <w:ilvl w:val="0"/>
          <w:numId w:val="22"/>
        </w:numPr>
        <w:tabs>
          <w:tab w:pos="2275" w:val="left" w:leader="none"/>
          <w:tab w:pos="2276" w:val="left" w:leader="none"/>
        </w:tabs>
        <w:spacing w:line="240" w:lineRule="auto" w:before="133" w:after="0"/>
        <w:ind w:left="2275" w:right="0" w:hanging="1022"/>
        <w:jc w:val="left"/>
        <w:rPr>
          <w:sz w:val="22"/>
        </w:rPr>
      </w:pPr>
      <w:r>
        <w:rPr>
          <w:sz w:val="22"/>
        </w:rPr>
        <w:t>practices: Prevalence, risk factors and survival. </w:t>
      </w:r>
      <w:r>
        <w:rPr>
          <w:i/>
          <w:sz w:val="22"/>
        </w:rPr>
        <w:t>J Vet Intern Med  </w:t>
      </w:r>
      <w:r>
        <w:rPr>
          <w:i/>
          <w:spacing w:val="39"/>
          <w:sz w:val="22"/>
        </w:rPr>
        <w:t> </w:t>
      </w:r>
      <w:r>
        <w:rPr>
          <w:sz w:val="22"/>
        </w:rPr>
        <w:t>2013;27:814-21.</w:t>
      </w:r>
    </w:p>
    <w:p>
      <w:pPr>
        <w:pStyle w:val="ListParagraph"/>
        <w:numPr>
          <w:ilvl w:val="0"/>
          <w:numId w:val="22"/>
        </w:numPr>
        <w:tabs>
          <w:tab w:pos="1937" w:val="left" w:leader="none"/>
          <w:tab w:pos="1938" w:val="left" w:leader="none"/>
        </w:tabs>
        <w:spacing w:line="240" w:lineRule="auto" w:before="138" w:after="0"/>
        <w:ind w:left="1937" w:right="0" w:hanging="684"/>
        <w:jc w:val="left"/>
        <w:rPr>
          <w:sz w:val="22"/>
        </w:rPr>
      </w:pPr>
      <w:r>
        <w:rPr>
          <w:sz w:val="22"/>
        </w:rPr>
        <w:t>25. Zoccali C, Mallamaci F, Tripepi G. Inflammation and atherosclerosis in end-stage   </w:t>
      </w:r>
      <w:r>
        <w:rPr>
          <w:spacing w:val="1"/>
          <w:sz w:val="22"/>
        </w:rPr>
        <w:t> </w:t>
      </w:r>
      <w:r>
        <w:rPr>
          <w:sz w:val="22"/>
        </w:rPr>
        <w:t>renal</w:t>
      </w:r>
    </w:p>
    <w:p>
      <w:pPr>
        <w:tabs>
          <w:tab w:pos="2275" w:val="left" w:leader="none"/>
        </w:tabs>
        <w:spacing w:before="136"/>
        <w:ind w:left="1253" w:right="0" w:firstLine="0"/>
        <w:jc w:val="left"/>
        <w:rPr>
          <w:rFonts w:ascii="Times New Roman"/>
          <w:sz w:val="22"/>
        </w:rPr>
      </w:pPr>
      <w:r>
        <w:rPr>
          <w:rFonts w:ascii="Cambria"/>
          <w:w w:val="105"/>
          <w:sz w:val="20"/>
        </w:rPr>
        <w:t>372</w:t>
        <w:tab/>
      </w:r>
      <w:r>
        <w:rPr>
          <w:rFonts w:ascii="Times New Roman"/>
          <w:w w:val="105"/>
          <w:sz w:val="22"/>
        </w:rPr>
        <w:t>diease.</w:t>
      </w:r>
      <w:r>
        <w:rPr>
          <w:rFonts w:ascii="Times New Roman"/>
          <w:spacing w:val="-33"/>
          <w:w w:val="105"/>
          <w:sz w:val="22"/>
        </w:rPr>
        <w:t> </w:t>
      </w:r>
      <w:r>
        <w:rPr>
          <w:rFonts w:ascii="Times New Roman"/>
          <w:i/>
          <w:w w:val="105"/>
          <w:sz w:val="22"/>
        </w:rPr>
        <w:t>Blood</w:t>
      </w:r>
      <w:r>
        <w:rPr>
          <w:rFonts w:ascii="Times New Roman"/>
          <w:i/>
          <w:spacing w:val="-33"/>
          <w:w w:val="105"/>
          <w:sz w:val="22"/>
        </w:rPr>
        <w:t> </w:t>
      </w:r>
      <w:r>
        <w:rPr>
          <w:rFonts w:ascii="Times New Roman"/>
          <w:i/>
          <w:w w:val="105"/>
          <w:sz w:val="22"/>
        </w:rPr>
        <w:t>Purif</w:t>
      </w:r>
      <w:r>
        <w:rPr>
          <w:rFonts w:ascii="Times New Roman"/>
          <w:i/>
          <w:spacing w:val="-33"/>
          <w:w w:val="105"/>
          <w:sz w:val="22"/>
        </w:rPr>
        <w:t> </w:t>
      </w:r>
      <w:r>
        <w:rPr>
          <w:rFonts w:ascii="Times New Roman"/>
          <w:w w:val="105"/>
          <w:sz w:val="22"/>
        </w:rPr>
        <w:t>2003;21(1):29-36.</w:t>
      </w:r>
    </w:p>
    <w:p>
      <w:pPr>
        <w:tabs>
          <w:tab w:pos="1937" w:val="left" w:leader="none"/>
        </w:tabs>
        <w:spacing w:before="136"/>
        <w:ind w:left="1253" w:right="0" w:firstLine="0"/>
        <w:jc w:val="left"/>
        <w:rPr>
          <w:rFonts w:ascii="Times New Roman"/>
          <w:i/>
          <w:sz w:val="22"/>
        </w:rPr>
      </w:pPr>
      <w:r>
        <w:rPr>
          <w:rFonts w:ascii="Cambria"/>
          <w:sz w:val="20"/>
        </w:rPr>
        <w:t>373</w:t>
        <w:tab/>
      </w:r>
      <w:r>
        <w:rPr>
          <w:rFonts w:ascii="Times New Roman"/>
          <w:sz w:val="22"/>
        </w:rPr>
        <w:t>26. Weiner DE, Sarnak MJ. Managing dyslipidemia in chronic kidney disease. </w:t>
      </w:r>
      <w:r>
        <w:rPr>
          <w:rFonts w:ascii="Times New Roman"/>
          <w:i/>
          <w:sz w:val="22"/>
        </w:rPr>
        <w:t>J Gen   </w:t>
      </w:r>
      <w:r>
        <w:rPr>
          <w:rFonts w:ascii="Times New Roman"/>
          <w:i/>
          <w:spacing w:val="4"/>
          <w:sz w:val="22"/>
        </w:rPr>
        <w:t> </w:t>
      </w:r>
      <w:r>
        <w:rPr>
          <w:rFonts w:ascii="Times New Roman"/>
          <w:i/>
          <w:sz w:val="22"/>
        </w:rPr>
        <w:t>Intern</w:t>
      </w:r>
    </w:p>
    <w:p>
      <w:pPr>
        <w:tabs>
          <w:tab w:pos="2275" w:val="left" w:leader="none"/>
        </w:tabs>
        <w:spacing w:before="136"/>
        <w:ind w:left="1253" w:right="0" w:firstLine="0"/>
        <w:jc w:val="left"/>
        <w:rPr>
          <w:rFonts w:ascii="Times New Roman"/>
          <w:sz w:val="22"/>
        </w:rPr>
      </w:pPr>
      <w:r>
        <w:rPr>
          <w:rFonts w:ascii="Cambria"/>
          <w:w w:val="105"/>
          <w:sz w:val="20"/>
        </w:rPr>
        <w:t>374</w:t>
        <w:tab/>
      </w:r>
      <w:r>
        <w:rPr>
          <w:rFonts w:ascii="Times New Roman"/>
          <w:i/>
          <w:sz w:val="22"/>
        </w:rPr>
        <w:t>Med</w:t>
      </w:r>
      <w:r>
        <w:rPr>
          <w:rFonts w:ascii="Times New Roman"/>
          <w:i/>
          <w:spacing w:val="50"/>
          <w:sz w:val="22"/>
        </w:rPr>
        <w:t> </w:t>
      </w:r>
      <w:r>
        <w:rPr>
          <w:rFonts w:ascii="Times New Roman"/>
          <w:sz w:val="22"/>
        </w:rPr>
        <w:t>2004;19(10):1045-52.</w:t>
      </w:r>
    </w:p>
    <w:p>
      <w:pPr>
        <w:pStyle w:val="ListParagraph"/>
        <w:numPr>
          <w:ilvl w:val="0"/>
          <w:numId w:val="23"/>
        </w:numPr>
        <w:tabs>
          <w:tab w:pos="1937" w:val="left" w:leader="none"/>
          <w:tab w:pos="1938" w:val="left" w:leader="none"/>
        </w:tabs>
        <w:spacing w:line="240" w:lineRule="auto" w:before="138" w:after="0"/>
        <w:ind w:left="1937" w:right="0" w:hanging="684"/>
        <w:jc w:val="left"/>
        <w:rPr>
          <w:sz w:val="22"/>
        </w:rPr>
      </w:pPr>
      <w:r>
        <w:rPr>
          <w:sz w:val="22"/>
        </w:rPr>
        <w:t>27. Singh NP, Ganguli A, Prakash </w:t>
      </w:r>
      <w:r>
        <w:rPr>
          <w:spacing w:val="-3"/>
          <w:sz w:val="22"/>
        </w:rPr>
        <w:t>A. </w:t>
      </w:r>
      <w:r>
        <w:rPr>
          <w:sz w:val="22"/>
        </w:rPr>
        <w:t>Drug-induced kidney disease. JAPI.   </w:t>
      </w:r>
      <w:r>
        <w:rPr>
          <w:spacing w:val="8"/>
          <w:sz w:val="22"/>
        </w:rPr>
        <w:t> </w:t>
      </w:r>
      <w:r>
        <w:rPr>
          <w:sz w:val="22"/>
        </w:rPr>
        <w:t>2003;51:970-9.</w:t>
      </w:r>
    </w:p>
    <w:p>
      <w:pPr>
        <w:spacing w:after="0" w:line="240" w:lineRule="auto"/>
        <w:jc w:val="left"/>
        <w:rPr>
          <w:sz w:val="22"/>
        </w:rPr>
        <w:sectPr>
          <w:headerReference w:type="default" r:id="rId85"/>
          <w:footerReference w:type="default" r:id="rId86"/>
          <w:pgSz w:w="12240" w:h="15840"/>
          <w:pgMar w:header="0" w:footer="0" w:top="140" w:bottom="280" w:left="0" w:right="240"/>
        </w:sectPr>
      </w:pPr>
    </w:p>
    <w:p>
      <w:pPr>
        <w:tabs>
          <w:tab w:pos="3549" w:val="left" w:leader="none"/>
        </w:tabs>
        <w:spacing w:before="56"/>
        <w:ind w:left="373" w:right="0" w:firstLine="0"/>
        <w:jc w:val="left"/>
        <w:rPr>
          <w:b/>
          <w:sz w:val="20"/>
        </w:rPr>
      </w:pPr>
      <w:r>
        <w:rPr>
          <w:b/>
          <w:sz w:val="20"/>
        </w:rPr>
        <w:t>age 13</w:t>
      </w:r>
      <w:r>
        <w:rPr>
          <w:b/>
          <w:spacing w:val="-1"/>
          <w:sz w:val="20"/>
        </w:rPr>
        <w:t> </w:t>
      </w:r>
      <w:r>
        <w:rPr>
          <w:b/>
          <w:sz w:val="20"/>
        </w:rPr>
        <w:t>of</w:t>
      </w:r>
      <w:r>
        <w:rPr>
          <w:b/>
          <w:spacing w:val="-1"/>
          <w:sz w:val="20"/>
        </w:rPr>
        <w:t> </w:t>
      </w:r>
      <w:r>
        <w:rPr>
          <w:b/>
          <w:sz w:val="20"/>
        </w:rPr>
        <w:t>16</w:t>
        <w:tab/>
        <w:t>Journal of the American Veterinary Medical</w:t>
      </w:r>
      <w:r>
        <w:rPr>
          <w:b/>
          <w:spacing w:val="-25"/>
          <w:sz w:val="20"/>
        </w:rPr>
        <w:t> </w:t>
      </w:r>
      <w:r>
        <w:rPr>
          <w:b/>
          <w:sz w:val="20"/>
        </w:rPr>
        <w:t>Association</w:t>
      </w:r>
    </w:p>
    <w:p>
      <w:pPr>
        <w:pStyle w:val="BodyText"/>
        <w:rPr>
          <w:b/>
          <w:sz w:val="20"/>
        </w:rPr>
      </w:pPr>
    </w:p>
    <w:p>
      <w:pPr>
        <w:pStyle w:val="BodyText"/>
        <w:rPr>
          <w:b/>
          <w:sz w:val="20"/>
        </w:rPr>
      </w:pPr>
    </w:p>
    <w:p>
      <w:pPr>
        <w:pStyle w:val="BodyText"/>
        <w:rPr>
          <w:b/>
          <w:sz w:val="20"/>
        </w:rPr>
      </w:pPr>
    </w:p>
    <w:p>
      <w:pPr>
        <w:pStyle w:val="BodyText"/>
        <w:spacing w:before="7"/>
        <w:rPr>
          <w:b/>
          <w:sz w:val="18"/>
        </w:rPr>
      </w:pPr>
    </w:p>
    <w:p>
      <w:pPr>
        <w:pStyle w:val="ListParagraph"/>
        <w:numPr>
          <w:ilvl w:val="0"/>
          <w:numId w:val="23"/>
        </w:numPr>
        <w:tabs>
          <w:tab w:pos="1937" w:val="left" w:leader="none"/>
          <w:tab w:pos="1938" w:val="left" w:leader="none"/>
        </w:tabs>
        <w:spacing w:line="240" w:lineRule="auto" w:before="0" w:after="0"/>
        <w:ind w:left="1937" w:right="0" w:hanging="684"/>
        <w:jc w:val="left"/>
        <w:rPr>
          <w:sz w:val="22"/>
        </w:rPr>
      </w:pPr>
      <w:r>
        <w:rPr>
          <w:sz w:val="22"/>
        </w:rPr>
        <w:t>28. Papich MG. An update on nonsteroidal anti-inflammatory drugs (NSAIDs) in  </w:t>
      </w:r>
      <w:r>
        <w:rPr>
          <w:spacing w:val="49"/>
          <w:sz w:val="22"/>
        </w:rPr>
        <w:t> </w:t>
      </w:r>
      <w:r>
        <w:rPr>
          <w:sz w:val="22"/>
        </w:rPr>
        <w:t>small</w:t>
      </w:r>
    </w:p>
    <w:p>
      <w:pPr>
        <w:pStyle w:val="ListParagraph"/>
        <w:numPr>
          <w:ilvl w:val="0"/>
          <w:numId w:val="23"/>
        </w:numPr>
        <w:tabs>
          <w:tab w:pos="2275" w:val="left" w:leader="none"/>
          <w:tab w:pos="2276" w:val="left" w:leader="none"/>
        </w:tabs>
        <w:spacing w:line="240" w:lineRule="auto" w:before="136" w:after="0"/>
        <w:ind w:left="2276" w:right="0" w:hanging="1023"/>
        <w:jc w:val="left"/>
        <w:rPr>
          <w:sz w:val="22"/>
        </w:rPr>
      </w:pPr>
      <w:r>
        <w:rPr>
          <w:sz w:val="22"/>
        </w:rPr>
        <w:t>animals. </w:t>
      </w:r>
      <w:r>
        <w:rPr>
          <w:i/>
          <w:sz w:val="22"/>
        </w:rPr>
        <w:t>Vet Clin North Am Small Anim Pract.  </w:t>
      </w:r>
      <w:r>
        <w:rPr>
          <w:i/>
          <w:spacing w:val="14"/>
          <w:sz w:val="22"/>
        </w:rPr>
        <w:t> </w:t>
      </w:r>
      <w:r>
        <w:rPr>
          <w:sz w:val="22"/>
        </w:rPr>
        <w:t>2008;38:1243-66.</w:t>
      </w:r>
    </w:p>
    <w:p>
      <w:pPr>
        <w:pStyle w:val="ListParagraph"/>
        <w:numPr>
          <w:ilvl w:val="0"/>
          <w:numId w:val="23"/>
        </w:numPr>
        <w:tabs>
          <w:tab w:pos="1937" w:val="left" w:leader="none"/>
          <w:tab w:pos="1938" w:val="left" w:leader="none"/>
        </w:tabs>
        <w:spacing w:line="240" w:lineRule="auto" w:before="136" w:after="0"/>
        <w:ind w:left="1937" w:right="0" w:hanging="684"/>
        <w:jc w:val="left"/>
        <w:rPr>
          <w:sz w:val="22"/>
        </w:rPr>
      </w:pPr>
      <w:r>
        <w:rPr>
          <w:sz w:val="22"/>
        </w:rPr>
        <w:t>29.</w:t>
      </w:r>
      <w:r>
        <w:rPr>
          <w:spacing w:val="11"/>
          <w:sz w:val="22"/>
        </w:rPr>
        <w:t> </w:t>
      </w:r>
      <w:r>
        <w:rPr>
          <w:sz w:val="22"/>
        </w:rPr>
        <w:t>Ackland</w:t>
      </w:r>
      <w:r>
        <w:rPr>
          <w:spacing w:val="13"/>
          <w:sz w:val="22"/>
        </w:rPr>
        <w:t> </w:t>
      </w:r>
      <w:r>
        <w:rPr>
          <w:sz w:val="22"/>
        </w:rPr>
        <w:t>GL,</w:t>
      </w:r>
      <w:r>
        <w:rPr>
          <w:spacing w:val="15"/>
          <w:sz w:val="22"/>
        </w:rPr>
        <w:t> </w:t>
      </w:r>
      <w:r>
        <w:rPr>
          <w:sz w:val="22"/>
        </w:rPr>
        <w:t>Moran</w:t>
      </w:r>
      <w:r>
        <w:rPr>
          <w:spacing w:val="10"/>
          <w:sz w:val="22"/>
        </w:rPr>
        <w:t> </w:t>
      </w:r>
      <w:r>
        <w:rPr>
          <w:sz w:val="22"/>
        </w:rPr>
        <w:t>N,</w:t>
      </w:r>
      <w:r>
        <w:rPr>
          <w:spacing w:val="11"/>
          <w:sz w:val="22"/>
        </w:rPr>
        <w:t> </w:t>
      </w:r>
      <w:r>
        <w:rPr>
          <w:sz w:val="22"/>
        </w:rPr>
        <w:t>Cone</w:t>
      </w:r>
      <w:r>
        <w:rPr>
          <w:spacing w:val="14"/>
          <w:sz w:val="22"/>
        </w:rPr>
        <w:t> </w:t>
      </w:r>
      <w:r>
        <w:rPr>
          <w:sz w:val="22"/>
        </w:rPr>
        <w:t>S,</w:t>
      </w:r>
      <w:r>
        <w:rPr>
          <w:spacing w:val="11"/>
          <w:sz w:val="22"/>
        </w:rPr>
        <w:t> </w:t>
      </w:r>
      <w:r>
        <w:rPr>
          <w:sz w:val="22"/>
        </w:rPr>
        <w:t>et</w:t>
      </w:r>
      <w:r>
        <w:rPr>
          <w:spacing w:val="10"/>
          <w:sz w:val="22"/>
        </w:rPr>
        <w:t> </w:t>
      </w:r>
      <w:r>
        <w:rPr>
          <w:sz w:val="22"/>
        </w:rPr>
        <w:t>al.</w:t>
      </w:r>
      <w:r>
        <w:rPr>
          <w:spacing w:val="15"/>
          <w:sz w:val="22"/>
        </w:rPr>
        <w:t> </w:t>
      </w:r>
      <w:r>
        <w:rPr>
          <w:sz w:val="22"/>
        </w:rPr>
        <w:t>Chronic</w:t>
      </w:r>
      <w:r>
        <w:rPr>
          <w:spacing w:val="11"/>
          <w:sz w:val="22"/>
        </w:rPr>
        <w:t> </w:t>
      </w:r>
      <w:r>
        <w:rPr>
          <w:sz w:val="22"/>
        </w:rPr>
        <w:t>kidney</w:t>
      </w:r>
      <w:r>
        <w:rPr>
          <w:spacing w:val="11"/>
          <w:sz w:val="22"/>
        </w:rPr>
        <w:t> </w:t>
      </w:r>
      <w:r>
        <w:rPr>
          <w:sz w:val="22"/>
        </w:rPr>
        <w:t>disease</w:t>
      </w:r>
      <w:r>
        <w:rPr>
          <w:spacing w:val="14"/>
          <w:sz w:val="22"/>
        </w:rPr>
        <w:t> </w:t>
      </w:r>
      <w:r>
        <w:rPr>
          <w:sz w:val="22"/>
        </w:rPr>
        <w:t>and</w:t>
      </w:r>
      <w:r>
        <w:rPr>
          <w:spacing w:val="13"/>
          <w:sz w:val="22"/>
        </w:rPr>
        <w:t> </w:t>
      </w:r>
      <w:r>
        <w:rPr>
          <w:sz w:val="22"/>
        </w:rPr>
        <w:t>postoperative</w:t>
      </w:r>
      <w:r>
        <w:rPr>
          <w:spacing w:val="14"/>
          <w:sz w:val="22"/>
        </w:rPr>
        <w:t> </w:t>
      </w:r>
      <w:r>
        <w:rPr>
          <w:sz w:val="22"/>
        </w:rPr>
        <w:t>morbidity</w:t>
      </w:r>
    </w:p>
    <w:p>
      <w:pPr>
        <w:pStyle w:val="ListParagraph"/>
        <w:numPr>
          <w:ilvl w:val="0"/>
          <w:numId w:val="23"/>
        </w:numPr>
        <w:tabs>
          <w:tab w:pos="2275" w:val="left" w:leader="none"/>
          <w:tab w:pos="2276" w:val="left" w:leader="none"/>
        </w:tabs>
        <w:spacing w:line="240" w:lineRule="auto" w:before="136" w:after="0"/>
        <w:ind w:left="2276" w:right="0" w:hanging="1023"/>
        <w:jc w:val="left"/>
        <w:rPr>
          <w:sz w:val="22"/>
        </w:rPr>
      </w:pPr>
      <w:r>
        <w:rPr>
          <w:sz w:val="22"/>
        </w:rPr>
        <w:t>after elective orthopedic surgery. </w:t>
      </w:r>
      <w:r>
        <w:rPr>
          <w:i/>
          <w:sz w:val="22"/>
        </w:rPr>
        <w:t>Anesth Analag  </w:t>
      </w:r>
      <w:r>
        <w:rPr>
          <w:i/>
          <w:spacing w:val="16"/>
          <w:sz w:val="22"/>
        </w:rPr>
        <w:t> </w:t>
      </w:r>
      <w:r>
        <w:rPr>
          <w:sz w:val="22"/>
        </w:rPr>
        <w:t>2011;112:1375-81.</w:t>
      </w:r>
    </w:p>
    <w:p>
      <w:pPr>
        <w:pStyle w:val="ListParagraph"/>
        <w:numPr>
          <w:ilvl w:val="0"/>
          <w:numId w:val="23"/>
        </w:numPr>
        <w:tabs>
          <w:tab w:pos="1937" w:val="left" w:leader="none"/>
          <w:tab w:pos="1938" w:val="left" w:leader="none"/>
        </w:tabs>
        <w:spacing w:line="240" w:lineRule="auto" w:before="138" w:after="0"/>
        <w:ind w:left="1937" w:right="0" w:hanging="684"/>
        <w:jc w:val="left"/>
        <w:rPr>
          <w:sz w:val="22"/>
        </w:rPr>
      </w:pPr>
      <w:r>
        <w:rPr>
          <w:sz w:val="22"/>
        </w:rPr>
        <w:t>30. Strom T, Johansen RR, Prahl JO, et al. Sedation and renal impairment  </w:t>
      </w:r>
      <w:r>
        <w:rPr>
          <w:spacing w:val="49"/>
          <w:sz w:val="22"/>
        </w:rPr>
        <w:t> </w:t>
      </w:r>
      <w:r>
        <w:rPr>
          <w:sz w:val="22"/>
        </w:rPr>
        <w:t>in critically ill</w:t>
      </w:r>
    </w:p>
    <w:p>
      <w:pPr>
        <w:pStyle w:val="ListParagraph"/>
        <w:numPr>
          <w:ilvl w:val="0"/>
          <w:numId w:val="23"/>
        </w:numPr>
        <w:tabs>
          <w:tab w:pos="2275" w:val="left" w:leader="none"/>
          <w:tab w:pos="2276" w:val="left" w:leader="none"/>
        </w:tabs>
        <w:spacing w:line="240" w:lineRule="auto" w:before="133" w:after="0"/>
        <w:ind w:left="2275" w:right="0" w:hanging="1022"/>
        <w:jc w:val="left"/>
        <w:rPr>
          <w:sz w:val="22"/>
        </w:rPr>
      </w:pPr>
      <w:r>
        <w:rPr>
          <w:sz w:val="22"/>
        </w:rPr>
        <w:t>patients: a post hoc analysis of a randomized trial. </w:t>
      </w:r>
      <w:r>
        <w:rPr>
          <w:i/>
          <w:sz w:val="22"/>
        </w:rPr>
        <w:t>Critical Care  </w:t>
      </w:r>
      <w:r>
        <w:rPr>
          <w:i/>
          <w:spacing w:val="31"/>
          <w:sz w:val="22"/>
        </w:rPr>
        <w:t> </w:t>
      </w:r>
      <w:r>
        <w:rPr>
          <w:sz w:val="22"/>
        </w:rPr>
        <w:t>2011;15:R119.</w:t>
      </w:r>
    </w:p>
    <w:p>
      <w:pPr>
        <w:pStyle w:val="ListParagraph"/>
        <w:numPr>
          <w:ilvl w:val="0"/>
          <w:numId w:val="23"/>
        </w:numPr>
        <w:tabs>
          <w:tab w:pos="1937" w:val="left" w:leader="none"/>
          <w:tab w:pos="1938" w:val="left" w:leader="none"/>
        </w:tabs>
        <w:spacing w:line="240" w:lineRule="auto" w:before="138" w:after="0"/>
        <w:ind w:left="1937" w:right="0" w:hanging="684"/>
        <w:jc w:val="left"/>
        <w:rPr>
          <w:sz w:val="22"/>
        </w:rPr>
      </w:pPr>
      <w:r>
        <w:rPr>
          <w:sz w:val="22"/>
        </w:rPr>
        <w:t>31. Dabla PK. Renal function in diabetic nephropathy. World J Diabetes.    2010;1(2):48-56.</w:t>
      </w:r>
    </w:p>
    <w:p>
      <w:pPr>
        <w:pStyle w:val="ListParagraph"/>
        <w:numPr>
          <w:ilvl w:val="0"/>
          <w:numId w:val="23"/>
        </w:numPr>
        <w:tabs>
          <w:tab w:pos="1937" w:val="left" w:leader="none"/>
          <w:tab w:pos="1938" w:val="left" w:leader="none"/>
        </w:tabs>
        <w:spacing w:line="240" w:lineRule="auto" w:before="136" w:after="0"/>
        <w:ind w:left="1937" w:right="0" w:hanging="684"/>
        <w:jc w:val="left"/>
        <w:rPr>
          <w:sz w:val="22"/>
        </w:rPr>
      </w:pPr>
      <w:r>
        <w:rPr/>
        <w:pict>
          <v:shape style="position:absolute;margin-left:120.872412pt;margin-top:171.810603pt;width:376.45pt;height:48pt;mso-position-horizontal-relative:page;mso-position-vertical-relative:paragraph;z-index:-122896;rotation:51" type="#_x0000_t136" fillcolor="#d6f1fe" stroked="f">
            <o:extrusion v:ext="view" autorotationcenter="t"/>
            <v:textpath style="font-family:&amp;quot;Arial&amp;quot;;font-size:48pt;v-text-kern:t;mso-text-shadow:auto;font-weight:bold" string="For Review Only"/>
            <w10:wrap type="none"/>
          </v:shape>
        </w:pict>
      </w:r>
      <w:r>
        <w:rPr>
          <w:sz w:val="22"/>
        </w:rPr>
        <w:t>32. Suckling R, Gallagher H. Chronic kidney disease, diabetes mellitus and   </w:t>
      </w:r>
      <w:r>
        <w:rPr>
          <w:spacing w:val="4"/>
          <w:sz w:val="22"/>
        </w:rPr>
        <w:t> </w:t>
      </w:r>
      <w:r>
        <w:rPr>
          <w:sz w:val="22"/>
        </w:rPr>
        <w:t>cardiovascular</w:t>
      </w:r>
    </w:p>
    <w:p>
      <w:pPr>
        <w:pStyle w:val="ListParagraph"/>
        <w:numPr>
          <w:ilvl w:val="0"/>
          <w:numId w:val="23"/>
        </w:numPr>
        <w:tabs>
          <w:tab w:pos="2275" w:val="left" w:leader="none"/>
          <w:tab w:pos="2276" w:val="left" w:leader="none"/>
        </w:tabs>
        <w:spacing w:line="240" w:lineRule="auto" w:before="136" w:after="0"/>
        <w:ind w:left="2276" w:right="0" w:hanging="1023"/>
        <w:jc w:val="left"/>
        <w:rPr>
          <w:sz w:val="22"/>
        </w:rPr>
      </w:pPr>
      <w:r>
        <w:rPr>
          <w:sz w:val="22"/>
        </w:rPr>
        <w:t>disease: risks and commonalities. </w:t>
      </w:r>
      <w:r>
        <w:rPr>
          <w:i/>
          <w:sz w:val="22"/>
        </w:rPr>
        <w:t>J Renal Care </w:t>
      </w:r>
      <w:r>
        <w:rPr>
          <w:sz w:val="22"/>
        </w:rPr>
        <w:t>2012;38:  </w:t>
      </w:r>
      <w:r>
        <w:rPr>
          <w:spacing w:val="8"/>
          <w:sz w:val="22"/>
        </w:rPr>
        <w:t> </w:t>
      </w:r>
      <w:r>
        <w:rPr>
          <w:sz w:val="22"/>
        </w:rPr>
        <w:t>4-11.</w:t>
      </w:r>
    </w:p>
    <w:p>
      <w:pPr>
        <w:pStyle w:val="ListParagraph"/>
        <w:numPr>
          <w:ilvl w:val="0"/>
          <w:numId w:val="23"/>
        </w:numPr>
        <w:tabs>
          <w:tab w:pos="1937" w:val="left" w:leader="none"/>
          <w:tab w:pos="1938" w:val="left" w:leader="none"/>
        </w:tabs>
        <w:spacing w:line="240" w:lineRule="auto" w:before="136" w:after="0"/>
        <w:ind w:left="1937" w:right="0" w:hanging="684"/>
        <w:jc w:val="left"/>
        <w:rPr>
          <w:sz w:val="22"/>
        </w:rPr>
      </w:pPr>
      <w:r>
        <w:rPr>
          <w:sz w:val="22"/>
        </w:rPr>
        <w:t>33. Bloom CA, Rand JS. Diabetes and the kidney in human and veterinary medicine.   </w:t>
      </w:r>
      <w:r>
        <w:rPr>
          <w:spacing w:val="10"/>
          <w:sz w:val="22"/>
        </w:rPr>
        <w:t> </w:t>
      </w:r>
      <w:r>
        <w:rPr>
          <w:sz w:val="22"/>
        </w:rPr>
        <w:t>Vet Clin</w:t>
      </w:r>
    </w:p>
    <w:p>
      <w:pPr>
        <w:tabs>
          <w:tab w:pos="2275" w:val="left" w:leader="none"/>
        </w:tabs>
        <w:spacing w:before="138"/>
        <w:ind w:left="1253" w:right="0" w:firstLine="0"/>
        <w:jc w:val="left"/>
        <w:rPr>
          <w:rFonts w:ascii="Times New Roman"/>
          <w:sz w:val="22"/>
        </w:rPr>
      </w:pPr>
      <w:r>
        <w:rPr>
          <w:rFonts w:ascii="Cambria"/>
          <w:w w:val="105"/>
          <w:sz w:val="20"/>
        </w:rPr>
        <w:t>386</w:t>
        <w:tab/>
      </w:r>
      <w:r>
        <w:rPr>
          <w:rFonts w:ascii="Times New Roman"/>
          <w:w w:val="105"/>
          <w:sz w:val="22"/>
        </w:rPr>
        <w:t>Small</w:t>
      </w:r>
      <w:r>
        <w:rPr>
          <w:rFonts w:ascii="Times New Roman"/>
          <w:spacing w:val="-39"/>
          <w:w w:val="105"/>
          <w:sz w:val="22"/>
        </w:rPr>
        <w:t> </w:t>
      </w:r>
      <w:r>
        <w:rPr>
          <w:rFonts w:ascii="Times New Roman"/>
          <w:w w:val="105"/>
          <w:sz w:val="22"/>
        </w:rPr>
        <w:t>Anim.</w:t>
      </w:r>
      <w:r>
        <w:rPr>
          <w:rFonts w:ascii="Times New Roman"/>
          <w:spacing w:val="-39"/>
          <w:w w:val="105"/>
          <w:sz w:val="22"/>
        </w:rPr>
        <w:t> </w:t>
      </w:r>
      <w:r>
        <w:rPr>
          <w:rFonts w:ascii="Times New Roman"/>
          <w:w w:val="105"/>
          <w:sz w:val="22"/>
        </w:rPr>
        <w:t>2013;43:351-65.</w:t>
      </w:r>
    </w:p>
    <w:p>
      <w:pPr>
        <w:pStyle w:val="ListParagraph"/>
        <w:numPr>
          <w:ilvl w:val="0"/>
          <w:numId w:val="24"/>
        </w:numPr>
        <w:tabs>
          <w:tab w:pos="1937" w:val="left" w:leader="none"/>
          <w:tab w:pos="1938" w:val="left" w:leader="none"/>
        </w:tabs>
        <w:spacing w:line="240" w:lineRule="auto" w:before="133" w:after="0"/>
        <w:ind w:left="1937" w:right="0" w:hanging="684"/>
        <w:jc w:val="left"/>
        <w:rPr>
          <w:sz w:val="22"/>
        </w:rPr>
      </w:pPr>
      <w:r>
        <w:rPr>
          <w:sz w:val="22"/>
        </w:rPr>
        <w:t>34. Coresh J, Astor BC, Greene T, et al. Prevalence of chronic kidney disease and   </w:t>
      </w:r>
      <w:r>
        <w:rPr>
          <w:spacing w:val="6"/>
          <w:sz w:val="22"/>
        </w:rPr>
        <w:t> </w:t>
      </w:r>
      <w:r>
        <w:rPr>
          <w:sz w:val="22"/>
        </w:rPr>
        <w:t>decreased</w:t>
      </w:r>
    </w:p>
    <w:p>
      <w:pPr>
        <w:pStyle w:val="ListParagraph"/>
        <w:numPr>
          <w:ilvl w:val="0"/>
          <w:numId w:val="24"/>
        </w:numPr>
        <w:tabs>
          <w:tab w:pos="2275" w:val="left" w:leader="none"/>
          <w:tab w:pos="2276" w:val="left" w:leader="none"/>
        </w:tabs>
        <w:spacing w:line="240" w:lineRule="auto" w:before="138" w:after="0"/>
        <w:ind w:left="2276" w:right="0" w:hanging="1023"/>
        <w:jc w:val="left"/>
        <w:rPr>
          <w:sz w:val="22"/>
        </w:rPr>
      </w:pPr>
      <w:r>
        <w:rPr>
          <w:sz w:val="22"/>
        </w:rPr>
        <w:t>kidney function in the adult US population: Third National Health and  </w:t>
      </w:r>
      <w:r>
        <w:rPr>
          <w:spacing w:val="38"/>
          <w:sz w:val="22"/>
        </w:rPr>
        <w:t> </w:t>
      </w:r>
      <w:r>
        <w:rPr>
          <w:sz w:val="22"/>
        </w:rPr>
        <w:t>Nutrition</w:t>
      </w:r>
    </w:p>
    <w:p>
      <w:pPr>
        <w:pStyle w:val="ListParagraph"/>
        <w:numPr>
          <w:ilvl w:val="0"/>
          <w:numId w:val="24"/>
        </w:numPr>
        <w:tabs>
          <w:tab w:pos="2275" w:val="left" w:leader="none"/>
          <w:tab w:pos="2276" w:val="left" w:leader="none"/>
        </w:tabs>
        <w:spacing w:line="240" w:lineRule="auto" w:before="136" w:after="0"/>
        <w:ind w:left="2276" w:right="0" w:hanging="1023"/>
        <w:jc w:val="left"/>
        <w:rPr>
          <w:sz w:val="22"/>
        </w:rPr>
      </w:pPr>
      <w:r>
        <w:rPr>
          <w:sz w:val="22"/>
        </w:rPr>
        <w:t>Examination Survey. </w:t>
      </w:r>
      <w:r>
        <w:rPr>
          <w:i/>
          <w:sz w:val="22"/>
        </w:rPr>
        <w:t>Am J Kidney Dis </w:t>
      </w:r>
      <w:r>
        <w:rPr>
          <w:i/>
          <w:spacing w:val="41"/>
          <w:sz w:val="22"/>
        </w:rPr>
        <w:t> </w:t>
      </w:r>
      <w:r>
        <w:rPr>
          <w:sz w:val="22"/>
        </w:rPr>
        <w:t>2003;41:1-12.</w:t>
      </w:r>
    </w:p>
    <w:p>
      <w:pPr>
        <w:pStyle w:val="ListParagraph"/>
        <w:numPr>
          <w:ilvl w:val="0"/>
          <w:numId w:val="24"/>
        </w:numPr>
        <w:tabs>
          <w:tab w:pos="1937" w:val="left" w:leader="none"/>
          <w:tab w:pos="1938" w:val="left" w:leader="none"/>
        </w:tabs>
        <w:spacing w:line="240" w:lineRule="auto" w:before="136" w:after="0"/>
        <w:ind w:left="1937" w:right="0" w:hanging="684"/>
        <w:jc w:val="left"/>
        <w:rPr>
          <w:sz w:val="22"/>
        </w:rPr>
      </w:pPr>
      <w:r>
        <w:rPr>
          <w:sz w:val="22"/>
        </w:rPr>
        <w:t>35. Stehouwer CD, Henry RM, Dekker JM, et al. Microalbuminuria is associated  </w:t>
      </w:r>
      <w:r>
        <w:rPr>
          <w:spacing w:val="50"/>
          <w:sz w:val="22"/>
        </w:rPr>
        <w:t> </w:t>
      </w:r>
      <w:r>
        <w:rPr>
          <w:sz w:val="22"/>
        </w:rPr>
        <w:t>with</w:t>
      </w:r>
    </w:p>
    <w:p>
      <w:pPr>
        <w:pStyle w:val="ListParagraph"/>
        <w:numPr>
          <w:ilvl w:val="0"/>
          <w:numId w:val="24"/>
        </w:numPr>
        <w:tabs>
          <w:tab w:pos="2275" w:val="left" w:leader="none"/>
          <w:tab w:pos="2276" w:val="left" w:leader="none"/>
        </w:tabs>
        <w:spacing w:line="240" w:lineRule="auto" w:before="136" w:after="0"/>
        <w:ind w:left="2276" w:right="0" w:hanging="1023"/>
        <w:jc w:val="left"/>
        <w:rPr>
          <w:sz w:val="22"/>
        </w:rPr>
      </w:pPr>
      <w:r>
        <w:rPr>
          <w:sz w:val="22"/>
        </w:rPr>
        <w:t>impaired brachial artery, flow-mediated vasodilation in elderly individuals without  </w:t>
      </w:r>
      <w:r>
        <w:rPr>
          <w:spacing w:val="54"/>
          <w:sz w:val="22"/>
        </w:rPr>
        <w:t> </w:t>
      </w:r>
      <w:r>
        <w:rPr>
          <w:sz w:val="22"/>
        </w:rPr>
        <w:t>and</w:t>
      </w:r>
    </w:p>
    <w:p>
      <w:pPr>
        <w:pStyle w:val="ListParagraph"/>
        <w:numPr>
          <w:ilvl w:val="0"/>
          <w:numId w:val="24"/>
        </w:numPr>
        <w:tabs>
          <w:tab w:pos="2275" w:val="left" w:leader="none"/>
          <w:tab w:pos="2276" w:val="left" w:leader="none"/>
        </w:tabs>
        <w:spacing w:line="240" w:lineRule="auto" w:before="138" w:after="0"/>
        <w:ind w:left="2276" w:right="0" w:hanging="1023"/>
        <w:jc w:val="left"/>
        <w:rPr>
          <w:sz w:val="22"/>
        </w:rPr>
      </w:pPr>
      <w:r>
        <w:rPr>
          <w:sz w:val="22"/>
        </w:rPr>
        <w:t>with diabetes: further evidence for a link between microalbuminuria and  </w:t>
      </w:r>
      <w:r>
        <w:rPr>
          <w:spacing w:val="48"/>
          <w:sz w:val="22"/>
        </w:rPr>
        <w:t> </w:t>
      </w:r>
      <w:r>
        <w:rPr>
          <w:sz w:val="22"/>
        </w:rPr>
        <w:t>endothelial</w:t>
      </w:r>
    </w:p>
    <w:p>
      <w:pPr>
        <w:pStyle w:val="ListParagraph"/>
        <w:numPr>
          <w:ilvl w:val="0"/>
          <w:numId w:val="24"/>
        </w:numPr>
        <w:tabs>
          <w:tab w:pos="2275" w:val="left" w:leader="none"/>
          <w:tab w:pos="2276" w:val="left" w:leader="none"/>
        </w:tabs>
        <w:spacing w:line="240" w:lineRule="auto" w:before="133" w:after="0"/>
        <w:ind w:left="2276" w:right="0" w:hanging="1023"/>
        <w:jc w:val="left"/>
        <w:rPr>
          <w:sz w:val="22"/>
        </w:rPr>
      </w:pPr>
      <w:r>
        <w:rPr>
          <w:sz w:val="22"/>
        </w:rPr>
        <w:t>dysfunction-the Hoorn Study. </w:t>
      </w:r>
      <w:r>
        <w:rPr>
          <w:i/>
          <w:sz w:val="22"/>
        </w:rPr>
        <w:t>Kidney Int </w:t>
      </w:r>
      <w:r>
        <w:rPr>
          <w:sz w:val="22"/>
        </w:rPr>
        <w:t>Suppl.  </w:t>
      </w:r>
      <w:r>
        <w:rPr>
          <w:spacing w:val="9"/>
          <w:sz w:val="22"/>
        </w:rPr>
        <w:t> </w:t>
      </w:r>
      <w:r>
        <w:rPr>
          <w:sz w:val="22"/>
        </w:rPr>
        <w:t>2004;S42-S44.</w:t>
      </w:r>
    </w:p>
    <w:p>
      <w:pPr>
        <w:pStyle w:val="ListParagraph"/>
        <w:numPr>
          <w:ilvl w:val="0"/>
          <w:numId w:val="24"/>
        </w:numPr>
        <w:tabs>
          <w:tab w:pos="1937" w:val="left" w:leader="none"/>
          <w:tab w:pos="1938" w:val="left" w:leader="none"/>
        </w:tabs>
        <w:spacing w:line="240" w:lineRule="auto" w:before="138" w:after="0"/>
        <w:ind w:left="1937" w:right="0" w:hanging="684"/>
        <w:jc w:val="left"/>
        <w:rPr>
          <w:sz w:val="22"/>
        </w:rPr>
      </w:pPr>
      <w:r>
        <w:rPr>
          <w:sz w:val="22"/>
        </w:rPr>
        <w:t>36. Smets P, Meyer E, Maddens B, et al. Cushing’s sindrome,   </w:t>
      </w:r>
      <w:r>
        <w:rPr>
          <w:spacing w:val="10"/>
          <w:sz w:val="22"/>
        </w:rPr>
        <w:t> </w:t>
      </w:r>
      <w:r>
        <w:rPr>
          <w:sz w:val="22"/>
        </w:rPr>
        <w:t>glucocorticoids and the kidney.</w:t>
      </w:r>
    </w:p>
    <w:p>
      <w:pPr>
        <w:pStyle w:val="ListParagraph"/>
        <w:numPr>
          <w:ilvl w:val="0"/>
          <w:numId w:val="24"/>
        </w:numPr>
        <w:tabs>
          <w:tab w:pos="2275" w:val="left" w:leader="none"/>
          <w:tab w:pos="2276" w:val="left" w:leader="none"/>
        </w:tabs>
        <w:spacing w:line="240" w:lineRule="auto" w:before="136" w:after="0"/>
        <w:ind w:left="2276" w:right="0" w:hanging="1023"/>
        <w:jc w:val="left"/>
        <w:rPr>
          <w:sz w:val="22"/>
        </w:rPr>
      </w:pPr>
      <w:r>
        <w:rPr>
          <w:i/>
          <w:sz w:val="22"/>
        </w:rPr>
        <w:t>Gen Com Endocrinol </w:t>
      </w:r>
      <w:r>
        <w:rPr>
          <w:i/>
          <w:spacing w:val="18"/>
          <w:sz w:val="22"/>
        </w:rPr>
        <w:t> </w:t>
      </w:r>
      <w:r>
        <w:rPr>
          <w:sz w:val="22"/>
        </w:rPr>
        <w:t>2010;169:1-10.</w:t>
      </w:r>
    </w:p>
    <w:p>
      <w:pPr>
        <w:pStyle w:val="ListParagraph"/>
        <w:numPr>
          <w:ilvl w:val="0"/>
          <w:numId w:val="24"/>
        </w:numPr>
        <w:tabs>
          <w:tab w:pos="1937" w:val="left" w:leader="none"/>
          <w:tab w:pos="1938" w:val="left" w:leader="none"/>
        </w:tabs>
        <w:spacing w:line="240" w:lineRule="auto" w:before="136" w:after="0"/>
        <w:ind w:left="1937" w:right="0" w:hanging="684"/>
        <w:jc w:val="left"/>
        <w:rPr>
          <w:sz w:val="22"/>
        </w:rPr>
      </w:pPr>
      <w:r>
        <w:rPr>
          <w:sz w:val="22"/>
        </w:rPr>
        <w:t>37. Schellenberg S, Mettler M, Gentilini F, et al. The effects of hydrocortisone on  </w:t>
      </w:r>
      <w:r>
        <w:rPr>
          <w:spacing w:val="50"/>
          <w:sz w:val="22"/>
        </w:rPr>
        <w:t> </w:t>
      </w:r>
      <w:r>
        <w:rPr>
          <w:sz w:val="22"/>
        </w:rPr>
        <w:t>systemic</w:t>
      </w:r>
    </w:p>
    <w:p>
      <w:pPr>
        <w:pStyle w:val="ListParagraph"/>
        <w:numPr>
          <w:ilvl w:val="0"/>
          <w:numId w:val="24"/>
        </w:numPr>
        <w:tabs>
          <w:tab w:pos="2275" w:val="left" w:leader="none"/>
          <w:tab w:pos="2276" w:val="left" w:leader="none"/>
        </w:tabs>
        <w:spacing w:line="240" w:lineRule="auto" w:before="136" w:after="0"/>
        <w:ind w:left="2276" w:right="0" w:hanging="1023"/>
        <w:jc w:val="left"/>
        <w:rPr>
          <w:i/>
          <w:sz w:val="22"/>
        </w:rPr>
      </w:pPr>
      <w:r>
        <w:rPr>
          <w:sz w:val="22"/>
        </w:rPr>
        <w:t>arterial blood pressure and urinary protein excretion in dogs. </w:t>
      </w:r>
      <w:r>
        <w:rPr>
          <w:i/>
          <w:sz w:val="22"/>
        </w:rPr>
        <w:t>J Vet Intern  </w:t>
      </w:r>
      <w:r>
        <w:rPr>
          <w:i/>
          <w:spacing w:val="33"/>
          <w:sz w:val="22"/>
        </w:rPr>
        <w:t> </w:t>
      </w:r>
      <w:r>
        <w:rPr>
          <w:i/>
          <w:sz w:val="22"/>
        </w:rPr>
        <w:t>Med</w:t>
      </w:r>
    </w:p>
    <w:p>
      <w:pPr>
        <w:tabs>
          <w:tab w:pos="2275" w:val="left" w:leader="none"/>
        </w:tabs>
        <w:spacing w:before="136"/>
        <w:ind w:left="1253" w:right="0" w:firstLine="0"/>
        <w:jc w:val="left"/>
        <w:rPr>
          <w:rFonts w:ascii="Times New Roman"/>
          <w:sz w:val="22"/>
        </w:rPr>
      </w:pPr>
      <w:r>
        <w:rPr>
          <w:rFonts w:ascii="Cambria"/>
          <w:w w:val="105"/>
          <w:sz w:val="20"/>
        </w:rPr>
        <w:t>398</w:t>
        <w:tab/>
      </w:r>
      <w:r>
        <w:rPr>
          <w:rFonts w:ascii="Times New Roman"/>
          <w:w w:val="105"/>
          <w:sz w:val="22"/>
        </w:rPr>
        <w:t>2008;22:273-81.</w:t>
      </w:r>
    </w:p>
    <w:p>
      <w:pPr>
        <w:pStyle w:val="ListParagraph"/>
        <w:numPr>
          <w:ilvl w:val="0"/>
          <w:numId w:val="25"/>
        </w:numPr>
        <w:tabs>
          <w:tab w:pos="1937" w:val="left" w:leader="none"/>
          <w:tab w:pos="1938" w:val="left" w:leader="none"/>
        </w:tabs>
        <w:spacing w:line="240" w:lineRule="auto" w:before="136" w:after="0"/>
        <w:ind w:left="1937" w:right="0" w:hanging="684"/>
        <w:jc w:val="left"/>
        <w:rPr>
          <w:sz w:val="22"/>
        </w:rPr>
      </w:pPr>
      <w:r>
        <w:rPr>
          <w:sz w:val="22"/>
        </w:rPr>
        <w:t>38. Smets P, Meyer   </w:t>
      </w:r>
      <w:r>
        <w:rPr>
          <w:spacing w:val="8"/>
          <w:sz w:val="22"/>
        </w:rPr>
        <w:t> </w:t>
      </w:r>
      <w:r>
        <w:rPr>
          <w:sz w:val="22"/>
        </w:rPr>
        <w:t>E, Maddens BEJ, et al. Urinary markers and plasma ihoexol clearance in</w:t>
      </w:r>
    </w:p>
    <w:p>
      <w:pPr>
        <w:pStyle w:val="ListParagraph"/>
        <w:numPr>
          <w:ilvl w:val="0"/>
          <w:numId w:val="25"/>
        </w:numPr>
        <w:tabs>
          <w:tab w:pos="2275" w:val="left" w:leader="none"/>
          <w:tab w:pos="2276" w:val="left" w:leader="none"/>
        </w:tabs>
        <w:spacing w:line="240" w:lineRule="auto" w:before="136" w:after="0"/>
        <w:ind w:left="2276" w:right="0" w:hanging="1023"/>
        <w:jc w:val="left"/>
        <w:rPr>
          <w:i/>
          <w:sz w:val="22"/>
        </w:rPr>
      </w:pPr>
      <w:r>
        <w:rPr>
          <w:sz w:val="22"/>
        </w:rPr>
        <w:t>healthy dogs and dogs with pituitary-dependent hyperadrenocorticism. </w:t>
      </w:r>
      <w:r>
        <w:rPr>
          <w:i/>
          <w:sz w:val="22"/>
        </w:rPr>
        <w:t>J Vet Intern  </w:t>
      </w:r>
      <w:r>
        <w:rPr>
          <w:i/>
          <w:spacing w:val="53"/>
          <w:sz w:val="22"/>
        </w:rPr>
        <w:t> </w:t>
      </w:r>
      <w:r>
        <w:rPr>
          <w:i/>
          <w:sz w:val="22"/>
        </w:rPr>
        <w:t>Med</w:t>
      </w:r>
    </w:p>
    <w:p>
      <w:pPr>
        <w:tabs>
          <w:tab w:pos="2275" w:val="left" w:leader="none"/>
        </w:tabs>
        <w:spacing w:before="136"/>
        <w:ind w:left="1253" w:right="0" w:firstLine="0"/>
        <w:jc w:val="left"/>
        <w:rPr>
          <w:rFonts w:ascii="Times New Roman"/>
          <w:sz w:val="22"/>
        </w:rPr>
      </w:pPr>
      <w:r>
        <w:rPr>
          <w:rFonts w:ascii="Cambria"/>
          <w:w w:val="105"/>
          <w:sz w:val="20"/>
        </w:rPr>
        <w:t>401</w:t>
        <w:tab/>
      </w:r>
      <w:r>
        <w:rPr>
          <w:rFonts w:ascii="Times New Roman"/>
          <w:w w:val="105"/>
          <w:sz w:val="22"/>
        </w:rPr>
        <w:t>2009;23:754.</w:t>
      </w:r>
    </w:p>
    <w:p>
      <w:pPr>
        <w:tabs>
          <w:tab w:pos="1937" w:val="left" w:leader="none"/>
        </w:tabs>
        <w:spacing w:before="136"/>
        <w:ind w:left="1253" w:right="0" w:firstLine="0"/>
        <w:jc w:val="left"/>
        <w:rPr>
          <w:rFonts w:ascii="Times New Roman"/>
          <w:sz w:val="22"/>
        </w:rPr>
      </w:pPr>
      <w:r>
        <w:rPr>
          <w:rFonts w:ascii="Cambria"/>
          <w:sz w:val="20"/>
        </w:rPr>
        <w:t>402</w:t>
        <w:tab/>
      </w:r>
      <w:r>
        <w:rPr>
          <w:rFonts w:ascii="Times New Roman"/>
          <w:sz w:val="22"/>
        </w:rPr>
        <w:t>39. Diekman MJ, Harms MP, Endert E, et al. Endocrine factors related to changes   </w:t>
      </w:r>
      <w:r>
        <w:rPr>
          <w:rFonts w:ascii="Times New Roman"/>
          <w:spacing w:val="2"/>
          <w:sz w:val="22"/>
        </w:rPr>
        <w:t> </w:t>
      </w:r>
      <w:r>
        <w:rPr>
          <w:rFonts w:ascii="Times New Roman"/>
          <w:sz w:val="22"/>
        </w:rPr>
        <w:t>in total</w:t>
      </w:r>
    </w:p>
    <w:p>
      <w:pPr>
        <w:tabs>
          <w:tab w:pos="2275" w:val="left" w:leader="none"/>
        </w:tabs>
        <w:spacing w:before="138"/>
        <w:ind w:left="1253" w:right="0" w:firstLine="0"/>
        <w:jc w:val="left"/>
        <w:rPr>
          <w:rFonts w:ascii="Times New Roman"/>
          <w:i/>
          <w:sz w:val="22"/>
        </w:rPr>
      </w:pPr>
      <w:r>
        <w:rPr>
          <w:rFonts w:ascii="Cambria"/>
          <w:sz w:val="20"/>
        </w:rPr>
        <w:t>403</w:t>
        <w:tab/>
      </w:r>
      <w:r>
        <w:rPr>
          <w:rFonts w:ascii="Times New Roman"/>
          <w:sz w:val="22"/>
        </w:rPr>
        <w:t>peripheral vascular resistance after treatment of thyrotoxic and hypothyroid patients. </w:t>
      </w:r>
      <w:r>
        <w:rPr>
          <w:rFonts w:ascii="Times New Roman"/>
          <w:i/>
          <w:sz w:val="22"/>
        </w:rPr>
        <w:t>Eur  </w:t>
      </w:r>
      <w:r>
        <w:rPr>
          <w:rFonts w:ascii="Times New Roman"/>
          <w:i/>
          <w:spacing w:val="52"/>
          <w:sz w:val="22"/>
        </w:rPr>
        <w:t> </w:t>
      </w:r>
      <w:r>
        <w:rPr>
          <w:rFonts w:ascii="Times New Roman"/>
          <w:i/>
          <w:sz w:val="22"/>
        </w:rPr>
        <w:t>J</w:t>
      </w:r>
    </w:p>
    <w:p>
      <w:pPr>
        <w:tabs>
          <w:tab w:pos="2275" w:val="left" w:leader="none"/>
        </w:tabs>
        <w:spacing w:before="133"/>
        <w:ind w:left="1253" w:right="0" w:firstLine="0"/>
        <w:jc w:val="left"/>
        <w:rPr>
          <w:rFonts w:ascii="Times New Roman" w:hAnsi="Times New Roman"/>
          <w:sz w:val="22"/>
        </w:rPr>
      </w:pPr>
      <w:r>
        <w:rPr>
          <w:rFonts w:ascii="Cambria" w:hAnsi="Cambria"/>
          <w:w w:val="105"/>
          <w:sz w:val="20"/>
        </w:rPr>
        <w:t>404</w:t>
        <w:tab/>
      </w:r>
      <w:r>
        <w:rPr>
          <w:rFonts w:ascii="Times New Roman" w:hAnsi="Times New Roman"/>
          <w:i/>
          <w:sz w:val="22"/>
        </w:rPr>
        <w:t>Endocrinol </w:t>
      </w:r>
      <w:r>
        <w:rPr>
          <w:rFonts w:ascii="Times New Roman" w:hAnsi="Times New Roman"/>
          <w:i/>
          <w:spacing w:val="6"/>
          <w:sz w:val="22"/>
        </w:rPr>
        <w:t> </w:t>
      </w:r>
      <w:r>
        <w:rPr>
          <w:rFonts w:ascii="Times New Roman" w:hAnsi="Times New Roman"/>
          <w:sz w:val="22"/>
        </w:rPr>
        <w:t>2001;144:339–46.</w:t>
      </w:r>
    </w:p>
    <w:p>
      <w:pPr>
        <w:pStyle w:val="ListParagraph"/>
        <w:numPr>
          <w:ilvl w:val="0"/>
          <w:numId w:val="26"/>
        </w:numPr>
        <w:tabs>
          <w:tab w:pos="1937" w:val="left" w:leader="none"/>
          <w:tab w:pos="1938" w:val="left" w:leader="none"/>
        </w:tabs>
        <w:spacing w:line="240" w:lineRule="auto" w:before="138" w:after="0"/>
        <w:ind w:left="1937" w:right="0" w:hanging="684"/>
        <w:jc w:val="left"/>
        <w:rPr>
          <w:sz w:val="22"/>
        </w:rPr>
      </w:pPr>
      <w:r>
        <w:rPr>
          <w:sz w:val="22"/>
        </w:rPr>
        <w:t>40. den Hollander JG, Wulkan RW, Mantel MJ,   </w:t>
      </w:r>
      <w:r>
        <w:rPr>
          <w:spacing w:val="3"/>
          <w:sz w:val="22"/>
        </w:rPr>
        <w:t> </w:t>
      </w:r>
      <w:r>
        <w:rPr>
          <w:sz w:val="22"/>
        </w:rPr>
        <w:t>et al. Correlation between severity of thyroid</w:t>
      </w:r>
    </w:p>
    <w:p>
      <w:pPr>
        <w:pStyle w:val="ListParagraph"/>
        <w:numPr>
          <w:ilvl w:val="0"/>
          <w:numId w:val="26"/>
        </w:numPr>
        <w:tabs>
          <w:tab w:pos="2275" w:val="left" w:leader="none"/>
          <w:tab w:pos="2276" w:val="left" w:leader="none"/>
        </w:tabs>
        <w:spacing w:line="240" w:lineRule="auto" w:before="136" w:after="0"/>
        <w:ind w:left="2276" w:right="0" w:hanging="1023"/>
        <w:jc w:val="left"/>
        <w:rPr>
          <w:sz w:val="22"/>
        </w:rPr>
      </w:pPr>
      <w:r>
        <w:rPr>
          <w:sz w:val="22"/>
        </w:rPr>
        <w:t>dysfunction and renal function. </w:t>
      </w:r>
      <w:r>
        <w:rPr>
          <w:i/>
          <w:sz w:val="22"/>
        </w:rPr>
        <w:t>Clin Endocrinol </w:t>
      </w:r>
      <w:r>
        <w:rPr>
          <w:sz w:val="22"/>
        </w:rPr>
        <w:t>2005;62:  </w:t>
      </w:r>
      <w:r>
        <w:rPr>
          <w:spacing w:val="10"/>
          <w:sz w:val="22"/>
        </w:rPr>
        <w:t> </w:t>
      </w:r>
      <w:r>
        <w:rPr>
          <w:sz w:val="22"/>
        </w:rPr>
        <w:t>423–7.</w:t>
      </w:r>
    </w:p>
    <w:p>
      <w:pPr>
        <w:pStyle w:val="ListParagraph"/>
        <w:numPr>
          <w:ilvl w:val="0"/>
          <w:numId w:val="26"/>
        </w:numPr>
        <w:tabs>
          <w:tab w:pos="1937" w:val="left" w:leader="none"/>
          <w:tab w:pos="1938" w:val="left" w:leader="none"/>
        </w:tabs>
        <w:spacing w:line="240" w:lineRule="auto" w:before="136" w:after="0"/>
        <w:ind w:left="1937" w:right="0" w:hanging="684"/>
        <w:jc w:val="left"/>
        <w:rPr>
          <w:sz w:val="22"/>
        </w:rPr>
      </w:pPr>
      <w:r>
        <w:rPr>
          <w:sz w:val="22"/>
        </w:rPr>
        <w:t>41. Ardalan MR, Ghabili K, Pourabbas R, et al.   </w:t>
      </w:r>
      <w:r>
        <w:rPr>
          <w:spacing w:val="10"/>
          <w:sz w:val="22"/>
        </w:rPr>
        <w:t> </w:t>
      </w:r>
      <w:r>
        <w:rPr>
          <w:sz w:val="22"/>
        </w:rPr>
        <w:t>A causative link between periodontal disease</w:t>
      </w:r>
    </w:p>
    <w:p>
      <w:pPr>
        <w:pStyle w:val="ListParagraph"/>
        <w:numPr>
          <w:ilvl w:val="0"/>
          <w:numId w:val="26"/>
        </w:numPr>
        <w:tabs>
          <w:tab w:pos="2275" w:val="left" w:leader="none"/>
          <w:tab w:pos="2276" w:val="left" w:leader="none"/>
        </w:tabs>
        <w:spacing w:line="240" w:lineRule="auto" w:before="136" w:after="0"/>
        <w:ind w:left="2276" w:right="0" w:hanging="1023"/>
        <w:jc w:val="left"/>
        <w:rPr>
          <w:sz w:val="22"/>
        </w:rPr>
      </w:pPr>
      <w:r>
        <w:rPr>
          <w:sz w:val="22"/>
        </w:rPr>
        <w:t>and glomerulonephritis: a preliminary study. </w:t>
      </w:r>
      <w:r>
        <w:rPr>
          <w:i/>
          <w:sz w:val="22"/>
        </w:rPr>
        <w:t>Ther Clin Risk Manag  </w:t>
      </w:r>
      <w:r>
        <w:rPr>
          <w:i/>
          <w:spacing w:val="43"/>
          <w:sz w:val="22"/>
        </w:rPr>
        <w:t> </w:t>
      </w:r>
      <w:r>
        <w:rPr>
          <w:sz w:val="22"/>
        </w:rPr>
        <w:t>2011;7:93-8.</w:t>
      </w:r>
    </w:p>
    <w:p>
      <w:pPr>
        <w:spacing w:after="0" w:line="240" w:lineRule="auto"/>
        <w:jc w:val="left"/>
        <w:rPr>
          <w:sz w:val="22"/>
        </w:rPr>
        <w:sectPr>
          <w:headerReference w:type="default" r:id="rId87"/>
          <w:footerReference w:type="default" r:id="rId88"/>
          <w:pgSz w:w="12240" w:h="15840"/>
          <w:pgMar w:header="0" w:footer="0" w:top="140" w:bottom="280" w:left="0" w:right="1680"/>
        </w:sectPr>
      </w:pPr>
    </w:p>
    <w:p>
      <w:pPr>
        <w:tabs>
          <w:tab w:pos="10881" w:val="left" w:leader="none"/>
        </w:tabs>
        <w:spacing w:before="56"/>
        <w:ind w:left="3549" w:right="0" w:firstLine="0"/>
        <w:jc w:val="left"/>
        <w:rPr>
          <w:b/>
          <w:sz w:val="20"/>
        </w:rPr>
      </w:pPr>
      <w:r>
        <w:rPr>
          <w:b/>
          <w:sz w:val="20"/>
        </w:rPr>
        <w:t>Journal of the American Veterinary</w:t>
      </w:r>
      <w:r>
        <w:rPr>
          <w:b/>
          <w:spacing w:val="-16"/>
          <w:sz w:val="20"/>
        </w:rPr>
        <w:t> </w:t>
      </w:r>
      <w:r>
        <w:rPr>
          <w:b/>
          <w:sz w:val="20"/>
        </w:rPr>
        <w:t>Medical</w:t>
      </w:r>
      <w:r>
        <w:rPr>
          <w:b/>
          <w:spacing w:val="-3"/>
          <w:sz w:val="20"/>
        </w:rPr>
        <w:t> </w:t>
      </w:r>
      <w:r>
        <w:rPr>
          <w:b/>
          <w:sz w:val="20"/>
        </w:rPr>
        <w:t>Association</w:t>
        <w:tab/>
        <w:t>Page 14</w:t>
      </w:r>
      <w:r>
        <w:rPr>
          <w:b/>
          <w:spacing w:val="-1"/>
          <w:sz w:val="20"/>
        </w:rPr>
        <w:t> </w:t>
      </w:r>
      <w:r>
        <w:rPr>
          <w:b/>
          <w:sz w:val="20"/>
        </w:rPr>
        <w:t>of</w:t>
      </w:r>
    </w:p>
    <w:p>
      <w:pPr>
        <w:pStyle w:val="BodyText"/>
        <w:rPr>
          <w:b/>
          <w:sz w:val="20"/>
        </w:rPr>
      </w:pPr>
    </w:p>
    <w:p>
      <w:pPr>
        <w:pStyle w:val="BodyText"/>
        <w:rPr>
          <w:b/>
          <w:sz w:val="20"/>
        </w:rPr>
      </w:pPr>
    </w:p>
    <w:p>
      <w:pPr>
        <w:pStyle w:val="BodyText"/>
        <w:rPr>
          <w:b/>
          <w:sz w:val="20"/>
        </w:rPr>
      </w:pPr>
    </w:p>
    <w:p>
      <w:pPr>
        <w:pStyle w:val="BodyText"/>
        <w:spacing w:before="7"/>
        <w:rPr>
          <w:b/>
          <w:sz w:val="18"/>
        </w:rPr>
      </w:pPr>
    </w:p>
    <w:p>
      <w:pPr>
        <w:pStyle w:val="ListParagraph"/>
        <w:numPr>
          <w:ilvl w:val="0"/>
          <w:numId w:val="26"/>
        </w:numPr>
        <w:tabs>
          <w:tab w:pos="1937" w:val="left" w:leader="none"/>
          <w:tab w:pos="1938" w:val="left" w:leader="none"/>
        </w:tabs>
        <w:spacing w:line="240" w:lineRule="auto" w:before="0" w:after="0"/>
        <w:ind w:left="1937" w:right="0" w:hanging="684"/>
        <w:jc w:val="left"/>
        <w:rPr>
          <w:sz w:val="22"/>
        </w:rPr>
      </w:pPr>
      <w:r>
        <w:rPr>
          <w:sz w:val="22"/>
        </w:rPr>
        <w:t>42. Wadei HM, Mai ML, Ahsan N, et al. Hepatorenal syndrome: pathophysiology  </w:t>
      </w:r>
      <w:r>
        <w:rPr>
          <w:spacing w:val="54"/>
          <w:sz w:val="22"/>
        </w:rPr>
        <w:t> </w:t>
      </w:r>
      <w:r>
        <w:rPr>
          <w:sz w:val="22"/>
        </w:rPr>
        <w:t>and</w:t>
      </w:r>
    </w:p>
    <w:p>
      <w:pPr>
        <w:pStyle w:val="ListParagraph"/>
        <w:numPr>
          <w:ilvl w:val="0"/>
          <w:numId w:val="26"/>
        </w:numPr>
        <w:tabs>
          <w:tab w:pos="2275" w:val="left" w:leader="none"/>
          <w:tab w:pos="2276" w:val="left" w:leader="none"/>
        </w:tabs>
        <w:spacing w:line="240" w:lineRule="auto" w:before="136" w:after="0"/>
        <w:ind w:left="2276" w:right="0" w:hanging="1023"/>
        <w:jc w:val="left"/>
        <w:rPr>
          <w:sz w:val="22"/>
        </w:rPr>
      </w:pPr>
      <w:r>
        <w:rPr>
          <w:sz w:val="22"/>
        </w:rPr>
        <w:t>management. </w:t>
      </w:r>
      <w:r>
        <w:rPr>
          <w:i/>
          <w:sz w:val="22"/>
        </w:rPr>
        <w:t>Clin J Am Soc Nephrol</w:t>
      </w:r>
      <w:r>
        <w:rPr>
          <w:sz w:val="22"/>
        </w:rPr>
        <w:t>. </w:t>
      </w:r>
      <w:r>
        <w:rPr>
          <w:spacing w:val="50"/>
          <w:sz w:val="22"/>
        </w:rPr>
        <w:t> </w:t>
      </w:r>
      <w:r>
        <w:rPr>
          <w:sz w:val="22"/>
        </w:rPr>
        <w:t>2006;1:1066-79.</w:t>
      </w:r>
    </w:p>
    <w:p>
      <w:pPr>
        <w:pStyle w:val="ListParagraph"/>
        <w:numPr>
          <w:ilvl w:val="0"/>
          <w:numId w:val="26"/>
        </w:numPr>
        <w:tabs>
          <w:tab w:pos="1937" w:val="left" w:leader="none"/>
          <w:tab w:pos="1938" w:val="left" w:leader="none"/>
        </w:tabs>
        <w:spacing w:line="240" w:lineRule="auto" w:before="136" w:after="0"/>
        <w:ind w:left="1937" w:right="0" w:hanging="684"/>
        <w:jc w:val="left"/>
        <w:rPr>
          <w:sz w:val="22"/>
        </w:rPr>
      </w:pPr>
      <w:r>
        <w:rPr>
          <w:sz w:val="22"/>
        </w:rPr>
        <w:t>43. Ginés P, Schrier R. Renal failure in cirrhosis. N Eng J Med. 2009;361(13):1279-90   </w:t>
      </w:r>
      <w:r>
        <w:rPr>
          <w:spacing w:val="4"/>
          <w:sz w:val="22"/>
        </w:rPr>
        <w:t> </w:t>
      </w:r>
      <w:r>
        <w:rPr>
          <w:sz w:val="22"/>
        </w:rPr>
        <w:t>;</w:t>
      </w:r>
    </w:p>
    <w:p>
      <w:pPr>
        <w:pStyle w:val="ListParagraph"/>
        <w:numPr>
          <w:ilvl w:val="0"/>
          <w:numId w:val="26"/>
        </w:numPr>
        <w:tabs>
          <w:tab w:pos="2275" w:val="left" w:leader="none"/>
          <w:tab w:pos="2276" w:val="left" w:leader="none"/>
        </w:tabs>
        <w:spacing w:line="240" w:lineRule="auto" w:before="101" w:after="0"/>
        <w:ind w:left="2275" w:right="0" w:hanging="1022"/>
        <w:jc w:val="left"/>
        <w:rPr>
          <w:sz w:val="22"/>
        </w:rPr>
      </w:pPr>
      <w:r>
        <w:rPr>
          <w:sz w:val="22"/>
        </w:rPr>
        <w:t>Nadim MK, Kellum JA, Davenport A, et al. Hepatorenal syndrome: the 8</w:t>
      </w:r>
      <w:r>
        <w:rPr>
          <w:position w:val="10"/>
          <w:sz w:val="15"/>
        </w:rPr>
        <w:t>th    </w:t>
      </w:r>
      <w:r>
        <w:rPr>
          <w:spacing w:val="26"/>
          <w:position w:val="10"/>
          <w:sz w:val="15"/>
        </w:rPr>
        <w:t> </w:t>
      </w:r>
      <w:r>
        <w:rPr>
          <w:sz w:val="22"/>
        </w:rPr>
        <w:t>international</w:t>
      </w:r>
    </w:p>
    <w:p>
      <w:pPr>
        <w:pStyle w:val="ListParagraph"/>
        <w:numPr>
          <w:ilvl w:val="0"/>
          <w:numId w:val="26"/>
        </w:numPr>
        <w:tabs>
          <w:tab w:pos="2275" w:val="left" w:leader="none"/>
          <w:tab w:pos="2276" w:val="left" w:leader="none"/>
        </w:tabs>
        <w:spacing w:line="240" w:lineRule="auto" w:before="138" w:after="0"/>
        <w:ind w:left="2276" w:right="0" w:hanging="1023"/>
        <w:jc w:val="left"/>
        <w:rPr>
          <w:i/>
          <w:sz w:val="22"/>
        </w:rPr>
      </w:pPr>
      <w:r>
        <w:rPr>
          <w:sz w:val="22"/>
        </w:rPr>
        <w:t>consensus conference of the acute dialysis quality initiative (ADQI) group. </w:t>
      </w:r>
      <w:r>
        <w:rPr>
          <w:i/>
          <w:sz w:val="22"/>
        </w:rPr>
        <w:t>Critical  </w:t>
      </w:r>
      <w:r>
        <w:rPr>
          <w:i/>
          <w:spacing w:val="49"/>
          <w:sz w:val="22"/>
        </w:rPr>
        <w:t> </w:t>
      </w:r>
      <w:r>
        <w:rPr>
          <w:i/>
          <w:sz w:val="22"/>
        </w:rPr>
        <w:t>Care</w:t>
      </w:r>
    </w:p>
    <w:p>
      <w:pPr>
        <w:tabs>
          <w:tab w:pos="2275" w:val="left" w:leader="none"/>
        </w:tabs>
        <w:spacing w:before="133"/>
        <w:ind w:left="1253" w:right="0" w:firstLine="0"/>
        <w:jc w:val="left"/>
        <w:rPr>
          <w:rFonts w:ascii="Times New Roman"/>
          <w:sz w:val="22"/>
        </w:rPr>
      </w:pPr>
      <w:r>
        <w:rPr>
          <w:rFonts w:ascii="Cambria"/>
          <w:w w:val="105"/>
          <w:sz w:val="20"/>
        </w:rPr>
        <w:t>414</w:t>
        <w:tab/>
      </w:r>
      <w:r>
        <w:rPr>
          <w:rFonts w:ascii="Times New Roman"/>
          <w:w w:val="105"/>
          <w:sz w:val="22"/>
        </w:rPr>
        <w:t>2012;16:2-17.</w:t>
      </w:r>
    </w:p>
    <w:p>
      <w:pPr>
        <w:pStyle w:val="ListParagraph"/>
        <w:numPr>
          <w:ilvl w:val="0"/>
          <w:numId w:val="27"/>
        </w:numPr>
        <w:tabs>
          <w:tab w:pos="1937" w:val="left" w:leader="none"/>
          <w:tab w:pos="1938" w:val="left" w:leader="none"/>
        </w:tabs>
        <w:spacing w:line="240" w:lineRule="auto" w:before="138" w:after="0"/>
        <w:ind w:left="1937" w:right="0" w:hanging="684"/>
        <w:jc w:val="left"/>
        <w:rPr>
          <w:sz w:val="22"/>
        </w:rPr>
      </w:pPr>
      <w:r>
        <w:rPr>
          <w:sz w:val="22"/>
        </w:rPr>
        <w:t>44. Targher G, Chonchol M, Zoppin   </w:t>
      </w:r>
      <w:r>
        <w:rPr>
          <w:spacing w:val="11"/>
          <w:sz w:val="22"/>
        </w:rPr>
        <w:t> </w:t>
      </w:r>
      <w:r>
        <w:rPr>
          <w:sz w:val="22"/>
        </w:rPr>
        <w:t>G, et al. Risk of chronic kidney disease in patients with</w:t>
      </w:r>
    </w:p>
    <w:p>
      <w:pPr>
        <w:pStyle w:val="ListParagraph"/>
        <w:numPr>
          <w:ilvl w:val="0"/>
          <w:numId w:val="27"/>
        </w:numPr>
        <w:tabs>
          <w:tab w:pos="2275" w:val="left" w:leader="none"/>
          <w:tab w:pos="2276" w:val="left" w:leader="none"/>
        </w:tabs>
        <w:spacing w:line="240" w:lineRule="auto" w:before="136" w:after="0"/>
        <w:ind w:left="2276" w:right="0" w:hanging="1023"/>
        <w:jc w:val="left"/>
        <w:rPr>
          <w:sz w:val="22"/>
        </w:rPr>
      </w:pPr>
      <w:r>
        <w:rPr/>
        <w:pict>
          <v:shape style="position:absolute;margin-left:120.872412pt;margin-top:171.810603pt;width:376.45pt;height:48pt;mso-position-horizontal-relative:page;mso-position-vertical-relative:paragraph;z-index:-122824;rotation:51" type="#_x0000_t136" fillcolor="#d6f1fe" stroked="f">
            <o:extrusion v:ext="view" autorotationcenter="t"/>
            <v:textpath style="font-family:&amp;quot;Arial&amp;quot;;font-size:48pt;v-text-kern:t;mso-text-shadow:auto;font-weight:bold" string="For Review Only"/>
            <w10:wrap type="none"/>
          </v:shape>
        </w:pict>
      </w:r>
      <w:r>
        <w:rPr>
          <w:sz w:val="22"/>
        </w:rPr>
        <w:t>non-alcoholic fatty liver disease. </w:t>
      </w:r>
      <w:r>
        <w:rPr>
          <w:i/>
          <w:sz w:val="22"/>
        </w:rPr>
        <w:t>J Hepatol </w:t>
      </w:r>
      <w:r>
        <w:rPr>
          <w:i/>
          <w:spacing w:val="52"/>
          <w:sz w:val="22"/>
        </w:rPr>
        <w:t> </w:t>
      </w:r>
      <w:r>
        <w:rPr>
          <w:sz w:val="22"/>
        </w:rPr>
        <w:t>2011;54:1020-9.</w:t>
      </w:r>
    </w:p>
    <w:p>
      <w:pPr>
        <w:pStyle w:val="ListParagraph"/>
        <w:numPr>
          <w:ilvl w:val="0"/>
          <w:numId w:val="27"/>
        </w:numPr>
        <w:tabs>
          <w:tab w:pos="1937" w:val="left" w:leader="none"/>
          <w:tab w:pos="1938" w:val="left" w:leader="none"/>
        </w:tabs>
        <w:spacing w:line="240" w:lineRule="auto" w:before="136" w:after="0"/>
        <w:ind w:left="1937" w:right="0" w:hanging="684"/>
        <w:jc w:val="left"/>
        <w:rPr>
          <w:sz w:val="22"/>
        </w:rPr>
      </w:pPr>
      <w:r>
        <w:rPr>
          <w:sz w:val="22"/>
        </w:rPr>
        <w:t>45. Vupputuri S, Soucie JM, McClellan W, et al. History of   </w:t>
      </w:r>
      <w:r>
        <w:rPr>
          <w:spacing w:val="9"/>
          <w:sz w:val="22"/>
        </w:rPr>
        <w:t> </w:t>
      </w:r>
      <w:r>
        <w:rPr>
          <w:sz w:val="22"/>
        </w:rPr>
        <w:t>kidney stones as a possible risk</w:t>
      </w:r>
    </w:p>
    <w:p>
      <w:pPr>
        <w:pStyle w:val="ListParagraph"/>
        <w:numPr>
          <w:ilvl w:val="0"/>
          <w:numId w:val="27"/>
        </w:numPr>
        <w:tabs>
          <w:tab w:pos="2275" w:val="left" w:leader="none"/>
          <w:tab w:pos="2276" w:val="left" w:leader="none"/>
        </w:tabs>
        <w:spacing w:line="240" w:lineRule="auto" w:before="136" w:after="0"/>
        <w:ind w:left="2276" w:right="0" w:hanging="1023"/>
        <w:jc w:val="left"/>
        <w:rPr>
          <w:sz w:val="22"/>
        </w:rPr>
      </w:pPr>
      <w:r>
        <w:rPr>
          <w:sz w:val="22"/>
        </w:rPr>
        <w:t>factor for chronic kidney disease. </w:t>
      </w:r>
      <w:r>
        <w:rPr>
          <w:i/>
          <w:sz w:val="22"/>
        </w:rPr>
        <w:t>Ann Epidemiol  </w:t>
      </w:r>
      <w:r>
        <w:rPr>
          <w:i/>
          <w:spacing w:val="17"/>
          <w:sz w:val="22"/>
        </w:rPr>
        <w:t> </w:t>
      </w:r>
      <w:r>
        <w:rPr>
          <w:sz w:val="22"/>
        </w:rPr>
        <w:t>2004;14:222–228.</w:t>
      </w:r>
    </w:p>
    <w:p>
      <w:pPr>
        <w:pStyle w:val="ListParagraph"/>
        <w:numPr>
          <w:ilvl w:val="0"/>
          <w:numId w:val="27"/>
        </w:numPr>
        <w:tabs>
          <w:tab w:pos="1937" w:val="left" w:leader="none"/>
          <w:tab w:pos="1938" w:val="left" w:leader="none"/>
        </w:tabs>
        <w:spacing w:line="240" w:lineRule="auto" w:before="138" w:after="0"/>
        <w:ind w:left="1937" w:right="0" w:hanging="684"/>
        <w:jc w:val="left"/>
        <w:rPr>
          <w:sz w:val="22"/>
        </w:rPr>
      </w:pPr>
      <w:r>
        <w:rPr>
          <w:sz w:val="22"/>
        </w:rPr>
        <w:t>46. Saucier NA,  Sinha MK, Liang KV, et al. Risk factors for chronic kidney disease    in</w:t>
      </w:r>
    </w:p>
    <w:p>
      <w:pPr>
        <w:pStyle w:val="ListParagraph"/>
        <w:numPr>
          <w:ilvl w:val="0"/>
          <w:numId w:val="27"/>
        </w:numPr>
        <w:tabs>
          <w:tab w:pos="2275" w:val="left" w:leader="none"/>
          <w:tab w:pos="2276" w:val="left" w:leader="none"/>
        </w:tabs>
        <w:spacing w:line="240" w:lineRule="auto" w:before="133" w:after="0"/>
        <w:ind w:left="2275" w:right="0" w:hanging="1022"/>
        <w:jc w:val="left"/>
        <w:rPr>
          <w:i/>
          <w:sz w:val="22"/>
        </w:rPr>
      </w:pPr>
      <w:r>
        <w:rPr>
          <w:sz w:val="22"/>
        </w:rPr>
        <w:t>persons with kidney stones: Case-control study in Olmsted County, Minnesota. </w:t>
      </w:r>
      <w:r>
        <w:rPr>
          <w:i/>
          <w:sz w:val="22"/>
        </w:rPr>
        <w:t>Am  </w:t>
      </w:r>
      <w:r>
        <w:rPr>
          <w:i/>
          <w:spacing w:val="43"/>
          <w:sz w:val="22"/>
        </w:rPr>
        <w:t> </w:t>
      </w:r>
      <w:r>
        <w:rPr>
          <w:i/>
          <w:sz w:val="22"/>
        </w:rPr>
        <w:t>J</w:t>
      </w:r>
    </w:p>
    <w:p>
      <w:pPr>
        <w:tabs>
          <w:tab w:pos="2275" w:val="left" w:leader="none"/>
        </w:tabs>
        <w:spacing w:before="138"/>
        <w:ind w:left="1253" w:right="0" w:firstLine="0"/>
        <w:jc w:val="left"/>
        <w:rPr>
          <w:rFonts w:ascii="Times New Roman" w:hAnsi="Times New Roman"/>
          <w:sz w:val="22"/>
        </w:rPr>
      </w:pPr>
      <w:r>
        <w:rPr>
          <w:rFonts w:ascii="Cambria" w:hAnsi="Cambria"/>
          <w:w w:val="105"/>
          <w:sz w:val="20"/>
        </w:rPr>
        <w:t>421</w:t>
        <w:tab/>
      </w:r>
      <w:r>
        <w:rPr>
          <w:rFonts w:ascii="Times New Roman" w:hAnsi="Times New Roman"/>
          <w:i/>
          <w:w w:val="105"/>
          <w:sz w:val="22"/>
        </w:rPr>
        <w:t>Kidney</w:t>
      </w:r>
      <w:r>
        <w:rPr>
          <w:rFonts w:ascii="Times New Roman" w:hAnsi="Times New Roman"/>
          <w:i/>
          <w:spacing w:val="-33"/>
          <w:w w:val="105"/>
          <w:sz w:val="22"/>
        </w:rPr>
        <w:t> </w:t>
      </w:r>
      <w:r>
        <w:rPr>
          <w:rFonts w:ascii="Times New Roman" w:hAnsi="Times New Roman"/>
          <w:i/>
          <w:w w:val="105"/>
          <w:sz w:val="22"/>
        </w:rPr>
        <w:t>Dis</w:t>
      </w:r>
      <w:r>
        <w:rPr>
          <w:rFonts w:ascii="Times New Roman" w:hAnsi="Times New Roman"/>
          <w:i/>
          <w:spacing w:val="-33"/>
          <w:w w:val="105"/>
          <w:sz w:val="22"/>
        </w:rPr>
        <w:t> </w:t>
      </w:r>
      <w:r>
        <w:rPr>
          <w:rFonts w:ascii="Times New Roman" w:hAnsi="Times New Roman"/>
          <w:w w:val="105"/>
          <w:sz w:val="22"/>
        </w:rPr>
        <w:t>2010;55:61–8.</w:t>
      </w:r>
    </w:p>
    <w:p>
      <w:pPr>
        <w:tabs>
          <w:tab w:pos="1937" w:val="left" w:leader="none"/>
        </w:tabs>
        <w:spacing w:before="136"/>
        <w:ind w:left="1253" w:right="0" w:firstLine="0"/>
        <w:jc w:val="left"/>
        <w:rPr>
          <w:rFonts w:ascii="Times New Roman"/>
          <w:sz w:val="22"/>
        </w:rPr>
      </w:pPr>
      <w:r>
        <w:rPr>
          <w:rFonts w:ascii="Cambria"/>
          <w:sz w:val="20"/>
        </w:rPr>
        <w:t>422</w:t>
        <w:tab/>
      </w:r>
      <w:r>
        <w:rPr>
          <w:rFonts w:ascii="Times New Roman"/>
          <w:sz w:val="22"/>
        </w:rPr>
        <w:t>47. Bartges  J.  Pathophysiology  of  urinary  obsruction.  In:  Ed  Bartges  J,  Polzin  DJ,     </w:t>
      </w:r>
      <w:r>
        <w:rPr>
          <w:rFonts w:ascii="Times New Roman"/>
          <w:spacing w:val="8"/>
          <w:sz w:val="22"/>
        </w:rPr>
        <w:t> </w:t>
      </w:r>
      <w:r>
        <w:rPr>
          <w:rFonts w:ascii="Times New Roman"/>
          <w:sz w:val="22"/>
        </w:rPr>
        <w:t>eds.</w:t>
      </w:r>
    </w:p>
    <w:p>
      <w:pPr>
        <w:tabs>
          <w:tab w:pos="2275" w:val="left" w:leader="none"/>
        </w:tabs>
        <w:spacing w:before="136"/>
        <w:ind w:left="1253" w:right="0" w:firstLine="0"/>
        <w:jc w:val="left"/>
        <w:rPr>
          <w:rFonts w:ascii="Times New Roman"/>
          <w:sz w:val="22"/>
        </w:rPr>
      </w:pPr>
      <w:r>
        <w:rPr>
          <w:rFonts w:ascii="Cambria"/>
          <w:sz w:val="20"/>
        </w:rPr>
        <w:t>423</w:t>
        <w:tab/>
      </w:r>
      <w:r>
        <w:rPr>
          <w:rFonts w:ascii="Times New Roman"/>
          <w:i/>
          <w:sz w:val="22"/>
        </w:rPr>
        <w:t>Nephrology and urology of small animals</w:t>
      </w:r>
      <w:r>
        <w:rPr>
          <w:rFonts w:ascii="Times New Roman"/>
          <w:sz w:val="22"/>
        </w:rPr>
        <w:t>. Blackwell Publishing,  </w:t>
      </w:r>
      <w:r>
        <w:rPr>
          <w:rFonts w:ascii="Times New Roman"/>
          <w:spacing w:val="38"/>
          <w:sz w:val="22"/>
        </w:rPr>
        <w:t> </w:t>
      </w:r>
      <w:r>
        <w:rPr>
          <w:rFonts w:ascii="Times New Roman"/>
          <w:sz w:val="22"/>
        </w:rPr>
        <w:t>2011;707-9.</w:t>
      </w:r>
    </w:p>
    <w:p>
      <w:pPr>
        <w:pStyle w:val="BodyText"/>
        <w:spacing w:before="11"/>
        <w:rPr>
          <w:rFonts w:ascii="Times New Roman"/>
          <w:sz w:val="22"/>
        </w:rPr>
      </w:pPr>
    </w:p>
    <w:p>
      <w:pPr>
        <w:spacing w:before="0"/>
        <w:ind w:left="1253" w:right="0" w:firstLine="0"/>
        <w:jc w:val="left"/>
        <w:rPr>
          <w:rFonts w:ascii="Cambria"/>
          <w:sz w:val="20"/>
        </w:rPr>
      </w:pPr>
      <w:r>
        <w:rPr>
          <w:rFonts w:ascii="Cambria"/>
          <w:w w:val="105"/>
          <w:sz w:val="20"/>
        </w:rPr>
        <w:t>424</w:t>
      </w:r>
    </w:p>
    <w:p>
      <w:pPr>
        <w:spacing w:before="164"/>
        <w:ind w:left="1253" w:right="0" w:firstLine="0"/>
        <w:jc w:val="left"/>
        <w:rPr>
          <w:rFonts w:ascii="Cambria"/>
          <w:sz w:val="20"/>
        </w:rPr>
      </w:pPr>
      <w:r>
        <w:rPr/>
        <w:pict>
          <v:line style="position:absolute;mso-position-horizontal-relative:page;mso-position-vertical-relative:paragraph;z-index:2200;mso-wrap-distance-left:0;mso-wrap-distance-right:0" from="104.440002pt,27.541941pt" to="527.920002pt,27.541941pt" stroked="true" strokeweight="1.44pt" strokecolor="#000000">
            <w10:wrap type="topAndBottom"/>
          </v:line>
        </w:pict>
      </w:r>
      <w:r>
        <w:rPr>
          <w:rFonts w:ascii="Cambria"/>
          <w:w w:val="105"/>
          <w:sz w:val="20"/>
        </w:rPr>
        <w:t>425</w:t>
      </w:r>
    </w:p>
    <w:p>
      <w:pPr>
        <w:spacing w:before="0"/>
        <w:ind w:left="2088" w:right="0" w:firstLine="0"/>
        <w:jc w:val="left"/>
        <w:rPr>
          <w:rFonts w:ascii="Times New Roman"/>
          <w:sz w:val="22"/>
        </w:rPr>
      </w:pPr>
      <w:r>
        <w:rPr>
          <w:rFonts w:ascii="Times New Roman"/>
          <w:b/>
          <w:sz w:val="22"/>
        </w:rPr>
        <w:t>Table 1. </w:t>
      </w:r>
      <w:r>
        <w:rPr>
          <w:rFonts w:ascii="Times New Roman"/>
          <w:sz w:val="22"/>
        </w:rPr>
        <w:t>Patient distribution in different CKD stages and UPC   values</w:t>
      </w:r>
    </w:p>
    <w:p>
      <w:pPr>
        <w:pStyle w:val="BodyText"/>
        <w:spacing w:before="4"/>
        <w:rPr>
          <w:rFonts w:ascii="Times New Roman"/>
        </w:rPr>
      </w:pPr>
    </w:p>
    <w:tbl>
      <w:tblPr>
        <w:tblW w:w="0" w:type="auto"/>
        <w:jc w:val="left"/>
        <w:tblInd w:w="2053" w:type="dxa"/>
        <w:tblBorders>
          <w:top w:val="single" w:sz="7" w:space="0" w:color="000000"/>
          <w:left w:val="single" w:sz="7" w:space="0" w:color="000000"/>
          <w:bottom w:val="single" w:sz="7" w:space="0" w:color="000000"/>
          <w:right w:val="single" w:sz="7" w:space="0" w:color="000000"/>
          <w:insideH w:val="single" w:sz="7" w:space="0" w:color="000000"/>
          <w:insideV w:val="single" w:sz="7" w:space="0" w:color="000000"/>
        </w:tblBorders>
        <w:tblLayout w:type="fixed"/>
        <w:tblCellMar>
          <w:top w:w="0" w:type="dxa"/>
          <w:left w:w="0" w:type="dxa"/>
          <w:bottom w:w="0" w:type="dxa"/>
          <w:right w:w="0" w:type="dxa"/>
        </w:tblCellMar>
        <w:tblLook w:val="01E0"/>
      </w:tblPr>
      <w:tblGrid>
        <w:gridCol w:w="1554"/>
        <w:gridCol w:w="1339"/>
        <w:gridCol w:w="1651"/>
        <w:gridCol w:w="1835"/>
        <w:gridCol w:w="2125"/>
      </w:tblGrid>
      <w:tr>
        <w:trPr>
          <w:trHeight w:val="538" w:hRule="exact"/>
        </w:trPr>
        <w:tc>
          <w:tcPr>
            <w:tcW w:w="2893" w:type="dxa"/>
            <w:gridSpan w:val="2"/>
            <w:tcBorders>
              <w:left w:val="nil"/>
              <w:right w:val="nil"/>
            </w:tcBorders>
          </w:tcPr>
          <w:p>
            <w:pPr/>
          </w:p>
        </w:tc>
        <w:tc>
          <w:tcPr>
            <w:tcW w:w="1651" w:type="dxa"/>
            <w:tcBorders>
              <w:left w:val="nil"/>
              <w:right w:val="nil"/>
            </w:tcBorders>
          </w:tcPr>
          <w:p>
            <w:pPr>
              <w:pStyle w:val="TableParagraph"/>
              <w:spacing w:before="3"/>
              <w:ind w:left="544"/>
              <w:rPr>
                <w:rFonts w:ascii="Times New Roman"/>
                <w:b/>
                <w:sz w:val="22"/>
              </w:rPr>
            </w:pPr>
            <w:r>
              <w:rPr>
                <w:rFonts w:ascii="Times New Roman"/>
                <w:b/>
                <w:sz w:val="22"/>
              </w:rPr>
              <w:t>NP</w:t>
            </w:r>
          </w:p>
        </w:tc>
        <w:tc>
          <w:tcPr>
            <w:tcW w:w="1835" w:type="dxa"/>
            <w:tcBorders>
              <w:left w:val="nil"/>
              <w:right w:val="nil"/>
            </w:tcBorders>
          </w:tcPr>
          <w:p>
            <w:pPr>
              <w:pStyle w:val="TableParagraph"/>
              <w:spacing w:before="3"/>
              <w:ind w:left="804"/>
              <w:rPr>
                <w:rFonts w:ascii="Times New Roman"/>
                <w:b/>
                <w:sz w:val="22"/>
              </w:rPr>
            </w:pPr>
            <w:r>
              <w:rPr>
                <w:rFonts w:ascii="Times New Roman"/>
                <w:b/>
                <w:sz w:val="22"/>
              </w:rPr>
              <w:t>LP</w:t>
            </w:r>
          </w:p>
        </w:tc>
        <w:tc>
          <w:tcPr>
            <w:tcW w:w="2125" w:type="dxa"/>
            <w:tcBorders>
              <w:left w:val="nil"/>
              <w:right w:val="nil"/>
            </w:tcBorders>
          </w:tcPr>
          <w:p>
            <w:pPr>
              <w:pStyle w:val="TableParagraph"/>
              <w:spacing w:before="3"/>
              <w:ind w:left="692"/>
              <w:rPr>
                <w:rFonts w:ascii="Times New Roman"/>
                <w:b/>
                <w:sz w:val="22"/>
              </w:rPr>
            </w:pPr>
            <w:r>
              <w:rPr>
                <w:rFonts w:ascii="Times New Roman"/>
                <w:b/>
                <w:w w:val="102"/>
                <w:sz w:val="22"/>
              </w:rPr>
              <w:t>P</w:t>
            </w:r>
          </w:p>
        </w:tc>
      </w:tr>
      <w:tr>
        <w:trPr>
          <w:trHeight w:val="406" w:hRule="exact"/>
        </w:trPr>
        <w:tc>
          <w:tcPr>
            <w:tcW w:w="1554" w:type="dxa"/>
            <w:tcBorders>
              <w:left w:val="nil"/>
              <w:bottom w:val="nil"/>
              <w:right w:val="nil"/>
            </w:tcBorders>
          </w:tcPr>
          <w:p>
            <w:pPr>
              <w:pStyle w:val="TableParagraph"/>
              <w:spacing w:before="6"/>
              <w:ind w:left="35"/>
              <w:rPr>
                <w:rFonts w:ascii="Times New Roman"/>
                <w:b/>
                <w:sz w:val="22"/>
              </w:rPr>
            </w:pPr>
            <w:r>
              <w:rPr>
                <w:rFonts w:ascii="Times New Roman"/>
                <w:b/>
                <w:sz w:val="22"/>
              </w:rPr>
              <w:t>STAGE 0</w:t>
            </w:r>
          </w:p>
        </w:tc>
        <w:tc>
          <w:tcPr>
            <w:tcW w:w="1339" w:type="dxa"/>
            <w:tcBorders>
              <w:left w:val="nil"/>
              <w:bottom w:val="nil"/>
              <w:right w:val="nil"/>
            </w:tcBorders>
          </w:tcPr>
          <w:p>
            <w:pPr>
              <w:pStyle w:val="TableParagraph"/>
              <w:spacing w:line="252" w:lineRule="exact"/>
              <w:ind w:left="455"/>
              <w:rPr>
                <w:rFonts w:ascii="Times New Roman"/>
                <w:sz w:val="22"/>
              </w:rPr>
            </w:pPr>
            <w:r>
              <w:rPr>
                <w:rFonts w:ascii="Times New Roman"/>
                <w:sz w:val="22"/>
              </w:rPr>
              <w:t>54</w:t>
            </w:r>
          </w:p>
        </w:tc>
        <w:tc>
          <w:tcPr>
            <w:tcW w:w="1651" w:type="dxa"/>
            <w:tcBorders>
              <w:left w:val="nil"/>
              <w:bottom w:val="nil"/>
              <w:right w:val="nil"/>
            </w:tcBorders>
          </w:tcPr>
          <w:p>
            <w:pPr>
              <w:pStyle w:val="TableParagraph"/>
              <w:spacing w:line="252" w:lineRule="exact"/>
              <w:ind w:left="544"/>
              <w:rPr>
                <w:rFonts w:ascii="Times New Roman"/>
                <w:sz w:val="22"/>
              </w:rPr>
            </w:pPr>
            <w:r>
              <w:rPr>
                <w:rFonts w:ascii="Times New Roman"/>
                <w:sz w:val="22"/>
              </w:rPr>
              <w:t>54</w:t>
            </w:r>
          </w:p>
        </w:tc>
        <w:tc>
          <w:tcPr>
            <w:tcW w:w="1835" w:type="dxa"/>
            <w:tcBorders>
              <w:left w:val="nil"/>
              <w:bottom w:val="nil"/>
              <w:right w:val="nil"/>
            </w:tcBorders>
          </w:tcPr>
          <w:p>
            <w:pPr/>
          </w:p>
        </w:tc>
        <w:tc>
          <w:tcPr>
            <w:tcW w:w="2125" w:type="dxa"/>
            <w:tcBorders>
              <w:left w:val="nil"/>
              <w:bottom w:val="nil"/>
              <w:right w:val="nil"/>
            </w:tcBorders>
          </w:tcPr>
          <w:p>
            <w:pPr/>
          </w:p>
        </w:tc>
      </w:tr>
      <w:tr>
        <w:trPr>
          <w:trHeight w:val="518" w:hRule="exact"/>
        </w:trPr>
        <w:tc>
          <w:tcPr>
            <w:tcW w:w="1554" w:type="dxa"/>
            <w:tcBorders>
              <w:top w:val="nil"/>
              <w:left w:val="nil"/>
              <w:bottom w:val="nil"/>
              <w:right w:val="nil"/>
            </w:tcBorders>
          </w:tcPr>
          <w:p>
            <w:pPr>
              <w:pStyle w:val="TableParagraph"/>
              <w:spacing w:before="126"/>
              <w:ind w:left="35"/>
              <w:rPr>
                <w:rFonts w:ascii="Times New Roman"/>
                <w:b/>
                <w:sz w:val="22"/>
              </w:rPr>
            </w:pPr>
            <w:r>
              <w:rPr>
                <w:rFonts w:ascii="Times New Roman"/>
                <w:b/>
                <w:sz w:val="22"/>
              </w:rPr>
              <w:t>STAGE 1a</w:t>
            </w:r>
          </w:p>
        </w:tc>
        <w:tc>
          <w:tcPr>
            <w:tcW w:w="1339" w:type="dxa"/>
            <w:tcBorders>
              <w:top w:val="nil"/>
              <w:left w:val="nil"/>
              <w:bottom w:val="nil"/>
              <w:right w:val="nil"/>
            </w:tcBorders>
          </w:tcPr>
          <w:p>
            <w:pPr>
              <w:pStyle w:val="TableParagraph"/>
              <w:spacing w:before="119"/>
              <w:ind w:left="455"/>
              <w:rPr>
                <w:rFonts w:ascii="Times New Roman"/>
                <w:sz w:val="22"/>
              </w:rPr>
            </w:pPr>
            <w:r>
              <w:rPr>
                <w:rFonts w:ascii="Times New Roman"/>
                <w:sz w:val="22"/>
              </w:rPr>
              <w:t>95</w:t>
            </w:r>
          </w:p>
        </w:tc>
        <w:tc>
          <w:tcPr>
            <w:tcW w:w="1651" w:type="dxa"/>
            <w:tcBorders>
              <w:top w:val="nil"/>
              <w:left w:val="nil"/>
              <w:bottom w:val="nil"/>
              <w:right w:val="nil"/>
            </w:tcBorders>
          </w:tcPr>
          <w:p>
            <w:pPr/>
          </w:p>
        </w:tc>
        <w:tc>
          <w:tcPr>
            <w:tcW w:w="1835" w:type="dxa"/>
            <w:tcBorders>
              <w:top w:val="nil"/>
              <w:left w:val="nil"/>
              <w:bottom w:val="nil"/>
              <w:right w:val="nil"/>
            </w:tcBorders>
          </w:tcPr>
          <w:p>
            <w:pPr>
              <w:pStyle w:val="TableParagraph"/>
              <w:spacing w:before="119"/>
              <w:ind w:left="804"/>
              <w:rPr>
                <w:rFonts w:ascii="Times New Roman"/>
                <w:sz w:val="22"/>
              </w:rPr>
            </w:pPr>
            <w:r>
              <w:rPr>
                <w:rFonts w:ascii="Times New Roman"/>
                <w:sz w:val="22"/>
              </w:rPr>
              <w:t>95</w:t>
            </w:r>
          </w:p>
        </w:tc>
        <w:tc>
          <w:tcPr>
            <w:tcW w:w="2125" w:type="dxa"/>
            <w:tcBorders>
              <w:top w:val="nil"/>
              <w:left w:val="nil"/>
              <w:bottom w:val="nil"/>
              <w:right w:val="nil"/>
            </w:tcBorders>
          </w:tcPr>
          <w:p>
            <w:pPr/>
          </w:p>
        </w:tc>
      </w:tr>
      <w:tr>
        <w:trPr>
          <w:trHeight w:val="518" w:hRule="exact"/>
        </w:trPr>
        <w:tc>
          <w:tcPr>
            <w:tcW w:w="1554" w:type="dxa"/>
            <w:tcBorders>
              <w:top w:val="nil"/>
              <w:left w:val="nil"/>
              <w:bottom w:val="nil"/>
              <w:right w:val="nil"/>
            </w:tcBorders>
          </w:tcPr>
          <w:p>
            <w:pPr>
              <w:pStyle w:val="TableParagraph"/>
              <w:spacing w:before="126"/>
              <w:ind w:left="35"/>
              <w:rPr>
                <w:rFonts w:ascii="Times New Roman"/>
                <w:b/>
                <w:sz w:val="22"/>
              </w:rPr>
            </w:pPr>
            <w:r>
              <w:rPr>
                <w:rFonts w:ascii="Times New Roman"/>
                <w:b/>
                <w:sz w:val="22"/>
              </w:rPr>
              <w:t>STAGE 1b</w:t>
            </w:r>
          </w:p>
        </w:tc>
        <w:tc>
          <w:tcPr>
            <w:tcW w:w="1339" w:type="dxa"/>
            <w:tcBorders>
              <w:top w:val="nil"/>
              <w:left w:val="nil"/>
              <w:bottom w:val="nil"/>
              <w:right w:val="nil"/>
            </w:tcBorders>
          </w:tcPr>
          <w:p>
            <w:pPr>
              <w:pStyle w:val="TableParagraph"/>
              <w:spacing w:before="119"/>
              <w:ind w:left="455"/>
              <w:rPr>
                <w:rFonts w:ascii="Times New Roman"/>
                <w:sz w:val="22"/>
              </w:rPr>
            </w:pPr>
            <w:r>
              <w:rPr>
                <w:rFonts w:ascii="Times New Roman"/>
                <w:sz w:val="22"/>
              </w:rPr>
              <w:t>88</w:t>
            </w:r>
          </w:p>
        </w:tc>
        <w:tc>
          <w:tcPr>
            <w:tcW w:w="1651" w:type="dxa"/>
            <w:tcBorders>
              <w:top w:val="nil"/>
              <w:left w:val="nil"/>
              <w:bottom w:val="nil"/>
              <w:right w:val="nil"/>
            </w:tcBorders>
          </w:tcPr>
          <w:p>
            <w:pPr/>
          </w:p>
        </w:tc>
        <w:tc>
          <w:tcPr>
            <w:tcW w:w="1835" w:type="dxa"/>
            <w:tcBorders>
              <w:top w:val="nil"/>
              <w:left w:val="nil"/>
              <w:bottom w:val="nil"/>
              <w:right w:val="nil"/>
            </w:tcBorders>
          </w:tcPr>
          <w:p>
            <w:pPr/>
          </w:p>
        </w:tc>
        <w:tc>
          <w:tcPr>
            <w:tcW w:w="2125" w:type="dxa"/>
            <w:tcBorders>
              <w:top w:val="nil"/>
              <w:left w:val="nil"/>
              <w:bottom w:val="nil"/>
              <w:right w:val="nil"/>
            </w:tcBorders>
          </w:tcPr>
          <w:p>
            <w:pPr>
              <w:pStyle w:val="TableParagraph"/>
              <w:spacing w:before="119"/>
              <w:ind w:left="692"/>
              <w:rPr>
                <w:rFonts w:ascii="Times New Roman"/>
                <w:sz w:val="22"/>
              </w:rPr>
            </w:pPr>
            <w:r>
              <w:rPr>
                <w:rFonts w:ascii="Times New Roman"/>
                <w:sz w:val="22"/>
              </w:rPr>
              <w:t>88</w:t>
            </w:r>
          </w:p>
        </w:tc>
      </w:tr>
      <w:tr>
        <w:trPr>
          <w:trHeight w:val="520" w:hRule="exact"/>
        </w:trPr>
        <w:tc>
          <w:tcPr>
            <w:tcW w:w="1554" w:type="dxa"/>
            <w:tcBorders>
              <w:top w:val="nil"/>
              <w:left w:val="nil"/>
              <w:bottom w:val="nil"/>
              <w:right w:val="nil"/>
            </w:tcBorders>
          </w:tcPr>
          <w:p>
            <w:pPr>
              <w:pStyle w:val="TableParagraph"/>
              <w:spacing w:before="126"/>
              <w:ind w:left="35"/>
              <w:rPr>
                <w:rFonts w:ascii="Times New Roman"/>
                <w:b/>
                <w:sz w:val="22"/>
              </w:rPr>
            </w:pPr>
            <w:r>
              <w:rPr>
                <w:rFonts w:ascii="Times New Roman"/>
                <w:b/>
                <w:sz w:val="22"/>
              </w:rPr>
              <w:t>STAGE 2</w:t>
            </w:r>
          </w:p>
        </w:tc>
        <w:tc>
          <w:tcPr>
            <w:tcW w:w="1339" w:type="dxa"/>
            <w:tcBorders>
              <w:top w:val="nil"/>
              <w:left w:val="nil"/>
              <w:bottom w:val="nil"/>
              <w:right w:val="nil"/>
            </w:tcBorders>
          </w:tcPr>
          <w:p>
            <w:pPr>
              <w:pStyle w:val="TableParagraph"/>
              <w:spacing w:before="119"/>
              <w:ind w:left="455"/>
              <w:rPr>
                <w:rFonts w:ascii="Times New Roman"/>
                <w:sz w:val="22"/>
              </w:rPr>
            </w:pPr>
            <w:r>
              <w:rPr>
                <w:rFonts w:ascii="Times New Roman"/>
                <w:sz w:val="22"/>
              </w:rPr>
              <w:t>26</w:t>
            </w:r>
          </w:p>
        </w:tc>
        <w:tc>
          <w:tcPr>
            <w:tcW w:w="1651" w:type="dxa"/>
            <w:tcBorders>
              <w:top w:val="nil"/>
              <w:left w:val="nil"/>
              <w:bottom w:val="nil"/>
              <w:right w:val="nil"/>
            </w:tcBorders>
          </w:tcPr>
          <w:p>
            <w:pPr>
              <w:pStyle w:val="TableParagraph"/>
              <w:spacing w:before="119"/>
              <w:ind w:left="544"/>
              <w:rPr>
                <w:rFonts w:ascii="Times New Roman"/>
                <w:sz w:val="22"/>
              </w:rPr>
            </w:pPr>
            <w:r>
              <w:rPr>
                <w:rFonts w:ascii="Times New Roman"/>
                <w:w w:val="102"/>
                <w:sz w:val="22"/>
              </w:rPr>
              <w:t>6</w:t>
            </w:r>
          </w:p>
        </w:tc>
        <w:tc>
          <w:tcPr>
            <w:tcW w:w="1835" w:type="dxa"/>
            <w:tcBorders>
              <w:top w:val="nil"/>
              <w:left w:val="nil"/>
              <w:bottom w:val="nil"/>
              <w:right w:val="nil"/>
            </w:tcBorders>
          </w:tcPr>
          <w:p>
            <w:pPr>
              <w:pStyle w:val="TableParagraph"/>
              <w:spacing w:before="119"/>
              <w:ind w:left="804"/>
              <w:rPr>
                <w:rFonts w:ascii="Times New Roman"/>
                <w:sz w:val="22"/>
              </w:rPr>
            </w:pPr>
            <w:r>
              <w:rPr>
                <w:rFonts w:ascii="Times New Roman"/>
                <w:w w:val="102"/>
                <w:sz w:val="22"/>
              </w:rPr>
              <w:t>7</w:t>
            </w:r>
          </w:p>
        </w:tc>
        <w:tc>
          <w:tcPr>
            <w:tcW w:w="2125" w:type="dxa"/>
            <w:tcBorders>
              <w:top w:val="nil"/>
              <w:left w:val="nil"/>
              <w:bottom w:val="nil"/>
              <w:right w:val="nil"/>
            </w:tcBorders>
          </w:tcPr>
          <w:p>
            <w:pPr>
              <w:pStyle w:val="TableParagraph"/>
              <w:spacing w:before="119"/>
              <w:ind w:left="692"/>
              <w:rPr>
                <w:rFonts w:ascii="Times New Roman"/>
                <w:sz w:val="22"/>
              </w:rPr>
            </w:pPr>
            <w:r>
              <w:rPr>
                <w:rFonts w:ascii="Times New Roman"/>
                <w:sz w:val="22"/>
              </w:rPr>
              <w:t>13</w:t>
            </w:r>
          </w:p>
        </w:tc>
      </w:tr>
      <w:tr>
        <w:trPr>
          <w:trHeight w:val="517" w:hRule="exact"/>
        </w:trPr>
        <w:tc>
          <w:tcPr>
            <w:tcW w:w="1554" w:type="dxa"/>
            <w:tcBorders>
              <w:top w:val="nil"/>
              <w:left w:val="nil"/>
              <w:bottom w:val="nil"/>
              <w:right w:val="nil"/>
            </w:tcBorders>
          </w:tcPr>
          <w:p>
            <w:pPr>
              <w:pStyle w:val="TableParagraph"/>
              <w:spacing w:before="125"/>
              <w:ind w:left="35"/>
              <w:rPr>
                <w:rFonts w:ascii="Times New Roman"/>
                <w:b/>
                <w:sz w:val="22"/>
              </w:rPr>
            </w:pPr>
            <w:r>
              <w:rPr>
                <w:rFonts w:ascii="Times New Roman"/>
                <w:b/>
                <w:sz w:val="22"/>
              </w:rPr>
              <w:t>STAGE 3</w:t>
            </w:r>
          </w:p>
        </w:tc>
        <w:tc>
          <w:tcPr>
            <w:tcW w:w="1339" w:type="dxa"/>
            <w:tcBorders>
              <w:top w:val="nil"/>
              <w:left w:val="nil"/>
              <w:bottom w:val="nil"/>
              <w:right w:val="nil"/>
            </w:tcBorders>
          </w:tcPr>
          <w:p>
            <w:pPr>
              <w:pStyle w:val="TableParagraph"/>
              <w:spacing w:before="120"/>
              <w:ind w:left="455"/>
              <w:rPr>
                <w:rFonts w:ascii="Times New Roman"/>
                <w:sz w:val="22"/>
              </w:rPr>
            </w:pPr>
            <w:r>
              <w:rPr>
                <w:rFonts w:ascii="Times New Roman"/>
                <w:sz w:val="22"/>
              </w:rPr>
              <w:t>14</w:t>
            </w:r>
          </w:p>
        </w:tc>
        <w:tc>
          <w:tcPr>
            <w:tcW w:w="1651" w:type="dxa"/>
            <w:tcBorders>
              <w:top w:val="nil"/>
              <w:left w:val="nil"/>
              <w:bottom w:val="nil"/>
              <w:right w:val="nil"/>
            </w:tcBorders>
          </w:tcPr>
          <w:p>
            <w:pPr>
              <w:pStyle w:val="TableParagraph"/>
              <w:spacing w:before="120"/>
              <w:ind w:left="544"/>
              <w:rPr>
                <w:rFonts w:ascii="Times New Roman"/>
                <w:sz w:val="22"/>
              </w:rPr>
            </w:pPr>
            <w:r>
              <w:rPr>
                <w:rFonts w:ascii="Times New Roman"/>
                <w:w w:val="102"/>
                <w:sz w:val="22"/>
              </w:rPr>
              <w:t>1</w:t>
            </w:r>
          </w:p>
        </w:tc>
        <w:tc>
          <w:tcPr>
            <w:tcW w:w="1835" w:type="dxa"/>
            <w:tcBorders>
              <w:top w:val="nil"/>
              <w:left w:val="nil"/>
              <w:bottom w:val="nil"/>
              <w:right w:val="nil"/>
            </w:tcBorders>
          </w:tcPr>
          <w:p>
            <w:pPr>
              <w:pStyle w:val="TableParagraph"/>
              <w:spacing w:before="120"/>
              <w:ind w:left="804"/>
              <w:rPr>
                <w:rFonts w:ascii="Times New Roman"/>
                <w:sz w:val="22"/>
              </w:rPr>
            </w:pPr>
            <w:r>
              <w:rPr>
                <w:rFonts w:ascii="Times New Roman"/>
                <w:w w:val="102"/>
                <w:sz w:val="22"/>
              </w:rPr>
              <w:t>3</w:t>
            </w:r>
          </w:p>
        </w:tc>
        <w:tc>
          <w:tcPr>
            <w:tcW w:w="2125" w:type="dxa"/>
            <w:tcBorders>
              <w:top w:val="nil"/>
              <w:left w:val="nil"/>
              <w:bottom w:val="nil"/>
              <w:right w:val="nil"/>
            </w:tcBorders>
          </w:tcPr>
          <w:p>
            <w:pPr>
              <w:pStyle w:val="TableParagraph"/>
              <w:spacing w:before="120"/>
              <w:ind w:left="692"/>
              <w:rPr>
                <w:rFonts w:ascii="Times New Roman"/>
                <w:sz w:val="22"/>
              </w:rPr>
            </w:pPr>
            <w:r>
              <w:rPr>
                <w:rFonts w:ascii="Times New Roman"/>
                <w:sz w:val="22"/>
              </w:rPr>
              <w:t>10</w:t>
            </w:r>
          </w:p>
        </w:tc>
      </w:tr>
      <w:tr>
        <w:trPr>
          <w:trHeight w:val="1118" w:hRule="exact"/>
        </w:trPr>
        <w:tc>
          <w:tcPr>
            <w:tcW w:w="1554" w:type="dxa"/>
            <w:tcBorders>
              <w:top w:val="nil"/>
              <w:left w:val="nil"/>
              <w:right w:val="nil"/>
            </w:tcBorders>
          </w:tcPr>
          <w:p>
            <w:pPr>
              <w:pStyle w:val="TableParagraph"/>
              <w:spacing w:before="126"/>
              <w:ind w:left="35"/>
              <w:rPr>
                <w:rFonts w:ascii="Times New Roman"/>
                <w:b/>
                <w:sz w:val="22"/>
              </w:rPr>
            </w:pPr>
            <w:r>
              <w:rPr>
                <w:rFonts w:ascii="Times New Roman"/>
                <w:b/>
                <w:sz w:val="22"/>
              </w:rPr>
              <w:t>STAGE 4</w:t>
            </w:r>
          </w:p>
        </w:tc>
        <w:tc>
          <w:tcPr>
            <w:tcW w:w="1339" w:type="dxa"/>
            <w:tcBorders>
              <w:top w:val="nil"/>
              <w:left w:val="nil"/>
              <w:right w:val="nil"/>
            </w:tcBorders>
          </w:tcPr>
          <w:p>
            <w:pPr>
              <w:pStyle w:val="TableParagraph"/>
              <w:spacing w:before="119"/>
              <w:ind w:left="455"/>
              <w:rPr>
                <w:rFonts w:ascii="Times New Roman"/>
                <w:sz w:val="22"/>
              </w:rPr>
            </w:pPr>
            <w:r>
              <w:rPr>
                <w:rFonts w:ascii="Times New Roman"/>
                <w:sz w:val="22"/>
              </w:rPr>
              <w:t>11</w:t>
            </w:r>
          </w:p>
        </w:tc>
        <w:tc>
          <w:tcPr>
            <w:tcW w:w="1651" w:type="dxa"/>
            <w:tcBorders>
              <w:top w:val="nil"/>
              <w:left w:val="nil"/>
              <w:right w:val="nil"/>
            </w:tcBorders>
          </w:tcPr>
          <w:p>
            <w:pPr>
              <w:pStyle w:val="TableParagraph"/>
              <w:spacing w:before="119"/>
              <w:ind w:left="544"/>
              <w:rPr>
                <w:rFonts w:ascii="Times New Roman"/>
                <w:sz w:val="22"/>
              </w:rPr>
            </w:pPr>
            <w:r>
              <w:rPr>
                <w:rFonts w:ascii="Times New Roman"/>
                <w:w w:val="102"/>
                <w:sz w:val="22"/>
              </w:rPr>
              <w:t>0</w:t>
            </w:r>
          </w:p>
        </w:tc>
        <w:tc>
          <w:tcPr>
            <w:tcW w:w="1835" w:type="dxa"/>
            <w:tcBorders>
              <w:top w:val="nil"/>
              <w:left w:val="nil"/>
              <w:right w:val="nil"/>
            </w:tcBorders>
          </w:tcPr>
          <w:p>
            <w:pPr>
              <w:pStyle w:val="TableParagraph"/>
              <w:spacing w:before="119"/>
              <w:ind w:left="804"/>
              <w:rPr>
                <w:rFonts w:ascii="Times New Roman"/>
                <w:sz w:val="22"/>
              </w:rPr>
            </w:pPr>
            <w:r>
              <w:rPr>
                <w:rFonts w:ascii="Times New Roman"/>
                <w:w w:val="102"/>
                <w:sz w:val="22"/>
              </w:rPr>
              <w:t>2</w:t>
            </w:r>
          </w:p>
        </w:tc>
        <w:tc>
          <w:tcPr>
            <w:tcW w:w="2125" w:type="dxa"/>
            <w:tcBorders>
              <w:top w:val="nil"/>
              <w:left w:val="nil"/>
              <w:right w:val="nil"/>
            </w:tcBorders>
          </w:tcPr>
          <w:p>
            <w:pPr>
              <w:pStyle w:val="TableParagraph"/>
              <w:spacing w:before="119"/>
              <w:ind w:left="692"/>
              <w:rPr>
                <w:rFonts w:ascii="Times New Roman"/>
                <w:sz w:val="22"/>
              </w:rPr>
            </w:pPr>
            <w:r>
              <w:rPr>
                <w:rFonts w:ascii="Times New Roman"/>
                <w:w w:val="102"/>
                <w:sz w:val="22"/>
              </w:rPr>
              <w:t>9</w:t>
            </w:r>
          </w:p>
        </w:tc>
      </w:tr>
      <w:tr>
        <w:trPr>
          <w:trHeight w:val="364" w:hRule="exact"/>
        </w:trPr>
        <w:tc>
          <w:tcPr>
            <w:tcW w:w="1554" w:type="dxa"/>
            <w:tcBorders>
              <w:left w:val="nil"/>
              <w:bottom w:val="nil"/>
              <w:right w:val="nil"/>
            </w:tcBorders>
          </w:tcPr>
          <w:p>
            <w:pPr>
              <w:pStyle w:val="TableParagraph"/>
              <w:spacing w:before="6"/>
              <w:ind w:left="35"/>
              <w:rPr>
                <w:rFonts w:ascii="Times New Roman"/>
                <w:b/>
                <w:sz w:val="22"/>
              </w:rPr>
            </w:pPr>
            <w:r>
              <w:rPr>
                <w:rFonts w:ascii="Times New Roman"/>
                <w:b/>
                <w:sz w:val="22"/>
              </w:rPr>
              <w:t>TOTAL</w:t>
            </w:r>
          </w:p>
        </w:tc>
        <w:tc>
          <w:tcPr>
            <w:tcW w:w="1339" w:type="dxa"/>
            <w:tcBorders>
              <w:left w:val="nil"/>
              <w:bottom w:val="nil"/>
              <w:right w:val="nil"/>
            </w:tcBorders>
          </w:tcPr>
          <w:p>
            <w:pPr>
              <w:pStyle w:val="TableParagraph"/>
              <w:spacing w:line="252" w:lineRule="exact"/>
              <w:ind w:left="455"/>
              <w:rPr>
                <w:rFonts w:ascii="Times New Roman"/>
                <w:sz w:val="22"/>
              </w:rPr>
            </w:pPr>
            <w:r>
              <w:rPr>
                <w:rFonts w:ascii="Times New Roman"/>
                <w:sz w:val="22"/>
              </w:rPr>
              <w:t>288</w:t>
            </w:r>
          </w:p>
        </w:tc>
        <w:tc>
          <w:tcPr>
            <w:tcW w:w="1651" w:type="dxa"/>
            <w:tcBorders>
              <w:left w:val="nil"/>
              <w:bottom w:val="nil"/>
              <w:right w:val="nil"/>
            </w:tcBorders>
          </w:tcPr>
          <w:p>
            <w:pPr>
              <w:pStyle w:val="TableParagraph"/>
              <w:spacing w:line="252" w:lineRule="exact"/>
              <w:ind w:left="544"/>
              <w:rPr>
                <w:rFonts w:ascii="Times New Roman"/>
                <w:sz w:val="22"/>
              </w:rPr>
            </w:pPr>
            <w:r>
              <w:rPr>
                <w:rFonts w:ascii="Times New Roman"/>
                <w:sz w:val="22"/>
              </w:rPr>
              <w:t>61</w:t>
            </w:r>
          </w:p>
        </w:tc>
        <w:tc>
          <w:tcPr>
            <w:tcW w:w="1835" w:type="dxa"/>
            <w:tcBorders>
              <w:left w:val="nil"/>
              <w:bottom w:val="nil"/>
              <w:right w:val="nil"/>
            </w:tcBorders>
          </w:tcPr>
          <w:p>
            <w:pPr>
              <w:pStyle w:val="TableParagraph"/>
              <w:spacing w:line="252" w:lineRule="exact"/>
              <w:ind w:left="804"/>
              <w:rPr>
                <w:rFonts w:ascii="Times New Roman"/>
                <w:sz w:val="22"/>
              </w:rPr>
            </w:pPr>
            <w:r>
              <w:rPr>
                <w:rFonts w:ascii="Times New Roman"/>
                <w:sz w:val="22"/>
              </w:rPr>
              <w:t>107</w:t>
            </w:r>
          </w:p>
        </w:tc>
        <w:tc>
          <w:tcPr>
            <w:tcW w:w="2125" w:type="dxa"/>
            <w:tcBorders>
              <w:left w:val="nil"/>
              <w:bottom w:val="nil"/>
              <w:right w:val="nil"/>
            </w:tcBorders>
          </w:tcPr>
          <w:p>
            <w:pPr>
              <w:pStyle w:val="TableParagraph"/>
              <w:spacing w:line="252" w:lineRule="exact"/>
              <w:ind w:left="692"/>
              <w:rPr>
                <w:rFonts w:ascii="Times New Roman"/>
                <w:sz w:val="22"/>
              </w:rPr>
            </w:pPr>
            <w:r>
              <w:rPr>
                <w:rFonts w:ascii="Times New Roman"/>
                <w:sz w:val="22"/>
              </w:rPr>
              <w:t>120</w:t>
            </w:r>
          </w:p>
        </w:tc>
      </w:tr>
    </w:tbl>
    <w:p>
      <w:pPr>
        <w:pStyle w:val="BodyText"/>
        <w:spacing w:before="2"/>
        <w:rPr>
          <w:rFonts w:ascii="Times New Roman"/>
          <w:sz w:val="11"/>
        </w:rPr>
      </w:pPr>
      <w:r>
        <w:rPr/>
        <w:pict>
          <v:group style="position:absolute;margin-left:104.014999pt;margin-top:8.391720pt;width:424.35pt;height:.85pt;mso-position-horizontal-relative:page;mso-position-vertical-relative:paragraph;z-index:2224;mso-wrap-distance-left:0;mso-wrap-distance-right:0" coordorigin="2080,168" coordsize="8487,17">
            <v:line style="position:absolute" from="2089,176" to="4064,176" stroked="true" strokeweight=".84pt" strokecolor="#000000"/>
            <v:line style="position:absolute" from="4064,176" to="4083,176" stroked="true" strokeweight=".84pt" strokecolor="#000000"/>
            <v:line style="position:absolute" from="4083,176" to="5492,176" stroked="true" strokeweight=".84pt" strokecolor="#000000"/>
            <v:line style="position:absolute" from="5492,176" to="5511,176" stroked="true" strokeweight=".84pt" strokecolor="#000000"/>
            <v:line style="position:absolute" from="5511,176" to="7402,176" stroked="true" strokeweight=".84pt" strokecolor="#000000"/>
            <v:line style="position:absolute" from="7402,176" to="7422,176" stroked="true" strokeweight=".84pt" strokecolor="#000000"/>
            <v:line style="position:absolute" from="7422,176" to="9128,176" stroked="true" strokeweight=".84pt" strokecolor="#000000"/>
            <v:line style="position:absolute" from="9128,176" to="9147,176" stroked="true" strokeweight=".84pt" strokecolor="#000000"/>
            <v:line style="position:absolute" from="9147,176" to="10558,176" stroked="true" strokeweight=".84pt" strokecolor="#000000"/>
            <w10:wrap type="topAndBottom"/>
          </v:group>
        </w:pict>
      </w:r>
    </w:p>
    <w:p>
      <w:pPr>
        <w:spacing w:line="222" w:lineRule="exact" w:before="0"/>
        <w:ind w:left="2088" w:right="0" w:firstLine="0"/>
        <w:jc w:val="left"/>
        <w:rPr>
          <w:rFonts w:ascii="Times New Roman"/>
          <w:sz w:val="22"/>
        </w:rPr>
      </w:pPr>
      <w:r>
        <w:rPr>
          <w:rFonts w:ascii="Times New Roman"/>
          <w:sz w:val="22"/>
        </w:rPr>
        <w:t>NP: Non-proteinuric, LP: Borderline proteinuric, P:   Proteinuric.</w:t>
      </w:r>
    </w:p>
    <w:p>
      <w:pPr>
        <w:pStyle w:val="BodyText"/>
        <w:rPr>
          <w:rFonts w:ascii="Times New Roman"/>
          <w:sz w:val="20"/>
        </w:rPr>
      </w:pPr>
    </w:p>
    <w:p>
      <w:pPr>
        <w:pStyle w:val="BodyText"/>
        <w:spacing w:before="8"/>
        <w:rPr>
          <w:rFonts w:ascii="Times New Roman"/>
          <w:sz w:val="21"/>
        </w:rPr>
      </w:pPr>
    </w:p>
    <w:p>
      <w:pPr>
        <w:spacing w:before="0"/>
        <w:ind w:left="1253" w:right="0" w:firstLine="0"/>
        <w:jc w:val="left"/>
        <w:rPr>
          <w:rFonts w:ascii="Cambria"/>
          <w:sz w:val="20"/>
        </w:rPr>
      </w:pPr>
      <w:r>
        <w:rPr>
          <w:rFonts w:ascii="Cambria"/>
          <w:w w:val="105"/>
          <w:sz w:val="20"/>
        </w:rPr>
        <w:t>426</w:t>
      </w:r>
    </w:p>
    <w:p>
      <w:pPr>
        <w:spacing w:after="0"/>
        <w:jc w:val="left"/>
        <w:rPr>
          <w:rFonts w:ascii="Cambria"/>
          <w:sz w:val="20"/>
        </w:rPr>
        <w:sectPr>
          <w:headerReference w:type="default" r:id="rId89"/>
          <w:footerReference w:type="default" r:id="rId90"/>
          <w:pgSz w:w="12240" w:h="15840"/>
          <w:pgMar w:header="0" w:footer="0" w:top="140" w:bottom="280" w:left="0" w:right="240"/>
        </w:sectPr>
      </w:pPr>
    </w:p>
    <w:p>
      <w:pPr>
        <w:tabs>
          <w:tab w:pos="3549" w:val="left" w:leader="none"/>
        </w:tabs>
        <w:spacing w:before="56"/>
        <w:ind w:left="373" w:right="1637" w:firstLine="0"/>
        <w:jc w:val="left"/>
        <w:rPr>
          <w:b/>
          <w:sz w:val="20"/>
        </w:rPr>
      </w:pPr>
      <w:r>
        <w:rPr/>
        <w:pict>
          <v:shape style="position:absolute;margin-left:120.872412pt;margin-top:367.741068pt;width:376.45pt;height:48pt;mso-position-horizontal-relative:page;mso-position-vertical-relative:page;z-index:-122728;rotation:51" type="#_x0000_t136" fillcolor="#d6f1fe" stroked="f">
            <o:extrusion v:ext="view" autorotationcenter="t"/>
            <v:textpath style="font-family:&amp;quot;Arial&amp;quot;;font-size:48pt;v-text-kern:t;mso-text-shadow:auto;font-weight:bold" string="For Review Only"/>
            <w10:wrap type="none"/>
          </v:shape>
        </w:pict>
      </w:r>
      <w:r>
        <w:rPr>
          <w:b/>
          <w:sz w:val="20"/>
        </w:rPr>
        <w:t>age 15</w:t>
      </w:r>
      <w:r>
        <w:rPr>
          <w:b/>
          <w:spacing w:val="-1"/>
          <w:sz w:val="20"/>
        </w:rPr>
        <w:t> </w:t>
      </w:r>
      <w:r>
        <w:rPr>
          <w:b/>
          <w:sz w:val="20"/>
        </w:rPr>
        <w:t>of</w:t>
      </w:r>
      <w:r>
        <w:rPr>
          <w:b/>
          <w:spacing w:val="-1"/>
          <w:sz w:val="20"/>
        </w:rPr>
        <w:t> </w:t>
      </w:r>
      <w:r>
        <w:rPr>
          <w:b/>
          <w:sz w:val="20"/>
        </w:rPr>
        <w:t>16</w:t>
        <w:tab/>
        <w:t>Journal of the American Veterinary Medical</w:t>
      </w:r>
      <w:r>
        <w:rPr>
          <w:b/>
          <w:spacing w:val="-25"/>
          <w:sz w:val="20"/>
        </w:rPr>
        <w:t> </w:t>
      </w:r>
      <w:r>
        <w:rPr>
          <w:b/>
          <w:sz w:val="20"/>
        </w:rPr>
        <w:t>Association</w:t>
      </w:r>
    </w:p>
    <w:p>
      <w:pPr>
        <w:pStyle w:val="BodyText"/>
        <w:rPr>
          <w:b/>
          <w:sz w:val="20"/>
        </w:rPr>
      </w:pPr>
    </w:p>
    <w:p>
      <w:pPr>
        <w:pStyle w:val="BodyText"/>
        <w:rPr>
          <w:b/>
          <w:sz w:val="20"/>
        </w:rPr>
      </w:pPr>
    </w:p>
    <w:p>
      <w:pPr>
        <w:pStyle w:val="BodyText"/>
        <w:rPr>
          <w:b/>
          <w:sz w:val="18"/>
        </w:rPr>
      </w:pPr>
      <w:r>
        <w:rPr/>
        <w:pict>
          <v:line style="position:absolute;mso-position-horizontal-relative:page;mso-position-vertical-relative:paragraph;z-index:2272;mso-wrap-distance-left:0;mso-wrap-distance-right:0" from="101.800003pt,12.58282pt" to="539.920003pt,12.58282pt" stroked="true" strokeweight=".48pt" strokecolor="#000000">
            <w10:wrap type="topAndBottom"/>
          </v:line>
        </w:pict>
      </w:r>
    </w:p>
    <w:p>
      <w:pPr>
        <w:spacing w:line="220" w:lineRule="exact" w:before="0"/>
        <w:ind w:left="2036" w:right="1637" w:firstLine="0"/>
        <w:jc w:val="left"/>
        <w:rPr>
          <w:rFonts w:ascii="Times New Roman"/>
          <w:sz w:val="22"/>
        </w:rPr>
      </w:pPr>
      <w:r>
        <w:rPr>
          <w:rFonts w:ascii="Times New Roman"/>
          <w:b/>
          <w:sz w:val="22"/>
        </w:rPr>
        <w:t>Table 2. </w:t>
      </w:r>
      <w:r>
        <w:rPr>
          <w:rFonts w:ascii="Times New Roman"/>
          <w:sz w:val="22"/>
        </w:rPr>
        <w:t>Comorbidity distribution among the studied   population.</w:t>
      </w:r>
    </w:p>
    <w:p>
      <w:pPr>
        <w:pStyle w:val="BodyText"/>
        <w:spacing w:before="8"/>
        <w:rPr>
          <w:rFonts w:ascii="Times New Roman"/>
          <w:sz w:val="21"/>
        </w:rPr>
      </w:pPr>
    </w:p>
    <w:p>
      <w:pPr>
        <w:tabs>
          <w:tab w:pos="5035" w:val="left" w:leader="none"/>
          <w:tab w:pos="6552" w:val="left" w:leader="none"/>
          <w:tab w:pos="7644" w:val="left" w:leader="none"/>
          <w:tab w:pos="8969" w:val="left" w:leader="none"/>
          <w:tab w:pos="9751" w:val="left" w:leader="none"/>
        </w:tabs>
        <w:spacing w:before="0"/>
        <w:ind w:left="4121" w:right="0" w:firstLine="0"/>
        <w:jc w:val="left"/>
        <w:rPr>
          <w:rFonts w:ascii="Times New Roman"/>
          <w:b/>
          <w:i/>
          <w:sz w:val="22"/>
        </w:rPr>
      </w:pPr>
      <w:r>
        <w:rPr/>
        <w:pict>
          <v:shape style="position:absolute;margin-left:101.800003pt;margin-top:1.441936pt;width:438.15pt;height:.1pt;mso-position-horizontal-relative:page;mso-position-vertical-relative:paragraph;z-index:-122752" coordorigin="2036,29" coordsize="8763,0" path="m2036,29l3750,29m3750,29l3759,29m3759,29l4959,29m4959,29l4969,29m4969,29l6123,29m6123,29l6133,29m6133,29l7297,29m7297,29l7306,29m7306,29l8727,29m8727,29l8737,29m8737,29l9402,29m9402,29l9411,29m9411,29l10798,29e" filled="false" stroked="true" strokeweight=".48pt" strokecolor="#000000">
            <v:path arrowok="t"/>
            <w10:wrap type="none"/>
          </v:shape>
        </w:pict>
      </w:r>
      <w:r>
        <w:rPr>
          <w:rFonts w:ascii="Times New Roman"/>
          <w:b/>
          <w:i/>
          <w:sz w:val="22"/>
        </w:rPr>
        <w:t>CKD</w:t>
        <w:tab/>
        <w:t>NON</w:t>
      </w:r>
      <w:r>
        <w:rPr>
          <w:rFonts w:ascii="Times New Roman"/>
          <w:b/>
          <w:i/>
          <w:spacing w:val="9"/>
          <w:sz w:val="22"/>
        </w:rPr>
        <w:t> </w:t>
      </w:r>
      <w:r>
        <w:rPr>
          <w:rFonts w:ascii="Times New Roman"/>
          <w:b/>
          <w:i/>
          <w:sz w:val="22"/>
        </w:rPr>
        <w:t>CKD</w:t>
        <w:tab/>
        <w:t>OR</w:t>
        <w:tab/>
        <w:t>Interval</w:t>
        <w:tab/>
        <w:t>x</w:t>
      </w:r>
      <w:r>
        <w:rPr>
          <w:rFonts w:ascii="Times New Roman"/>
          <w:b/>
          <w:i/>
          <w:position w:val="10"/>
          <w:sz w:val="15"/>
        </w:rPr>
        <w:t>2</w:t>
        <w:tab/>
      </w:r>
      <w:r>
        <w:rPr>
          <w:rFonts w:ascii="Times New Roman"/>
          <w:b/>
          <w:i/>
          <w:sz w:val="22"/>
        </w:rPr>
        <w:t>P</w:t>
      </w:r>
      <w:r>
        <w:rPr>
          <w:rFonts w:ascii="Times New Roman"/>
          <w:b/>
          <w:i/>
          <w:spacing w:val="13"/>
          <w:sz w:val="22"/>
        </w:rPr>
        <w:t> </w:t>
      </w:r>
      <w:r>
        <w:rPr>
          <w:rFonts w:ascii="Times New Roman"/>
          <w:b/>
          <w:i/>
          <w:sz w:val="22"/>
        </w:rPr>
        <w:t>value</w:t>
      </w:r>
    </w:p>
    <w:p>
      <w:pPr>
        <w:pStyle w:val="BodyText"/>
        <w:spacing w:before="6"/>
        <w:rPr>
          <w:rFonts w:ascii="Times New Roman"/>
          <w:b/>
          <w:i/>
          <w:sz w:val="19"/>
        </w:rPr>
      </w:pPr>
      <w:r>
        <w:rPr/>
        <w:pict>
          <v:group style="position:absolute;margin-left:101.599998pt;margin-top:13.200588pt;width:438.55pt;height:.4pt;mso-position-horizontal-relative:page;mso-position-vertical-relative:paragraph;z-index:2296;mso-wrap-distance-left:0;mso-wrap-distance-right:0" coordorigin="2032,264" coordsize="8771,8">
            <v:line style="position:absolute" from="2036,268" to="3750,268" stroked="true" strokeweight=".36pt" strokecolor="#000000"/>
            <v:line style="position:absolute" from="3750,268" to="3759,268" stroked="true" strokeweight=".36pt" strokecolor="#000000"/>
            <v:line style="position:absolute" from="3759,268" to="4959,268" stroked="true" strokeweight=".36pt" strokecolor="#000000"/>
            <v:line style="position:absolute" from="4959,268" to="4969,268" stroked="true" strokeweight=".36pt" strokecolor="#000000"/>
            <v:line style="position:absolute" from="4969,268" to="6123,268" stroked="true" strokeweight=".36pt" strokecolor="#000000"/>
            <v:line style="position:absolute" from="6123,268" to="6133,268" stroked="true" strokeweight=".36pt" strokecolor="#000000"/>
            <v:line style="position:absolute" from="6133,268" to="7297,268" stroked="true" strokeweight=".36pt" strokecolor="#000000"/>
            <v:line style="position:absolute" from="7297,268" to="7306,268" stroked="true" strokeweight=".36pt" strokecolor="#000000"/>
            <v:line style="position:absolute" from="7306,268" to="8727,268" stroked="true" strokeweight=".36pt" strokecolor="#000000"/>
            <v:line style="position:absolute" from="8727,268" to="8737,268" stroked="true" strokeweight=".36pt" strokecolor="#000000"/>
            <v:line style="position:absolute" from="8737,268" to="9402,268" stroked="true" strokeweight=".36pt" strokecolor="#000000"/>
            <v:line style="position:absolute" from="9402,268" to="9411,268" stroked="true" strokeweight=".36pt" strokecolor="#000000"/>
            <v:line style="position:absolute" from="9411,268" to="10798,268" stroked="true" strokeweight=".36pt" strokecolor="#000000"/>
            <w10:wrap type="topAndBottom"/>
          </v:group>
        </w:pict>
      </w:r>
    </w:p>
    <w:p>
      <w:pPr>
        <w:pStyle w:val="BodyText"/>
        <w:rPr>
          <w:rFonts w:ascii="Times New Roman"/>
          <w:b/>
          <w:i/>
          <w:sz w:val="20"/>
        </w:rPr>
      </w:pPr>
    </w:p>
    <w:p>
      <w:pPr>
        <w:pStyle w:val="BodyText"/>
        <w:spacing w:before="2"/>
        <w:rPr>
          <w:rFonts w:ascii="Times New Roman"/>
          <w:b/>
          <w:i/>
          <w:sz w:val="11"/>
        </w:rPr>
      </w:pPr>
    </w:p>
    <w:tbl>
      <w:tblPr>
        <w:tblW w:w="0" w:type="auto"/>
        <w:jc w:val="left"/>
        <w:tblInd w:w="1218"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803"/>
        <w:gridCol w:w="1812"/>
        <w:gridCol w:w="1114"/>
        <w:gridCol w:w="1261"/>
        <w:gridCol w:w="980"/>
        <w:gridCol w:w="1553"/>
        <w:gridCol w:w="842"/>
        <w:gridCol w:w="1214"/>
      </w:tblGrid>
      <w:tr>
        <w:trPr>
          <w:trHeight w:val="602" w:hRule="exact"/>
        </w:trPr>
        <w:tc>
          <w:tcPr>
            <w:tcW w:w="803" w:type="dxa"/>
            <w:vMerge w:val="restart"/>
          </w:tcPr>
          <w:p>
            <w:pPr/>
          </w:p>
        </w:tc>
        <w:tc>
          <w:tcPr>
            <w:tcW w:w="1812" w:type="dxa"/>
          </w:tcPr>
          <w:p>
            <w:pPr>
              <w:pStyle w:val="TableParagraph"/>
              <w:spacing w:before="76"/>
              <w:ind w:left="14"/>
              <w:rPr>
                <w:rFonts w:ascii="Times New Roman"/>
                <w:i/>
                <w:sz w:val="22"/>
              </w:rPr>
            </w:pPr>
            <w:r>
              <w:rPr>
                <w:rFonts w:ascii="Times New Roman"/>
                <w:i/>
                <w:sz w:val="22"/>
              </w:rPr>
              <w:t>Chronic</w:t>
            </w:r>
          </w:p>
        </w:tc>
        <w:tc>
          <w:tcPr>
            <w:tcW w:w="1114" w:type="dxa"/>
          </w:tcPr>
          <w:p>
            <w:pPr>
              <w:pStyle w:val="TableParagraph"/>
              <w:spacing w:before="1"/>
              <w:rPr>
                <w:rFonts w:ascii="Times New Roman"/>
                <w:b/>
                <w:i/>
                <w:sz w:val="29"/>
              </w:rPr>
            </w:pPr>
          </w:p>
          <w:p>
            <w:pPr>
              <w:pStyle w:val="TableParagraph"/>
              <w:spacing w:before="1"/>
              <w:ind w:left="89" w:right="157"/>
              <w:jc w:val="center"/>
              <w:rPr>
                <w:rFonts w:ascii="Times New Roman"/>
                <w:sz w:val="22"/>
              </w:rPr>
            </w:pPr>
            <w:r>
              <w:rPr>
                <w:rFonts w:ascii="Times New Roman"/>
                <w:sz w:val="22"/>
              </w:rPr>
              <w:t>76/148</w:t>
            </w:r>
          </w:p>
        </w:tc>
        <w:tc>
          <w:tcPr>
            <w:tcW w:w="1261" w:type="dxa"/>
          </w:tcPr>
          <w:p>
            <w:pPr>
              <w:pStyle w:val="TableParagraph"/>
              <w:spacing w:before="1"/>
              <w:rPr>
                <w:rFonts w:ascii="Times New Roman"/>
                <w:b/>
                <w:i/>
                <w:sz w:val="29"/>
              </w:rPr>
            </w:pPr>
          </w:p>
          <w:p>
            <w:pPr>
              <w:pStyle w:val="TableParagraph"/>
              <w:spacing w:before="1"/>
              <w:ind w:left="161" w:right="233"/>
              <w:jc w:val="center"/>
              <w:rPr>
                <w:rFonts w:ascii="Times New Roman"/>
                <w:sz w:val="22"/>
              </w:rPr>
            </w:pPr>
            <w:r>
              <w:rPr>
                <w:rFonts w:ascii="Times New Roman"/>
                <w:sz w:val="22"/>
              </w:rPr>
              <w:t>72/148</w:t>
            </w:r>
          </w:p>
        </w:tc>
        <w:tc>
          <w:tcPr>
            <w:tcW w:w="4590" w:type="dxa"/>
            <w:gridSpan w:val="4"/>
          </w:tcPr>
          <w:p>
            <w:pPr/>
          </w:p>
        </w:tc>
      </w:tr>
      <w:tr>
        <w:trPr>
          <w:trHeight w:val="907" w:hRule="exact"/>
        </w:trPr>
        <w:tc>
          <w:tcPr>
            <w:tcW w:w="803" w:type="dxa"/>
            <w:vMerge/>
          </w:tcPr>
          <w:p>
            <w:pPr/>
          </w:p>
        </w:tc>
        <w:tc>
          <w:tcPr>
            <w:tcW w:w="1812" w:type="dxa"/>
          </w:tcPr>
          <w:p>
            <w:pPr>
              <w:pStyle w:val="TableParagraph"/>
              <w:spacing w:line="246" w:lineRule="exact"/>
              <w:ind w:left="14"/>
              <w:rPr>
                <w:rFonts w:ascii="Times New Roman"/>
                <w:i/>
                <w:sz w:val="22"/>
              </w:rPr>
            </w:pPr>
            <w:r>
              <w:rPr>
                <w:rFonts w:ascii="Times New Roman"/>
                <w:i/>
                <w:sz w:val="22"/>
              </w:rPr>
              <w:t>inflammatory</w:t>
            </w:r>
          </w:p>
          <w:p>
            <w:pPr>
              <w:pStyle w:val="TableParagraph"/>
              <w:rPr>
                <w:rFonts w:ascii="Times New Roman"/>
                <w:b/>
                <w:i/>
                <w:sz w:val="23"/>
              </w:rPr>
            </w:pPr>
          </w:p>
          <w:p>
            <w:pPr>
              <w:pStyle w:val="TableParagraph"/>
              <w:spacing w:before="1"/>
              <w:ind w:left="14"/>
              <w:rPr>
                <w:rFonts w:ascii="Times New Roman"/>
                <w:i/>
                <w:sz w:val="22"/>
              </w:rPr>
            </w:pPr>
            <w:r>
              <w:rPr>
                <w:rFonts w:ascii="Times New Roman"/>
                <w:i/>
                <w:sz w:val="22"/>
              </w:rPr>
              <w:t>process</w:t>
            </w:r>
          </w:p>
        </w:tc>
        <w:tc>
          <w:tcPr>
            <w:tcW w:w="1114" w:type="dxa"/>
          </w:tcPr>
          <w:p>
            <w:pPr>
              <w:pStyle w:val="TableParagraph"/>
              <w:spacing w:before="10"/>
              <w:rPr>
                <w:rFonts w:ascii="Times New Roman"/>
                <w:b/>
                <w:i/>
                <w:sz w:val="21"/>
              </w:rPr>
            </w:pPr>
          </w:p>
          <w:p>
            <w:pPr>
              <w:pStyle w:val="TableParagraph"/>
              <w:ind w:left="89" w:right="158"/>
              <w:jc w:val="center"/>
              <w:rPr>
                <w:rFonts w:ascii="Times New Roman"/>
                <w:sz w:val="22"/>
              </w:rPr>
            </w:pPr>
            <w:r>
              <w:rPr>
                <w:rFonts w:ascii="Times New Roman"/>
                <w:sz w:val="22"/>
              </w:rPr>
              <w:t>(51.35%)</w:t>
            </w:r>
          </w:p>
        </w:tc>
        <w:tc>
          <w:tcPr>
            <w:tcW w:w="1261" w:type="dxa"/>
          </w:tcPr>
          <w:p>
            <w:pPr>
              <w:pStyle w:val="TableParagraph"/>
              <w:spacing w:before="10"/>
              <w:rPr>
                <w:rFonts w:ascii="Times New Roman"/>
                <w:b/>
                <w:i/>
                <w:sz w:val="21"/>
              </w:rPr>
            </w:pPr>
          </w:p>
          <w:p>
            <w:pPr>
              <w:pStyle w:val="TableParagraph"/>
              <w:ind w:left="161" w:right="234"/>
              <w:jc w:val="center"/>
              <w:rPr>
                <w:rFonts w:ascii="Times New Roman"/>
                <w:sz w:val="22"/>
              </w:rPr>
            </w:pPr>
            <w:r>
              <w:rPr>
                <w:rFonts w:ascii="Times New Roman"/>
                <w:sz w:val="22"/>
              </w:rPr>
              <w:t>(48.64%)</w:t>
            </w:r>
          </w:p>
        </w:tc>
        <w:tc>
          <w:tcPr>
            <w:tcW w:w="980" w:type="dxa"/>
          </w:tcPr>
          <w:p>
            <w:pPr>
              <w:pStyle w:val="TableParagraph"/>
              <w:spacing w:line="246" w:lineRule="exact"/>
              <w:ind w:left="233" w:right="211"/>
              <w:jc w:val="center"/>
              <w:rPr>
                <w:rFonts w:ascii="Times New Roman"/>
                <w:sz w:val="22"/>
              </w:rPr>
            </w:pPr>
            <w:r>
              <w:rPr>
                <w:rFonts w:ascii="Times New Roman"/>
                <w:sz w:val="22"/>
              </w:rPr>
              <w:t>1.29</w:t>
            </w:r>
          </w:p>
        </w:tc>
        <w:tc>
          <w:tcPr>
            <w:tcW w:w="1553" w:type="dxa"/>
          </w:tcPr>
          <w:p>
            <w:pPr>
              <w:pStyle w:val="TableParagraph"/>
              <w:spacing w:line="246" w:lineRule="exact"/>
              <w:ind w:left="278"/>
              <w:rPr>
                <w:rFonts w:ascii="Times New Roman"/>
                <w:sz w:val="22"/>
              </w:rPr>
            </w:pPr>
            <w:r>
              <w:rPr>
                <w:rFonts w:ascii="Times New Roman"/>
                <w:sz w:val="22"/>
              </w:rPr>
              <w:t>0.812-2.051</w:t>
            </w:r>
          </w:p>
        </w:tc>
        <w:tc>
          <w:tcPr>
            <w:tcW w:w="842" w:type="dxa"/>
          </w:tcPr>
          <w:p>
            <w:pPr>
              <w:pStyle w:val="TableParagraph"/>
              <w:spacing w:line="246" w:lineRule="exact"/>
              <w:ind w:left="124"/>
              <w:rPr>
                <w:rFonts w:ascii="Times New Roman"/>
                <w:sz w:val="22"/>
              </w:rPr>
            </w:pPr>
            <w:r>
              <w:rPr>
                <w:rFonts w:ascii="Times New Roman"/>
                <w:sz w:val="22"/>
              </w:rPr>
              <w:t>1.16</w:t>
            </w:r>
          </w:p>
        </w:tc>
        <w:tc>
          <w:tcPr>
            <w:tcW w:w="1214" w:type="dxa"/>
          </w:tcPr>
          <w:p>
            <w:pPr>
              <w:pStyle w:val="TableParagraph"/>
              <w:spacing w:line="246" w:lineRule="exact"/>
              <w:ind w:left="319"/>
              <w:rPr>
                <w:rFonts w:ascii="Times New Roman"/>
                <w:sz w:val="22"/>
              </w:rPr>
            </w:pPr>
            <w:r>
              <w:rPr>
                <w:rFonts w:ascii="Times New Roman"/>
                <w:sz w:val="22"/>
              </w:rPr>
              <w:t>0.28</w:t>
            </w:r>
          </w:p>
        </w:tc>
      </w:tr>
      <w:tr>
        <w:trPr>
          <w:trHeight w:val="649" w:hRule="exact"/>
        </w:trPr>
        <w:tc>
          <w:tcPr>
            <w:tcW w:w="803" w:type="dxa"/>
            <w:vMerge/>
          </w:tcPr>
          <w:p>
            <w:pPr/>
          </w:p>
        </w:tc>
        <w:tc>
          <w:tcPr>
            <w:tcW w:w="1812" w:type="dxa"/>
          </w:tcPr>
          <w:p>
            <w:pPr>
              <w:pStyle w:val="TableParagraph"/>
              <w:rPr>
                <w:rFonts w:ascii="Times New Roman"/>
                <w:b/>
                <w:i/>
                <w:sz w:val="22"/>
              </w:rPr>
            </w:pPr>
          </w:p>
          <w:p>
            <w:pPr>
              <w:pStyle w:val="TableParagraph"/>
              <w:spacing w:before="128"/>
              <w:ind w:left="14"/>
              <w:rPr>
                <w:rFonts w:ascii="Times New Roman"/>
                <w:i/>
                <w:sz w:val="22"/>
              </w:rPr>
            </w:pPr>
            <w:r>
              <w:rPr>
                <w:rFonts w:ascii="Times New Roman"/>
                <w:i/>
                <w:sz w:val="22"/>
              </w:rPr>
              <w:t>Neoplasia</w:t>
            </w:r>
          </w:p>
        </w:tc>
        <w:tc>
          <w:tcPr>
            <w:tcW w:w="1114" w:type="dxa"/>
          </w:tcPr>
          <w:p>
            <w:pPr>
              <w:pStyle w:val="TableParagraph"/>
              <w:spacing w:before="122"/>
              <w:ind w:left="89" w:right="157"/>
              <w:jc w:val="center"/>
              <w:rPr>
                <w:rFonts w:ascii="Times New Roman"/>
                <w:sz w:val="22"/>
              </w:rPr>
            </w:pPr>
            <w:r>
              <w:rPr>
                <w:rFonts w:ascii="Times New Roman"/>
                <w:sz w:val="22"/>
              </w:rPr>
              <w:t>40/103</w:t>
            </w:r>
          </w:p>
        </w:tc>
        <w:tc>
          <w:tcPr>
            <w:tcW w:w="1261" w:type="dxa"/>
          </w:tcPr>
          <w:p>
            <w:pPr>
              <w:pStyle w:val="TableParagraph"/>
              <w:spacing w:before="122"/>
              <w:ind w:left="161" w:right="233"/>
              <w:jc w:val="center"/>
              <w:rPr>
                <w:rFonts w:ascii="Times New Roman"/>
                <w:sz w:val="22"/>
              </w:rPr>
            </w:pPr>
            <w:r>
              <w:rPr>
                <w:rFonts w:ascii="Times New Roman"/>
                <w:sz w:val="22"/>
              </w:rPr>
              <w:t>63/103</w:t>
            </w:r>
          </w:p>
        </w:tc>
        <w:tc>
          <w:tcPr>
            <w:tcW w:w="980" w:type="dxa"/>
          </w:tcPr>
          <w:p>
            <w:pPr>
              <w:pStyle w:val="TableParagraph"/>
              <w:rPr>
                <w:rFonts w:ascii="Times New Roman"/>
                <w:b/>
                <w:i/>
                <w:sz w:val="22"/>
              </w:rPr>
            </w:pPr>
          </w:p>
          <w:p>
            <w:pPr>
              <w:pStyle w:val="TableParagraph"/>
              <w:spacing w:before="128"/>
              <w:ind w:left="233" w:right="211"/>
              <w:jc w:val="center"/>
              <w:rPr>
                <w:rFonts w:ascii="Times New Roman"/>
                <w:sz w:val="22"/>
              </w:rPr>
            </w:pPr>
            <w:r>
              <w:rPr>
                <w:rFonts w:ascii="Times New Roman"/>
                <w:sz w:val="22"/>
              </w:rPr>
              <w:t>0.552</w:t>
            </w:r>
          </w:p>
        </w:tc>
        <w:tc>
          <w:tcPr>
            <w:tcW w:w="1553" w:type="dxa"/>
          </w:tcPr>
          <w:p>
            <w:pPr>
              <w:pStyle w:val="TableParagraph"/>
              <w:rPr>
                <w:rFonts w:ascii="Times New Roman"/>
                <w:b/>
                <w:i/>
                <w:sz w:val="22"/>
              </w:rPr>
            </w:pPr>
          </w:p>
          <w:p>
            <w:pPr>
              <w:pStyle w:val="TableParagraph"/>
              <w:spacing w:before="128"/>
              <w:ind w:left="278"/>
              <w:rPr>
                <w:rFonts w:ascii="Times New Roman"/>
                <w:sz w:val="22"/>
              </w:rPr>
            </w:pPr>
            <w:r>
              <w:rPr>
                <w:rFonts w:ascii="Times New Roman"/>
                <w:sz w:val="22"/>
              </w:rPr>
              <w:t>0.338-0.901</w:t>
            </w:r>
          </w:p>
        </w:tc>
        <w:tc>
          <w:tcPr>
            <w:tcW w:w="842" w:type="dxa"/>
          </w:tcPr>
          <w:p>
            <w:pPr>
              <w:pStyle w:val="TableParagraph"/>
              <w:rPr>
                <w:rFonts w:ascii="Times New Roman"/>
                <w:b/>
                <w:i/>
                <w:sz w:val="22"/>
              </w:rPr>
            </w:pPr>
          </w:p>
          <w:p>
            <w:pPr>
              <w:pStyle w:val="TableParagraph"/>
              <w:spacing w:before="128"/>
              <w:ind w:left="124"/>
              <w:rPr>
                <w:rFonts w:ascii="Times New Roman"/>
                <w:sz w:val="22"/>
              </w:rPr>
            </w:pPr>
            <w:r>
              <w:rPr>
                <w:rFonts w:ascii="Times New Roman"/>
                <w:sz w:val="22"/>
              </w:rPr>
              <w:t>5.71</w:t>
            </w:r>
          </w:p>
        </w:tc>
        <w:tc>
          <w:tcPr>
            <w:tcW w:w="1214" w:type="dxa"/>
          </w:tcPr>
          <w:p>
            <w:pPr>
              <w:pStyle w:val="TableParagraph"/>
              <w:rPr>
                <w:rFonts w:ascii="Times New Roman"/>
                <w:b/>
                <w:i/>
                <w:sz w:val="22"/>
              </w:rPr>
            </w:pPr>
          </w:p>
          <w:p>
            <w:pPr>
              <w:pStyle w:val="TableParagraph"/>
              <w:spacing w:before="128"/>
              <w:ind w:left="319"/>
              <w:rPr>
                <w:rFonts w:ascii="Times New Roman"/>
                <w:sz w:val="22"/>
              </w:rPr>
            </w:pPr>
            <w:r>
              <w:rPr>
                <w:rFonts w:ascii="Times New Roman"/>
                <w:sz w:val="22"/>
              </w:rPr>
              <w:t>0.02</w:t>
            </w:r>
          </w:p>
        </w:tc>
      </w:tr>
      <w:tr>
        <w:trPr>
          <w:trHeight w:val="390" w:hRule="exact"/>
        </w:trPr>
        <w:tc>
          <w:tcPr>
            <w:tcW w:w="803" w:type="dxa"/>
            <w:vMerge/>
          </w:tcPr>
          <w:p>
            <w:pPr/>
          </w:p>
        </w:tc>
        <w:tc>
          <w:tcPr>
            <w:tcW w:w="1812" w:type="dxa"/>
          </w:tcPr>
          <w:p>
            <w:pPr/>
          </w:p>
        </w:tc>
        <w:tc>
          <w:tcPr>
            <w:tcW w:w="1114" w:type="dxa"/>
          </w:tcPr>
          <w:p>
            <w:pPr>
              <w:pStyle w:val="TableParagraph"/>
              <w:spacing w:line="247" w:lineRule="exact"/>
              <w:ind w:left="89" w:right="158"/>
              <w:jc w:val="center"/>
              <w:rPr>
                <w:rFonts w:ascii="Times New Roman"/>
                <w:sz w:val="22"/>
              </w:rPr>
            </w:pPr>
            <w:r>
              <w:rPr>
                <w:rFonts w:ascii="Times New Roman"/>
                <w:sz w:val="22"/>
              </w:rPr>
              <w:t>(38.83%)</w:t>
            </w:r>
          </w:p>
        </w:tc>
        <w:tc>
          <w:tcPr>
            <w:tcW w:w="1261" w:type="dxa"/>
          </w:tcPr>
          <w:p>
            <w:pPr>
              <w:pStyle w:val="TableParagraph"/>
              <w:spacing w:line="247" w:lineRule="exact"/>
              <w:ind w:left="161" w:right="234"/>
              <w:jc w:val="center"/>
              <w:rPr>
                <w:rFonts w:ascii="Times New Roman"/>
                <w:sz w:val="22"/>
              </w:rPr>
            </w:pPr>
            <w:r>
              <w:rPr>
                <w:rFonts w:ascii="Times New Roman"/>
                <w:sz w:val="22"/>
              </w:rPr>
              <w:t>(61.16%)</w:t>
            </w:r>
          </w:p>
        </w:tc>
        <w:tc>
          <w:tcPr>
            <w:tcW w:w="980" w:type="dxa"/>
          </w:tcPr>
          <w:p>
            <w:pPr/>
          </w:p>
        </w:tc>
        <w:tc>
          <w:tcPr>
            <w:tcW w:w="1553" w:type="dxa"/>
          </w:tcPr>
          <w:p>
            <w:pPr/>
          </w:p>
        </w:tc>
        <w:tc>
          <w:tcPr>
            <w:tcW w:w="842" w:type="dxa"/>
          </w:tcPr>
          <w:p>
            <w:pPr/>
          </w:p>
        </w:tc>
        <w:tc>
          <w:tcPr>
            <w:tcW w:w="1214" w:type="dxa"/>
          </w:tcPr>
          <w:p>
            <w:pPr/>
          </w:p>
        </w:tc>
      </w:tr>
      <w:tr>
        <w:trPr>
          <w:trHeight w:val="648" w:hRule="exact"/>
        </w:trPr>
        <w:tc>
          <w:tcPr>
            <w:tcW w:w="803" w:type="dxa"/>
            <w:vMerge/>
          </w:tcPr>
          <w:p>
            <w:pPr/>
          </w:p>
        </w:tc>
        <w:tc>
          <w:tcPr>
            <w:tcW w:w="1812" w:type="dxa"/>
          </w:tcPr>
          <w:p>
            <w:pPr>
              <w:pStyle w:val="TableParagraph"/>
              <w:rPr>
                <w:rFonts w:ascii="Times New Roman"/>
                <w:b/>
                <w:i/>
                <w:sz w:val="22"/>
              </w:rPr>
            </w:pPr>
          </w:p>
          <w:p>
            <w:pPr>
              <w:pStyle w:val="TableParagraph"/>
              <w:spacing w:before="128"/>
              <w:ind w:left="14"/>
              <w:rPr>
                <w:rFonts w:ascii="Times New Roman"/>
                <w:i/>
                <w:sz w:val="22"/>
              </w:rPr>
            </w:pPr>
            <w:r>
              <w:rPr>
                <w:rFonts w:ascii="Times New Roman"/>
                <w:i/>
                <w:sz w:val="22"/>
              </w:rPr>
              <w:t>Cardiopathy</w:t>
            </w:r>
          </w:p>
        </w:tc>
        <w:tc>
          <w:tcPr>
            <w:tcW w:w="1114" w:type="dxa"/>
          </w:tcPr>
          <w:p>
            <w:pPr>
              <w:pStyle w:val="TableParagraph"/>
              <w:spacing w:before="122"/>
              <w:ind w:left="88" w:right="158"/>
              <w:jc w:val="center"/>
              <w:rPr>
                <w:rFonts w:ascii="Times New Roman"/>
                <w:sz w:val="22"/>
              </w:rPr>
            </w:pPr>
            <w:r>
              <w:rPr>
                <w:rFonts w:ascii="Times New Roman"/>
                <w:sz w:val="22"/>
              </w:rPr>
              <w:t>31/47</w:t>
            </w:r>
          </w:p>
        </w:tc>
        <w:tc>
          <w:tcPr>
            <w:tcW w:w="1261" w:type="dxa"/>
          </w:tcPr>
          <w:p>
            <w:pPr>
              <w:pStyle w:val="TableParagraph"/>
              <w:spacing w:before="122"/>
              <w:ind w:left="161" w:right="230"/>
              <w:jc w:val="center"/>
              <w:rPr>
                <w:rFonts w:ascii="Times New Roman"/>
                <w:sz w:val="22"/>
              </w:rPr>
            </w:pPr>
            <w:r>
              <w:rPr>
                <w:rFonts w:ascii="Times New Roman"/>
                <w:sz w:val="22"/>
              </w:rPr>
              <w:t>16/47</w:t>
            </w:r>
          </w:p>
        </w:tc>
        <w:tc>
          <w:tcPr>
            <w:tcW w:w="980" w:type="dxa"/>
          </w:tcPr>
          <w:p>
            <w:pPr>
              <w:pStyle w:val="TableParagraph"/>
              <w:rPr>
                <w:rFonts w:ascii="Times New Roman"/>
                <w:b/>
                <w:i/>
                <w:sz w:val="22"/>
              </w:rPr>
            </w:pPr>
          </w:p>
          <w:p>
            <w:pPr>
              <w:pStyle w:val="TableParagraph"/>
              <w:spacing w:before="128"/>
              <w:ind w:left="233" w:right="211"/>
              <w:jc w:val="center"/>
              <w:rPr>
                <w:rFonts w:ascii="Times New Roman"/>
                <w:sz w:val="22"/>
              </w:rPr>
            </w:pPr>
            <w:r>
              <w:rPr>
                <w:rFonts w:ascii="Times New Roman"/>
                <w:sz w:val="22"/>
              </w:rPr>
              <w:t>2.386</w:t>
            </w:r>
          </w:p>
        </w:tc>
        <w:tc>
          <w:tcPr>
            <w:tcW w:w="1553" w:type="dxa"/>
          </w:tcPr>
          <w:p>
            <w:pPr>
              <w:pStyle w:val="TableParagraph"/>
              <w:rPr>
                <w:rFonts w:ascii="Times New Roman"/>
                <w:b/>
                <w:i/>
                <w:sz w:val="22"/>
              </w:rPr>
            </w:pPr>
          </w:p>
          <w:p>
            <w:pPr>
              <w:pStyle w:val="TableParagraph"/>
              <w:spacing w:before="128"/>
              <w:ind w:left="391"/>
              <w:rPr>
                <w:rFonts w:ascii="Times New Roman"/>
                <w:sz w:val="22"/>
              </w:rPr>
            </w:pPr>
            <w:r>
              <w:rPr>
                <w:rFonts w:ascii="Times New Roman"/>
                <w:sz w:val="22"/>
              </w:rPr>
              <w:t>1.21-4.59</w:t>
            </w:r>
          </w:p>
        </w:tc>
        <w:tc>
          <w:tcPr>
            <w:tcW w:w="842" w:type="dxa"/>
          </w:tcPr>
          <w:p>
            <w:pPr>
              <w:pStyle w:val="TableParagraph"/>
              <w:rPr>
                <w:rFonts w:ascii="Times New Roman"/>
                <w:b/>
                <w:i/>
                <w:sz w:val="22"/>
              </w:rPr>
            </w:pPr>
          </w:p>
          <w:p>
            <w:pPr>
              <w:pStyle w:val="TableParagraph"/>
              <w:spacing w:before="128"/>
              <w:ind w:left="124"/>
              <w:rPr>
                <w:rFonts w:ascii="Times New Roman"/>
                <w:sz w:val="22"/>
              </w:rPr>
            </w:pPr>
            <w:r>
              <w:rPr>
                <w:rFonts w:ascii="Times New Roman"/>
                <w:sz w:val="22"/>
              </w:rPr>
              <w:t>7.04</w:t>
            </w:r>
          </w:p>
        </w:tc>
        <w:tc>
          <w:tcPr>
            <w:tcW w:w="1214" w:type="dxa"/>
          </w:tcPr>
          <w:p>
            <w:pPr>
              <w:pStyle w:val="TableParagraph"/>
              <w:rPr>
                <w:rFonts w:ascii="Times New Roman"/>
                <w:b/>
                <w:i/>
                <w:sz w:val="22"/>
              </w:rPr>
            </w:pPr>
          </w:p>
          <w:p>
            <w:pPr>
              <w:pStyle w:val="TableParagraph"/>
              <w:spacing w:before="128"/>
              <w:ind w:left="319"/>
              <w:rPr>
                <w:rFonts w:ascii="Times New Roman"/>
                <w:sz w:val="22"/>
              </w:rPr>
            </w:pPr>
            <w:r>
              <w:rPr>
                <w:rFonts w:ascii="Times New Roman"/>
                <w:sz w:val="22"/>
              </w:rPr>
              <w:t>0.01</w:t>
            </w:r>
          </w:p>
        </w:tc>
      </w:tr>
      <w:tr>
        <w:trPr>
          <w:trHeight w:val="389" w:hRule="exact"/>
        </w:trPr>
        <w:tc>
          <w:tcPr>
            <w:tcW w:w="803" w:type="dxa"/>
            <w:vMerge/>
          </w:tcPr>
          <w:p>
            <w:pPr/>
          </w:p>
        </w:tc>
        <w:tc>
          <w:tcPr>
            <w:tcW w:w="1812" w:type="dxa"/>
          </w:tcPr>
          <w:p>
            <w:pPr/>
          </w:p>
        </w:tc>
        <w:tc>
          <w:tcPr>
            <w:tcW w:w="1114" w:type="dxa"/>
          </w:tcPr>
          <w:p>
            <w:pPr>
              <w:pStyle w:val="TableParagraph"/>
              <w:spacing w:line="246" w:lineRule="exact"/>
              <w:ind w:left="89" w:right="158"/>
              <w:jc w:val="center"/>
              <w:rPr>
                <w:rFonts w:ascii="Times New Roman"/>
                <w:sz w:val="22"/>
              </w:rPr>
            </w:pPr>
            <w:r>
              <w:rPr>
                <w:rFonts w:ascii="Times New Roman"/>
                <w:sz w:val="22"/>
              </w:rPr>
              <w:t>(65.95%)</w:t>
            </w:r>
          </w:p>
        </w:tc>
        <w:tc>
          <w:tcPr>
            <w:tcW w:w="1261" w:type="dxa"/>
          </w:tcPr>
          <w:p>
            <w:pPr>
              <w:pStyle w:val="TableParagraph"/>
              <w:spacing w:line="246" w:lineRule="exact"/>
              <w:ind w:left="161" w:right="234"/>
              <w:jc w:val="center"/>
              <w:rPr>
                <w:rFonts w:ascii="Times New Roman"/>
                <w:sz w:val="22"/>
              </w:rPr>
            </w:pPr>
            <w:r>
              <w:rPr>
                <w:rFonts w:ascii="Times New Roman"/>
                <w:sz w:val="22"/>
              </w:rPr>
              <w:t>(34.05%)</w:t>
            </w:r>
          </w:p>
        </w:tc>
        <w:tc>
          <w:tcPr>
            <w:tcW w:w="980" w:type="dxa"/>
          </w:tcPr>
          <w:p>
            <w:pPr/>
          </w:p>
        </w:tc>
        <w:tc>
          <w:tcPr>
            <w:tcW w:w="1553" w:type="dxa"/>
          </w:tcPr>
          <w:p>
            <w:pPr/>
          </w:p>
        </w:tc>
        <w:tc>
          <w:tcPr>
            <w:tcW w:w="842" w:type="dxa"/>
          </w:tcPr>
          <w:p>
            <w:pPr/>
          </w:p>
        </w:tc>
        <w:tc>
          <w:tcPr>
            <w:tcW w:w="1214" w:type="dxa"/>
          </w:tcPr>
          <w:p>
            <w:pPr/>
          </w:p>
        </w:tc>
      </w:tr>
      <w:tr>
        <w:trPr>
          <w:trHeight w:val="648" w:hRule="exact"/>
        </w:trPr>
        <w:tc>
          <w:tcPr>
            <w:tcW w:w="803" w:type="dxa"/>
            <w:vMerge/>
          </w:tcPr>
          <w:p>
            <w:pPr/>
          </w:p>
        </w:tc>
        <w:tc>
          <w:tcPr>
            <w:tcW w:w="1812" w:type="dxa"/>
          </w:tcPr>
          <w:p>
            <w:pPr>
              <w:pStyle w:val="TableParagraph"/>
              <w:spacing w:before="122"/>
              <w:ind w:left="14"/>
              <w:rPr>
                <w:rFonts w:ascii="Times New Roman"/>
                <w:i/>
                <w:sz w:val="22"/>
              </w:rPr>
            </w:pPr>
            <w:r>
              <w:rPr>
                <w:rFonts w:ascii="Times New Roman"/>
                <w:i/>
                <w:sz w:val="22"/>
              </w:rPr>
              <w:t>Nephrotoxic</w:t>
            </w:r>
          </w:p>
        </w:tc>
        <w:tc>
          <w:tcPr>
            <w:tcW w:w="1114" w:type="dxa"/>
          </w:tcPr>
          <w:p>
            <w:pPr>
              <w:pStyle w:val="TableParagraph"/>
              <w:spacing w:before="122"/>
              <w:ind w:left="88" w:right="158"/>
              <w:jc w:val="center"/>
              <w:rPr>
                <w:rFonts w:ascii="Times New Roman"/>
                <w:sz w:val="22"/>
              </w:rPr>
            </w:pPr>
            <w:r>
              <w:rPr>
                <w:rFonts w:ascii="Times New Roman"/>
                <w:sz w:val="22"/>
              </w:rPr>
              <w:t>19/33</w:t>
            </w:r>
          </w:p>
        </w:tc>
        <w:tc>
          <w:tcPr>
            <w:tcW w:w="1261" w:type="dxa"/>
          </w:tcPr>
          <w:p>
            <w:pPr>
              <w:pStyle w:val="TableParagraph"/>
              <w:spacing w:before="122"/>
              <w:ind w:left="161" w:right="230"/>
              <w:jc w:val="center"/>
              <w:rPr>
                <w:rFonts w:ascii="Times New Roman"/>
                <w:sz w:val="22"/>
              </w:rPr>
            </w:pPr>
            <w:r>
              <w:rPr>
                <w:rFonts w:ascii="Times New Roman"/>
                <w:sz w:val="22"/>
              </w:rPr>
              <w:t>14/19</w:t>
            </w:r>
          </w:p>
        </w:tc>
        <w:tc>
          <w:tcPr>
            <w:tcW w:w="980" w:type="dxa"/>
          </w:tcPr>
          <w:p>
            <w:pPr>
              <w:pStyle w:val="TableParagraph"/>
              <w:rPr>
                <w:rFonts w:ascii="Times New Roman"/>
                <w:b/>
                <w:i/>
                <w:sz w:val="22"/>
              </w:rPr>
            </w:pPr>
          </w:p>
          <w:p>
            <w:pPr>
              <w:pStyle w:val="TableParagraph"/>
              <w:spacing w:before="128"/>
              <w:ind w:left="233" w:right="211"/>
              <w:jc w:val="center"/>
              <w:rPr>
                <w:rFonts w:ascii="Times New Roman"/>
                <w:sz w:val="22"/>
              </w:rPr>
            </w:pPr>
            <w:r>
              <w:rPr>
                <w:rFonts w:ascii="Times New Roman"/>
                <w:sz w:val="22"/>
              </w:rPr>
              <w:t>1.52</w:t>
            </w:r>
          </w:p>
        </w:tc>
        <w:tc>
          <w:tcPr>
            <w:tcW w:w="1553" w:type="dxa"/>
          </w:tcPr>
          <w:p>
            <w:pPr>
              <w:pStyle w:val="TableParagraph"/>
              <w:rPr>
                <w:rFonts w:ascii="Times New Roman"/>
                <w:b/>
                <w:i/>
                <w:sz w:val="22"/>
              </w:rPr>
            </w:pPr>
          </w:p>
          <w:p>
            <w:pPr>
              <w:pStyle w:val="TableParagraph"/>
              <w:spacing w:before="128"/>
              <w:ind w:left="278"/>
              <w:rPr>
                <w:rFonts w:ascii="Times New Roman"/>
                <w:sz w:val="22"/>
              </w:rPr>
            </w:pPr>
            <w:r>
              <w:rPr>
                <w:rFonts w:ascii="Times New Roman"/>
                <w:sz w:val="22"/>
              </w:rPr>
              <w:t>0.734-3.177</w:t>
            </w:r>
          </w:p>
        </w:tc>
        <w:tc>
          <w:tcPr>
            <w:tcW w:w="842" w:type="dxa"/>
          </w:tcPr>
          <w:p>
            <w:pPr>
              <w:pStyle w:val="TableParagraph"/>
              <w:rPr>
                <w:rFonts w:ascii="Times New Roman"/>
                <w:b/>
                <w:i/>
                <w:sz w:val="22"/>
              </w:rPr>
            </w:pPr>
          </w:p>
          <w:p>
            <w:pPr>
              <w:pStyle w:val="TableParagraph"/>
              <w:spacing w:before="128"/>
              <w:ind w:left="124"/>
              <w:rPr>
                <w:rFonts w:ascii="Times New Roman"/>
                <w:sz w:val="22"/>
              </w:rPr>
            </w:pPr>
            <w:r>
              <w:rPr>
                <w:rFonts w:ascii="Times New Roman"/>
                <w:sz w:val="22"/>
              </w:rPr>
              <w:t>1.29</w:t>
            </w:r>
          </w:p>
        </w:tc>
        <w:tc>
          <w:tcPr>
            <w:tcW w:w="1214" w:type="dxa"/>
          </w:tcPr>
          <w:p>
            <w:pPr>
              <w:pStyle w:val="TableParagraph"/>
              <w:rPr>
                <w:rFonts w:ascii="Times New Roman"/>
                <w:b/>
                <w:i/>
                <w:sz w:val="22"/>
              </w:rPr>
            </w:pPr>
          </w:p>
          <w:p>
            <w:pPr>
              <w:pStyle w:val="TableParagraph"/>
              <w:spacing w:before="128"/>
              <w:ind w:left="319"/>
              <w:rPr>
                <w:rFonts w:ascii="Times New Roman"/>
                <w:sz w:val="22"/>
              </w:rPr>
            </w:pPr>
            <w:r>
              <w:rPr>
                <w:rFonts w:ascii="Times New Roman"/>
                <w:sz w:val="22"/>
              </w:rPr>
              <w:t>0.26</w:t>
            </w:r>
          </w:p>
        </w:tc>
      </w:tr>
      <w:tr>
        <w:trPr>
          <w:trHeight w:val="390" w:hRule="exact"/>
        </w:trPr>
        <w:tc>
          <w:tcPr>
            <w:tcW w:w="803" w:type="dxa"/>
            <w:vMerge/>
          </w:tcPr>
          <w:p>
            <w:pPr/>
          </w:p>
        </w:tc>
        <w:tc>
          <w:tcPr>
            <w:tcW w:w="1812" w:type="dxa"/>
          </w:tcPr>
          <w:p>
            <w:pPr>
              <w:pStyle w:val="TableParagraph"/>
              <w:spacing w:line="246" w:lineRule="exact"/>
              <w:ind w:left="14"/>
              <w:rPr>
                <w:rFonts w:ascii="Times New Roman"/>
                <w:i/>
                <w:sz w:val="22"/>
              </w:rPr>
            </w:pPr>
            <w:r>
              <w:rPr>
                <w:rFonts w:ascii="Times New Roman"/>
                <w:i/>
                <w:sz w:val="22"/>
              </w:rPr>
              <w:t>Drugs</w:t>
            </w:r>
          </w:p>
        </w:tc>
        <w:tc>
          <w:tcPr>
            <w:tcW w:w="1114" w:type="dxa"/>
          </w:tcPr>
          <w:p>
            <w:pPr>
              <w:pStyle w:val="TableParagraph"/>
              <w:spacing w:line="246" w:lineRule="exact"/>
              <w:ind w:left="89" w:right="158"/>
              <w:jc w:val="center"/>
              <w:rPr>
                <w:rFonts w:ascii="Times New Roman"/>
                <w:sz w:val="22"/>
              </w:rPr>
            </w:pPr>
            <w:r>
              <w:rPr>
                <w:rFonts w:ascii="Times New Roman"/>
                <w:sz w:val="22"/>
              </w:rPr>
              <w:t>(57.57%)</w:t>
            </w:r>
          </w:p>
        </w:tc>
        <w:tc>
          <w:tcPr>
            <w:tcW w:w="1261" w:type="dxa"/>
          </w:tcPr>
          <w:p>
            <w:pPr>
              <w:pStyle w:val="TableParagraph"/>
              <w:spacing w:line="246" w:lineRule="exact"/>
              <w:ind w:left="161" w:right="234"/>
              <w:jc w:val="center"/>
              <w:rPr>
                <w:rFonts w:ascii="Times New Roman"/>
                <w:sz w:val="22"/>
              </w:rPr>
            </w:pPr>
            <w:r>
              <w:rPr>
                <w:rFonts w:ascii="Times New Roman"/>
                <w:sz w:val="22"/>
              </w:rPr>
              <w:t>(42.42%)</w:t>
            </w:r>
          </w:p>
        </w:tc>
        <w:tc>
          <w:tcPr>
            <w:tcW w:w="980" w:type="dxa"/>
          </w:tcPr>
          <w:p>
            <w:pPr/>
          </w:p>
        </w:tc>
        <w:tc>
          <w:tcPr>
            <w:tcW w:w="1553" w:type="dxa"/>
          </w:tcPr>
          <w:p>
            <w:pPr/>
          </w:p>
        </w:tc>
        <w:tc>
          <w:tcPr>
            <w:tcW w:w="842" w:type="dxa"/>
          </w:tcPr>
          <w:p>
            <w:pPr/>
          </w:p>
        </w:tc>
        <w:tc>
          <w:tcPr>
            <w:tcW w:w="1214" w:type="dxa"/>
          </w:tcPr>
          <w:p>
            <w:pPr/>
          </w:p>
        </w:tc>
      </w:tr>
      <w:tr>
        <w:trPr>
          <w:trHeight w:val="649" w:hRule="exact"/>
        </w:trPr>
        <w:tc>
          <w:tcPr>
            <w:tcW w:w="803" w:type="dxa"/>
            <w:vMerge/>
          </w:tcPr>
          <w:p>
            <w:pPr/>
          </w:p>
        </w:tc>
        <w:tc>
          <w:tcPr>
            <w:tcW w:w="1812" w:type="dxa"/>
          </w:tcPr>
          <w:p>
            <w:pPr>
              <w:pStyle w:val="TableParagraph"/>
              <w:rPr>
                <w:rFonts w:ascii="Times New Roman"/>
                <w:b/>
                <w:i/>
                <w:sz w:val="22"/>
              </w:rPr>
            </w:pPr>
          </w:p>
          <w:p>
            <w:pPr>
              <w:pStyle w:val="TableParagraph"/>
              <w:spacing w:before="130"/>
              <w:ind w:left="14"/>
              <w:rPr>
                <w:rFonts w:ascii="Times New Roman"/>
                <w:i/>
                <w:sz w:val="22"/>
              </w:rPr>
            </w:pPr>
            <w:r>
              <w:rPr>
                <w:rFonts w:ascii="Times New Roman"/>
                <w:i/>
                <w:sz w:val="22"/>
              </w:rPr>
              <w:t>Previous surgery</w:t>
            </w:r>
          </w:p>
        </w:tc>
        <w:tc>
          <w:tcPr>
            <w:tcW w:w="1114" w:type="dxa"/>
          </w:tcPr>
          <w:p>
            <w:pPr>
              <w:pStyle w:val="TableParagraph"/>
              <w:spacing w:before="123"/>
              <w:ind w:left="89" w:right="157"/>
              <w:jc w:val="center"/>
              <w:rPr>
                <w:rFonts w:ascii="Times New Roman"/>
                <w:sz w:val="22"/>
              </w:rPr>
            </w:pPr>
            <w:r>
              <w:rPr>
                <w:rFonts w:ascii="Times New Roman"/>
                <w:sz w:val="22"/>
              </w:rPr>
              <w:t>8/16</w:t>
            </w:r>
          </w:p>
        </w:tc>
        <w:tc>
          <w:tcPr>
            <w:tcW w:w="1261" w:type="dxa"/>
          </w:tcPr>
          <w:p>
            <w:pPr>
              <w:pStyle w:val="TableParagraph"/>
              <w:spacing w:before="123"/>
              <w:ind w:left="161" w:right="233"/>
              <w:jc w:val="center"/>
              <w:rPr>
                <w:rFonts w:ascii="Times New Roman"/>
                <w:sz w:val="22"/>
              </w:rPr>
            </w:pPr>
            <w:r>
              <w:rPr>
                <w:rFonts w:ascii="Times New Roman"/>
                <w:sz w:val="22"/>
              </w:rPr>
              <w:t>8/16</w:t>
            </w:r>
          </w:p>
        </w:tc>
        <w:tc>
          <w:tcPr>
            <w:tcW w:w="980" w:type="dxa"/>
          </w:tcPr>
          <w:p>
            <w:pPr>
              <w:pStyle w:val="TableParagraph"/>
              <w:rPr>
                <w:rFonts w:ascii="Times New Roman"/>
                <w:b/>
                <w:i/>
                <w:sz w:val="22"/>
              </w:rPr>
            </w:pPr>
          </w:p>
          <w:p>
            <w:pPr>
              <w:pStyle w:val="TableParagraph"/>
              <w:spacing w:before="130"/>
              <w:ind w:left="233" w:right="211"/>
              <w:jc w:val="center"/>
              <w:rPr>
                <w:rFonts w:ascii="Times New Roman"/>
                <w:sz w:val="22"/>
              </w:rPr>
            </w:pPr>
            <w:r>
              <w:rPr>
                <w:rFonts w:ascii="Times New Roman"/>
                <w:sz w:val="22"/>
              </w:rPr>
              <w:t>1.076</w:t>
            </w:r>
          </w:p>
        </w:tc>
        <w:tc>
          <w:tcPr>
            <w:tcW w:w="1553" w:type="dxa"/>
          </w:tcPr>
          <w:p>
            <w:pPr>
              <w:pStyle w:val="TableParagraph"/>
              <w:rPr>
                <w:rFonts w:ascii="Times New Roman"/>
                <w:b/>
                <w:i/>
                <w:sz w:val="22"/>
              </w:rPr>
            </w:pPr>
          </w:p>
          <w:p>
            <w:pPr>
              <w:pStyle w:val="TableParagraph"/>
              <w:spacing w:before="130"/>
              <w:ind w:left="278"/>
              <w:rPr>
                <w:rFonts w:ascii="Times New Roman"/>
                <w:sz w:val="22"/>
              </w:rPr>
            </w:pPr>
            <w:r>
              <w:rPr>
                <w:rFonts w:ascii="Times New Roman"/>
                <w:sz w:val="22"/>
              </w:rPr>
              <w:t>0.393-2.951</w:t>
            </w:r>
          </w:p>
        </w:tc>
        <w:tc>
          <w:tcPr>
            <w:tcW w:w="842" w:type="dxa"/>
          </w:tcPr>
          <w:p>
            <w:pPr>
              <w:pStyle w:val="TableParagraph"/>
              <w:rPr>
                <w:rFonts w:ascii="Times New Roman"/>
                <w:b/>
                <w:i/>
                <w:sz w:val="22"/>
              </w:rPr>
            </w:pPr>
          </w:p>
          <w:p>
            <w:pPr>
              <w:pStyle w:val="TableParagraph"/>
              <w:spacing w:before="130"/>
              <w:ind w:left="124"/>
              <w:rPr>
                <w:rFonts w:ascii="Times New Roman"/>
                <w:sz w:val="22"/>
              </w:rPr>
            </w:pPr>
            <w:r>
              <w:rPr>
                <w:rFonts w:ascii="Times New Roman"/>
                <w:sz w:val="22"/>
              </w:rPr>
              <w:t>0.02</w:t>
            </w:r>
          </w:p>
        </w:tc>
        <w:tc>
          <w:tcPr>
            <w:tcW w:w="1214" w:type="dxa"/>
          </w:tcPr>
          <w:p>
            <w:pPr>
              <w:pStyle w:val="TableParagraph"/>
              <w:rPr>
                <w:rFonts w:ascii="Times New Roman"/>
                <w:b/>
                <w:i/>
                <w:sz w:val="22"/>
              </w:rPr>
            </w:pPr>
          </w:p>
          <w:p>
            <w:pPr>
              <w:pStyle w:val="TableParagraph"/>
              <w:spacing w:before="130"/>
              <w:ind w:left="319"/>
              <w:rPr>
                <w:rFonts w:ascii="Times New Roman"/>
                <w:sz w:val="22"/>
              </w:rPr>
            </w:pPr>
            <w:r>
              <w:rPr>
                <w:rFonts w:ascii="Times New Roman"/>
                <w:sz w:val="22"/>
              </w:rPr>
              <w:t>0.89</w:t>
            </w:r>
          </w:p>
        </w:tc>
      </w:tr>
      <w:tr>
        <w:trPr>
          <w:trHeight w:val="389" w:hRule="exact"/>
        </w:trPr>
        <w:tc>
          <w:tcPr>
            <w:tcW w:w="803" w:type="dxa"/>
            <w:vMerge/>
          </w:tcPr>
          <w:p>
            <w:pPr/>
          </w:p>
        </w:tc>
        <w:tc>
          <w:tcPr>
            <w:tcW w:w="1812" w:type="dxa"/>
          </w:tcPr>
          <w:p>
            <w:pPr/>
          </w:p>
        </w:tc>
        <w:tc>
          <w:tcPr>
            <w:tcW w:w="1114" w:type="dxa"/>
          </w:tcPr>
          <w:p>
            <w:pPr>
              <w:pStyle w:val="TableParagraph"/>
              <w:spacing w:line="246" w:lineRule="exact"/>
              <w:ind w:left="88" w:right="158"/>
              <w:jc w:val="center"/>
              <w:rPr>
                <w:rFonts w:ascii="Times New Roman"/>
                <w:sz w:val="22"/>
              </w:rPr>
            </w:pPr>
            <w:r>
              <w:rPr>
                <w:rFonts w:ascii="Times New Roman"/>
                <w:sz w:val="22"/>
              </w:rPr>
              <w:t>(50%)</w:t>
            </w:r>
          </w:p>
        </w:tc>
        <w:tc>
          <w:tcPr>
            <w:tcW w:w="1261" w:type="dxa"/>
          </w:tcPr>
          <w:p>
            <w:pPr>
              <w:pStyle w:val="TableParagraph"/>
              <w:spacing w:line="246" w:lineRule="exact"/>
              <w:ind w:left="161" w:right="234"/>
              <w:jc w:val="center"/>
              <w:rPr>
                <w:rFonts w:ascii="Times New Roman"/>
                <w:sz w:val="22"/>
              </w:rPr>
            </w:pPr>
            <w:r>
              <w:rPr>
                <w:rFonts w:ascii="Times New Roman"/>
                <w:sz w:val="22"/>
              </w:rPr>
              <w:t>(50%)</w:t>
            </w:r>
          </w:p>
        </w:tc>
        <w:tc>
          <w:tcPr>
            <w:tcW w:w="980" w:type="dxa"/>
          </w:tcPr>
          <w:p>
            <w:pPr/>
          </w:p>
        </w:tc>
        <w:tc>
          <w:tcPr>
            <w:tcW w:w="1553" w:type="dxa"/>
          </w:tcPr>
          <w:p>
            <w:pPr/>
          </w:p>
        </w:tc>
        <w:tc>
          <w:tcPr>
            <w:tcW w:w="842" w:type="dxa"/>
          </w:tcPr>
          <w:p>
            <w:pPr/>
          </w:p>
        </w:tc>
        <w:tc>
          <w:tcPr>
            <w:tcW w:w="1214" w:type="dxa"/>
          </w:tcPr>
          <w:p>
            <w:pPr/>
          </w:p>
        </w:tc>
      </w:tr>
      <w:tr>
        <w:trPr>
          <w:trHeight w:val="648" w:hRule="exact"/>
        </w:trPr>
        <w:tc>
          <w:tcPr>
            <w:tcW w:w="803" w:type="dxa"/>
            <w:vMerge/>
          </w:tcPr>
          <w:p>
            <w:pPr/>
          </w:p>
        </w:tc>
        <w:tc>
          <w:tcPr>
            <w:tcW w:w="1812" w:type="dxa"/>
          </w:tcPr>
          <w:p>
            <w:pPr>
              <w:pStyle w:val="TableParagraph"/>
              <w:rPr>
                <w:rFonts w:ascii="Times New Roman"/>
                <w:b/>
                <w:i/>
                <w:sz w:val="22"/>
              </w:rPr>
            </w:pPr>
          </w:p>
          <w:p>
            <w:pPr>
              <w:pStyle w:val="TableParagraph"/>
              <w:spacing w:before="128"/>
              <w:ind w:left="14"/>
              <w:rPr>
                <w:rFonts w:ascii="Times New Roman"/>
                <w:i/>
                <w:sz w:val="22"/>
              </w:rPr>
            </w:pPr>
            <w:r>
              <w:rPr>
                <w:rFonts w:ascii="Times New Roman"/>
                <w:i/>
                <w:sz w:val="22"/>
              </w:rPr>
              <w:t>Endocrinopathy</w:t>
            </w:r>
          </w:p>
        </w:tc>
        <w:tc>
          <w:tcPr>
            <w:tcW w:w="1114" w:type="dxa"/>
          </w:tcPr>
          <w:p>
            <w:pPr>
              <w:pStyle w:val="TableParagraph"/>
              <w:spacing w:before="122"/>
              <w:ind w:left="88" w:right="158"/>
              <w:jc w:val="center"/>
              <w:rPr>
                <w:rFonts w:ascii="Times New Roman"/>
                <w:sz w:val="22"/>
              </w:rPr>
            </w:pPr>
            <w:r>
              <w:rPr>
                <w:rFonts w:ascii="Times New Roman"/>
                <w:sz w:val="22"/>
              </w:rPr>
              <w:t>13/16</w:t>
            </w:r>
          </w:p>
        </w:tc>
        <w:tc>
          <w:tcPr>
            <w:tcW w:w="1261" w:type="dxa"/>
          </w:tcPr>
          <w:p>
            <w:pPr>
              <w:pStyle w:val="TableParagraph"/>
              <w:spacing w:before="122"/>
              <w:ind w:left="161" w:right="233"/>
              <w:jc w:val="center"/>
              <w:rPr>
                <w:rFonts w:ascii="Times New Roman"/>
                <w:sz w:val="22"/>
              </w:rPr>
            </w:pPr>
            <w:r>
              <w:rPr>
                <w:rFonts w:ascii="Times New Roman"/>
                <w:sz w:val="22"/>
              </w:rPr>
              <w:t>3/16</w:t>
            </w:r>
          </w:p>
        </w:tc>
        <w:tc>
          <w:tcPr>
            <w:tcW w:w="980" w:type="dxa"/>
          </w:tcPr>
          <w:p>
            <w:pPr>
              <w:pStyle w:val="TableParagraph"/>
              <w:rPr>
                <w:rFonts w:ascii="Times New Roman"/>
                <w:b/>
                <w:i/>
                <w:sz w:val="22"/>
              </w:rPr>
            </w:pPr>
          </w:p>
          <w:p>
            <w:pPr>
              <w:pStyle w:val="TableParagraph"/>
              <w:spacing w:before="128"/>
              <w:ind w:left="233" w:right="211"/>
              <w:jc w:val="center"/>
              <w:rPr>
                <w:rFonts w:ascii="Times New Roman"/>
                <w:sz w:val="22"/>
              </w:rPr>
            </w:pPr>
            <w:r>
              <w:rPr>
                <w:rFonts w:ascii="Times New Roman"/>
                <w:sz w:val="22"/>
              </w:rPr>
              <w:t>5.021</w:t>
            </w:r>
          </w:p>
        </w:tc>
        <w:tc>
          <w:tcPr>
            <w:tcW w:w="1553" w:type="dxa"/>
          </w:tcPr>
          <w:p>
            <w:pPr>
              <w:pStyle w:val="TableParagraph"/>
              <w:rPr>
                <w:rFonts w:ascii="Times New Roman"/>
                <w:b/>
                <w:i/>
                <w:sz w:val="22"/>
              </w:rPr>
            </w:pPr>
          </w:p>
          <w:p>
            <w:pPr>
              <w:pStyle w:val="TableParagraph"/>
              <w:spacing w:before="128"/>
              <w:ind w:left="223"/>
              <w:rPr>
                <w:rFonts w:ascii="Times New Roman"/>
                <w:sz w:val="22"/>
              </w:rPr>
            </w:pPr>
            <w:r>
              <w:rPr>
                <w:rFonts w:ascii="Times New Roman"/>
                <w:sz w:val="22"/>
              </w:rPr>
              <w:t>1.399-18.020</w:t>
            </w:r>
          </w:p>
        </w:tc>
        <w:tc>
          <w:tcPr>
            <w:tcW w:w="842" w:type="dxa"/>
          </w:tcPr>
          <w:p>
            <w:pPr>
              <w:pStyle w:val="TableParagraph"/>
              <w:rPr>
                <w:rFonts w:ascii="Times New Roman"/>
                <w:b/>
                <w:i/>
                <w:sz w:val="22"/>
              </w:rPr>
            </w:pPr>
          </w:p>
          <w:p>
            <w:pPr>
              <w:pStyle w:val="TableParagraph"/>
              <w:spacing w:before="128"/>
              <w:ind w:left="124"/>
              <w:rPr>
                <w:rFonts w:ascii="Times New Roman"/>
                <w:sz w:val="22"/>
              </w:rPr>
            </w:pPr>
            <w:r>
              <w:rPr>
                <w:rFonts w:ascii="Times New Roman"/>
                <w:sz w:val="22"/>
              </w:rPr>
              <w:t>7.38</w:t>
            </w:r>
          </w:p>
        </w:tc>
        <w:tc>
          <w:tcPr>
            <w:tcW w:w="1214" w:type="dxa"/>
          </w:tcPr>
          <w:p>
            <w:pPr>
              <w:pStyle w:val="TableParagraph"/>
              <w:rPr>
                <w:rFonts w:ascii="Times New Roman"/>
                <w:b/>
                <w:i/>
                <w:sz w:val="22"/>
              </w:rPr>
            </w:pPr>
          </w:p>
          <w:p>
            <w:pPr>
              <w:pStyle w:val="TableParagraph"/>
              <w:spacing w:before="128"/>
              <w:ind w:left="319"/>
              <w:rPr>
                <w:rFonts w:ascii="Times New Roman"/>
                <w:sz w:val="22"/>
              </w:rPr>
            </w:pPr>
            <w:r>
              <w:rPr>
                <w:rFonts w:ascii="Times New Roman"/>
                <w:sz w:val="22"/>
              </w:rPr>
              <w:t>0.01</w:t>
            </w:r>
          </w:p>
        </w:tc>
      </w:tr>
      <w:tr>
        <w:trPr>
          <w:trHeight w:val="389" w:hRule="exact"/>
        </w:trPr>
        <w:tc>
          <w:tcPr>
            <w:tcW w:w="803" w:type="dxa"/>
            <w:vMerge/>
          </w:tcPr>
          <w:p>
            <w:pPr/>
          </w:p>
        </w:tc>
        <w:tc>
          <w:tcPr>
            <w:tcW w:w="1812" w:type="dxa"/>
          </w:tcPr>
          <w:p>
            <w:pPr/>
          </w:p>
        </w:tc>
        <w:tc>
          <w:tcPr>
            <w:tcW w:w="1114" w:type="dxa"/>
          </w:tcPr>
          <w:p>
            <w:pPr>
              <w:pStyle w:val="TableParagraph"/>
              <w:spacing w:line="246" w:lineRule="exact"/>
              <w:ind w:left="89" w:right="158"/>
              <w:jc w:val="center"/>
              <w:rPr>
                <w:rFonts w:ascii="Times New Roman"/>
                <w:sz w:val="22"/>
              </w:rPr>
            </w:pPr>
            <w:r>
              <w:rPr>
                <w:rFonts w:ascii="Times New Roman"/>
                <w:sz w:val="22"/>
              </w:rPr>
              <w:t>(81.25%)</w:t>
            </w:r>
          </w:p>
        </w:tc>
        <w:tc>
          <w:tcPr>
            <w:tcW w:w="1261" w:type="dxa"/>
          </w:tcPr>
          <w:p>
            <w:pPr>
              <w:pStyle w:val="TableParagraph"/>
              <w:spacing w:line="246" w:lineRule="exact"/>
              <w:ind w:left="161" w:right="234"/>
              <w:jc w:val="center"/>
              <w:rPr>
                <w:rFonts w:ascii="Times New Roman"/>
                <w:sz w:val="22"/>
              </w:rPr>
            </w:pPr>
            <w:r>
              <w:rPr>
                <w:rFonts w:ascii="Times New Roman"/>
                <w:sz w:val="22"/>
              </w:rPr>
              <w:t>(18.75%)</w:t>
            </w:r>
          </w:p>
        </w:tc>
        <w:tc>
          <w:tcPr>
            <w:tcW w:w="980" w:type="dxa"/>
          </w:tcPr>
          <w:p>
            <w:pPr/>
          </w:p>
        </w:tc>
        <w:tc>
          <w:tcPr>
            <w:tcW w:w="1553" w:type="dxa"/>
          </w:tcPr>
          <w:p>
            <w:pPr/>
          </w:p>
        </w:tc>
        <w:tc>
          <w:tcPr>
            <w:tcW w:w="842" w:type="dxa"/>
          </w:tcPr>
          <w:p>
            <w:pPr/>
          </w:p>
        </w:tc>
        <w:tc>
          <w:tcPr>
            <w:tcW w:w="1214" w:type="dxa"/>
          </w:tcPr>
          <w:p>
            <w:pPr/>
          </w:p>
        </w:tc>
      </w:tr>
      <w:tr>
        <w:trPr>
          <w:trHeight w:val="649" w:hRule="exact"/>
        </w:trPr>
        <w:tc>
          <w:tcPr>
            <w:tcW w:w="803" w:type="dxa"/>
            <w:vMerge/>
          </w:tcPr>
          <w:p>
            <w:pPr/>
          </w:p>
        </w:tc>
        <w:tc>
          <w:tcPr>
            <w:tcW w:w="1812" w:type="dxa"/>
          </w:tcPr>
          <w:p>
            <w:pPr>
              <w:pStyle w:val="TableParagraph"/>
              <w:rPr>
                <w:rFonts w:ascii="Times New Roman"/>
                <w:b/>
                <w:i/>
                <w:sz w:val="22"/>
              </w:rPr>
            </w:pPr>
          </w:p>
          <w:p>
            <w:pPr>
              <w:pStyle w:val="TableParagraph"/>
              <w:spacing w:before="128"/>
              <w:ind w:left="14"/>
              <w:rPr>
                <w:rFonts w:ascii="Times New Roman"/>
                <w:i/>
                <w:sz w:val="22"/>
              </w:rPr>
            </w:pPr>
            <w:r>
              <w:rPr>
                <w:rFonts w:ascii="Times New Roman"/>
                <w:i/>
                <w:sz w:val="22"/>
              </w:rPr>
              <w:t>Infectious diseases</w:t>
            </w:r>
          </w:p>
        </w:tc>
        <w:tc>
          <w:tcPr>
            <w:tcW w:w="1114" w:type="dxa"/>
          </w:tcPr>
          <w:p>
            <w:pPr>
              <w:pStyle w:val="TableParagraph"/>
              <w:spacing w:before="122"/>
              <w:ind w:left="89" w:right="157"/>
              <w:jc w:val="center"/>
              <w:rPr>
                <w:rFonts w:ascii="Times New Roman"/>
                <w:sz w:val="22"/>
              </w:rPr>
            </w:pPr>
            <w:r>
              <w:rPr>
                <w:rFonts w:ascii="Times New Roman"/>
                <w:sz w:val="22"/>
              </w:rPr>
              <w:t>8/14</w:t>
            </w:r>
          </w:p>
        </w:tc>
        <w:tc>
          <w:tcPr>
            <w:tcW w:w="1261" w:type="dxa"/>
          </w:tcPr>
          <w:p>
            <w:pPr>
              <w:pStyle w:val="TableParagraph"/>
              <w:spacing w:before="122"/>
              <w:ind w:left="161" w:right="233"/>
              <w:jc w:val="center"/>
              <w:rPr>
                <w:rFonts w:ascii="Times New Roman"/>
                <w:sz w:val="22"/>
              </w:rPr>
            </w:pPr>
            <w:r>
              <w:rPr>
                <w:rFonts w:ascii="Times New Roman"/>
                <w:sz w:val="22"/>
              </w:rPr>
              <w:t>6/14</w:t>
            </w:r>
          </w:p>
        </w:tc>
        <w:tc>
          <w:tcPr>
            <w:tcW w:w="980" w:type="dxa"/>
          </w:tcPr>
          <w:p>
            <w:pPr>
              <w:pStyle w:val="TableParagraph"/>
              <w:rPr>
                <w:rFonts w:ascii="Times New Roman"/>
                <w:b/>
                <w:i/>
                <w:sz w:val="22"/>
              </w:rPr>
            </w:pPr>
          </w:p>
          <w:p>
            <w:pPr>
              <w:pStyle w:val="TableParagraph"/>
              <w:spacing w:before="128"/>
              <w:ind w:left="233" w:right="211"/>
              <w:jc w:val="center"/>
              <w:rPr>
                <w:rFonts w:ascii="Times New Roman"/>
                <w:sz w:val="22"/>
              </w:rPr>
            </w:pPr>
            <w:r>
              <w:rPr>
                <w:rFonts w:ascii="Times New Roman"/>
                <w:sz w:val="22"/>
              </w:rPr>
              <w:t>1.455</w:t>
            </w:r>
          </w:p>
        </w:tc>
        <w:tc>
          <w:tcPr>
            <w:tcW w:w="1553" w:type="dxa"/>
          </w:tcPr>
          <w:p>
            <w:pPr>
              <w:pStyle w:val="TableParagraph"/>
              <w:rPr>
                <w:rFonts w:ascii="Times New Roman"/>
                <w:b/>
                <w:i/>
                <w:sz w:val="22"/>
              </w:rPr>
            </w:pPr>
          </w:p>
          <w:p>
            <w:pPr>
              <w:pStyle w:val="TableParagraph"/>
              <w:spacing w:before="128"/>
              <w:ind w:left="278"/>
              <w:rPr>
                <w:rFonts w:ascii="Times New Roman"/>
                <w:sz w:val="22"/>
              </w:rPr>
            </w:pPr>
            <w:r>
              <w:rPr>
                <w:rFonts w:ascii="Times New Roman"/>
                <w:sz w:val="22"/>
              </w:rPr>
              <w:t>0.492-4.306</w:t>
            </w:r>
          </w:p>
        </w:tc>
        <w:tc>
          <w:tcPr>
            <w:tcW w:w="842" w:type="dxa"/>
          </w:tcPr>
          <w:p>
            <w:pPr>
              <w:pStyle w:val="TableParagraph"/>
              <w:rPr>
                <w:rFonts w:ascii="Times New Roman"/>
                <w:b/>
                <w:i/>
                <w:sz w:val="22"/>
              </w:rPr>
            </w:pPr>
          </w:p>
          <w:p>
            <w:pPr>
              <w:pStyle w:val="TableParagraph"/>
              <w:spacing w:before="128"/>
              <w:ind w:left="124"/>
              <w:rPr>
                <w:rFonts w:ascii="Times New Roman"/>
                <w:sz w:val="22"/>
              </w:rPr>
            </w:pPr>
            <w:r>
              <w:rPr>
                <w:rFonts w:ascii="Times New Roman"/>
                <w:sz w:val="22"/>
              </w:rPr>
              <w:t>0.46</w:t>
            </w:r>
          </w:p>
        </w:tc>
        <w:tc>
          <w:tcPr>
            <w:tcW w:w="1214" w:type="dxa"/>
          </w:tcPr>
          <w:p>
            <w:pPr>
              <w:pStyle w:val="TableParagraph"/>
              <w:rPr>
                <w:rFonts w:ascii="Times New Roman"/>
                <w:b/>
                <w:i/>
                <w:sz w:val="22"/>
              </w:rPr>
            </w:pPr>
          </w:p>
          <w:p>
            <w:pPr>
              <w:pStyle w:val="TableParagraph"/>
              <w:spacing w:before="128"/>
              <w:ind w:left="374"/>
              <w:rPr>
                <w:rFonts w:ascii="Times New Roman"/>
                <w:sz w:val="22"/>
              </w:rPr>
            </w:pPr>
            <w:r>
              <w:rPr>
                <w:rFonts w:ascii="Times New Roman"/>
                <w:sz w:val="22"/>
              </w:rPr>
              <w:t>0.5</w:t>
            </w:r>
          </w:p>
        </w:tc>
      </w:tr>
      <w:tr>
        <w:trPr>
          <w:trHeight w:val="390" w:hRule="exact"/>
        </w:trPr>
        <w:tc>
          <w:tcPr>
            <w:tcW w:w="803" w:type="dxa"/>
            <w:vMerge/>
          </w:tcPr>
          <w:p>
            <w:pPr/>
          </w:p>
        </w:tc>
        <w:tc>
          <w:tcPr>
            <w:tcW w:w="1812" w:type="dxa"/>
          </w:tcPr>
          <w:p>
            <w:pPr/>
          </w:p>
        </w:tc>
        <w:tc>
          <w:tcPr>
            <w:tcW w:w="1114" w:type="dxa"/>
          </w:tcPr>
          <w:p>
            <w:pPr>
              <w:pStyle w:val="TableParagraph"/>
              <w:spacing w:line="247" w:lineRule="exact"/>
              <w:ind w:left="89" w:right="158"/>
              <w:jc w:val="center"/>
              <w:rPr>
                <w:rFonts w:ascii="Times New Roman"/>
                <w:sz w:val="22"/>
              </w:rPr>
            </w:pPr>
            <w:r>
              <w:rPr>
                <w:rFonts w:ascii="Times New Roman"/>
                <w:sz w:val="22"/>
              </w:rPr>
              <w:t>(57.14%)</w:t>
            </w:r>
          </w:p>
        </w:tc>
        <w:tc>
          <w:tcPr>
            <w:tcW w:w="1261" w:type="dxa"/>
          </w:tcPr>
          <w:p>
            <w:pPr>
              <w:pStyle w:val="TableParagraph"/>
              <w:spacing w:line="247" w:lineRule="exact"/>
              <w:ind w:left="161" w:right="234"/>
              <w:jc w:val="center"/>
              <w:rPr>
                <w:rFonts w:ascii="Times New Roman"/>
                <w:sz w:val="22"/>
              </w:rPr>
            </w:pPr>
            <w:r>
              <w:rPr>
                <w:rFonts w:ascii="Times New Roman"/>
                <w:sz w:val="22"/>
              </w:rPr>
              <w:t>(42.85%)</w:t>
            </w:r>
          </w:p>
        </w:tc>
        <w:tc>
          <w:tcPr>
            <w:tcW w:w="980" w:type="dxa"/>
          </w:tcPr>
          <w:p>
            <w:pPr/>
          </w:p>
        </w:tc>
        <w:tc>
          <w:tcPr>
            <w:tcW w:w="1553" w:type="dxa"/>
          </w:tcPr>
          <w:p>
            <w:pPr/>
          </w:p>
        </w:tc>
        <w:tc>
          <w:tcPr>
            <w:tcW w:w="842" w:type="dxa"/>
          </w:tcPr>
          <w:p>
            <w:pPr/>
          </w:p>
        </w:tc>
        <w:tc>
          <w:tcPr>
            <w:tcW w:w="1214" w:type="dxa"/>
          </w:tcPr>
          <w:p>
            <w:pPr/>
          </w:p>
        </w:tc>
      </w:tr>
      <w:tr>
        <w:trPr>
          <w:trHeight w:val="648" w:hRule="exact"/>
        </w:trPr>
        <w:tc>
          <w:tcPr>
            <w:tcW w:w="803" w:type="dxa"/>
            <w:vMerge/>
          </w:tcPr>
          <w:p>
            <w:pPr/>
          </w:p>
        </w:tc>
        <w:tc>
          <w:tcPr>
            <w:tcW w:w="1812" w:type="dxa"/>
          </w:tcPr>
          <w:p>
            <w:pPr>
              <w:pStyle w:val="TableParagraph"/>
              <w:rPr>
                <w:rFonts w:ascii="Times New Roman"/>
                <w:b/>
                <w:i/>
                <w:sz w:val="22"/>
              </w:rPr>
            </w:pPr>
          </w:p>
          <w:p>
            <w:pPr>
              <w:pStyle w:val="TableParagraph"/>
              <w:spacing w:before="128"/>
              <w:ind w:left="14"/>
              <w:rPr>
                <w:rFonts w:ascii="Times New Roman"/>
                <w:i/>
                <w:sz w:val="22"/>
              </w:rPr>
            </w:pPr>
            <w:r>
              <w:rPr>
                <w:rFonts w:ascii="Times New Roman"/>
                <w:i/>
                <w:sz w:val="22"/>
              </w:rPr>
              <w:t>Hepatopathy</w:t>
            </w:r>
          </w:p>
        </w:tc>
        <w:tc>
          <w:tcPr>
            <w:tcW w:w="1114" w:type="dxa"/>
          </w:tcPr>
          <w:p>
            <w:pPr>
              <w:pStyle w:val="TableParagraph"/>
              <w:spacing w:before="122"/>
              <w:ind w:left="87" w:right="158"/>
              <w:jc w:val="center"/>
              <w:rPr>
                <w:rFonts w:ascii="Times New Roman"/>
                <w:sz w:val="22"/>
              </w:rPr>
            </w:pPr>
            <w:r>
              <w:rPr>
                <w:rFonts w:ascii="Times New Roman"/>
                <w:sz w:val="22"/>
              </w:rPr>
              <w:t>7/9</w:t>
            </w:r>
          </w:p>
        </w:tc>
        <w:tc>
          <w:tcPr>
            <w:tcW w:w="1261" w:type="dxa"/>
          </w:tcPr>
          <w:p>
            <w:pPr>
              <w:pStyle w:val="TableParagraph"/>
              <w:spacing w:before="122"/>
              <w:ind w:left="161" w:right="230"/>
              <w:jc w:val="center"/>
              <w:rPr>
                <w:rFonts w:ascii="Times New Roman"/>
                <w:sz w:val="22"/>
              </w:rPr>
            </w:pPr>
            <w:r>
              <w:rPr>
                <w:rFonts w:ascii="Times New Roman"/>
                <w:sz w:val="22"/>
              </w:rPr>
              <w:t>2/9</w:t>
            </w:r>
          </w:p>
        </w:tc>
        <w:tc>
          <w:tcPr>
            <w:tcW w:w="980" w:type="dxa"/>
          </w:tcPr>
          <w:p>
            <w:pPr>
              <w:pStyle w:val="TableParagraph"/>
              <w:rPr>
                <w:rFonts w:ascii="Times New Roman"/>
                <w:b/>
                <w:i/>
                <w:sz w:val="22"/>
              </w:rPr>
            </w:pPr>
          </w:p>
          <w:p>
            <w:pPr>
              <w:pStyle w:val="TableParagraph"/>
              <w:spacing w:before="128"/>
              <w:ind w:left="233" w:right="211"/>
              <w:jc w:val="center"/>
              <w:rPr>
                <w:rFonts w:ascii="Times New Roman"/>
                <w:sz w:val="22"/>
              </w:rPr>
            </w:pPr>
            <w:r>
              <w:rPr>
                <w:rFonts w:ascii="Times New Roman"/>
                <w:sz w:val="22"/>
              </w:rPr>
              <w:t>3.89</w:t>
            </w:r>
          </w:p>
        </w:tc>
        <w:tc>
          <w:tcPr>
            <w:tcW w:w="1553" w:type="dxa"/>
          </w:tcPr>
          <w:p>
            <w:pPr>
              <w:pStyle w:val="TableParagraph"/>
              <w:rPr>
                <w:rFonts w:ascii="Times New Roman"/>
                <w:b/>
                <w:i/>
                <w:sz w:val="22"/>
              </w:rPr>
            </w:pPr>
          </w:p>
          <w:p>
            <w:pPr>
              <w:pStyle w:val="TableParagraph"/>
              <w:spacing w:before="128"/>
              <w:ind w:left="223"/>
              <w:rPr>
                <w:rFonts w:ascii="Times New Roman"/>
                <w:sz w:val="22"/>
              </w:rPr>
            </w:pPr>
            <w:r>
              <w:rPr>
                <w:rFonts w:ascii="Times New Roman"/>
                <w:sz w:val="22"/>
              </w:rPr>
              <w:t>0.796-19.091</w:t>
            </w:r>
          </w:p>
        </w:tc>
        <w:tc>
          <w:tcPr>
            <w:tcW w:w="842" w:type="dxa"/>
          </w:tcPr>
          <w:p>
            <w:pPr>
              <w:pStyle w:val="TableParagraph"/>
              <w:rPr>
                <w:rFonts w:ascii="Times New Roman"/>
                <w:b/>
                <w:i/>
                <w:sz w:val="22"/>
              </w:rPr>
            </w:pPr>
          </w:p>
          <w:p>
            <w:pPr>
              <w:pStyle w:val="TableParagraph"/>
              <w:spacing w:before="128"/>
              <w:ind w:left="124"/>
              <w:rPr>
                <w:rFonts w:ascii="Times New Roman"/>
                <w:sz w:val="22"/>
              </w:rPr>
            </w:pPr>
            <w:r>
              <w:rPr>
                <w:rFonts w:ascii="Times New Roman"/>
                <w:sz w:val="22"/>
              </w:rPr>
              <w:t>3.24</w:t>
            </w:r>
          </w:p>
        </w:tc>
        <w:tc>
          <w:tcPr>
            <w:tcW w:w="1214" w:type="dxa"/>
          </w:tcPr>
          <w:p>
            <w:pPr>
              <w:pStyle w:val="TableParagraph"/>
              <w:rPr>
                <w:rFonts w:ascii="Times New Roman"/>
                <w:b/>
                <w:i/>
                <w:sz w:val="22"/>
              </w:rPr>
            </w:pPr>
          </w:p>
          <w:p>
            <w:pPr>
              <w:pStyle w:val="TableParagraph"/>
              <w:spacing w:before="128"/>
              <w:ind w:left="319"/>
              <w:rPr>
                <w:rFonts w:ascii="Times New Roman"/>
                <w:sz w:val="22"/>
              </w:rPr>
            </w:pPr>
            <w:r>
              <w:rPr>
                <w:rFonts w:ascii="Times New Roman"/>
                <w:sz w:val="22"/>
              </w:rPr>
              <w:t>0.07</w:t>
            </w:r>
          </w:p>
        </w:tc>
      </w:tr>
      <w:tr>
        <w:trPr>
          <w:trHeight w:val="389" w:hRule="exact"/>
        </w:trPr>
        <w:tc>
          <w:tcPr>
            <w:tcW w:w="803" w:type="dxa"/>
            <w:vMerge/>
          </w:tcPr>
          <w:p>
            <w:pPr/>
          </w:p>
        </w:tc>
        <w:tc>
          <w:tcPr>
            <w:tcW w:w="1812" w:type="dxa"/>
          </w:tcPr>
          <w:p>
            <w:pPr/>
          </w:p>
        </w:tc>
        <w:tc>
          <w:tcPr>
            <w:tcW w:w="1114" w:type="dxa"/>
          </w:tcPr>
          <w:p>
            <w:pPr>
              <w:pStyle w:val="TableParagraph"/>
              <w:spacing w:line="246" w:lineRule="exact"/>
              <w:ind w:left="89" w:right="158"/>
              <w:jc w:val="center"/>
              <w:rPr>
                <w:rFonts w:ascii="Times New Roman"/>
                <w:sz w:val="22"/>
              </w:rPr>
            </w:pPr>
            <w:r>
              <w:rPr>
                <w:rFonts w:ascii="Times New Roman"/>
                <w:sz w:val="22"/>
              </w:rPr>
              <w:t>(77.77%)</w:t>
            </w:r>
          </w:p>
        </w:tc>
        <w:tc>
          <w:tcPr>
            <w:tcW w:w="1261" w:type="dxa"/>
          </w:tcPr>
          <w:p>
            <w:pPr>
              <w:pStyle w:val="TableParagraph"/>
              <w:spacing w:line="246" w:lineRule="exact"/>
              <w:ind w:left="161" w:right="234"/>
              <w:jc w:val="center"/>
              <w:rPr>
                <w:rFonts w:ascii="Times New Roman"/>
                <w:sz w:val="22"/>
              </w:rPr>
            </w:pPr>
            <w:r>
              <w:rPr>
                <w:rFonts w:ascii="Times New Roman"/>
                <w:sz w:val="22"/>
              </w:rPr>
              <w:t>(22.22%)</w:t>
            </w:r>
          </w:p>
        </w:tc>
        <w:tc>
          <w:tcPr>
            <w:tcW w:w="980" w:type="dxa"/>
          </w:tcPr>
          <w:p>
            <w:pPr/>
          </w:p>
        </w:tc>
        <w:tc>
          <w:tcPr>
            <w:tcW w:w="1553" w:type="dxa"/>
          </w:tcPr>
          <w:p>
            <w:pPr/>
          </w:p>
        </w:tc>
        <w:tc>
          <w:tcPr>
            <w:tcW w:w="842" w:type="dxa"/>
          </w:tcPr>
          <w:p>
            <w:pPr/>
          </w:p>
        </w:tc>
        <w:tc>
          <w:tcPr>
            <w:tcW w:w="1214" w:type="dxa"/>
          </w:tcPr>
          <w:p>
            <w:pPr/>
          </w:p>
        </w:tc>
      </w:tr>
      <w:tr>
        <w:trPr>
          <w:trHeight w:val="648" w:hRule="exact"/>
        </w:trPr>
        <w:tc>
          <w:tcPr>
            <w:tcW w:w="803" w:type="dxa"/>
            <w:vMerge/>
          </w:tcPr>
          <w:p>
            <w:pPr/>
          </w:p>
        </w:tc>
        <w:tc>
          <w:tcPr>
            <w:tcW w:w="1812" w:type="dxa"/>
          </w:tcPr>
          <w:p>
            <w:pPr>
              <w:pStyle w:val="TableParagraph"/>
              <w:spacing w:before="122"/>
              <w:ind w:left="14"/>
              <w:rPr>
                <w:rFonts w:ascii="Times New Roman"/>
                <w:i/>
                <w:sz w:val="22"/>
              </w:rPr>
            </w:pPr>
            <w:r>
              <w:rPr>
                <w:rFonts w:ascii="Times New Roman"/>
                <w:i/>
                <w:sz w:val="22"/>
              </w:rPr>
              <w:t>Lower urinary</w:t>
            </w:r>
          </w:p>
        </w:tc>
        <w:tc>
          <w:tcPr>
            <w:tcW w:w="1114" w:type="dxa"/>
          </w:tcPr>
          <w:p>
            <w:pPr>
              <w:pStyle w:val="TableParagraph"/>
              <w:spacing w:before="122"/>
              <w:ind w:left="87" w:right="158"/>
              <w:jc w:val="center"/>
              <w:rPr>
                <w:rFonts w:ascii="Times New Roman"/>
                <w:sz w:val="22"/>
              </w:rPr>
            </w:pPr>
            <w:r>
              <w:rPr>
                <w:rFonts w:ascii="Times New Roman"/>
                <w:sz w:val="22"/>
              </w:rPr>
              <w:t>5/8</w:t>
            </w:r>
          </w:p>
        </w:tc>
        <w:tc>
          <w:tcPr>
            <w:tcW w:w="1261" w:type="dxa"/>
          </w:tcPr>
          <w:p>
            <w:pPr>
              <w:pStyle w:val="TableParagraph"/>
              <w:spacing w:before="122"/>
              <w:ind w:left="161" w:right="230"/>
              <w:jc w:val="center"/>
              <w:rPr>
                <w:rFonts w:ascii="Times New Roman"/>
                <w:sz w:val="22"/>
              </w:rPr>
            </w:pPr>
            <w:r>
              <w:rPr>
                <w:rFonts w:ascii="Times New Roman"/>
                <w:sz w:val="22"/>
              </w:rPr>
              <w:t>3/8</w:t>
            </w:r>
          </w:p>
        </w:tc>
        <w:tc>
          <w:tcPr>
            <w:tcW w:w="980" w:type="dxa"/>
          </w:tcPr>
          <w:p>
            <w:pPr>
              <w:pStyle w:val="TableParagraph"/>
              <w:rPr>
                <w:rFonts w:ascii="Times New Roman"/>
                <w:b/>
                <w:i/>
                <w:sz w:val="22"/>
              </w:rPr>
            </w:pPr>
          </w:p>
          <w:p>
            <w:pPr>
              <w:pStyle w:val="TableParagraph"/>
              <w:spacing w:before="128"/>
              <w:ind w:left="233" w:right="211"/>
              <w:jc w:val="center"/>
              <w:rPr>
                <w:rFonts w:ascii="Times New Roman"/>
                <w:sz w:val="22"/>
              </w:rPr>
            </w:pPr>
            <w:r>
              <w:rPr>
                <w:rFonts w:ascii="Times New Roman"/>
                <w:sz w:val="22"/>
              </w:rPr>
              <w:t>1.818</w:t>
            </w:r>
          </w:p>
        </w:tc>
        <w:tc>
          <w:tcPr>
            <w:tcW w:w="1553" w:type="dxa"/>
          </w:tcPr>
          <w:p>
            <w:pPr>
              <w:pStyle w:val="TableParagraph"/>
              <w:rPr>
                <w:rFonts w:ascii="Times New Roman"/>
                <w:b/>
                <w:i/>
                <w:sz w:val="22"/>
              </w:rPr>
            </w:pPr>
          </w:p>
          <w:p>
            <w:pPr>
              <w:pStyle w:val="TableParagraph"/>
              <w:spacing w:before="128"/>
              <w:ind w:left="278"/>
              <w:rPr>
                <w:rFonts w:ascii="Times New Roman"/>
                <w:sz w:val="22"/>
              </w:rPr>
            </w:pPr>
            <w:r>
              <w:rPr>
                <w:rFonts w:ascii="Times New Roman"/>
                <w:sz w:val="22"/>
              </w:rPr>
              <w:t>0.426-7.745</w:t>
            </w:r>
          </w:p>
        </w:tc>
        <w:tc>
          <w:tcPr>
            <w:tcW w:w="842" w:type="dxa"/>
          </w:tcPr>
          <w:p>
            <w:pPr>
              <w:pStyle w:val="TableParagraph"/>
              <w:rPr>
                <w:rFonts w:ascii="Times New Roman"/>
                <w:b/>
                <w:i/>
                <w:sz w:val="22"/>
              </w:rPr>
            </w:pPr>
          </w:p>
          <w:p>
            <w:pPr>
              <w:pStyle w:val="TableParagraph"/>
              <w:spacing w:before="128"/>
              <w:ind w:left="124"/>
              <w:rPr>
                <w:rFonts w:ascii="Times New Roman"/>
                <w:sz w:val="22"/>
              </w:rPr>
            </w:pPr>
            <w:r>
              <w:rPr>
                <w:rFonts w:ascii="Times New Roman"/>
                <w:sz w:val="22"/>
              </w:rPr>
              <w:t>0.67</w:t>
            </w:r>
          </w:p>
        </w:tc>
        <w:tc>
          <w:tcPr>
            <w:tcW w:w="1214" w:type="dxa"/>
          </w:tcPr>
          <w:p>
            <w:pPr>
              <w:pStyle w:val="TableParagraph"/>
              <w:rPr>
                <w:rFonts w:ascii="Times New Roman"/>
                <w:b/>
                <w:i/>
                <w:sz w:val="22"/>
              </w:rPr>
            </w:pPr>
          </w:p>
          <w:p>
            <w:pPr>
              <w:pStyle w:val="TableParagraph"/>
              <w:spacing w:before="128"/>
              <w:ind w:left="319"/>
              <w:rPr>
                <w:rFonts w:ascii="Times New Roman"/>
                <w:sz w:val="22"/>
              </w:rPr>
            </w:pPr>
            <w:r>
              <w:rPr>
                <w:rFonts w:ascii="Times New Roman"/>
                <w:sz w:val="22"/>
              </w:rPr>
              <w:t>0.41</w:t>
            </w:r>
          </w:p>
        </w:tc>
      </w:tr>
      <w:tr>
        <w:trPr>
          <w:trHeight w:val="531" w:hRule="exact"/>
        </w:trPr>
        <w:tc>
          <w:tcPr>
            <w:tcW w:w="803" w:type="dxa"/>
            <w:vMerge/>
          </w:tcPr>
          <w:p>
            <w:pPr/>
          </w:p>
        </w:tc>
        <w:tc>
          <w:tcPr>
            <w:tcW w:w="1812" w:type="dxa"/>
            <w:tcBorders>
              <w:bottom w:val="single" w:sz="11" w:space="0" w:color="000000"/>
            </w:tcBorders>
          </w:tcPr>
          <w:p>
            <w:pPr>
              <w:pStyle w:val="TableParagraph"/>
              <w:spacing w:line="246" w:lineRule="exact"/>
              <w:ind w:left="14"/>
              <w:rPr>
                <w:rFonts w:ascii="Times New Roman"/>
                <w:i/>
                <w:sz w:val="22"/>
              </w:rPr>
            </w:pPr>
            <w:r>
              <w:rPr>
                <w:rFonts w:ascii="Times New Roman"/>
                <w:i/>
                <w:sz w:val="22"/>
              </w:rPr>
              <w:t>tract disease</w:t>
            </w:r>
          </w:p>
        </w:tc>
        <w:tc>
          <w:tcPr>
            <w:tcW w:w="1114" w:type="dxa"/>
            <w:tcBorders>
              <w:bottom w:val="single" w:sz="11" w:space="0" w:color="000000"/>
            </w:tcBorders>
          </w:tcPr>
          <w:p>
            <w:pPr>
              <w:pStyle w:val="TableParagraph"/>
              <w:spacing w:line="246" w:lineRule="exact"/>
              <w:ind w:left="89" w:right="158"/>
              <w:jc w:val="center"/>
              <w:rPr>
                <w:rFonts w:ascii="Times New Roman"/>
                <w:sz w:val="22"/>
              </w:rPr>
            </w:pPr>
            <w:r>
              <w:rPr>
                <w:rFonts w:ascii="Times New Roman"/>
                <w:sz w:val="22"/>
              </w:rPr>
              <w:t>(62.5%)</w:t>
            </w:r>
          </w:p>
        </w:tc>
        <w:tc>
          <w:tcPr>
            <w:tcW w:w="1261" w:type="dxa"/>
            <w:tcBorders>
              <w:bottom w:val="single" w:sz="11" w:space="0" w:color="000000"/>
            </w:tcBorders>
          </w:tcPr>
          <w:p>
            <w:pPr>
              <w:pStyle w:val="TableParagraph"/>
              <w:spacing w:line="246" w:lineRule="exact"/>
              <w:ind w:left="161" w:right="234"/>
              <w:jc w:val="center"/>
              <w:rPr>
                <w:rFonts w:ascii="Times New Roman"/>
                <w:sz w:val="22"/>
              </w:rPr>
            </w:pPr>
            <w:r>
              <w:rPr>
                <w:rFonts w:ascii="Times New Roman"/>
                <w:sz w:val="22"/>
              </w:rPr>
              <w:t>(37.5%)</w:t>
            </w:r>
          </w:p>
        </w:tc>
        <w:tc>
          <w:tcPr>
            <w:tcW w:w="980" w:type="dxa"/>
            <w:tcBorders>
              <w:bottom w:val="single" w:sz="11" w:space="0" w:color="000000"/>
            </w:tcBorders>
          </w:tcPr>
          <w:p>
            <w:pPr/>
          </w:p>
        </w:tc>
        <w:tc>
          <w:tcPr>
            <w:tcW w:w="1553" w:type="dxa"/>
            <w:tcBorders>
              <w:bottom w:val="single" w:sz="11" w:space="0" w:color="000000"/>
            </w:tcBorders>
          </w:tcPr>
          <w:p>
            <w:pPr/>
          </w:p>
        </w:tc>
        <w:tc>
          <w:tcPr>
            <w:tcW w:w="842" w:type="dxa"/>
            <w:tcBorders>
              <w:bottom w:val="single" w:sz="11" w:space="0" w:color="000000"/>
            </w:tcBorders>
          </w:tcPr>
          <w:p>
            <w:pPr/>
          </w:p>
        </w:tc>
        <w:tc>
          <w:tcPr>
            <w:tcW w:w="1214" w:type="dxa"/>
            <w:tcBorders>
              <w:bottom w:val="single" w:sz="11" w:space="0" w:color="000000"/>
            </w:tcBorders>
          </w:tcPr>
          <w:p>
            <w:pPr/>
          </w:p>
        </w:tc>
      </w:tr>
      <w:tr>
        <w:trPr>
          <w:trHeight w:val="514" w:hRule="exact"/>
        </w:trPr>
        <w:tc>
          <w:tcPr>
            <w:tcW w:w="803" w:type="dxa"/>
          </w:tcPr>
          <w:p>
            <w:pPr>
              <w:pStyle w:val="TableParagraph"/>
              <w:spacing w:before="152"/>
              <w:ind w:left="35"/>
              <w:rPr>
                <w:rFonts w:ascii="Cambria"/>
                <w:sz w:val="20"/>
              </w:rPr>
            </w:pPr>
            <w:r>
              <w:rPr>
                <w:rFonts w:ascii="Cambria"/>
                <w:w w:val="105"/>
                <w:sz w:val="20"/>
              </w:rPr>
              <w:t>427</w:t>
            </w:r>
          </w:p>
        </w:tc>
        <w:tc>
          <w:tcPr>
            <w:tcW w:w="1812" w:type="dxa"/>
            <w:tcBorders>
              <w:top w:val="single" w:sz="11" w:space="0" w:color="000000"/>
            </w:tcBorders>
          </w:tcPr>
          <w:p>
            <w:pPr/>
          </w:p>
        </w:tc>
        <w:tc>
          <w:tcPr>
            <w:tcW w:w="1114" w:type="dxa"/>
            <w:tcBorders>
              <w:top w:val="single" w:sz="11" w:space="0" w:color="000000"/>
            </w:tcBorders>
          </w:tcPr>
          <w:p>
            <w:pPr/>
          </w:p>
        </w:tc>
        <w:tc>
          <w:tcPr>
            <w:tcW w:w="1261" w:type="dxa"/>
            <w:tcBorders>
              <w:top w:val="single" w:sz="11" w:space="0" w:color="000000"/>
            </w:tcBorders>
          </w:tcPr>
          <w:p>
            <w:pPr/>
          </w:p>
        </w:tc>
        <w:tc>
          <w:tcPr>
            <w:tcW w:w="980" w:type="dxa"/>
            <w:tcBorders>
              <w:top w:val="single" w:sz="11" w:space="0" w:color="000000"/>
            </w:tcBorders>
          </w:tcPr>
          <w:p>
            <w:pPr/>
          </w:p>
        </w:tc>
        <w:tc>
          <w:tcPr>
            <w:tcW w:w="1553" w:type="dxa"/>
            <w:tcBorders>
              <w:top w:val="single" w:sz="11" w:space="0" w:color="000000"/>
            </w:tcBorders>
          </w:tcPr>
          <w:p>
            <w:pPr/>
          </w:p>
        </w:tc>
        <w:tc>
          <w:tcPr>
            <w:tcW w:w="842" w:type="dxa"/>
            <w:tcBorders>
              <w:top w:val="single" w:sz="11" w:space="0" w:color="000000"/>
            </w:tcBorders>
          </w:tcPr>
          <w:p>
            <w:pPr/>
          </w:p>
        </w:tc>
        <w:tc>
          <w:tcPr>
            <w:tcW w:w="1214" w:type="dxa"/>
            <w:tcBorders>
              <w:top w:val="single" w:sz="11" w:space="0" w:color="000000"/>
            </w:tcBorders>
          </w:tcPr>
          <w:p>
            <w:pPr/>
          </w:p>
        </w:tc>
      </w:tr>
      <w:tr>
        <w:trPr>
          <w:trHeight w:val="440" w:hRule="exact"/>
        </w:trPr>
        <w:tc>
          <w:tcPr>
            <w:tcW w:w="803" w:type="dxa"/>
          </w:tcPr>
          <w:p>
            <w:pPr>
              <w:pStyle w:val="TableParagraph"/>
              <w:spacing w:before="111"/>
              <w:ind w:left="35"/>
              <w:rPr>
                <w:rFonts w:ascii="Cambria"/>
                <w:sz w:val="20"/>
              </w:rPr>
            </w:pPr>
            <w:r>
              <w:rPr>
                <w:rFonts w:ascii="Cambria"/>
                <w:w w:val="105"/>
                <w:sz w:val="20"/>
              </w:rPr>
              <w:t>428</w:t>
            </w:r>
          </w:p>
        </w:tc>
        <w:tc>
          <w:tcPr>
            <w:tcW w:w="1812" w:type="dxa"/>
          </w:tcPr>
          <w:p>
            <w:pPr/>
          </w:p>
        </w:tc>
        <w:tc>
          <w:tcPr>
            <w:tcW w:w="1114" w:type="dxa"/>
          </w:tcPr>
          <w:p>
            <w:pPr/>
          </w:p>
        </w:tc>
        <w:tc>
          <w:tcPr>
            <w:tcW w:w="1261" w:type="dxa"/>
          </w:tcPr>
          <w:p>
            <w:pPr/>
          </w:p>
        </w:tc>
        <w:tc>
          <w:tcPr>
            <w:tcW w:w="980" w:type="dxa"/>
          </w:tcPr>
          <w:p>
            <w:pPr/>
          </w:p>
        </w:tc>
        <w:tc>
          <w:tcPr>
            <w:tcW w:w="1553" w:type="dxa"/>
          </w:tcPr>
          <w:p>
            <w:pPr/>
          </w:p>
        </w:tc>
        <w:tc>
          <w:tcPr>
            <w:tcW w:w="842" w:type="dxa"/>
          </w:tcPr>
          <w:p>
            <w:pPr/>
          </w:p>
        </w:tc>
        <w:tc>
          <w:tcPr>
            <w:tcW w:w="1214" w:type="dxa"/>
          </w:tcPr>
          <w:p>
            <w:pPr/>
          </w:p>
        </w:tc>
      </w:tr>
    </w:tbl>
    <w:p>
      <w:pPr>
        <w:spacing w:after="0"/>
        <w:sectPr>
          <w:headerReference w:type="default" r:id="rId91"/>
          <w:footerReference w:type="default" r:id="rId92"/>
          <w:pgSz w:w="12240" w:h="15840"/>
          <w:pgMar w:header="0" w:footer="0" w:top="140" w:bottom="280" w:left="0" w:right="1320"/>
        </w:sectPr>
      </w:pPr>
    </w:p>
    <w:p>
      <w:pPr>
        <w:tabs>
          <w:tab w:pos="10881" w:val="left" w:leader="none"/>
        </w:tabs>
        <w:spacing w:before="56"/>
        <w:ind w:left="3549" w:right="0" w:firstLine="0"/>
        <w:jc w:val="left"/>
        <w:rPr>
          <w:b/>
          <w:sz w:val="20"/>
        </w:rPr>
      </w:pPr>
      <w:r>
        <w:rPr/>
        <w:pict>
          <v:shape style="position:absolute;margin-left:120.872412pt;margin-top:367.741068pt;width:376.45pt;height:48pt;mso-position-horizontal-relative:page;mso-position-vertical-relative:page;z-index:-122656;rotation:51" type="#_x0000_t136" fillcolor="#d6f1fe" stroked="f">
            <o:extrusion v:ext="view" autorotationcenter="t"/>
            <v:textpath style="font-family:&amp;quot;Arial&amp;quot;;font-size:48pt;v-text-kern:t;mso-text-shadow:auto;font-weight:bold" string="For Review Only"/>
            <w10:wrap type="none"/>
          </v:shape>
        </w:pict>
      </w:r>
      <w:r>
        <w:rPr>
          <w:b/>
          <w:sz w:val="20"/>
        </w:rPr>
        <w:t>Journal of the American Veterinary</w:t>
      </w:r>
      <w:r>
        <w:rPr>
          <w:b/>
          <w:spacing w:val="-16"/>
          <w:sz w:val="20"/>
        </w:rPr>
        <w:t> </w:t>
      </w:r>
      <w:r>
        <w:rPr>
          <w:b/>
          <w:sz w:val="20"/>
        </w:rPr>
        <w:t>Medical</w:t>
      </w:r>
      <w:r>
        <w:rPr>
          <w:b/>
          <w:spacing w:val="-3"/>
          <w:sz w:val="20"/>
        </w:rPr>
        <w:t> </w:t>
      </w:r>
      <w:r>
        <w:rPr>
          <w:b/>
          <w:sz w:val="20"/>
        </w:rPr>
        <w:t>Association</w:t>
        <w:tab/>
        <w:t>Page 16</w:t>
      </w:r>
      <w:r>
        <w:rPr>
          <w:b/>
          <w:spacing w:val="-1"/>
          <w:sz w:val="20"/>
        </w:rPr>
        <w:t> </w:t>
      </w:r>
      <w:r>
        <w:rPr>
          <w:b/>
          <w:sz w:val="20"/>
        </w:rPr>
        <w:t>of</w:t>
      </w:r>
    </w:p>
    <w:p>
      <w:pPr>
        <w:pStyle w:val="BodyText"/>
        <w:rPr>
          <w:b/>
          <w:sz w:val="20"/>
        </w:rPr>
      </w:pPr>
    </w:p>
    <w:p>
      <w:pPr>
        <w:pStyle w:val="BodyText"/>
        <w:rPr>
          <w:b/>
          <w:sz w:val="20"/>
        </w:rPr>
      </w:pPr>
    </w:p>
    <w:p>
      <w:pPr>
        <w:pStyle w:val="BodyText"/>
        <w:rPr>
          <w:b/>
          <w:sz w:val="20"/>
        </w:rPr>
      </w:pPr>
    </w:p>
    <w:p>
      <w:pPr>
        <w:pStyle w:val="BodyText"/>
        <w:spacing w:before="6"/>
        <w:rPr>
          <w:b/>
          <w:sz w:val="19"/>
        </w:rPr>
      </w:pPr>
    </w:p>
    <w:p>
      <w:pPr>
        <w:spacing w:before="0"/>
        <w:ind w:left="1253" w:right="0" w:firstLine="0"/>
        <w:jc w:val="left"/>
        <w:rPr>
          <w:rFonts w:ascii="Cambria"/>
          <w:sz w:val="20"/>
        </w:rPr>
      </w:pPr>
      <w:r>
        <w:rPr>
          <w:rFonts w:ascii="Cambria"/>
          <w:w w:val="105"/>
          <w:sz w:val="20"/>
        </w:rPr>
        <w:t>429</w:t>
      </w:r>
    </w:p>
    <w:p>
      <w:pPr>
        <w:pStyle w:val="BodyText"/>
        <w:rPr>
          <w:rFonts w:ascii="Cambria"/>
          <w:sz w:val="20"/>
        </w:rPr>
      </w:pPr>
    </w:p>
    <w:p>
      <w:pPr>
        <w:pStyle w:val="BodyText"/>
        <w:spacing w:before="4"/>
        <w:rPr>
          <w:rFonts w:ascii="Cambria"/>
          <w:sz w:val="13"/>
        </w:rPr>
      </w:pPr>
      <w:r>
        <w:rPr/>
        <w:pict>
          <v:line style="position:absolute;mso-position-horizontal-relative:page;mso-position-vertical-relative:paragraph;z-index:2368;mso-wrap-distance-left:0;mso-wrap-distance-right:0" from="101.919998pt,9.93469pt" to="527.919998pt,9.93469pt" stroked="true" strokeweight=".24pt" strokecolor="#000000">
            <w10:wrap type="topAndBottom"/>
          </v:line>
        </w:pict>
      </w:r>
    </w:p>
    <w:p>
      <w:pPr>
        <w:spacing w:line="218" w:lineRule="exact" w:before="0"/>
        <w:ind w:left="2038" w:right="0" w:firstLine="0"/>
        <w:jc w:val="left"/>
        <w:rPr>
          <w:rFonts w:ascii="Times New Roman"/>
          <w:sz w:val="22"/>
        </w:rPr>
      </w:pPr>
      <w:r>
        <w:rPr>
          <w:rFonts w:ascii="Times New Roman"/>
          <w:b/>
          <w:sz w:val="22"/>
        </w:rPr>
        <w:t>Table 3. </w:t>
      </w:r>
      <w:r>
        <w:rPr>
          <w:rFonts w:ascii="Times New Roman"/>
          <w:sz w:val="22"/>
        </w:rPr>
        <w:t>Logistic regression for the comorbidities associated with risk   factors.</w:t>
      </w:r>
    </w:p>
    <w:p>
      <w:pPr>
        <w:pStyle w:val="BodyText"/>
        <w:spacing w:before="2"/>
        <w:rPr>
          <w:rFonts w:ascii="Times New Roman"/>
          <w:sz w:val="20"/>
        </w:rPr>
      </w:pPr>
      <w:r>
        <w:rPr/>
        <w:pict>
          <v:group style="position:absolute;margin-left:101.794998pt;margin-top:13.575586pt;width:426.25pt;height:.25pt;mso-position-horizontal-relative:page;mso-position-vertical-relative:paragraph;z-index:2392;mso-wrap-distance-left:0;mso-wrap-distance-right:0" coordorigin="2036,272" coordsize="8525,5">
            <v:line style="position:absolute" from="2038,274" to="3080,274" stroked="true" strokeweight=".24pt" strokecolor="#000000"/>
            <v:line style="position:absolute" from="3080,274" to="3085,274" stroked="true" strokeweight=".24pt" strokecolor="#000000"/>
            <v:line style="position:absolute" from="3085,274" to="5091,274" stroked="true" strokeweight=".24pt" strokecolor="#000000"/>
            <v:line style="position:absolute" from="5091,274" to="5096,274" stroked="true" strokeweight=".24pt" strokecolor="#000000"/>
            <v:line style="position:absolute" from="5096,274" to="6174,274" stroked="true" strokeweight=".24pt" strokecolor="#000000"/>
            <v:line style="position:absolute" from="6174,274" to="6178,274" stroked="true" strokeweight=".24pt" strokecolor="#000000"/>
            <v:line style="position:absolute" from="6178,274" to="7244,274" stroked="true" strokeweight=".24pt" strokecolor="#000000"/>
            <v:line style="position:absolute" from="7244,274" to="7249,274" stroked="true" strokeweight=".24pt" strokecolor="#000000"/>
            <v:line style="position:absolute" from="7249,274" to="8329,274" stroked="true" strokeweight=".24pt" strokecolor="#000000"/>
            <v:line style="position:absolute" from="8329,274" to="8331,274" stroked="true" strokeweight=".24pt" strokecolor="#000000"/>
            <v:line style="position:absolute" from="8331,274" to="10558,274" stroked="true" strokeweight=".24pt" strokecolor="#000000"/>
            <w10:wrap type="topAndBottom"/>
          </v:group>
        </w:pict>
      </w:r>
    </w:p>
    <w:p>
      <w:pPr>
        <w:spacing w:line="225" w:lineRule="exact" w:before="0"/>
        <w:ind w:left="0" w:right="2170" w:firstLine="0"/>
        <w:jc w:val="right"/>
        <w:rPr>
          <w:rFonts w:ascii="Times New Roman"/>
          <w:b/>
          <w:sz w:val="22"/>
        </w:rPr>
      </w:pPr>
      <w:r>
        <w:rPr>
          <w:rFonts w:ascii="Times New Roman"/>
          <w:b/>
          <w:sz w:val="22"/>
        </w:rPr>
        <w:t>95% IC for OR</w:t>
      </w:r>
    </w:p>
    <w:p>
      <w:pPr>
        <w:pStyle w:val="BodyText"/>
        <w:spacing w:before="2"/>
        <w:rPr>
          <w:rFonts w:ascii="Times New Roman"/>
          <w:b/>
          <w:sz w:val="23"/>
        </w:rPr>
      </w:pPr>
    </w:p>
    <w:tbl>
      <w:tblPr>
        <w:tblW w:w="0" w:type="auto"/>
        <w:jc w:val="left"/>
        <w:tblInd w:w="1218"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805"/>
        <w:gridCol w:w="984"/>
        <w:gridCol w:w="2005"/>
        <w:gridCol w:w="1037"/>
        <w:gridCol w:w="1005"/>
        <w:gridCol w:w="987"/>
        <w:gridCol w:w="1320"/>
        <w:gridCol w:w="1196"/>
      </w:tblGrid>
      <w:tr>
        <w:trPr>
          <w:trHeight w:val="1044" w:hRule="exact"/>
        </w:trPr>
        <w:tc>
          <w:tcPr>
            <w:tcW w:w="805" w:type="dxa"/>
            <w:vMerge w:val="restart"/>
          </w:tcPr>
          <w:p>
            <w:pPr/>
          </w:p>
        </w:tc>
        <w:tc>
          <w:tcPr>
            <w:tcW w:w="984" w:type="dxa"/>
            <w:tcBorders>
              <w:top w:val="single" w:sz="2" w:space="0" w:color="000000"/>
              <w:bottom w:val="single" w:sz="4" w:space="0" w:color="000000"/>
            </w:tcBorders>
          </w:tcPr>
          <w:p>
            <w:pPr>
              <w:pStyle w:val="TableParagraph"/>
              <w:spacing w:line="247" w:lineRule="exact"/>
              <w:ind w:left="14"/>
              <w:rPr>
                <w:rFonts w:ascii="Times New Roman"/>
                <w:i/>
                <w:sz w:val="22"/>
              </w:rPr>
            </w:pPr>
            <w:r>
              <w:rPr>
                <w:rFonts w:ascii="Times New Roman"/>
                <w:i/>
                <w:sz w:val="22"/>
              </w:rPr>
              <w:t>CKD</w:t>
            </w:r>
          </w:p>
        </w:tc>
        <w:tc>
          <w:tcPr>
            <w:tcW w:w="2005" w:type="dxa"/>
            <w:tcBorders>
              <w:top w:val="single" w:sz="2" w:space="0" w:color="000000"/>
              <w:bottom w:val="single" w:sz="4" w:space="0" w:color="000000"/>
            </w:tcBorders>
          </w:tcPr>
          <w:p>
            <w:pPr/>
          </w:p>
        </w:tc>
        <w:tc>
          <w:tcPr>
            <w:tcW w:w="1037" w:type="dxa"/>
            <w:tcBorders>
              <w:top w:val="single" w:sz="2" w:space="0" w:color="000000"/>
              <w:bottom w:val="single" w:sz="4" w:space="0" w:color="000000"/>
            </w:tcBorders>
          </w:tcPr>
          <w:p>
            <w:pPr>
              <w:pStyle w:val="TableParagraph"/>
              <w:spacing w:line="491" w:lineRule="auto" w:before="1"/>
              <w:ind w:left="78"/>
              <w:rPr>
                <w:rFonts w:ascii="Times New Roman"/>
                <w:b/>
                <w:i/>
                <w:sz w:val="22"/>
              </w:rPr>
            </w:pPr>
            <w:r>
              <w:rPr>
                <w:rFonts w:ascii="Times New Roman"/>
                <w:b/>
                <w:i/>
                <w:sz w:val="22"/>
              </w:rPr>
              <w:t>Freedom </w:t>
            </w:r>
            <w:r>
              <w:rPr>
                <w:rFonts w:ascii="Times New Roman"/>
                <w:b/>
                <w:i/>
                <w:sz w:val="22"/>
              </w:rPr>
              <w:t>degrees</w:t>
            </w:r>
          </w:p>
        </w:tc>
        <w:tc>
          <w:tcPr>
            <w:tcW w:w="1005" w:type="dxa"/>
            <w:tcBorders>
              <w:top w:val="single" w:sz="2" w:space="0" w:color="000000"/>
              <w:bottom w:val="single" w:sz="4" w:space="0" w:color="000000"/>
            </w:tcBorders>
          </w:tcPr>
          <w:p>
            <w:pPr>
              <w:pStyle w:val="TableParagraph"/>
              <w:spacing w:before="1"/>
              <w:ind w:left="121"/>
              <w:rPr>
                <w:rFonts w:ascii="Times New Roman"/>
                <w:b/>
                <w:i/>
                <w:sz w:val="22"/>
              </w:rPr>
            </w:pPr>
            <w:r>
              <w:rPr>
                <w:rFonts w:ascii="Times New Roman"/>
                <w:b/>
                <w:i/>
                <w:sz w:val="22"/>
              </w:rPr>
              <w:t>P value</w:t>
            </w:r>
          </w:p>
        </w:tc>
        <w:tc>
          <w:tcPr>
            <w:tcW w:w="987" w:type="dxa"/>
            <w:tcBorders>
              <w:top w:val="single" w:sz="2" w:space="0" w:color="000000"/>
              <w:bottom w:val="single" w:sz="4" w:space="0" w:color="000000"/>
            </w:tcBorders>
          </w:tcPr>
          <w:p>
            <w:pPr>
              <w:pStyle w:val="TableParagraph"/>
              <w:spacing w:before="1"/>
              <w:ind w:left="188"/>
              <w:rPr>
                <w:rFonts w:ascii="Times New Roman"/>
                <w:b/>
                <w:i/>
                <w:sz w:val="22"/>
              </w:rPr>
            </w:pPr>
            <w:r>
              <w:rPr>
                <w:rFonts w:ascii="Times New Roman"/>
                <w:b/>
                <w:i/>
                <w:sz w:val="22"/>
              </w:rPr>
              <w:t>OR</w:t>
            </w:r>
          </w:p>
        </w:tc>
        <w:tc>
          <w:tcPr>
            <w:tcW w:w="1320" w:type="dxa"/>
            <w:tcBorders>
              <w:top w:val="single" w:sz="2" w:space="0" w:color="000000"/>
              <w:bottom w:val="single" w:sz="4" w:space="0" w:color="000000"/>
            </w:tcBorders>
          </w:tcPr>
          <w:p>
            <w:pPr>
              <w:pStyle w:val="TableParagraph"/>
              <w:spacing w:before="1"/>
              <w:ind w:left="286"/>
              <w:rPr>
                <w:rFonts w:ascii="Times New Roman"/>
                <w:b/>
                <w:i/>
                <w:sz w:val="22"/>
              </w:rPr>
            </w:pPr>
            <w:r>
              <w:rPr>
                <w:rFonts w:ascii="Times New Roman"/>
                <w:b/>
                <w:i/>
                <w:sz w:val="22"/>
              </w:rPr>
              <w:t>Low Limit</w:t>
            </w:r>
          </w:p>
        </w:tc>
        <w:tc>
          <w:tcPr>
            <w:tcW w:w="1196" w:type="dxa"/>
            <w:tcBorders>
              <w:top w:val="single" w:sz="2" w:space="0" w:color="000000"/>
              <w:bottom w:val="single" w:sz="4" w:space="0" w:color="000000"/>
            </w:tcBorders>
          </w:tcPr>
          <w:p>
            <w:pPr>
              <w:pStyle w:val="TableParagraph"/>
              <w:spacing w:before="1"/>
              <w:ind w:left="72"/>
              <w:rPr>
                <w:rFonts w:ascii="Times New Roman"/>
                <w:b/>
                <w:i/>
                <w:sz w:val="22"/>
              </w:rPr>
            </w:pPr>
            <w:r>
              <w:rPr>
                <w:rFonts w:ascii="Times New Roman"/>
                <w:b/>
                <w:i/>
                <w:sz w:val="22"/>
              </w:rPr>
              <w:t>High Limit</w:t>
            </w:r>
          </w:p>
        </w:tc>
      </w:tr>
      <w:tr>
        <w:trPr>
          <w:trHeight w:val="399" w:hRule="exact"/>
        </w:trPr>
        <w:tc>
          <w:tcPr>
            <w:tcW w:w="805" w:type="dxa"/>
            <w:vMerge/>
          </w:tcPr>
          <w:p>
            <w:pPr/>
          </w:p>
        </w:tc>
        <w:tc>
          <w:tcPr>
            <w:tcW w:w="984" w:type="dxa"/>
            <w:tcBorders>
              <w:top w:val="single" w:sz="4" w:space="0" w:color="000000"/>
            </w:tcBorders>
          </w:tcPr>
          <w:p>
            <w:pPr>
              <w:pStyle w:val="TableParagraph"/>
              <w:spacing w:line="249" w:lineRule="exact"/>
              <w:ind w:left="14"/>
              <w:rPr>
                <w:rFonts w:ascii="Times New Roman"/>
                <w:i/>
                <w:sz w:val="22"/>
              </w:rPr>
            </w:pPr>
            <w:r>
              <w:rPr>
                <w:rFonts w:ascii="Times New Roman"/>
                <w:i/>
                <w:sz w:val="22"/>
              </w:rPr>
              <w:t>Non CKD</w:t>
            </w:r>
          </w:p>
        </w:tc>
        <w:tc>
          <w:tcPr>
            <w:tcW w:w="2005" w:type="dxa"/>
            <w:tcBorders>
              <w:top w:val="single" w:sz="4" w:space="0" w:color="000000"/>
            </w:tcBorders>
          </w:tcPr>
          <w:p>
            <w:pPr>
              <w:pStyle w:val="TableParagraph"/>
              <w:spacing w:before="1"/>
              <w:ind w:left="72"/>
              <w:rPr>
                <w:rFonts w:ascii="Times New Roman"/>
                <w:b/>
                <w:sz w:val="22"/>
              </w:rPr>
            </w:pPr>
            <w:r>
              <w:rPr>
                <w:rFonts w:ascii="Times New Roman"/>
                <w:b/>
                <w:sz w:val="22"/>
              </w:rPr>
              <w:t>Interception</w:t>
            </w:r>
          </w:p>
        </w:tc>
        <w:tc>
          <w:tcPr>
            <w:tcW w:w="1037" w:type="dxa"/>
            <w:tcBorders>
              <w:top w:val="single" w:sz="4" w:space="0" w:color="000000"/>
            </w:tcBorders>
          </w:tcPr>
          <w:p>
            <w:pPr>
              <w:pStyle w:val="TableParagraph"/>
              <w:spacing w:line="249" w:lineRule="exact"/>
              <w:ind w:left="78"/>
              <w:rPr>
                <w:rFonts w:ascii="Times New Roman"/>
                <w:sz w:val="22"/>
              </w:rPr>
            </w:pPr>
            <w:r>
              <w:rPr>
                <w:rFonts w:ascii="Times New Roman"/>
                <w:w w:val="102"/>
                <w:sz w:val="22"/>
              </w:rPr>
              <w:t>1</w:t>
            </w:r>
          </w:p>
        </w:tc>
        <w:tc>
          <w:tcPr>
            <w:tcW w:w="1005" w:type="dxa"/>
            <w:tcBorders>
              <w:top w:val="single" w:sz="4" w:space="0" w:color="000000"/>
            </w:tcBorders>
          </w:tcPr>
          <w:p>
            <w:pPr>
              <w:pStyle w:val="TableParagraph"/>
              <w:spacing w:line="249" w:lineRule="exact"/>
              <w:ind w:left="121"/>
              <w:rPr>
                <w:rFonts w:ascii="Times New Roman"/>
                <w:sz w:val="22"/>
              </w:rPr>
            </w:pPr>
            <w:r>
              <w:rPr>
                <w:rFonts w:ascii="Times New Roman"/>
                <w:sz w:val="22"/>
              </w:rPr>
              <w:t>0.006</w:t>
            </w:r>
          </w:p>
        </w:tc>
        <w:tc>
          <w:tcPr>
            <w:tcW w:w="987" w:type="dxa"/>
            <w:tcBorders>
              <w:top w:val="single" w:sz="4" w:space="0" w:color="000000"/>
            </w:tcBorders>
          </w:tcPr>
          <w:p>
            <w:pPr/>
          </w:p>
        </w:tc>
        <w:tc>
          <w:tcPr>
            <w:tcW w:w="1320" w:type="dxa"/>
            <w:tcBorders>
              <w:top w:val="single" w:sz="4" w:space="0" w:color="000000"/>
            </w:tcBorders>
          </w:tcPr>
          <w:p>
            <w:pPr/>
          </w:p>
        </w:tc>
        <w:tc>
          <w:tcPr>
            <w:tcW w:w="1196" w:type="dxa"/>
            <w:tcBorders>
              <w:top w:val="single" w:sz="4" w:space="0" w:color="000000"/>
            </w:tcBorders>
          </w:tcPr>
          <w:p>
            <w:pPr/>
          </w:p>
        </w:tc>
      </w:tr>
      <w:tr>
        <w:trPr>
          <w:trHeight w:val="516" w:hRule="exact"/>
        </w:trPr>
        <w:tc>
          <w:tcPr>
            <w:tcW w:w="805" w:type="dxa"/>
          </w:tcPr>
          <w:p>
            <w:pPr/>
          </w:p>
        </w:tc>
        <w:tc>
          <w:tcPr>
            <w:tcW w:w="984" w:type="dxa"/>
          </w:tcPr>
          <w:p>
            <w:pPr/>
          </w:p>
        </w:tc>
        <w:tc>
          <w:tcPr>
            <w:tcW w:w="2005" w:type="dxa"/>
          </w:tcPr>
          <w:p>
            <w:pPr>
              <w:pStyle w:val="TableParagraph"/>
              <w:spacing w:before="120"/>
              <w:ind w:left="72"/>
              <w:rPr>
                <w:rFonts w:ascii="Times New Roman"/>
                <w:sz w:val="22"/>
              </w:rPr>
            </w:pPr>
            <w:r>
              <w:rPr>
                <w:rFonts w:ascii="Times New Roman"/>
                <w:sz w:val="22"/>
              </w:rPr>
              <w:t>Cardiopathy=0</w:t>
            </w:r>
          </w:p>
        </w:tc>
        <w:tc>
          <w:tcPr>
            <w:tcW w:w="1037" w:type="dxa"/>
          </w:tcPr>
          <w:p>
            <w:pPr>
              <w:pStyle w:val="TableParagraph"/>
              <w:spacing w:before="120"/>
              <w:ind w:left="78"/>
              <w:rPr>
                <w:rFonts w:ascii="Times New Roman"/>
                <w:sz w:val="22"/>
              </w:rPr>
            </w:pPr>
            <w:r>
              <w:rPr>
                <w:rFonts w:ascii="Times New Roman"/>
                <w:w w:val="102"/>
                <w:sz w:val="22"/>
              </w:rPr>
              <w:t>1</w:t>
            </w:r>
          </w:p>
        </w:tc>
        <w:tc>
          <w:tcPr>
            <w:tcW w:w="1005" w:type="dxa"/>
          </w:tcPr>
          <w:p>
            <w:pPr>
              <w:pStyle w:val="TableParagraph"/>
              <w:spacing w:before="120"/>
              <w:ind w:left="121"/>
              <w:rPr>
                <w:rFonts w:ascii="Times New Roman"/>
                <w:sz w:val="22"/>
              </w:rPr>
            </w:pPr>
            <w:r>
              <w:rPr>
                <w:rFonts w:ascii="Times New Roman"/>
                <w:sz w:val="22"/>
              </w:rPr>
              <w:t>0.009</w:t>
            </w:r>
          </w:p>
        </w:tc>
        <w:tc>
          <w:tcPr>
            <w:tcW w:w="987" w:type="dxa"/>
          </w:tcPr>
          <w:p>
            <w:pPr>
              <w:pStyle w:val="TableParagraph"/>
              <w:spacing w:before="120"/>
              <w:ind w:left="188"/>
              <w:rPr>
                <w:rFonts w:ascii="Times New Roman"/>
                <w:sz w:val="22"/>
              </w:rPr>
            </w:pPr>
            <w:r>
              <w:rPr>
                <w:rFonts w:ascii="Times New Roman"/>
                <w:sz w:val="22"/>
              </w:rPr>
              <w:t>2.439</w:t>
            </w:r>
          </w:p>
        </w:tc>
        <w:tc>
          <w:tcPr>
            <w:tcW w:w="1320" w:type="dxa"/>
          </w:tcPr>
          <w:p>
            <w:pPr>
              <w:pStyle w:val="TableParagraph"/>
              <w:spacing w:before="120"/>
              <w:ind w:left="286"/>
              <w:rPr>
                <w:rFonts w:ascii="Times New Roman"/>
                <w:sz w:val="22"/>
              </w:rPr>
            </w:pPr>
            <w:r>
              <w:rPr>
                <w:rFonts w:ascii="Times New Roman"/>
                <w:sz w:val="22"/>
              </w:rPr>
              <w:t>1.250</w:t>
            </w:r>
          </w:p>
        </w:tc>
        <w:tc>
          <w:tcPr>
            <w:tcW w:w="1196" w:type="dxa"/>
          </w:tcPr>
          <w:p>
            <w:pPr>
              <w:pStyle w:val="TableParagraph"/>
              <w:spacing w:before="120"/>
              <w:ind w:left="72"/>
              <w:rPr>
                <w:rFonts w:ascii="Times New Roman"/>
                <w:sz w:val="22"/>
              </w:rPr>
            </w:pPr>
            <w:r>
              <w:rPr>
                <w:rFonts w:ascii="Times New Roman"/>
                <w:sz w:val="22"/>
              </w:rPr>
              <w:t>4.759</w:t>
            </w:r>
          </w:p>
        </w:tc>
      </w:tr>
      <w:tr>
        <w:trPr>
          <w:trHeight w:val="518" w:hRule="exact"/>
        </w:trPr>
        <w:tc>
          <w:tcPr>
            <w:tcW w:w="805" w:type="dxa"/>
          </w:tcPr>
          <w:p>
            <w:pPr/>
          </w:p>
        </w:tc>
        <w:tc>
          <w:tcPr>
            <w:tcW w:w="984" w:type="dxa"/>
          </w:tcPr>
          <w:p>
            <w:pPr/>
          </w:p>
        </w:tc>
        <w:tc>
          <w:tcPr>
            <w:tcW w:w="2005" w:type="dxa"/>
          </w:tcPr>
          <w:p>
            <w:pPr>
              <w:pStyle w:val="TableParagraph"/>
              <w:spacing w:before="122"/>
              <w:ind w:left="72"/>
              <w:rPr>
                <w:rFonts w:ascii="Times New Roman"/>
                <w:sz w:val="22"/>
              </w:rPr>
            </w:pPr>
            <w:r>
              <w:rPr>
                <w:rFonts w:ascii="Times New Roman"/>
                <w:sz w:val="22"/>
              </w:rPr>
              <w:t>Cardiopathy=1</w:t>
            </w:r>
          </w:p>
        </w:tc>
        <w:tc>
          <w:tcPr>
            <w:tcW w:w="1037" w:type="dxa"/>
          </w:tcPr>
          <w:p>
            <w:pPr>
              <w:pStyle w:val="TableParagraph"/>
              <w:spacing w:before="122"/>
              <w:ind w:left="78"/>
              <w:rPr>
                <w:rFonts w:ascii="Times New Roman"/>
                <w:sz w:val="22"/>
              </w:rPr>
            </w:pPr>
            <w:r>
              <w:rPr>
                <w:rFonts w:ascii="Times New Roman"/>
                <w:w w:val="102"/>
                <w:sz w:val="22"/>
              </w:rPr>
              <w:t>0</w:t>
            </w:r>
          </w:p>
        </w:tc>
        <w:tc>
          <w:tcPr>
            <w:tcW w:w="1005" w:type="dxa"/>
          </w:tcPr>
          <w:p>
            <w:pPr/>
          </w:p>
        </w:tc>
        <w:tc>
          <w:tcPr>
            <w:tcW w:w="987" w:type="dxa"/>
          </w:tcPr>
          <w:p>
            <w:pPr/>
          </w:p>
        </w:tc>
        <w:tc>
          <w:tcPr>
            <w:tcW w:w="1320" w:type="dxa"/>
          </w:tcPr>
          <w:p>
            <w:pPr/>
          </w:p>
        </w:tc>
        <w:tc>
          <w:tcPr>
            <w:tcW w:w="1196" w:type="dxa"/>
          </w:tcPr>
          <w:p>
            <w:pPr/>
          </w:p>
        </w:tc>
      </w:tr>
      <w:tr>
        <w:trPr>
          <w:trHeight w:val="518" w:hRule="exact"/>
        </w:trPr>
        <w:tc>
          <w:tcPr>
            <w:tcW w:w="805" w:type="dxa"/>
          </w:tcPr>
          <w:p>
            <w:pPr/>
          </w:p>
        </w:tc>
        <w:tc>
          <w:tcPr>
            <w:tcW w:w="984" w:type="dxa"/>
          </w:tcPr>
          <w:p>
            <w:pPr/>
          </w:p>
        </w:tc>
        <w:tc>
          <w:tcPr>
            <w:tcW w:w="2005" w:type="dxa"/>
          </w:tcPr>
          <w:p>
            <w:pPr>
              <w:pStyle w:val="TableParagraph"/>
              <w:spacing w:before="122"/>
              <w:ind w:left="72"/>
              <w:rPr>
                <w:rFonts w:ascii="Times New Roman"/>
                <w:sz w:val="22"/>
              </w:rPr>
            </w:pPr>
            <w:r>
              <w:rPr>
                <w:rFonts w:ascii="Times New Roman"/>
                <w:sz w:val="22"/>
              </w:rPr>
              <w:t>Endocrinopathy=0</w:t>
            </w:r>
          </w:p>
        </w:tc>
        <w:tc>
          <w:tcPr>
            <w:tcW w:w="1037" w:type="dxa"/>
          </w:tcPr>
          <w:p>
            <w:pPr>
              <w:pStyle w:val="TableParagraph"/>
              <w:spacing w:before="122"/>
              <w:ind w:left="78"/>
              <w:rPr>
                <w:rFonts w:ascii="Times New Roman"/>
                <w:sz w:val="22"/>
              </w:rPr>
            </w:pPr>
            <w:r>
              <w:rPr>
                <w:rFonts w:ascii="Times New Roman"/>
                <w:w w:val="102"/>
                <w:sz w:val="22"/>
              </w:rPr>
              <w:t>1</w:t>
            </w:r>
          </w:p>
        </w:tc>
        <w:tc>
          <w:tcPr>
            <w:tcW w:w="1005" w:type="dxa"/>
          </w:tcPr>
          <w:p>
            <w:pPr>
              <w:pStyle w:val="TableParagraph"/>
              <w:spacing w:before="122"/>
              <w:ind w:left="121"/>
              <w:rPr>
                <w:rFonts w:ascii="Times New Roman"/>
                <w:sz w:val="22"/>
              </w:rPr>
            </w:pPr>
            <w:r>
              <w:rPr>
                <w:rFonts w:ascii="Times New Roman"/>
                <w:sz w:val="22"/>
              </w:rPr>
              <w:t>0.018</w:t>
            </w:r>
          </w:p>
        </w:tc>
        <w:tc>
          <w:tcPr>
            <w:tcW w:w="987" w:type="dxa"/>
          </w:tcPr>
          <w:p>
            <w:pPr>
              <w:pStyle w:val="TableParagraph"/>
              <w:spacing w:before="122"/>
              <w:ind w:left="188"/>
              <w:rPr>
                <w:rFonts w:ascii="Times New Roman"/>
                <w:sz w:val="22"/>
              </w:rPr>
            </w:pPr>
            <w:r>
              <w:rPr>
                <w:rFonts w:ascii="Times New Roman"/>
                <w:sz w:val="22"/>
              </w:rPr>
              <w:t>4.813</w:t>
            </w:r>
          </w:p>
        </w:tc>
        <w:tc>
          <w:tcPr>
            <w:tcW w:w="1320" w:type="dxa"/>
          </w:tcPr>
          <w:p>
            <w:pPr>
              <w:pStyle w:val="TableParagraph"/>
              <w:spacing w:before="122"/>
              <w:ind w:left="286"/>
              <w:rPr>
                <w:rFonts w:ascii="Times New Roman"/>
                <w:sz w:val="22"/>
              </w:rPr>
            </w:pPr>
            <w:r>
              <w:rPr>
                <w:rFonts w:ascii="Times New Roman"/>
                <w:sz w:val="22"/>
              </w:rPr>
              <w:t>1.312</w:t>
            </w:r>
          </w:p>
        </w:tc>
        <w:tc>
          <w:tcPr>
            <w:tcW w:w="1196" w:type="dxa"/>
          </w:tcPr>
          <w:p>
            <w:pPr>
              <w:pStyle w:val="TableParagraph"/>
              <w:spacing w:before="122"/>
              <w:ind w:left="72"/>
              <w:rPr>
                <w:rFonts w:ascii="Times New Roman"/>
                <w:sz w:val="22"/>
              </w:rPr>
            </w:pPr>
            <w:r>
              <w:rPr>
                <w:rFonts w:ascii="Times New Roman"/>
                <w:sz w:val="22"/>
              </w:rPr>
              <w:t>17.653</w:t>
            </w:r>
          </w:p>
        </w:tc>
      </w:tr>
      <w:tr>
        <w:trPr>
          <w:trHeight w:val="520" w:hRule="exact"/>
        </w:trPr>
        <w:tc>
          <w:tcPr>
            <w:tcW w:w="805" w:type="dxa"/>
          </w:tcPr>
          <w:p>
            <w:pPr/>
          </w:p>
        </w:tc>
        <w:tc>
          <w:tcPr>
            <w:tcW w:w="984" w:type="dxa"/>
          </w:tcPr>
          <w:p>
            <w:pPr/>
          </w:p>
        </w:tc>
        <w:tc>
          <w:tcPr>
            <w:tcW w:w="2005" w:type="dxa"/>
          </w:tcPr>
          <w:p>
            <w:pPr>
              <w:pStyle w:val="TableParagraph"/>
              <w:spacing w:before="122"/>
              <w:ind w:left="72"/>
              <w:rPr>
                <w:rFonts w:ascii="Times New Roman"/>
                <w:sz w:val="22"/>
              </w:rPr>
            </w:pPr>
            <w:r>
              <w:rPr>
                <w:rFonts w:ascii="Times New Roman"/>
                <w:sz w:val="22"/>
              </w:rPr>
              <w:t>Endocrionopathy=1</w:t>
            </w:r>
          </w:p>
        </w:tc>
        <w:tc>
          <w:tcPr>
            <w:tcW w:w="1037" w:type="dxa"/>
          </w:tcPr>
          <w:p>
            <w:pPr>
              <w:pStyle w:val="TableParagraph"/>
              <w:spacing w:before="122"/>
              <w:ind w:left="78"/>
              <w:rPr>
                <w:rFonts w:ascii="Times New Roman"/>
                <w:sz w:val="22"/>
              </w:rPr>
            </w:pPr>
            <w:r>
              <w:rPr>
                <w:rFonts w:ascii="Times New Roman"/>
                <w:w w:val="102"/>
                <w:sz w:val="22"/>
              </w:rPr>
              <w:t>0</w:t>
            </w:r>
          </w:p>
        </w:tc>
        <w:tc>
          <w:tcPr>
            <w:tcW w:w="1005" w:type="dxa"/>
          </w:tcPr>
          <w:p>
            <w:pPr/>
          </w:p>
        </w:tc>
        <w:tc>
          <w:tcPr>
            <w:tcW w:w="987" w:type="dxa"/>
          </w:tcPr>
          <w:p>
            <w:pPr/>
          </w:p>
        </w:tc>
        <w:tc>
          <w:tcPr>
            <w:tcW w:w="1320" w:type="dxa"/>
          </w:tcPr>
          <w:p>
            <w:pPr/>
          </w:p>
        </w:tc>
        <w:tc>
          <w:tcPr>
            <w:tcW w:w="1196" w:type="dxa"/>
          </w:tcPr>
          <w:p>
            <w:pPr/>
          </w:p>
        </w:tc>
      </w:tr>
      <w:tr>
        <w:trPr>
          <w:trHeight w:val="520" w:hRule="exact"/>
        </w:trPr>
        <w:tc>
          <w:tcPr>
            <w:tcW w:w="805" w:type="dxa"/>
          </w:tcPr>
          <w:p>
            <w:pPr/>
          </w:p>
        </w:tc>
        <w:tc>
          <w:tcPr>
            <w:tcW w:w="984" w:type="dxa"/>
          </w:tcPr>
          <w:p>
            <w:pPr/>
          </w:p>
        </w:tc>
        <w:tc>
          <w:tcPr>
            <w:tcW w:w="2005" w:type="dxa"/>
          </w:tcPr>
          <w:p>
            <w:pPr>
              <w:pStyle w:val="TableParagraph"/>
              <w:spacing w:before="123"/>
              <w:ind w:left="72"/>
              <w:rPr>
                <w:rFonts w:ascii="Times New Roman"/>
                <w:sz w:val="22"/>
              </w:rPr>
            </w:pPr>
            <w:r>
              <w:rPr>
                <w:rFonts w:ascii="Times New Roman"/>
                <w:sz w:val="22"/>
              </w:rPr>
              <w:t>Hematopathology=0</w:t>
            </w:r>
          </w:p>
        </w:tc>
        <w:tc>
          <w:tcPr>
            <w:tcW w:w="1037" w:type="dxa"/>
          </w:tcPr>
          <w:p>
            <w:pPr>
              <w:pStyle w:val="TableParagraph"/>
              <w:spacing w:before="123"/>
              <w:ind w:left="78"/>
              <w:rPr>
                <w:rFonts w:ascii="Times New Roman"/>
                <w:sz w:val="22"/>
              </w:rPr>
            </w:pPr>
            <w:r>
              <w:rPr>
                <w:rFonts w:ascii="Times New Roman"/>
                <w:w w:val="102"/>
                <w:sz w:val="22"/>
              </w:rPr>
              <w:t>1</w:t>
            </w:r>
          </w:p>
        </w:tc>
        <w:tc>
          <w:tcPr>
            <w:tcW w:w="1005" w:type="dxa"/>
          </w:tcPr>
          <w:p>
            <w:pPr>
              <w:pStyle w:val="TableParagraph"/>
              <w:spacing w:before="123"/>
              <w:ind w:left="121"/>
              <w:rPr>
                <w:rFonts w:ascii="Times New Roman"/>
                <w:sz w:val="22"/>
              </w:rPr>
            </w:pPr>
            <w:r>
              <w:rPr>
                <w:rFonts w:ascii="Times New Roman"/>
                <w:sz w:val="22"/>
              </w:rPr>
              <w:t>0.125</w:t>
            </w:r>
          </w:p>
        </w:tc>
        <w:tc>
          <w:tcPr>
            <w:tcW w:w="987" w:type="dxa"/>
          </w:tcPr>
          <w:p>
            <w:pPr>
              <w:pStyle w:val="TableParagraph"/>
              <w:spacing w:before="123"/>
              <w:ind w:left="188"/>
              <w:rPr>
                <w:rFonts w:ascii="Times New Roman"/>
                <w:sz w:val="22"/>
              </w:rPr>
            </w:pPr>
            <w:r>
              <w:rPr>
                <w:rFonts w:ascii="Times New Roman"/>
                <w:sz w:val="22"/>
              </w:rPr>
              <w:t>3.565</w:t>
            </w:r>
          </w:p>
        </w:tc>
        <w:tc>
          <w:tcPr>
            <w:tcW w:w="1320" w:type="dxa"/>
          </w:tcPr>
          <w:p>
            <w:pPr>
              <w:pStyle w:val="TableParagraph"/>
              <w:spacing w:before="123"/>
              <w:ind w:left="286"/>
              <w:rPr>
                <w:rFonts w:ascii="Times New Roman"/>
                <w:sz w:val="22"/>
              </w:rPr>
            </w:pPr>
            <w:r>
              <w:rPr>
                <w:rFonts w:ascii="Times New Roman"/>
                <w:sz w:val="22"/>
              </w:rPr>
              <w:t>0.702</w:t>
            </w:r>
          </w:p>
        </w:tc>
        <w:tc>
          <w:tcPr>
            <w:tcW w:w="1196" w:type="dxa"/>
          </w:tcPr>
          <w:p>
            <w:pPr>
              <w:pStyle w:val="TableParagraph"/>
              <w:spacing w:before="123"/>
              <w:ind w:left="72"/>
              <w:rPr>
                <w:rFonts w:ascii="Times New Roman"/>
                <w:sz w:val="22"/>
              </w:rPr>
            </w:pPr>
            <w:r>
              <w:rPr>
                <w:rFonts w:ascii="Times New Roman"/>
                <w:sz w:val="22"/>
              </w:rPr>
              <w:t>18.113</w:t>
            </w:r>
          </w:p>
        </w:tc>
      </w:tr>
      <w:tr>
        <w:trPr>
          <w:trHeight w:val="518" w:hRule="exact"/>
        </w:trPr>
        <w:tc>
          <w:tcPr>
            <w:tcW w:w="805" w:type="dxa"/>
          </w:tcPr>
          <w:p>
            <w:pPr/>
          </w:p>
        </w:tc>
        <w:tc>
          <w:tcPr>
            <w:tcW w:w="984" w:type="dxa"/>
          </w:tcPr>
          <w:p>
            <w:pPr/>
          </w:p>
        </w:tc>
        <w:tc>
          <w:tcPr>
            <w:tcW w:w="2005" w:type="dxa"/>
          </w:tcPr>
          <w:p>
            <w:pPr>
              <w:pStyle w:val="TableParagraph"/>
              <w:spacing w:before="122"/>
              <w:ind w:left="72"/>
              <w:rPr>
                <w:rFonts w:ascii="Times New Roman"/>
                <w:sz w:val="22"/>
              </w:rPr>
            </w:pPr>
            <w:r>
              <w:rPr>
                <w:rFonts w:ascii="Times New Roman"/>
                <w:sz w:val="22"/>
              </w:rPr>
              <w:t>Hematopathology=1</w:t>
            </w:r>
          </w:p>
        </w:tc>
        <w:tc>
          <w:tcPr>
            <w:tcW w:w="1037" w:type="dxa"/>
          </w:tcPr>
          <w:p>
            <w:pPr>
              <w:pStyle w:val="TableParagraph"/>
              <w:spacing w:before="122"/>
              <w:ind w:left="78"/>
              <w:rPr>
                <w:rFonts w:ascii="Times New Roman"/>
                <w:sz w:val="22"/>
              </w:rPr>
            </w:pPr>
            <w:r>
              <w:rPr>
                <w:rFonts w:ascii="Times New Roman"/>
                <w:w w:val="102"/>
                <w:sz w:val="22"/>
              </w:rPr>
              <w:t>0</w:t>
            </w:r>
          </w:p>
        </w:tc>
        <w:tc>
          <w:tcPr>
            <w:tcW w:w="1005" w:type="dxa"/>
          </w:tcPr>
          <w:p>
            <w:pPr/>
          </w:p>
        </w:tc>
        <w:tc>
          <w:tcPr>
            <w:tcW w:w="987" w:type="dxa"/>
          </w:tcPr>
          <w:p>
            <w:pPr/>
          </w:p>
        </w:tc>
        <w:tc>
          <w:tcPr>
            <w:tcW w:w="1320" w:type="dxa"/>
          </w:tcPr>
          <w:p>
            <w:pPr/>
          </w:p>
        </w:tc>
        <w:tc>
          <w:tcPr>
            <w:tcW w:w="1196" w:type="dxa"/>
          </w:tcPr>
          <w:p>
            <w:pPr/>
          </w:p>
        </w:tc>
      </w:tr>
      <w:tr>
        <w:trPr>
          <w:trHeight w:val="518" w:hRule="exact"/>
        </w:trPr>
        <w:tc>
          <w:tcPr>
            <w:tcW w:w="805" w:type="dxa"/>
          </w:tcPr>
          <w:p>
            <w:pPr/>
          </w:p>
        </w:tc>
        <w:tc>
          <w:tcPr>
            <w:tcW w:w="984" w:type="dxa"/>
          </w:tcPr>
          <w:p>
            <w:pPr/>
          </w:p>
        </w:tc>
        <w:tc>
          <w:tcPr>
            <w:tcW w:w="2005" w:type="dxa"/>
          </w:tcPr>
          <w:p>
            <w:pPr>
              <w:pStyle w:val="TableParagraph"/>
              <w:spacing w:before="122"/>
              <w:ind w:left="72"/>
              <w:rPr>
                <w:rFonts w:ascii="Times New Roman"/>
                <w:sz w:val="22"/>
              </w:rPr>
            </w:pPr>
            <w:r>
              <w:rPr>
                <w:rFonts w:ascii="Times New Roman"/>
                <w:sz w:val="22"/>
              </w:rPr>
              <w:t>Neoplasia=0</w:t>
            </w:r>
          </w:p>
        </w:tc>
        <w:tc>
          <w:tcPr>
            <w:tcW w:w="1037" w:type="dxa"/>
          </w:tcPr>
          <w:p>
            <w:pPr>
              <w:pStyle w:val="TableParagraph"/>
              <w:spacing w:before="122"/>
              <w:ind w:left="78"/>
              <w:rPr>
                <w:rFonts w:ascii="Times New Roman"/>
                <w:sz w:val="22"/>
              </w:rPr>
            </w:pPr>
            <w:r>
              <w:rPr>
                <w:rFonts w:ascii="Times New Roman"/>
                <w:w w:val="102"/>
                <w:sz w:val="22"/>
              </w:rPr>
              <w:t>1</w:t>
            </w:r>
          </w:p>
        </w:tc>
        <w:tc>
          <w:tcPr>
            <w:tcW w:w="1005" w:type="dxa"/>
          </w:tcPr>
          <w:p>
            <w:pPr>
              <w:pStyle w:val="TableParagraph"/>
              <w:spacing w:before="122"/>
              <w:ind w:left="121"/>
              <w:rPr>
                <w:rFonts w:ascii="Times New Roman"/>
                <w:sz w:val="22"/>
              </w:rPr>
            </w:pPr>
            <w:r>
              <w:rPr>
                <w:rFonts w:ascii="Times New Roman"/>
                <w:sz w:val="22"/>
              </w:rPr>
              <w:t>0.066</w:t>
            </w:r>
          </w:p>
        </w:tc>
        <w:tc>
          <w:tcPr>
            <w:tcW w:w="987" w:type="dxa"/>
          </w:tcPr>
          <w:p>
            <w:pPr>
              <w:pStyle w:val="TableParagraph"/>
              <w:spacing w:before="122"/>
              <w:ind w:left="188"/>
              <w:rPr>
                <w:rFonts w:ascii="Times New Roman"/>
                <w:sz w:val="22"/>
              </w:rPr>
            </w:pPr>
            <w:r>
              <w:rPr>
                <w:rFonts w:ascii="Times New Roman"/>
                <w:sz w:val="22"/>
              </w:rPr>
              <w:t>0.623</w:t>
            </w:r>
          </w:p>
        </w:tc>
        <w:tc>
          <w:tcPr>
            <w:tcW w:w="1320" w:type="dxa"/>
          </w:tcPr>
          <w:p>
            <w:pPr>
              <w:pStyle w:val="TableParagraph"/>
              <w:spacing w:before="122"/>
              <w:ind w:left="286"/>
              <w:rPr>
                <w:rFonts w:ascii="Times New Roman"/>
                <w:sz w:val="22"/>
              </w:rPr>
            </w:pPr>
            <w:r>
              <w:rPr>
                <w:rFonts w:ascii="Times New Roman"/>
                <w:sz w:val="22"/>
              </w:rPr>
              <w:t>0.375</w:t>
            </w:r>
          </w:p>
        </w:tc>
        <w:tc>
          <w:tcPr>
            <w:tcW w:w="1196" w:type="dxa"/>
          </w:tcPr>
          <w:p>
            <w:pPr>
              <w:pStyle w:val="TableParagraph"/>
              <w:spacing w:before="122"/>
              <w:ind w:left="72"/>
              <w:rPr>
                <w:rFonts w:ascii="Times New Roman"/>
                <w:sz w:val="22"/>
              </w:rPr>
            </w:pPr>
            <w:r>
              <w:rPr>
                <w:rFonts w:ascii="Times New Roman"/>
                <w:sz w:val="22"/>
              </w:rPr>
              <w:t>1.033</w:t>
            </w:r>
          </w:p>
        </w:tc>
      </w:tr>
      <w:tr>
        <w:trPr>
          <w:trHeight w:val="663" w:hRule="exact"/>
        </w:trPr>
        <w:tc>
          <w:tcPr>
            <w:tcW w:w="805" w:type="dxa"/>
          </w:tcPr>
          <w:p>
            <w:pPr/>
          </w:p>
        </w:tc>
        <w:tc>
          <w:tcPr>
            <w:tcW w:w="984" w:type="dxa"/>
            <w:tcBorders>
              <w:bottom w:val="single" w:sz="11" w:space="0" w:color="000000"/>
            </w:tcBorders>
          </w:tcPr>
          <w:p>
            <w:pPr/>
          </w:p>
        </w:tc>
        <w:tc>
          <w:tcPr>
            <w:tcW w:w="2005" w:type="dxa"/>
            <w:tcBorders>
              <w:bottom w:val="single" w:sz="11" w:space="0" w:color="000000"/>
            </w:tcBorders>
          </w:tcPr>
          <w:p>
            <w:pPr>
              <w:pStyle w:val="TableParagraph"/>
              <w:spacing w:before="122"/>
              <w:ind w:left="72"/>
              <w:rPr>
                <w:rFonts w:ascii="Times New Roman"/>
                <w:sz w:val="22"/>
              </w:rPr>
            </w:pPr>
            <w:r>
              <w:rPr>
                <w:rFonts w:ascii="Times New Roman"/>
                <w:sz w:val="22"/>
              </w:rPr>
              <w:t>Neoplasia=1</w:t>
            </w:r>
          </w:p>
        </w:tc>
        <w:tc>
          <w:tcPr>
            <w:tcW w:w="1037" w:type="dxa"/>
            <w:tcBorders>
              <w:bottom w:val="single" w:sz="11" w:space="0" w:color="000000"/>
            </w:tcBorders>
          </w:tcPr>
          <w:p>
            <w:pPr>
              <w:pStyle w:val="TableParagraph"/>
              <w:spacing w:before="122"/>
              <w:ind w:left="78"/>
              <w:rPr>
                <w:rFonts w:ascii="Times New Roman"/>
                <w:sz w:val="22"/>
              </w:rPr>
            </w:pPr>
            <w:r>
              <w:rPr>
                <w:rFonts w:ascii="Times New Roman"/>
                <w:w w:val="102"/>
                <w:sz w:val="22"/>
              </w:rPr>
              <w:t>0</w:t>
            </w:r>
          </w:p>
        </w:tc>
        <w:tc>
          <w:tcPr>
            <w:tcW w:w="1005" w:type="dxa"/>
            <w:tcBorders>
              <w:bottom w:val="single" w:sz="11" w:space="0" w:color="000000"/>
            </w:tcBorders>
          </w:tcPr>
          <w:p>
            <w:pPr/>
          </w:p>
        </w:tc>
        <w:tc>
          <w:tcPr>
            <w:tcW w:w="987" w:type="dxa"/>
            <w:tcBorders>
              <w:bottom w:val="single" w:sz="11" w:space="0" w:color="000000"/>
            </w:tcBorders>
          </w:tcPr>
          <w:p>
            <w:pPr/>
          </w:p>
        </w:tc>
        <w:tc>
          <w:tcPr>
            <w:tcW w:w="1320" w:type="dxa"/>
            <w:tcBorders>
              <w:bottom w:val="single" w:sz="11" w:space="0" w:color="000000"/>
            </w:tcBorders>
          </w:tcPr>
          <w:p>
            <w:pPr/>
          </w:p>
        </w:tc>
        <w:tc>
          <w:tcPr>
            <w:tcW w:w="1196" w:type="dxa"/>
            <w:tcBorders>
              <w:bottom w:val="single" w:sz="11" w:space="0" w:color="000000"/>
            </w:tcBorders>
          </w:tcPr>
          <w:p>
            <w:pPr/>
          </w:p>
        </w:tc>
      </w:tr>
      <w:tr>
        <w:trPr>
          <w:trHeight w:val="366" w:hRule="exact"/>
        </w:trPr>
        <w:tc>
          <w:tcPr>
            <w:tcW w:w="805" w:type="dxa"/>
          </w:tcPr>
          <w:p>
            <w:pPr>
              <w:pStyle w:val="TableParagraph"/>
              <w:spacing w:before="36"/>
              <w:ind w:left="35"/>
              <w:rPr>
                <w:rFonts w:ascii="Cambria"/>
                <w:sz w:val="20"/>
              </w:rPr>
            </w:pPr>
            <w:r>
              <w:rPr>
                <w:rFonts w:ascii="Cambria"/>
                <w:w w:val="105"/>
                <w:sz w:val="20"/>
              </w:rPr>
              <w:t>430</w:t>
            </w:r>
          </w:p>
        </w:tc>
        <w:tc>
          <w:tcPr>
            <w:tcW w:w="984" w:type="dxa"/>
            <w:tcBorders>
              <w:top w:val="single" w:sz="11" w:space="0" w:color="000000"/>
            </w:tcBorders>
          </w:tcPr>
          <w:p>
            <w:pPr/>
          </w:p>
        </w:tc>
        <w:tc>
          <w:tcPr>
            <w:tcW w:w="2005" w:type="dxa"/>
            <w:tcBorders>
              <w:top w:val="single" w:sz="11" w:space="0" w:color="000000"/>
            </w:tcBorders>
          </w:tcPr>
          <w:p>
            <w:pPr/>
          </w:p>
        </w:tc>
        <w:tc>
          <w:tcPr>
            <w:tcW w:w="1037" w:type="dxa"/>
            <w:tcBorders>
              <w:top w:val="single" w:sz="11" w:space="0" w:color="000000"/>
            </w:tcBorders>
          </w:tcPr>
          <w:p>
            <w:pPr/>
          </w:p>
        </w:tc>
        <w:tc>
          <w:tcPr>
            <w:tcW w:w="1005" w:type="dxa"/>
            <w:tcBorders>
              <w:top w:val="single" w:sz="11" w:space="0" w:color="000000"/>
            </w:tcBorders>
          </w:tcPr>
          <w:p>
            <w:pPr/>
          </w:p>
        </w:tc>
        <w:tc>
          <w:tcPr>
            <w:tcW w:w="987" w:type="dxa"/>
            <w:tcBorders>
              <w:top w:val="single" w:sz="11" w:space="0" w:color="000000"/>
            </w:tcBorders>
          </w:tcPr>
          <w:p>
            <w:pPr/>
          </w:p>
        </w:tc>
        <w:tc>
          <w:tcPr>
            <w:tcW w:w="1320" w:type="dxa"/>
            <w:tcBorders>
              <w:top w:val="single" w:sz="11" w:space="0" w:color="000000"/>
            </w:tcBorders>
          </w:tcPr>
          <w:p>
            <w:pPr/>
          </w:p>
        </w:tc>
        <w:tc>
          <w:tcPr>
            <w:tcW w:w="1196" w:type="dxa"/>
            <w:tcBorders>
              <w:top w:val="single" w:sz="11" w:space="0" w:color="000000"/>
            </w:tcBorders>
          </w:tcPr>
          <w:p>
            <w:pPr/>
          </w:p>
        </w:tc>
      </w:tr>
    </w:tbl>
    <w:sectPr>
      <w:headerReference w:type="default" r:id="rId93"/>
      <w:footerReference w:type="default" r:id="rId94"/>
      <w:pgSz w:w="12240" w:h="15840"/>
      <w:pgMar w:header="0" w:footer="0" w:top="140" w:bottom="280" w:left="0" w:right="24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Calibri">
    <w:altName w:val="Calibri"/>
    <w:charset w:val="0"/>
    <w:family w:val="swiss"/>
    <w:pitch w:val="variable"/>
  </w:font>
  <w:font w:name="Symbol">
    <w:altName w:val="Symbol"/>
    <w:charset w:val="2"/>
    <w:family w:val="roman"/>
    <w:pitch w:val="variable"/>
  </w:font>
  <w:font w:name="Verdana">
    <w:altName w:val="Verdana"/>
    <w:charset w:val="0"/>
    <w:family w:val="swiss"/>
    <w:pitch w:val="variable"/>
  </w:font>
  <w:font w:name="Lucida Sans Unicode">
    <w:altName w:val="Lucida Sans Unicode"/>
    <w:charset w:val="0"/>
    <w:family w:val="swiss"/>
    <w:pitch w:val="variable"/>
  </w:font>
  <w:font w:name="Cambria">
    <w:altName w:val="Cambria"/>
    <w:charset w:val="0"/>
    <w:family w:val="roman"/>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drawing>
        <wp:anchor distT="0" distB="0" distL="0" distR="0" allowOverlap="1" layoutInCell="1" locked="0" behindDoc="1" simplePos="0" relativeHeight="268311455">
          <wp:simplePos x="0" y="0"/>
          <wp:positionH relativeFrom="page">
            <wp:posOffset>7171093</wp:posOffset>
          </wp:positionH>
          <wp:positionV relativeFrom="page">
            <wp:posOffset>9425342</wp:posOffset>
          </wp:positionV>
          <wp:extent cx="421310" cy="192023"/>
          <wp:effectExtent l="0" t="0" r="0" b="0"/>
          <wp:wrapNone/>
          <wp:docPr id="7" name="image5.png" descr=""/>
          <wp:cNvGraphicFramePr>
            <a:graphicFrameLocks noChangeAspect="1"/>
          </wp:cNvGraphicFramePr>
          <a:graphic>
            <a:graphicData uri="http://schemas.openxmlformats.org/drawingml/2006/picture">
              <pic:pic>
                <pic:nvPicPr>
                  <pic:cNvPr id="8" name="image5.png"/>
                  <pic:cNvPicPr/>
                </pic:nvPicPr>
                <pic:blipFill>
                  <a:blip r:embed="rId1" cstate="print"/>
                  <a:stretch>
                    <a:fillRect/>
                  </a:stretch>
                </pic:blipFill>
                <pic:spPr>
                  <a:xfrm>
                    <a:off x="0" y="0"/>
                    <a:ext cx="421310" cy="192023"/>
                  </a:xfrm>
                  <a:prstGeom prst="rect">
                    <a:avLst/>
                  </a:prstGeom>
                </pic:spPr>
              </pic:pic>
            </a:graphicData>
          </a:graphic>
        </wp:anchor>
      </w:drawing>
    </w:r>
    <w:r>
      <w:rPr/>
      <w:pict>
        <v:line style="position:absolute;mso-position-horizontal-relative:page;mso-position-vertical-relative:page;z-index:-123976" from="86.772987pt,741.852966pt" to="559.812997pt,741.852966pt" stroked="true" strokeweight=".48pt" strokecolor="#000000">
          <w10:wrap type="none"/>
        </v:line>
      </w:pict>
    </w:r>
    <w:r>
      <w:rPr/>
      <w:pict>
        <v:shape style="position:absolute;margin-left:87.213043pt;margin-top:743.369202pt;width:406.25pt;height:14pt;mso-position-horizontal-relative:page;mso-position-vertical-relative:page;z-index:-123952" type="#_x0000_t202" filled="false" stroked="false">
          <v:textbox inset="0,0,0,0">
            <w:txbxContent>
              <w:p>
                <w:pPr>
                  <w:pStyle w:val="BodyText"/>
                  <w:spacing w:line="265" w:lineRule="exact"/>
                  <w:ind w:left="20"/>
                </w:pPr>
                <w:r>
                  <w:rPr/>
                  <w:t>M.V.Z. Esp. Elsa Macarena García González. Toluca, México  Agosto 2014.</w:t>
                </w:r>
              </w:p>
            </w:txbxContent>
          </v:textbox>
          <w10:wrap type="none"/>
        </v:shape>
      </w:pict>
    </w:r>
    <w:r>
      <w:rPr/>
      <w:pict>
        <v:shape style="position:absolute;margin-left:582.093018pt;margin-top:743.28894pt;width:9.5pt;height:12.8pt;mso-position-horizontal-relative:page;mso-position-vertical-relative:page;z-index:-123928" type="#_x0000_t202" filled="false" stroked="false">
          <v:textbox inset="0,0,0,0">
            <w:txbxContent>
              <w:p>
                <w:pPr>
                  <w:spacing w:line="245" w:lineRule="exact" w:before="0"/>
                  <w:ind w:left="40" w:right="0" w:firstLine="0"/>
                  <w:jc w:val="left"/>
                  <w:rPr>
                    <w:rFonts w:ascii="Calibri"/>
                    <w:sz w:val="21"/>
                  </w:rPr>
                </w:pPr>
                <w:r>
                  <w:rPr/>
                  <w:fldChar w:fldCharType="begin"/>
                </w:r>
                <w:r>
                  <w:rPr>
                    <w:rFonts w:ascii="Calibri"/>
                    <w:w w:val="102"/>
                    <w:sz w:val="21"/>
                  </w:rPr>
                  <w:instrText> PAGE </w:instrText>
                </w:r>
                <w:r>
                  <w:rPr/>
                  <w:fldChar w:fldCharType="separate"/>
                </w:r>
                <w:r>
                  <w:rPr/>
                  <w:t>1</w:t>
                </w:r>
                <w:r>
                  <w:rPr/>
                  <w:fldChar w:fldCharType="end"/>
                </w:r>
              </w:p>
            </w:txbxContent>
          </v:textbox>
          <w10:wrap type="none"/>
        </v:shape>
      </w:pict>
    </w: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drawing>
        <wp:anchor distT="0" distB="0" distL="0" distR="0" allowOverlap="1" layoutInCell="1" locked="0" behindDoc="1" simplePos="0" relativeHeight="268312319">
          <wp:simplePos x="0" y="0"/>
          <wp:positionH relativeFrom="page">
            <wp:posOffset>7171093</wp:posOffset>
          </wp:positionH>
          <wp:positionV relativeFrom="page">
            <wp:posOffset>9425342</wp:posOffset>
          </wp:positionV>
          <wp:extent cx="421310" cy="192023"/>
          <wp:effectExtent l="0" t="0" r="0" b="0"/>
          <wp:wrapNone/>
          <wp:docPr id="25" name="image5.png" descr=""/>
          <wp:cNvGraphicFramePr>
            <a:graphicFrameLocks noChangeAspect="1"/>
          </wp:cNvGraphicFramePr>
          <a:graphic>
            <a:graphicData uri="http://schemas.openxmlformats.org/drawingml/2006/picture">
              <pic:pic>
                <pic:nvPicPr>
                  <pic:cNvPr id="26" name="image5.png"/>
                  <pic:cNvPicPr/>
                </pic:nvPicPr>
                <pic:blipFill>
                  <a:blip r:embed="rId1" cstate="print"/>
                  <a:stretch>
                    <a:fillRect/>
                  </a:stretch>
                </pic:blipFill>
                <pic:spPr>
                  <a:xfrm>
                    <a:off x="0" y="0"/>
                    <a:ext cx="421310" cy="192023"/>
                  </a:xfrm>
                  <a:prstGeom prst="rect">
                    <a:avLst/>
                  </a:prstGeom>
                </pic:spPr>
              </pic:pic>
            </a:graphicData>
          </a:graphic>
        </wp:anchor>
      </w:drawing>
    </w:r>
    <w:r>
      <w:rPr/>
      <w:pict>
        <v:line style="position:absolute;mso-position-horizontal-relative:page;mso-position-vertical-relative:page;z-index:-123112" from="86.772987pt,741.852966pt" to="559.812997pt,741.852966pt" stroked="true" strokeweight=".48pt" strokecolor="#000000">
          <w10:wrap type="none"/>
        </v:line>
      </w:pict>
    </w:r>
    <w:r>
      <w:rPr/>
      <w:pict>
        <v:shape style="position:absolute;margin-left:87.213043pt;margin-top:743.369202pt;width:406.25pt;height:14pt;mso-position-horizontal-relative:page;mso-position-vertical-relative:page;z-index:-123088" type="#_x0000_t202" filled="false" stroked="false">
          <v:textbox inset="0,0,0,0">
            <w:txbxContent>
              <w:p>
                <w:pPr>
                  <w:pStyle w:val="BodyText"/>
                  <w:spacing w:line="265" w:lineRule="exact"/>
                  <w:ind w:left="20"/>
                </w:pPr>
                <w:r>
                  <w:rPr/>
                  <w:t>M.V.Z. Esp. Elsa Macarena García González. Toluca, México  Agosto 2014.</w:t>
                </w:r>
              </w:p>
            </w:txbxContent>
          </v:textbox>
          <w10:wrap type="none"/>
        </v:shape>
      </w:pict>
    </w:r>
    <w:r>
      <w:rPr/>
      <w:pict>
        <v:shape style="position:absolute;margin-left:580.453003pt;margin-top:743.28894pt;width:13.05pt;height:12.8pt;mso-position-horizontal-relative:page;mso-position-vertical-relative:page;z-index:-123064" type="#_x0000_t202" filled="false" stroked="false">
          <v:textbox inset="0,0,0,0">
            <w:txbxContent>
              <w:p>
                <w:pPr>
                  <w:spacing w:line="245" w:lineRule="exact" w:before="0"/>
                  <w:ind w:left="20" w:right="-3" w:firstLine="0"/>
                  <w:jc w:val="left"/>
                  <w:rPr>
                    <w:rFonts w:ascii="Calibri"/>
                    <w:sz w:val="21"/>
                  </w:rPr>
                </w:pPr>
                <w:r>
                  <w:rPr>
                    <w:rFonts w:ascii="Calibri"/>
                    <w:w w:val="105"/>
                    <w:sz w:val="21"/>
                  </w:rPr>
                  <w:t>50</w:t>
                </w:r>
              </w:p>
            </w:txbxContent>
          </v:textbox>
          <w10:wrap type="none"/>
        </v:shape>
      </w:pict>
    </w: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drawing>
        <wp:anchor distT="0" distB="0" distL="0" distR="0" allowOverlap="1" layoutInCell="1" locked="0" behindDoc="1" simplePos="0" relativeHeight="268312415">
          <wp:simplePos x="0" y="0"/>
          <wp:positionH relativeFrom="page">
            <wp:posOffset>7171093</wp:posOffset>
          </wp:positionH>
          <wp:positionV relativeFrom="page">
            <wp:posOffset>9425342</wp:posOffset>
          </wp:positionV>
          <wp:extent cx="421310" cy="192023"/>
          <wp:effectExtent l="0" t="0" r="0" b="0"/>
          <wp:wrapNone/>
          <wp:docPr id="27" name="image5.png" descr=""/>
          <wp:cNvGraphicFramePr>
            <a:graphicFrameLocks noChangeAspect="1"/>
          </wp:cNvGraphicFramePr>
          <a:graphic>
            <a:graphicData uri="http://schemas.openxmlformats.org/drawingml/2006/picture">
              <pic:pic>
                <pic:nvPicPr>
                  <pic:cNvPr id="28" name="image5.png"/>
                  <pic:cNvPicPr/>
                </pic:nvPicPr>
                <pic:blipFill>
                  <a:blip r:embed="rId1" cstate="print"/>
                  <a:stretch>
                    <a:fillRect/>
                  </a:stretch>
                </pic:blipFill>
                <pic:spPr>
                  <a:xfrm>
                    <a:off x="0" y="0"/>
                    <a:ext cx="421310" cy="192023"/>
                  </a:xfrm>
                  <a:prstGeom prst="rect">
                    <a:avLst/>
                  </a:prstGeom>
                </pic:spPr>
              </pic:pic>
            </a:graphicData>
          </a:graphic>
        </wp:anchor>
      </w:drawing>
    </w:r>
    <w:r>
      <w:rPr/>
      <w:pict>
        <v:line style="position:absolute;mso-position-horizontal-relative:page;mso-position-vertical-relative:page;z-index:-123016" from="86.772987pt,741.852966pt" to="559.812997pt,741.852966pt" stroked="true" strokeweight=".48pt" strokecolor="#000000">
          <w10:wrap type="none"/>
        </v:line>
      </w:pict>
    </w:r>
    <w:r>
      <w:rPr/>
      <w:pict>
        <v:shape style="position:absolute;margin-left:87.213043pt;margin-top:743.369202pt;width:406.25pt;height:14pt;mso-position-horizontal-relative:page;mso-position-vertical-relative:page;z-index:-122992" type="#_x0000_t202" filled="false" stroked="false">
          <v:textbox inset="0,0,0,0">
            <w:txbxContent>
              <w:p>
                <w:pPr>
                  <w:pStyle w:val="BodyText"/>
                  <w:spacing w:line="265" w:lineRule="exact"/>
                  <w:ind w:left="20"/>
                </w:pPr>
                <w:r>
                  <w:rPr/>
                  <w:t>M.V.Z. Esp. Elsa Macarena García González. Toluca, México  Agosto 2014.</w:t>
                </w:r>
              </w:p>
            </w:txbxContent>
          </v:textbox>
          <w10:wrap type="none"/>
        </v:shape>
      </w:pict>
    </w:r>
    <w:r>
      <w:rPr/>
      <w:pict>
        <v:shape style="position:absolute;margin-left:579.453003pt;margin-top:743.28894pt;width:15.05pt;height:12.8pt;mso-position-horizontal-relative:page;mso-position-vertical-relative:page;z-index:-122968" type="#_x0000_t202" filled="false" stroked="false">
          <v:textbox inset="0,0,0,0">
            <w:txbxContent>
              <w:p>
                <w:pPr>
                  <w:spacing w:line="245" w:lineRule="exact" w:before="0"/>
                  <w:ind w:left="40" w:right="0" w:firstLine="0"/>
                  <w:jc w:val="left"/>
                  <w:rPr>
                    <w:rFonts w:ascii="Calibri"/>
                    <w:sz w:val="21"/>
                  </w:rPr>
                </w:pPr>
                <w:r>
                  <w:rPr/>
                  <w:fldChar w:fldCharType="begin"/>
                </w:r>
                <w:r>
                  <w:rPr>
                    <w:rFonts w:ascii="Calibri"/>
                    <w:w w:val="105"/>
                    <w:sz w:val="21"/>
                  </w:rPr>
                  <w:instrText> PAGE </w:instrText>
                </w:r>
                <w:r>
                  <w:rPr/>
                  <w:fldChar w:fldCharType="separate"/>
                </w:r>
                <w:r>
                  <w:rPr/>
                  <w:t>51</w:t>
                </w:r>
                <w:r>
                  <w:rPr/>
                  <w:fldChar w:fldCharType="end"/>
                </w:r>
              </w:p>
            </w:txbxContent>
          </v:textbox>
          <w10:wrap type="none"/>
        </v:shape>
      </w:pict>
    </w:r>
  </w:p>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drawing>
        <wp:anchor distT="0" distB="0" distL="0" distR="0" allowOverlap="1" layoutInCell="1" locked="0" behindDoc="1" simplePos="0" relativeHeight="268312511">
          <wp:simplePos x="0" y="0"/>
          <wp:positionH relativeFrom="page">
            <wp:posOffset>7171093</wp:posOffset>
          </wp:positionH>
          <wp:positionV relativeFrom="page">
            <wp:posOffset>9425342</wp:posOffset>
          </wp:positionV>
          <wp:extent cx="421310" cy="192023"/>
          <wp:effectExtent l="0" t="0" r="0" b="0"/>
          <wp:wrapNone/>
          <wp:docPr id="29" name="image5.png" descr=""/>
          <wp:cNvGraphicFramePr>
            <a:graphicFrameLocks noChangeAspect="1"/>
          </wp:cNvGraphicFramePr>
          <a:graphic>
            <a:graphicData uri="http://schemas.openxmlformats.org/drawingml/2006/picture">
              <pic:pic>
                <pic:nvPicPr>
                  <pic:cNvPr id="30" name="image5.png"/>
                  <pic:cNvPicPr/>
                </pic:nvPicPr>
                <pic:blipFill>
                  <a:blip r:embed="rId1" cstate="print"/>
                  <a:stretch>
                    <a:fillRect/>
                  </a:stretch>
                </pic:blipFill>
                <pic:spPr>
                  <a:xfrm>
                    <a:off x="0" y="0"/>
                    <a:ext cx="421310" cy="192023"/>
                  </a:xfrm>
                  <a:prstGeom prst="rect">
                    <a:avLst/>
                  </a:prstGeom>
                </pic:spPr>
              </pic:pic>
            </a:graphicData>
          </a:graphic>
        </wp:anchor>
      </w:drawing>
    </w:r>
    <w:r>
      <w:rPr/>
      <w:pict>
        <v:line style="position:absolute;mso-position-horizontal-relative:page;mso-position-vertical-relative:page;z-index:-122920" from="86.772987pt,741.852966pt" to="559.812997pt,741.852966pt" stroked="true" strokeweight=".48pt" strokecolor="#000000">
          <w10:wrap type="none"/>
        </v:line>
      </w:pict>
    </w:r>
    <w:r>
      <w:rPr/>
      <w:pict>
        <v:shape style="position:absolute;margin-left:87.213043pt;margin-top:743.369202pt;width:406.25pt;height:14pt;mso-position-horizontal-relative:page;mso-position-vertical-relative:page;z-index:-122896" type="#_x0000_t202" filled="false" stroked="false">
          <v:textbox inset="0,0,0,0">
            <w:txbxContent>
              <w:p>
                <w:pPr>
                  <w:pStyle w:val="BodyText"/>
                  <w:spacing w:line="265" w:lineRule="exact"/>
                  <w:ind w:left="20"/>
                </w:pPr>
                <w:r>
                  <w:rPr/>
                  <w:t>M.V.Z. Esp. Elsa Macarena García González. Toluca, México  Agosto 2014.</w:t>
                </w:r>
              </w:p>
            </w:txbxContent>
          </v:textbox>
          <w10:wrap type="none"/>
        </v:shape>
      </w:pict>
    </w:r>
    <w:r>
      <w:rPr/>
      <w:pict>
        <v:shape style="position:absolute;margin-left:580.453003pt;margin-top:743.28894pt;width:13.05pt;height:12.8pt;mso-position-horizontal-relative:page;mso-position-vertical-relative:page;z-index:-122872" type="#_x0000_t202" filled="false" stroked="false">
          <v:textbox inset="0,0,0,0">
            <w:txbxContent>
              <w:p>
                <w:pPr>
                  <w:spacing w:line="245" w:lineRule="exact" w:before="0"/>
                  <w:ind w:left="20" w:right="-3" w:firstLine="0"/>
                  <w:jc w:val="left"/>
                  <w:rPr>
                    <w:rFonts w:ascii="Calibri"/>
                    <w:sz w:val="21"/>
                  </w:rPr>
                </w:pPr>
                <w:r>
                  <w:rPr>
                    <w:rFonts w:ascii="Calibri"/>
                    <w:w w:val="105"/>
                    <w:sz w:val="21"/>
                  </w:rPr>
                  <w:t>60</w:t>
                </w:r>
              </w:p>
            </w:txbxContent>
          </v:textbox>
          <w10:wrap type="none"/>
        </v:shape>
      </w:pict>
    </w:r>
  </w:p>
</w:ftr>
</file>

<file path=word/footer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drawing>
        <wp:anchor distT="0" distB="0" distL="0" distR="0" allowOverlap="1" layoutInCell="1" locked="0" behindDoc="1" simplePos="0" relativeHeight="268312607">
          <wp:simplePos x="0" y="0"/>
          <wp:positionH relativeFrom="page">
            <wp:posOffset>7171093</wp:posOffset>
          </wp:positionH>
          <wp:positionV relativeFrom="page">
            <wp:posOffset>9425342</wp:posOffset>
          </wp:positionV>
          <wp:extent cx="421310" cy="192023"/>
          <wp:effectExtent l="0" t="0" r="0" b="0"/>
          <wp:wrapNone/>
          <wp:docPr id="31" name="image5.png" descr=""/>
          <wp:cNvGraphicFramePr>
            <a:graphicFrameLocks noChangeAspect="1"/>
          </wp:cNvGraphicFramePr>
          <a:graphic>
            <a:graphicData uri="http://schemas.openxmlformats.org/drawingml/2006/picture">
              <pic:pic>
                <pic:nvPicPr>
                  <pic:cNvPr id="32" name="image5.png"/>
                  <pic:cNvPicPr/>
                </pic:nvPicPr>
                <pic:blipFill>
                  <a:blip r:embed="rId1" cstate="print"/>
                  <a:stretch>
                    <a:fillRect/>
                  </a:stretch>
                </pic:blipFill>
                <pic:spPr>
                  <a:xfrm>
                    <a:off x="0" y="0"/>
                    <a:ext cx="421310" cy="192023"/>
                  </a:xfrm>
                  <a:prstGeom prst="rect">
                    <a:avLst/>
                  </a:prstGeom>
                </pic:spPr>
              </pic:pic>
            </a:graphicData>
          </a:graphic>
        </wp:anchor>
      </w:drawing>
    </w:r>
    <w:r>
      <w:rPr/>
      <w:pict>
        <v:line style="position:absolute;mso-position-horizontal-relative:page;mso-position-vertical-relative:page;z-index:-122824" from="86.772987pt,741.852966pt" to="559.812997pt,741.852966pt" stroked="true" strokeweight=".48pt" strokecolor="#000000">
          <w10:wrap type="none"/>
        </v:line>
      </w:pict>
    </w:r>
    <w:r>
      <w:rPr/>
      <w:pict>
        <v:shape style="position:absolute;margin-left:87.213043pt;margin-top:743.369202pt;width:406.25pt;height:14pt;mso-position-horizontal-relative:page;mso-position-vertical-relative:page;z-index:-122800" type="#_x0000_t202" filled="false" stroked="false">
          <v:textbox inset="0,0,0,0">
            <w:txbxContent>
              <w:p>
                <w:pPr>
                  <w:pStyle w:val="BodyText"/>
                  <w:spacing w:line="265" w:lineRule="exact"/>
                  <w:ind w:left="20"/>
                </w:pPr>
                <w:r>
                  <w:rPr/>
                  <w:t>M.V.Z. Esp. Elsa Macarena García González. Toluca, México  Agosto 2014.</w:t>
                </w:r>
              </w:p>
            </w:txbxContent>
          </v:textbox>
          <w10:wrap type="none"/>
        </v:shape>
      </w:pict>
    </w:r>
    <w:r>
      <w:rPr/>
      <w:pict>
        <v:shape style="position:absolute;margin-left:579.453003pt;margin-top:743.28894pt;width:15.05pt;height:12.8pt;mso-position-horizontal-relative:page;mso-position-vertical-relative:page;z-index:-122776" type="#_x0000_t202" filled="false" stroked="false">
          <v:textbox inset="0,0,0,0">
            <w:txbxContent>
              <w:p>
                <w:pPr>
                  <w:spacing w:line="245" w:lineRule="exact" w:before="0"/>
                  <w:ind w:left="40" w:right="0" w:firstLine="0"/>
                  <w:jc w:val="left"/>
                  <w:rPr>
                    <w:rFonts w:ascii="Calibri"/>
                    <w:sz w:val="21"/>
                  </w:rPr>
                </w:pPr>
                <w:r>
                  <w:rPr/>
                  <w:fldChar w:fldCharType="begin"/>
                </w:r>
                <w:r>
                  <w:rPr>
                    <w:rFonts w:ascii="Calibri"/>
                    <w:w w:val="105"/>
                    <w:sz w:val="21"/>
                  </w:rPr>
                  <w:instrText> PAGE </w:instrText>
                </w:r>
                <w:r>
                  <w:rPr/>
                  <w:fldChar w:fldCharType="separate"/>
                </w:r>
                <w:r>
                  <w:rPr/>
                  <w:t>61</w:t>
                </w:r>
                <w:r>
                  <w:rPr/>
                  <w:fldChar w:fldCharType="end"/>
                </w:r>
              </w:p>
            </w:txbxContent>
          </v:textbox>
          <w10:wrap type="none"/>
        </v:shape>
      </w:pict>
    </w:r>
  </w:p>
</w:ftr>
</file>

<file path=word/footer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drawing>
        <wp:anchor distT="0" distB="0" distL="0" distR="0" allowOverlap="1" layoutInCell="1" locked="0" behindDoc="1" simplePos="0" relativeHeight="268312703">
          <wp:simplePos x="0" y="0"/>
          <wp:positionH relativeFrom="page">
            <wp:posOffset>7171093</wp:posOffset>
          </wp:positionH>
          <wp:positionV relativeFrom="page">
            <wp:posOffset>9425342</wp:posOffset>
          </wp:positionV>
          <wp:extent cx="421310" cy="192023"/>
          <wp:effectExtent l="0" t="0" r="0" b="0"/>
          <wp:wrapNone/>
          <wp:docPr id="33" name="image5.png" descr=""/>
          <wp:cNvGraphicFramePr>
            <a:graphicFrameLocks noChangeAspect="1"/>
          </wp:cNvGraphicFramePr>
          <a:graphic>
            <a:graphicData uri="http://schemas.openxmlformats.org/drawingml/2006/picture">
              <pic:pic>
                <pic:nvPicPr>
                  <pic:cNvPr id="34" name="image5.png"/>
                  <pic:cNvPicPr/>
                </pic:nvPicPr>
                <pic:blipFill>
                  <a:blip r:embed="rId1" cstate="print"/>
                  <a:stretch>
                    <a:fillRect/>
                  </a:stretch>
                </pic:blipFill>
                <pic:spPr>
                  <a:xfrm>
                    <a:off x="0" y="0"/>
                    <a:ext cx="421310" cy="192023"/>
                  </a:xfrm>
                  <a:prstGeom prst="rect">
                    <a:avLst/>
                  </a:prstGeom>
                </pic:spPr>
              </pic:pic>
            </a:graphicData>
          </a:graphic>
        </wp:anchor>
      </w:drawing>
    </w:r>
    <w:r>
      <w:rPr/>
      <w:pict>
        <v:line style="position:absolute;mso-position-horizontal-relative:page;mso-position-vertical-relative:page;z-index:-122728" from="86.772987pt,741.852966pt" to="559.812997pt,741.852966pt" stroked="true" strokeweight=".48pt" strokecolor="#000000">
          <w10:wrap type="none"/>
        </v:line>
      </w:pict>
    </w:r>
    <w:r>
      <w:rPr/>
      <w:pict>
        <v:shape style="position:absolute;margin-left:87.213043pt;margin-top:743.369202pt;width:406.25pt;height:14pt;mso-position-horizontal-relative:page;mso-position-vertical-relative:page;z-index:-122704" type="#_x0000_t202" filled="false" stroked="false">
          <v:textbox inset="0,0,0,0">
            <w:txbxContent>
              <w:p>
                <w:pPr>
                  <w:pStyle w:val="BodyText"/>
                  <w:spacing w:line="265" w:lineRule="exact"/>
                  <w:ind w:left="20"/>
                </w:pPr>
                <w:r>
                  <w:rPr/>
                  <w:t>M.V.Z. Esp. Elsa Macarena García González. Toluca, México  Agosto 2014.</w:t>
                </w:r>
              </w:p>
            </w:txbxContent>
          </v:textbox>
          <w10:wrap type="none"/>
        </v:shape>
      </w:pict>
    </w:r>
    <w:r>
      <w:rPr/>
      <w:pict>
        <v:shape style="position:absolute;margin-left:580.453003pt;margin-top:743.28894pt;width:13.05pt;height:12.8pt;mso-position-horizontal-relative:page;mso-position-vertical-relative:page;z-index:-122680" type="#_x0000_t202" filled="false" stroked="false">
          <v:textbox inset="0,0,0,0">
            <w:txbxContent>
              <w:p>
                <w:pPr>
                  <w:spacing w:line="245" w:lineRule="exact" w:before="0"/>
                  <w:ind w:left="20" w:right="-3" w:firstLine="0"/>
                  <w:jc w:val="left"/>
                  <w:rPr>
                    <w:rFonts w:ascii="Calibri"/>
                    <w:sz w:val="21"/>
                  </w:rPr>
                </w:pPr>
                <w:r>
                  <w:rPr>
                    <w:rFonts w:ascii="Calibri"/>
                    <w:w w:val="105"/>
                    <w:sz w:val="21"/>
                  </w:rPr>
                  <w:t>70</w:t>
                </w:r>
              </w:p>
            </w:txbxContent>
          </v:textbox>
          <w10:wrap type="none"/>
        </v:shape>
      </w:pict>
    </w:r>
  </w:p>
</w:ftr>
</file>

<file path=word/footer1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drawing>
        <wp:anchor distT="0" distB="0" distL="0" distR="0" allowOverlap="1" layoutInCell="1" locked="0" behindDoc="1" simplePos="0" relativeHeight="268312799">
          <wp:simplePos x="0" y="0"/>
          <wp:positionH relativeFrom="page">
            <wp:posOffset>7171093</wp:posOffset>
          </wp:positionH>
          <wp:positionV relativeFrom="page">
            <wp:posOffset>9425342</wp:posOffset>
          </wp:positionV>
          <wp:extent cx="421310" cy="192023"/>
          <wp:effectExtent l="0" t="0" r="0" b="0"/>
          <wp:wrapNone/>
          <wp:docPr id="35" name="image5.png" descr=""/>
          <wp:cNvGraphicFramePr>
            <a:graphicFrameLocks noChangeAspect="1"/>
          </wp:cNvGraphicFramePr>
          <a:graphic>
            <a:graphicData uri="http://schemas.openxmlformats.org/drawingml/2006/picture">
              <pic:pic>
                <pic:nvPicPr>
                  <pic:cNvPr id="36" name="image5.png"/>
                  <pic:cNvPicPr/>
                </pic:nvPicPr>
                <pic:blipFill>
                  <a:blip r:embed="rId1" cstate="print"/>
                  <a:stretch>
                    <a:fillRect/>
                  </a:stretch>
                </pic:blipFill>
                <pic:spPr>
                  <a:xfrm>
                    <a:off x="0" y="0"/>
                    <a:ext cx="421310" cy="192023"/>
                  </a:xfrm>
                  <a:prstGeom prst="rect">
                    <a:avLst/>
                  </a:prstGeom>
                </pic:spPr>
              </pic:pic>
            </a:graphicData>
          </a:graphic>
        </wp:anchor>
      </w:drawing>
    </w:r>
    <w:r>
      <w:rPr/>
      <w:pict>
        <v:line style="position:absolute;mso-position-horizontal-relative:page;mso-position-vertical-relative:page;z-index:-122632" from="86.772987pt,741.852966pt" to="559.812997pt,741.852966pt" stroked="true" strokeweight=".48pt" strokecolor="#000000">
          <w10:wrap type="none"/>
        </v:line>
      </w:pict>
    </w:r>
    <w:r>
      <w:rPr/>
      <w:pict>
        <v:shape style="position:absolute;margin-left:87.213043pt;margin-top:743.369202pt;width:406.25pt;height:14pt;mso-position-horizontal-relative:page;mso-position-vertical-relative:page;z-index:-122608" type="#_x0000_t202" filled="false" stroked="false">
          <v:textbox inset="0,0,0,0">
            <w:txbxContent>
              <w:p>
                <w:pPr>
                  <w:pStyle w:val="BodyText"/>
                  <w:spacing w:line="265" w:lineRule="exact"/>
                  <w:ind w:left="20"/>
                </w:pPr>
                <w:r>
                  <w:rPr/>
                  <w:t>M.V.Z. Esp. Elsa Macarena García González. Toluca, México  Agosto 2014.</w:t>
                </w:r>
              </w:p>
            </w:txbxContent>
          </v:textbox>
          <w10:wrap type="none"/>
        </v:shape>
      </w:pict>
    </w:r>
    <w:r>
      <w:rPr/>
      <w:pict>
        <v:shape style="position:absolute;margin-left:579.453003pt;margin-top:743.28894pt;width:15.05pt;height:12.8pt;mso-position-horizontal-relative:page;mso-position-vertical-relative:page;z-index:-122584" type="#_x0000_t202" filled="false" stroked="false">
          <v:textbox inset="0,0,0,0">
            <w:txbxContent>
              <w:p>
                <w:pPr>
                  <w:spacing w:line="245" w:lineRule="exact" w:before="0"/>
                  <w:ind w:left="40" w:right="0" w:firstLine="0"/>
                  <w:jc w:val="left"/>
                  <w:rPr>
                    <w:rFonts w:ascii="Calibri"/>
                    <w:sz w:val="21"/>
                  </w:rPr>
                </w:pPr>
                <w:r>
                  <w:rPr/>
                  <w:fldChar w:fldCharType="begin"/>
                </w:r>
                <w:r>
                  <w:rPr>
                    <w:rFonts w:ascii="Calibri"/>
                    <w:w w:val="105"/>
                    <w:sz w:val="21"/>
                  </w:rPr>
                  <w:instrText> PAGE </w:instrText>
                </w:r>
                <w:r>
                  <w:rPr/>
                  <w:fldChar w:fldCharType="separate"/>
                </w:r>
                <w:r>
                  <w:rPr/>
                  <w:t>71</w:t>
                </w:r>
                <w:r>
                  <w:rPr/>
                  <w:fldChar w:fldCharType="end"/>
                </w:r>
              </w:p>
            </w:txbxContent>
          </v:textbox>
          <w10:wrap type="none"/>
        </v:shape>
      </w:pict>
    </w:r>
  </w:p>
</w:ftr>
</file>

<file path=word/footer1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drawing>
        <wp:anchor distT="0" distB="0" distL="0" distR="0" allowOverlap="1" layoutInCell="1" locked="0" behindDoc="1" simplePos="0" relativeHeight="268311551">
          <wp:simplePos x="0" y="0"/>
          <wp:positionH relativeFrom="page">
            <wp:posOffset>7171093</wp:posOffset>
          </wp:positionH>
          <wp:positionV relativeFrom="page">
            <wp:posOffset>9425342</wp:posOffset>
          </wp:positionV>
          <wp:extent cx="421310" cy="192023"/>
          <wp:effectExtent l="0" t="0" r="0" b="0"/>
          <wp:wrapNone/>
          <wp:docPr id="9" name="image5.png" descr=""/>
          <wp:cNvGraphicFramePr>
            <a:graphicFrameLocks noChangeAspect="1"/>
          </wp:cNvGraphicFramePr>
          <a:graphic>
            <a:graphicData uri="http://schemas.openxmlformats.org/drawingml/2006/picture">
              <pic:pic>
                <pic:nvPicPr>
                  <pic:cNvPr id="10" name="image5.png"/>
                  <pic:cNvPicPr/>
                </pic:nvPicPr>
                <pic:blipFill>
                  <a:blip r:embed="rId1" cstate="print"/>
                  <a:stretch>
                    <a:fillRect/>
                  </a:stretch>
                </pic:blipFill>
                <pic:spPr>
                  <a:xfrm>
                    <a:off x="0" y="0"/>
                    <a:ext cx="421310" cy="192023"/>
                  </a:xfrm>
                  <a:prstGeom prst="rect">
                    <a:avLst/>
                  </a:prstGeom>
                </pic:spPr>
              </pic:pic>
            </a:graphicData>
          </a:graphic>
        </wp:anchor>
      </w:drawing>
    </w:r>
    <w:r>
      <w:rPr/>
      <w:pict>
        <v:line style="position:absolute;mso-position-horizontal-relative:page;mso-position-vertical-relative:page;z-index:-123880" from="86.772987pt,741.852966pt" to="559.812997pt,741.852966pt" stroked="true" strokeweight=".48pt" strokecolor="#000000">
          <w10:wrap type="none"/>
        </v:line>
      </w:pict>
    </w:r>
    <w:r>
      <w:rPr/>
      <w:pict>
        <v:shape style="position:absolute;margin-left:87.213043pt;margin-top:743.369202pt;width:406.25pt;height:14pt;mso-position-horizontal-relative:page;mso-position-vertical-relative:page;z-index:-123856" type="#_x0000_t202" filled="false" stroked="false">
          <v:textbox inset="0,0,0,0">
            <w:txbxContent>
              <w:p>
                <w:pPr>
                  <w:pStyle w:val="BodyText"/>
                  <w:spacing w:line="265" w:lineRule="exact"/>
                  <w:ind w:left="20"/>
                </w:pPr>
                <w:r>
                  <w:rPr/>
                  <w:t>M.V.Z. Esp. Elsa Macarena García González. Toluca, México  Agosto 2014.</w:t>
                </w:r>
              </w:p>
            </w:txbxContent>
          </v:textbox>
          <w10:wrap type="none"/>
        </v:shape>
      </w:pict>
    </w:r>
    <w:r>
      <w:rPr/>
      <w:pict>
        <v:shape style="position:absolute;margin-left:580.453003pt;margin-top:743.28894pt;width:13.05pt;height:12.8pt;mso-position-horizontal-relative:page;mso-position-vertical-relative:page;z-index:-123832" type="#_x0000_t202" filled="false" stroked="false">
          <v:textbox inset="0,0,0,0">
            <w:txbxContent>
              <w:p>
                <w:pPr>
                  <w:spacing w:line="245" w:lineRule="exact" w:before="0"/>
                  <w:ind w:left="20" w:right="-3" w:firstLine="0"/>
                  <w:jc w:val="left"/>
                  <w:rPr>
                    <w:rFonts w:ascii="Calibri"/>
                    <w:sz w:val="21"/>
                  </w:rPr>
                </w:pPr>
                <w:r>
                  <w:rPr>
                    <w:rFonts w:ascii="Calibri"/>
                    <w:w w:val="105"/>
                    <w:sz w:val="21"/>
                  </w:rPr>
                  <w:t>10</w:t>
                </w:r>
              </w:p>
            </w:txbxContent>
          </v:textbox>
          <w10:wrap type="none"/>
        </v:shape>
      </w:pict>
    </w:r>
  </w:p>
</w:ftr>
</file>

<file path=word/footer2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drawing>
        <wp:anchor distT="0" distB="0" distL="0" distR="0" allowOverlap="1" layoutInCell="1" locked="0" behindDoc="1" simplePos="0" relativeHeight="268311647">
          <wp:simplePos x="0" y="0"/>
          <wp:positionH relativeFrom="page">
            <wp:posOffset>7171093</wp:posOffset>
          </wp:positionH>
          <wp:positionV relativeFrom="page">
            <wp:posOffset>9425342</wp:posOffset>
          </wp:positionV>
          <wp:extent cx="421310" cy="192023"/>
          <wp:effectExtent l="0" t="0" r="0" b="0"/>
          <wp:wrapNone/>
          <wp:docPr id="11" name="image5.png" descr=""/>
          <wp:cNvGraphicFramePr>
            <a:graphicFrameLocks noChangeAspect="1"/>
          </wp:cNvGraphicFramePr>
          <a:graphic>
            <a:graphicData uri="http://schemas.openxmlformats.org/drawingml/2006/picture">
              <pic:pic>
                <pic:nvPicPr>
                  <pic:cNvPr id="12" name="image5.png"/>
                  <pic:cNvPicPr/>
                </pic:nvPicPr>
                <pic:blipFill>
                  <a:blip r:embed="rId1" cstate="print"/>
                  <a:stretch>
                    <a:fillRect/>
                  </a:stretch>
                </pic:blipFill>
                <pic:spPr>
                  <a:xfrm>
                    <a:off x="0" y="0"/>
                    <a:ext cx="421310" cy="192023"/>
                  </a:xfrm>
                  <a:prstGeom prst="rect">
                    <a:avLst/>
                  </a:prstGeom>
                </pic:spPr>
              </pic:pic>
            </a:graphicData>
          </a:graphic>
        </wp:anchor>
      </w:drawing>
    </w:r>
    <w:r>
      <w:rPr/>
      <w:pict>
        <v:line style="position:absolute;mso-position-horizontal-relative:page;mso-position-vertical-relative:page;z-index:-123784" from="86.772987pt,741.852966pt" to="559.812997pt,741.852966pt" stroked="true" strokeweight=".48pt" strokecolor="#000000">
          <w10:wrap type="none"/>
        </v:line>
      </w:pict>
    </w:r>
    <w:r>
      <w:rPr/>
      <w:pict>
        <v:shape style="position:absolute;margin-left:87.213043pt;margin-top:743.369202pt;width:406.25pt;height:14pt;mso-position-horizontal-relative:page;mso-position-vertical-relative:page;z-index:-123760" type="#_x0000_t202" filled="false" stroked="false">
          <v:textbox inset="0,0,0,0">
            <w:txbxContent>
              <w:p>
                <w:pPr>
                  <w:pStyle w:val="BodyText"/>
                  <w:spacing w:line="265" w:lineRule="exact"/>
                  <w:ind w:left="20"/>
                </w:pPr>
                <w:r>
                  <w:rPr/>
                  <w:t>M.V.Z. Esp. Elsa Macarena García González. Toluca, México  Agosto 2014.</w:t>
                </w:r>
              </w:p>
            </w:txbxContent>
          </v:textbox>
          <w10:wrap type="none"/>
        </v:shape>
      </w:pict>
    </w:r>
    <w:r>
      <w:rPr/>
      <w:pict>
        <v:shape style="position:absolute;margin-left:579.453003pt;margin-top:743.28894pt;width:15.05pt;height:12.8pt;mso-position-horizontal-relative:page;mso-position-vertical-relative:page;z-index:-123736" type="#_x0000_t202" filled="false" stroked="false">
          <v:textbox inset="0,0,0,0">
            <w:txbxContent>
              <w:p>
                <w:pPr>
                  <w:spacing w:line="245" w:lineRule="exact" w:before="0"/>
                  <w:ind w:left="40" w:right="0" w:firstLine="0"/>
                  <w:jc w:val="left"/>
                  <w:rPr>
                    <w:rFonts w:ascii="Calibri"/>
                    <w:sz w:val="21"/>
                  </w:rPr>
                </w:pPr>
                <w:r>
                  <w:rPr/>
                  <w:fldChar w:fldCharType="begin"/>
                </w:r>
                <w:r>
                  <w:rPr>
                    <w:rFonts w:ascii="Calibri"/>
                    <w:w w:val="105"/>
                    <w:sz w:val="21"/>
                  </w:rPr>
                  <w:instrText> PAGE </w:instrText>
                </w:r>
                <w:r>
                  <w:rPr/>
                  <w:fldChar w:fldCharType="separate"/>
                </w:r>
                <w:r>
                  <w:rPr/>
                  <w:t>11</w:t>
                </w:r>
                <w:r>
                  <w:rPr/>
                  <w:fldChar w:fldCharType="end"/>
                </w:r>
              </w:p>
            </w:txbxContent>
          </v:textbox>
          <w10:wrap type="none"/>
        </v:shape>
      </w:pict>
    </w:r>
  </w:p>
</w:ftr>
</file>

<file path=word/footer3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3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3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3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drawing>
        <wp:anchor distT="0" distB="0" distL="0" distR="0" allowOverlap="1" layoutInCell="1" locked="0" behindDoc="1" simplePos="0" relativeHeight="268311743">
          <wp:simplePos x="0" y="0"/>
          <wp:positionH relativeFrom="page">
            <wp:posOffset>7171093</wp:posOffset>
          </wp:positionH>
          <wp:positionV relativeFrom="page">
            <wp:posOffset>9425342</wp:posOffset>
          </wp:positionV>
          <wp:extent cx="421310" cy="192023"/>
          <wp:effectExtent l="0" t="0" r="0" b="0"/>
          <wp:wrapNone/>
          <wp:docPr id="13" name="image5.png" descr=""/>
          <wp:cNvGraphicFramePr>
            <a:graphicFrameLocks noChangeAspect="1"/>
          </wp:cNvGraphicFramePr>
          <a:graphic>
            <a:graphicData uri="http://schemas.openxmlformats.org/drawingml/2006/picture">
              <pic:pic>
                <pic:nvPicPr>
                  <pic:cNvPr id="14" name="image5.png"/>
                  <pic:cNvPicPr/>
                </pic:nvPicPr>
                <pic:blipFill>
                  <a:blip r:embed="rId1" cstate="print"/>
                  <a:stretch>
                    <a:fillRect/>
                  </a:stretch>
                </pic:blipFill>
                <pic:spPr>
                  <a:xfrm>
                    <a:off x="0" y="0"/>
                    <a:ext cx="421310" cy="192023"/>
                  </a:xfrm>
                  <a:prstGeom prst="rect">
                    <a:avLst/>
                  </a:prstGeom>
                </pic:spPr>
              </pic:pic>
            </a:graphicData>
          </a:graphic>
        </wp:anchor>
      </w:drawing>
    </w:r>
    <w:r>
      <w:rPr/>
      <w:pict>
        <v:line style="position:absolute;mso-position-horizontal-relative:page;mso-position-vertical-relative:page;z-index:-123688" from="86.772987pt,741.852966pt" to="559.812997pt,741.852966pt" stroked="true" strokeweight=".48pt" strokecolor="#000000">
          <w10:wrap type="none"/>
        </v:line>
      </w:pict>
    </w:r>
    <w:r>
      <w:rPr/>
      <w:pict>
        <v:shape style="position:absolute;margin-left:87.213043pt;margin-top:743.369202pt;width:406.25pt;height:14pt;mso-position-horizontal-relative:page;mso-position-vertical-relative:page;z-index:-123664" type="#_x0000_t202" filled="false" stroked="false">
          <v:textbox inset="0,0,0,0">
            <w:txbxContent>
              <w:p>
                <w:pPr>
                  <w:pStyle w:val="BodyText"/>
                  <w:spacing w:line="265" w:lineRule="exact"/>
                  <w:ind w:left="20"/>
                </w:pPr>
                <w:r>
                  <w:rPr/>
                  <w:t>M.V.Z. Esp. Elsa Macarena García González. Toluca, México  Agosto 2014.</w:t>
                </w:r>
              </w:p>
            </w:txbxContent>
          </v:textbox>
          <w10:wrap type="none"/>
        </v:shape>
      </w:pict>
    </w:r>
    <w:r>
      <w:rPr/>
      <w:pict>
        <v:shape style="position:absolute;margin-left:580.453003pt;margin-top:743.28894pt;width:13.05pt;height:12.8pt;mso-position-horizontal-relative:page;mso-position-vertical-relative:page;z-index:-123640" type="#_x0000_t202" filled="false" stroked="false">
          <v:textbox inset="0,0,0,0">
            <w:txbxContent>
              <w:p>
                <w:pPr>
                  <w:spacing w:line="245" w:lineRule="exact" w:before="0"/>
                  <w:ind w:left="20" w:right="-3" w:firstLine="0"/>
                  <w:jc w:val="left"/>
                  <w:rPr>
                    <w:rFonts w:ascii="Calibri"/>
                    <w:sz w:val="21"/>
                  </w:rPr>
                </w:pPr>
                <w:r>
                  <w:rPr>
                    <w:rFonts w:ascii="Calibri"/>
                    <w:w w:val="105"/>
                    <w:sz w:val="21"/>
                  </w:rPr>
                  <w:t>20</w:t>
                </w:r>
              </w:p>
            </w:txbxContent>
          </v:textbox>
          <w10:wrap type="none"/>
        </v:shape>
      </w:pict>
    </w: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drawing>
        <wp:anchor distT="0" distB="0" distL="0" distR="0" allowOverlap="1" layoutInCell="1" locked="0" behindDoc="1" simplePos="0" relativeHeight="268311839">
          <wp:simplePos x="0" y="0"/>
          <wp:positionH relativeFrom="page">
            <wp:posOffset>7171093</wp:posOffset>
          </wp:positionH>
          <wp:positionV relativeFrom="page">
            <wp:posOffset>9425342</wp:posOffset>
          </wp:positionV>
          <wp:extent cx="421310" cy="192023"/>
          <wp:effectExtent l="0" t="0" r="0" b="0"/>
          <wp:wrapNone/>
          <wp:docPr id="15" name="image5.png" descr=""/>
          <wp:cNvGraphicFramePr>
            <a:graphicFrameLocks noChangeAspect="1"/>
          </wp:cNvGraphicFramePr>
          <a:graphic>
            <a:graphicData uri="http://schemas.openxmlformats.org/drawingml/2006/picture">
              <pic:pic>
                <pic:nvPicPr>
                  <pic:cNvPr id="16" name="image5.png"/>
                  <pic:cNvPicPr/>
                </pic:nvPicPr>
                <pic:blipFill>
                  <a:blip r:embed="rId1" cstate="print"/>
                  <a:stretch>
                    <a:fillRect/>
                  </a:stretch>
                </pic:blipFill>
                <pic:spPr>
                  <a:xfrm>
                    <a:off x="0" y="0"/>
                    <a:ext cx="421310" cy="192023"/>
                  </a:xfrm>
                  <a:prstGeom prst="rect">
                    <a:avLst/>
                  </a:prstGeom>
                </pic:spPr>
              </pic:pic>
            </a:graphicData>
          </a:graphic>
        </wp:anchor>
      </w:drawing>
    </w:r>
    <w:r>
      <w:rPr/>
      <w:pict>
        <v:line style="position:absolute;mso-position-horizontal-relative:page;mso-position-vertical-relative:page;z-index:-123592" from="86.772987pt,741.852966pt" to="559.812997pt,741.852966pt" stroked="true" strokeweight=".48pt" strokecolor="#000000">
          <w10:wrap type="none"/>
        </v:line>
      </w:pict>
    </w:r>
    <w:r>
      <w:rPr/>
      <w:pict>
        <v:shape style="position:absolute;margin-left:87.213043pt;margin-top:743.369202pt;width:406.25pt;height:14pt;mso-position-horizontal-relative:page;mso-position-vertical-relative:page;z-index:-123568" type="#_x0000_t202" filled="false" stroked="false">
          <v:textbox inset="0,0,0,0">
            <w:txbxContent>
              <w:p>
                <w:pPr>
                  <w:pStyle w:val="BodyText"/>
                  <w:spacing w:line="265" w:lineRule="exact"/>
                  <w:ind w:left="20"/>
                </w:pPr>
                <w:r>
                  <w:rPr/>
                  <w:t>M.V.Z. Esp. Elsa Macarena García González. Toluca, México  Agosto 2014.</w:t>
                </w:r>
              </w:p>
            </w:txbxContent>
          </v:textbox>
          <w10:wrap type="none"/>
        </v:shape>
      </w:pict>
    </w:r>
    <w:r>
      <w:rPr/>
      <w:pict>
        <v:shape style="position:absolute;margin-left:579.453003pt;margin-top:743.28894pt;width:15.05pt;height:12.8pt;mso-position-horizontal-relative:page;mso-position-vertical-relative:page;z-index:-123544" type="#_x0000_t202" filled="false" stroked="false">
          <v:textbox inset="0,0,0,0">
            <w:txbxContent>
              <w:p>
                <w:pPr>
                  <w:spacing w:line="245" w:lineRule="exact" w:before="0"/>
                  <w:ind w:left="40" w:right="0" w:firstLine="0"/>
                  <w:jc w:val="left"/>
                  <w:rPr>
                    <w:rFonts w:ascii="Calibri"/>
                    <w:sz w:val="21"/>
                  </w:rPr>
                </w:pPr>
                <w:r>
                  <w:rPr/>
                  <w:fldChar w:fldCharType="begin"/>
                </w:r>
                <w:r>
                  <w:rPr>
                    <w:rFonts w:ascii="Calibri"/>
                    <w:w w:val="105"/>
                    <w:sz w:val="21"/>
                  </w:rPr>
                  <w:instrText> PAGE </w:instrText>
                </w:r>
                <w:r>
                  <w:rPr/>
                  <w:fldChar w:fldCharType="separate"/>
                </w:r>
                <w:r>
                  <w:rPr/>
                  <w:t>21</w:t>
                </w:r>
                <w:r>
                  <w:rPr/>
                  <w:fldChar w:fldCharType="end"/>
                </w:r>
              </w:p>
            </w:txbxContent>
          </v:textbox>
          <w10:wrap type="none"/>
        </v:shape>
      </w:pict>
    </w: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drawing>
        <wp:anchor distT="0" distB="0" distL="0" distR="0" allowOverlap="1" layoutInCell="1" locked="0" behindDoc="1" simplePos="0" relativeHeight="268311935">
          <wp:simplePos x="0" y="0"/>
          <wp:positionH relativeFrom="page">
            <wp:posOffset>7171093</wp:posOffset>
          </wp:positionH>
          <wp:positionV relativeFrom="page">
            <wp:posOffset>9425342</wp:posOffset>
          </wp:positionV>
          <wp:extent cx="421310" cy="192023"/>
          <wp:effectExtent l="0" t="0" r="0" b="0"/>
          <wp:wrapNone/>
          <wp:docPr id="17" name="image5.png" descr=""/>
          <wp:cNvGraphicFramePr>
            <a:graphicFrameLocks noChangeAspect="1"/>
          </wp:cNvGraphicFramePr>
          <a:graphic>
            <a:graphicData uri="http://schemas.openxmlformats.org/drawingml/2006/picture">
              <pic:pic>
                <pic:nvPicPr>
                  <pic:cNvPr id="18" name="image5.png"/>
                  <pic:cNvPicPr/>
                </pic:nvPicPr>
                <pic:blipFill>
                  <a:blip r:embed="rId1" cstate="print"/>
                  <a:stretch>
                    <a:fillRect/>
                  </a:stretch>
                </pic:blipFill>
                <pic:spPr>
                  <a:xfrm>
                    <a:off x="0" y="0"/>
                    <a:ext cx="421310" cy="192023"/>
                  </a:xfrm>
                  <a:prstGeom prst="rect">
                    <a:avLst/>
                  </a:prstGeom>
                </pic:spPr>
              </pic:pic>
            </a:graphicData>
          </a:graphic>
        </wp:anchor>
      </w:drawing>
    </w:r>
    <w:r>
      <w:rPr/>
      <w:pict>
        <v:line style="position:absolute;mso-position-horizontal-relative:page;mso-position-vertical-relative:page;z-index:-123496" from="86.772987pt,741.852966pt" to="559.812997pt,741.852966pt" stroked="true" strokeweight=".48pt" strokecolor="#000000">
          <w10:wrap type="none"/>
        </v:line>
      </w:pict>
    </w:r>
    <w:r>
      <w:rPr/>
      <w:pict>
        <v:shape style="position:absolute;margin-left:87.213043pt;margin-top:743.369202pt;width:406.25pt;height:14pt;mso-position-horizontal-relative:page;mso-position-vertical-relative:page;z-index:-123472" type="#_x0000_t202" filled="false" stroked="false">
          <v:textbox inset="0,0,0,0">
            <w:txbxContent>
              <w:p>
                <w:pPr>
                  <w:pStyle w:val="BodyText"/>
                  <w:spacing w:line="265" w:lineRule="exact"/>
                  <w:ind w:left="20"/>
                </w:pPr>
                <w:r>
                  <w:rPr/>
                  <w:t>M.V.Z. Esp. Elsa Macarena García González. Toluca, México  Agosto 2014.</w:t>
                </w:r>
              </w:p>
            </w:txbxContent>
          </v:textbox>
          <w10:wrap type="none"/>
        </v:shape>
      </w:pict>
    </w:r>
    <w:r>
      <w:rPr/>
      <w:pict>
        <v:shape style="position:absolute;margin-left:580.453003pt;margin-top:743.28894pt;width:13.05pt;height:12.8pt;mso-position-horizontal-relative:page;mso-position-vertical-relative:page;z-index:-123448" type="#_x0000_t202" filled="false" stroked="false">
          <v:textbox inset="0,0,0,0">
            <w:txbxContent>
              <w:p>
                <w:pPr>
                  <w:spacing w:line="245" w:lineRule="exact" w:before="0"/>
                  <w:ind w:left="20" w:right="-3" w:firstLine="0"/>
                  <w:jc w:val="left"/>
                  <w:rPr>
                    <w:rFonts w:ascii="Calibri"/>
                    <w:sz w:val="21"/>
                  </w:rPr>
                </w:pPr>
                <w:r>
                  <w:rPr>
                    <w:rFonts w:ascii="Calibri"/>
                    <w:w w:val="105"/>
                    <w:sz w:val="21"/>
                  </w:rPr>
                  <w:t>30</w:t>
                </w:r>
              </w:p>
            </w:txbxContent>
          </v:textbox>
          <w10:wrap type="none"/>
        </v:shape>
      </w:pict>
    </w: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drawing>
        <wp:anchor distT="0" distB="0" distL="0" distR="0" allowOverlap="1" layoutInCell="1" locked="0" behindDoc="1" simplePos="0" relativeHeight="268312031">
          <wp:simplePos x="0" y="0"/>
          <wp:positionH relativeFrom="page">
            <wp:posOffset>7171093</wp:posOffset>
          </wp:positionH>
          <wp:positionV relativeFrom="page">
            <wp:posOffset>9425342</wp:posOffset>
          </wp:positionV>
          <wp:extent cx="421310" cy="192023"/>
          <wp:effectExtent l="0" t="0" r="0" b="0"/>
          <wp:wrapNone/>
          <wp:docPr id="19" name="image5.png" descr=""/>
          <wp:cNvGraphicFramePr>
            <a:graphicFrameLocks noChangeAspect="1"/>
          </wp:cNvGraphicFramePr>
          <a:graphic>
            <a:graphicData uri="http://schemas.openxmlformats.org/drawingml/2006/picture">
              <pic:pic>
                <pic:nvPicPr>
                  <pic:cNvPr id="20" name="image5.png"/>
                  <pic:cNvPicPr/>
                </pic:nvPicPr>
                <pic:blipFill>
                  <a:blip r:embed="rId1" cstate="print"/>
                  <a:stretch>
                    <a:fillRect/>
                  </a:stretch>
                </pic:blipFill>
                <pic:spPr>
                  <a:xfrm>
                    <a:off x="0" y="0"/>
                    <a:ext cx="421310" cy="192023"/>
                  </a:xfrm>
                  <a:prstGeom prst="rect">
                    <a:avLst/>
                  </a:prstGeom>
                </pic:spPr>
              </pic:pic>
            </a:graphicData>
          </a:graphic>
        </wp:anchor>
      </w:drawing>
    </w:r>
    <w:r>
      <w:rPr/>
      <w:pict>
        <v:line style="position:absolute;mso-position-horizontal-relative:page;mso-position-vertical-relative:page;z-index:-123400" from="86.772987pt,741.852966pt" to="559.812997pt,741.852966pt" stroked="true" strokeweight=".48pt" strokecolor="#000000">
          <w10:wrap type="none"/>
        </v:line>
      </w:pict>
    </w:r>
    <w:r>
      <w:rPr/>
      <w:pict>
        <v:shape style="position:absolute;margin-left:87.213043pt;margin-top:743.369202pt;width:406.25pt;height:14pt;mso-position-horizontal-relative:page;mso-position-vertical-relative:page;z-index:-123376" type="#_x0000_t202" filled="false" stroked="false">
          <v:textbox inset="0,0,0,0">
            <w:txbxContent>
              <w:p>
                <w:pPr>
                  <w:pStyle w:val="BodyText"/>
                  <w:spacing w:line="265" w:lineRule="exact"/>
                  <w:ind w:left="20"/>
                </w:pPr>
                <w:r>
                  <w:rPr/>
                  <w:t>M.V.Z. Esp. Elsa Macarena García González. Toluca, México  Agosto 2014.</w:t>
                </w:r>
              </w:p>
            </w:txbxContent>
          </v:textbox>
          <w10:wrap type="none"/>
        </v:shape>
      </w:pict>
    </w:r>
    <w:r>
      <w:rPr/>
      <w:pict>
        <v:shape style="position:absolute;margin-left:579.453003pt;margin-top:743.28894pt;width:15.05pt;height:12.8pt;mso-position-horizontal-relative:page;mso-position-vertical-relative:page;z-index:-123352" type="#_x0000_t202" filled="false" stroked="false">
          <v:textbox inset="0,0,0,0">
            <w:txbxContent>
              <w:p>
                <w:pPr>
                  <w:spacing w:line="245" w:lineRule="exact" w:before="0"/>
                  <w:ind w:left="40" w:right="0" w:firstLine="0"/>
                  <w:jc w:val="left"/>
                  <w:rPr>
                    <w:rFonts w:ascii="Calibri"/>
                    <w:sz w:val="21"/>
                  </w:rPr>
                </w:pPr>
                <w:r>
                  <w:rPr/>
                  <w:fldChar w:fldCharType="begin"/>
                </w:r>
                <w:r>
                  <w:rPr>
                    <w:rFonts w:ascii="Calibri"/>
                    <w:w w:val="105"/>
                    <w:sz w:val="21"/>
                  </w:rPr>
                  <w:instrText> PAGE </w:instrText>
                </w:r>
                <w:r>
                  <w:rPr/>
                  <w:fldChar w:fldCharType="separate"/>
                </w:r>
                <w:r>
                  <w:rPr/>
                  <w:t>31</w:t>
                </w:r>
                <w:r>
                  <w:rPr/>
                  <w:fldChar w:fldCharType="end"/>
                </w:r>
              </w:p>
            </w:txbxContent>
          </v:textbox>
          <w10:wrap type="none"/>
        </v:shape>
      </w:pict>
    </w: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drawing>
        <wp:anchor distT="0" distB="0" distL="0" distR="0" allowOverlap="1" layoutInCell="1" locked="0" behindDoc="1" simplePos="0" relativeHeight="268312127">
          <wp:simplePos x="0" y="0"/>
          <wp:positionH relativeFrom="page">
            <wp:posOffset>7171093</wp:posOffset>
          </wp:positionH>
          <wp:positionV relativeFrom="page">
            <wp:posOffset>9425342</wp:posOffset>
          </wp:positionV>
          <wp:extent cx="421310" cy="192023"/>
          <wp:effectExtent l="0" t="0" r="0" b="0"/>
          <wp:wrapNone/>
          <wp:docPr id="21" name="image5.png" descr=""/>
          <wp:cNvGraphicFramePr>
            <a:graphicFrameLocks noChangeAspect="1"/>
          </wp:cNvGraphicFramePr>
          <a:graphic>
            <a:graphicData uri="http://schemas.openxmlformats.org/drawingml/2006/picture">
              <pic:pic>
                <pic:nvPicPr>
                  <pic:cNvPr id="22" name="image5.png"/>
                  <pic:cNvPicPr/>
                </pic:nvPicPr>
                <pic:blipFill>
                  <a:blip r:embed="rId1" cstate="print"/>
                  <a:stretch>
                    <a:fillRect/>
                  </a:stretch>
                </pic:blipFill>
                <pic:spPr>
                  <a:xfrm>
                    <a:off x="0" y="0"/>
                    <a:ext cx="421310" cy="192023"/>
                  </a:xfrm>
                  <a:prstGeom prst="rect">
                    <a:avLst/>
                  </a:prstGeom>
                </pic:spPr>
              </pic:pic>
            </a:graphicData>
          </a:graphic>
        </wp:anchor>
      </w:drawing>
    </w:r>
    <w:r>
      <w:rPr/>
      <w:pict>
        <v:line style="position:absolute;mso-position-horizontal-relative:page;mso-position-vertical-relative:page;z-index:-123304" from="86.772987pt,741.852966pt" to="559.812997pt,741.852966pt" stroked="true" strokeweight=".48pt" strokecolor="#000000">
          <w10:wrap type="none"/>
        </v:line>
      </w:pict>
    </w:r>
    <w:r>
      <w:rPr/>
      <w:pict>
        <v:shape style="position:absolute;margin-left:87.213043pt;margin-top:743.369202pt;width:406.25pt;height:14pt;mso-position-horizontal-relative:page;mso-position-vertical-relative:page;z-index:-123280" type="#_x0000_t202" filled="false" stroked="false">
          <v:textbox inset="0,0,0,0">
            <w:txbxContent>
              <w:p>
                <w:pPr>
                  <w:pStyle w:val="BodyText"/>
                  <w:spacing w:line="265" w:lineRule="exact"/>
                  <w:ind w:left="20"/>
                </w:pPr>
                <w:r>
                  <w:rPr/>
                  <w:t>M.V.Z. Esp. Elsa Macarena García González. Toluca, México  Agosto 2014.</w:t>
                </w:r>
              </w:p>
            </w:txbxContent>
          </v:textbox>
          <w10:wrap type="none"/>
        </v:shape>
      </w:pict>
    </w:r>
    <w:r>
      <w:rPr/>
      <w:pict>
        <v:shape style="position:absolute;margin-left:580.453003pt;margin-top:743.28894pt;width:13.05pt;height:12.8pt;mso-position-horizontal-relative:page;mso-position-vertical-relative:page;z-index:-123256" type="#_x0000_t202" filled="false" stroked="false">
          <v:textbox inset="0,0,0,0">
            <w:txbxContent>
              <w:p>
                <w:pPr>
                  <w:spacing w:line="245" w:lineRule="exact" w:before="0"/>
                  <w:ind w:left="20" w:right="-3" w:firstLine="0"/>
                  <w:jc w:val="left"/>
                  <w:rPr>
                    <w:rFonts w:ascii="Calibri"/>
                    <w:sz w:val="21"/>
                  </w:rPr>
                </w:pPr>
                <w:r>
                  <w:rPr>
                    <w:rFonts w:ascii="Calibri"/>
                    <w:w w:val="105"/>
                    <w:sz w:val="21"/>
                  </w:rPr>
                  <w:t>40</w:t>
                </w:r>
              </w:p>
            </w:txbxContent>
          </v:textbox>
          <w10:wrap type="none"/>
        </v:shape>
      </w:pict>
    </w: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drawing>
        <wp:anchor distT="0" distB="0" distL="0" distR="0" allowOverlap="1" layoutInCell="1" locked="0" behindDoc="1" simplePos="0" relativeHeight="268312223">
          <wp:simplePos x="0" y="0"/>
          <wp:positionH relativeFrom="page">
            <wp:posOffset>7171093</wp:posOffset>
          </wp:positionH>
          <wp:positionV relativeFrom="page">
            <wp:posOffset>9425342</wp:posOffset>
          </wp:positionV>
          <wp:extent cx="421310" cy="192023"/>
          <wp:effectExtent l="0" t="0" r="0" b="0"/>
          <wp:wrapNone/>
          <wp:docPr id="23" name="image5.png" descr=""/>
          <wp:cNvGraphicFramePr>
            <a:graphicFrameLocks noChangeAspect="1"/>
          </wp:cNvGraphicFramePr>
          <a:graphic>
            <a:graphicData uri="http://schemas.openxmlformats.org/drawingml/2006/picture">
              <pic:pic>
                <pic:nvPicPr>
                  <pic:cNvPr id="24" name="image5.png"/>
                  <pic:cNvPicPr/>
                </pic:nvPicPr>
                <pic:blipFill>
                  <a:blip r:embed="rId1" cstate="print"/>
                  <a:stretch>
                    <a:fillRect/>
                  </a:stretch>
                </pic:blipFill>
                <pic:spPr>
                  <a:xfrm>
                    <a:off x="0" y="0"/>
                    <a:ext cx="421310" cy="192023"/>
                  </a:xfrm>
                  <a:prstGeom prst="rect">
                    <a:avLst/>
                  </a:prstGeom>
                </pic:spPr>
              </pic:pic>
            </a:graphicData>
          </a:graphic>
        </wp:anchor>
      </w:drawing>
    </w:r>
    <w:r>
      <w:rPr/>
      <w:pict>
        <v:line style="position:absolute;mso-position-horizontal-relative:page;mso-position-vertical-relative:page;z-index:-123208" from="86.772987pt,741.852966pt" to="559.812997pt,741.852966pt" stroked="true" strokeweight=".48pt" strokecolor="#000000">
          <w10:wrap type="none"/>
        </v:line>
      </w:pict>
    </w:r>
    <w:r>
      <w:rPr/>
      <w:pict>
        <v:shape style="position:absolute;margin-left:87.213043pt;margin-top:743.369202pt;width:406.25pt;height:14pt;mso-position-horizontal-relative:page;mso-position-vertical-relative:page;z-index:-123184" type="#_x0000_t202" filled="false" stroked="false">
          <v:textbox inset="0,0,0,0">
            <w:txbxContent>
              <w:p>
                <w:pPr>
                  <w:pStyle w:val="BodyText"/>
                  <w:spacing w:line="265" w:lineRule="exact"/>
                  <w:ind w:left="20"/>
                </w:pPr>
                <w:r>
                  <w:rPr/>
                  <w:t>M.V.Z. Esp. Elsa Macarena García González. Toluca, México  Agosto 2014.</w:t>
                </w:r>
              </w:p>
            </w:txbxContent>
          </v:textbox>
          <w10:wrap type="none"/>
        </v:shape>
      </w:pict>
    </w:r>
    <w:r>
      <w:rPr/>
      <w:pict>
        <v:shape style="position:absolute;margin-left:579.453003pt;margin-top:743.28894pt;width:15.05pt;height:12.8pt;mso-position-horizontal-relative:page;mso-position-vertical-relative:page;z-index:-123160" type="#_x0000_t202" filled="false" stroked="false">
          <v:textbox inset="0,0,0,0">
            <w:txbxContent>
              <w:p>
                <w:pPr>
                  <w:spacing w:line="245" w:lineRule="exact" w:before="0"/>
                  <w:ind w:left="40" w:right="0" w:firstLine="0"/>
                  <w:jc w:val="left"/>
                  <w:rPr>
                    <w:rFonts w:ascii="Calibri"/>
                    <w:sz w:val="21"/>
                  </w:rPr>
                </w:pPr>
                <w:r>
                  <w:rPr/>
                  <w:fldChar w:fldCharType="begin"/>
                </w:r>
                <w:r>
                  <w:rPr>
                    <w:rFonts w:ascii="Calibri"/>
                    <w:w w:val="105"/>
                    <w:sz w:val="21"/>
                  </w:rPr>
                  <w:instrText> PAGE </w:instrText>
                </w:r>
                <w:r>
                  <w:rPr/>
                  <w:fldChar w:fldCharType="separate"/>
                </w:r>
                <w:r>
                  <w:rPr/>
                  <w:t>41</w:t>
                </w:r>
                <w:r>
                  <w:rPr/>
                  <w:fldChar w:fldCharType="end"/>
                </w:r>
              </w:p>
            </w:txbxContent>
          </v:textbox>
          <w10:wrap type="none"/>
        </v:shape>
      </w:pict>
    </w:r>
  </w:p>
</w:ftr>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24048" from="85.772987pt,49.693001pt" to="558.812997pt,49.693001pt" stroked="true" strokeweight=".48pt" strokecolor="#000000">
          <w10:wrap type="none"/>
        </v:line>
      </w:pict>
    </w:r>
    <w:r>
      <w:rPr/>
      <w:pict>
        <v:shapetype id="_x0000_t202" o:spt="202" coordsize="21600,21600" path="m,l,21600r21600,l21600,xe">
          <v:stroke joinstyle="miter"/>
          <v:path gradientshapeok="t" o:connecttype="rect"/>
        </v:shapetype>
        <v:shape style="position:absolute;margin-left:99.377602pt;margin-top:36.101601pt;width:445.85pt;height:12.8pt;mso-position-horizontal-relative:page;mso-position-vertical-relative:page;z-index:-124024" type="#_x0000_t202" filled="false" stroked="false">
          <v:textbox inset="0,0,0,0">
            <w:txbxContent>
              <w:p>
                <w:pPr>
                  <w:spacing w:line="240" w:lineRule="exact" w:before="0"/>
                  <w:ind w:left="20" w:right="0" w:firstLine="0"/>
                  <w:jc w:val="left"/>
                  <w:rPr>
                    <w:sz w:val="21"/>
                  </w:rPr>
                </w:pPr>
                <w:r>
                  <w:rPr>
                    <w:w w:val="105"/>
                    <w:sz w:val="21"/>
                  </w:rPr>
                  <w:t>Estadificación</w:t>
                </w:r>
                <w:r>
                  <w:rPr>
                    <w:spacing w:val="-3"/>
                    <w:w w:val="105"/>
                    <w:sz w:val="21"/>
                  </w:rPr>
                  <w:t> </w:t>
                </w:r>
                <w:r>
                  <w:rPr>
                    <w:w w:val="105"/>
                    <w:sz w:val="21"/>
                  </w:rPr>
                  <w:t>de</w:t>
                </w:r>
                <w:r>
                  <w:rPr>
                    <w:spacing w:val="-3"/>
                    <w:w w:val="105"/>
                    <w:sz w:val="21"/>
                  </w:rPr>
                  <w:t> </w:t>
                </w:r>
                <w:r>
                  <w:rPr>
                    <w:w w:val="105"/>
                    <w:sz w:val="21"/>
                  </w:rPr>
                  <w:t>la</w:t>
                </w:r>
                <w:r>
                  <w:rPr>
                    <w:spacing w:val="-3"/>
                    <w:w w:val="105"/>
                    <w:sz w:val="21"/>
                  </w:rPr>
                  <w:t> </w:t>
                </w:r>
                <w:r>
                  <w:rPr>
                    <w:w w:val="105"/>
                    <w:sz w:val="21"/>
                  </w:rPr>
                  <w:t>enfermedad</w:t>
                </w:r>
                <w:r>
                  <w:rPr>
                    <w:spacing w:val="-3"/>
                    <w:w w:val="105"/>
                    <w:sz w:val="21"/>
                  </w:rPr>
                  <w:t> </w:t>
                </w:r>
                <w:r>
                  <w:rPr>
                    <w:w w:val="105"/>
                    <w:sz w:val="21"/>
                  </w:rPr>
                  <w:t>renal</w:t>
                </w:r>
                <w:r>
                  <w:rPr>
                    <w:spacing w:val="-5"/>
                    <w:w w:val="105"/>
                    <w:sz w:val="21"/>
                  </w:rPr>
                  <w:t> </w:t>
                </w:r>
                <w:r>
                  <w:rPr>
                    <w:w w:val="105"/>
                    <w:sz w:val="21"/>
                  </w:rPr>
                  <w:t>crónica</w:t>
                </w:r>
                <w:r>
                  <w:rPr>
                    <w:spacing w:val="-3"/>
                    <w:w w:val="105"/>
                    <w:sz w:val="21"/>
                  </w:rPr>
                  <w:t> </w:t>
                </w:r>
                <w:r>
                  <w:rPr>
                    <w:w w:val="105"/>
                    <w:sz w:val="21"/>
                  </w:rPr>
                  <w:t>y</w:t>
                </w:r>
                <w:r>
                  <w:rPr>
                    <w:spacing w:val="-4"/>
                    <w:w w:val="105"/>
                    <w:sz w:val="21"/>
                  </w:rPr>
                  <w:t> </w:t>
                </w:r>
                <w:r>
                  <w:rPr>
                    <w:w w:val="105"/>
                    <w:sz w:val="21"/>
                  </w:rPr>
                  <w:t>sus</w:t>
                </w:r>
                <w:r>
                  <w:rPr>
                    <w:spacing w:val="-4"/>
                    <w:w w:val="105"/>
                    <w:sz w:val="21"/>
                  </w:rPr>
                  <w:t> </w:t>
                </w:r>
                <w:r>
                  <w:rPr>
                    <w:w w:val="105"/>
                    <w:sz w:val="21"/>
                  </w:rPr>
                  <w:t>factores</w:t>
                </w:r>
                <w:r>
                  <w:rPr>
                    <w:spacing w:val="-4"/>
                    <w:w w:val="105"/>
                    <w:sz w:val="21"/>
                  </w:rPr>
                  <w:t> </w:t>
                </w:r>
                <w:r>
                  <w:rPr>
                    <w:w w:val="105"/>
                    <w:sz w:val="21"/>
                  </w:rPr>
                  <w:t>de</w:t>
                </w:r>
                <w:r>
                  <w:rPr>
                    <w:spacing w:val="-3"/>
                    <w:w w:val="105"/>
                    <w:sz w:val="21"/>
                  </w:rPr>
                  <w:t> </w:t>
                </w:r>
                <w:r>
                  <w:rPr>
                    <w:w w:val="105"/>
                    <w:sz w:val="21"/>
                  </w:rPr>
                  <w:t>riesgo</w:t>
                </w:r>
                <w:r>
                  <w:rPr>
                    <w:spacing w:val="-3"/>
                    <w:w w:val="105"/>
                    <w:sz w:val="21"/>
                  </w:rPr>
                  <w:t> </w:t>
                </w:r>
                <w:r>
                  <w:rPr>
                    <w:w w:val="105"/>
                    <w:sz w:val="21"/>
                  </w:rPr>
                  <w:t>asociados</w:t>
                </w:r>
                <w:r>
                  <w:rPr>
                    <w:spacing w:val="-4"/>
                    <w:w w:val="105"/>
                    <w:sz w:val="21"/>
                  </w:rPr>
                  <w:t> </w:t>
                </w:r>
                <w:r>
                  <w:rPr>
                    <w:w w:val="105"/>
                    <w:sz w:val="21"/>
                  </w:rPr>
                  <w:t>en</w:t>
                </w:r>
                <w:r>
                  <w:rPr>
                    <w:spacing w:val="-3"/>
                    <w:w w:val="105"/>
                    <w:sz w:val="21"/>
                  </w:rPr>
                  <w:t> </w:t>
                </w:r>
                <w:r>
                  <w:rPr>
                    <w:w w:val="105"/>
                    <w:sz w:val="21"/>
                  </w:rPr>
                  <w:t>perros</w:t>
                </w:r>
              </w:p>
            </w:txbxContent>
          </v:textbox>
          <w10:wrap type="none"/>
        </v:shape>
      </w:pict>
    </w:r>
  </w:p>
</w:hdr>
</file>

<file path=word/header1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26">
    <w:multiLevelType w:val="hybridMultilevel"/>
    <w:lvl w:ilvl="0">
      <w:start w:val="415"/>
      <w:numFmt w:val="decimal"/>
      <w:lvlText w:val="%1"/>
      <w:lvlJc w:val="left"/>
      <w:pPr>
        <w:ind w:left="1937" w:hanging="684"/>
        <w:jc w:val="left"/>
      </w:pPr>
      <w:rPr>
        <w:rFonts w:hint="default" w:ascii="Cambria" w:hAnsi="Cambria" w:eastAsia="Cambria" w:cs="Cambria"/>
        <w:w w:val="103"/>
        <w:sz w:val="20"/>
        <w:szCs w:val="20"/>
      </w:rPr>
    </w:lvl>
    <w:lvl w:ilvl="1">
      <w:start w:val="1"/>
      <w:numFmt w:val="bullet"/>
      <w:lvlText w:val="•"/>
      <w:lvlJc w:val="left"/>
      <w:pPr>
        <w:ind w:left="2946" w:hanging="684"/>
      </w:pPr>
      <w:rPr>
        <w:rFonts w:hint="default"/>
      </w:rPr>
    </w:lvl>
    <w:lvl w:ilvl="2">
      <w:start w:val="1"/>
      <w:numFmt w:val="bullet"/>
      <w:lvlText w:val="•"/>
      <w:lvlJc w:val="left"/>
      <w:pPr>
        <w:ind w:left="3952" w:hanging="684"/>
      </w:pPr>
      <w:rPr>
        <w:rFonts w:hint="default"/>
      </w:rPr>
    </w:lvl>
    <w:lvl w:ilvl="3">
      <w:start w:val="1"/>
      <w:numFmt w:val="bullet"/>
      <w:lvlText w:val="•"/>
      <w:lvlJc w:val="left"/>
      <w:pPr>
        <w:ind w:left="4958" w:hanging="684"/>
      </w:pPr>
      <w:rPr>
        <w:rFonts w:hint="default"/>
      </w:rPr>
    </w:lvl>
    <w:lvl w:ilvl="4">
      <w:start w:val="1"/>
      <w:numFmt w:val="bullet"/>
      <w:lvlText w:val="•"/>
      <w:lvlJc w:val="left"/>
      <w:pPr>
        <w:ind w:left="5964" w:hanging="684"/>
      </w:pPr>
      <w:rPr>
        <w:rFonts w:hint="default"/>
      </w:rPr>
    </w:lvl>
    <w:lvl w:ilvl="5">
      <w:start w:val="1"/>
      <w:numFmt w:val="bullet"/>
      <w:lvlText w:val="•"/>
      <w:lvlJc w:val="left"/>
      <w:pPr>
        <w:ind w:left="6970" w:hanging="684"/>
      </w:pPr>
      <w:rPr>
        <w:rFonts w:hint="default"/>
      </w:rPr>
    </w:lvl>
    <w:lvl w:ilvl="6">
      <w:start w:val="1"/>
      <w:numFmt w:val="bullet"/>
      <w:lvlText w:val="•"/>
      <w:lvlJc w:val="left"/>
      <w:pPr>
        <w:ind w:left="7976" w:hanging="684"/>
      </w:pPr>
      <w:rPr>
        <w:rFonts w:hint="default"/>
      </w:rPr>
    </w:lvl>
    <w:lvl w:ilvl="7">
      <w:start w:val="1"/>
      <w:numFmt w:val="bullet"/>
      <w:lvlText w:val="•"/>
      <w:lvlJc w:val="left"/>
      <w:pPr>
        <w:ind w:left="8982" w:hanging="684"/>
      </w:pPr>
      <w:rPr>
        <w:rFonts w:hint="default"/>
      </w:rPr>
    </w:lvl>
    <w:lvl w:ilvl="8">
      <w:start w:val="1"/>
      <w:numFmt w:val="bullet"/>
      <w:lvlText w:val="•"/>
      <w:lvlJc w:val="left"/>
      <w:pPr>
        <w:ind w:left="9988" w:hanging="684"/>
      </w:pPr>
      <w:rPr>
        <w:rFonts w:hint="default"/>
      </w:rPr>
    </w:lvl>
  </w:abstractNum>
  <w:abstractNum w:abstractNumId="25">
    <w:multiLevelType w:val="hybridMultilevel"/>
    <w:lvl w:ilvl="0">
      <w:start w:val="405"/>
      <w:numFmt w:val="decimal"/>
      <w:lvlText w:val="%1"/>
      <w:lvlJc w:val="left"/>
      <w:pPr>
        <w:ind w:left="1937" w:hanging="684"/>
        <w:jc w:val="left"/>
      </w:pPr>
      <w:rPr>
        <w:rFonts w:hint="default" w:ascii="Cambria" w:hAnsi="Cambria" w:eastAsia="Cambria" w:cs="Cambria"/>
        <w:w w:val="103"/>
        <w:sz w:val="20"/>
        <w:szCs w:val="20"/>
      </w:rPr>
    </w:lvl>
    <w:lvl w:ilvl="1">
      <w:start w:val="1"/>
      <w:numFmt w:val="bullet"/>
      <w:lvlText w:val="•"/>
      <w:lvlJc w:val="left"/>
      <w:pPr>
        <w:ind w:left="2802" w:hanging="684"/>
      </w:pPr>
      <w:rPr>
        <w:rFonts w:hint="default"/>
      </w:rPr>
    </w:lvl>
    <w:lvl w:ilvl="2">
      <w:start w:val="1"/>
      <w:numFmt w:val="bullet"/>
      <w:lvlText w:val="•"/>
      <w:lvlJc w:val="left"/>
      <w:pPr>
        <w:ind w:left="3664" w:hanging="684"/>
      </w:pPr>
      <w:rPr>
        <w:rFonts w:hint="default"/>
      </w:rPr>
    </w:lvl>
    <w:lvl w:ilvl="3">
      <w:start w:val="1"/>
      <w:numFmt w:val="bullet"/>
      <w:lvlText w:val="•"/>
      <w:lvlJc w:val="left"/>
      <w:pPr>
        <w:ind w:left="4526" w:hanging="684"/>
      </w:pPr>
      <w:rPr>
        <w:rFonts w:hint="default"/>
      </w:rPr>
    </w:lvl>
    <w:lvl w:ilvl="4">
      <w:start w:val="1"/>
      <w:numFmt w:val="bullet"/>
      <w:lvlText w:val="•"/>
      <w:lvlJc w:val="left"/>
      <w:pPr>
        <w:ind w:left="5388" w:hanging="684"/>
      </w:pPr>
      <w:rPr>
        <w:rFonts w:hint="default"/>
      </w:rPr>
    </w:lvl>
    <w:lvl w:ilvl="5">
      <w:start w:val="1"/>
      <w:numFmt w:val="bullet"/>
      <w:lvlText w:val="•"/>
      <w:lvlJc w:val="left"/>
      <w:pPr>
        <w:ind w:left="6250" w:hanging="684"/>
      </w:pPr>
      <w:rPr>
        <w:rFonts w:hint="default"/>
      </w:rPr>
    </w:lvl>
    <w:lvl w:ilvl="6">
      <w:start w:val="1"/>
      <w:numFmt w:val="bullet"/>
      <w:lvlText w:val="•"/>
      <w:lvlJc w:val="left"/>
      <w:pPr>
        <w:ind w:left="7112" w:hanging="684"/>
      </w:pPr>
      <w:rPr>
        <w:rFonts w:hint="default"/>
      </w:rPr>
    </w:lvl>
    <w:lvl w:ilvl="7">
      <w:start w:val="1"/>
      <w:numFmt w:val="bullet"/>
      <w:lvlText w:val="•"/>
      <w:lvlJc w:val="left"/>
      <w:pPr>
        <w:ind w:left="7974" w:hanging="684"/>
      </w:pPr>
      <w:rPr>
        <w:rFonts w:hint="default"/>
      </w:rPr>
    </w:lvl>
    <w:lvl w:ilvl="8">
      <w:start w:val="1"/>
      <w:numFmt w:val="bullet"/>
      <w:lvlText w:val="•"/>
      <w:lvlJc w:val="left"/>
      <w:pPr>
        <w:ind w:left="8836" w:hanging="684"/>
      </w:pPr>
      <w:rPr>
        <w:rFonts w:hint="default"/>
      </w:rPr>
    </w:lvl>
  </w:abstractNum>
  <w:abstractNum w:abstractNumId="24">
    <w:multiLevelType w:val="hybridMultilevel"/>
    <w:lvl w:ilvl="0">
      <w:start w:val="399"/>
      <w:numFmt w:val="decimal"/>
      <w:lvlText w:val="%1"/>
      <w:lvlJc w:val="left"/>
      <w:pPr>
        <w:ind w:left="1937" w:hanging="684"/>
        <w:jc w:val="left"/>
      </w:pPr>
      <w:rPr>
        <w:rFonts w:hint="default" w:ascii="Cambria" w:hAnsi="Cambria" w:eastAsia="Cambria" w:cs="Cambria"/>
        <w:w w:val="103"/>
        <w:sz w:val="20"/>
        <w:szCs w:val="20"/>
      </w:rPr>
    </w:lvl>
    <w:lvl w:ilvl="1">
      <w:start w:val="1"/>
      <w:numFmt w:val="bullet"/>
      <w:lvlText w:val="•"/>
      <w:lvlJc w:val="left"/>
      <w:pPr>
        <w:ind w:left="2802" w:hanging="684"/>
      </w:pPr>
      <w:rPr>
        <w:rFonts w:hint="default"/>
      </w:rPr>
    </w:lvl>
    <w:lvl w:ilvl="2">
      <w:start w:val="1"/>
      <w:numFmt w:val="bullet"/>
      <w:lvlText w:val="•"/>
      <w:lvlJc w:val="left"/>
      <w:pPr>
        <w:ind w:left="3664" w:hanging="684"/>
      </w:pPr>
      <w:rPr>
        <w:rFonts w:hint="default"/>
      </w:rPr>
    </w:lvl>
    <w:lvl w:ilvl="3">
      <w:start w:val="1"/>
      <w:numFmt w:val="bullet"/>
      <w:lvlText w:val="•"/>
      <w:lvlJc w:val="left"/>
      <w:pPr>
        <w:ind w:left="4526" w:hanging="684"/>
      </w:pPr>
      <w:rPr>
        <w:rFonts w:hint="default"/>
      </w:rPr>
    </w:lvl>
    <w:lvl w:ilvl="4">
      <w:start w:val="1"/>
      <w:numFmt w:val="bullet"/>
      <w:lvlText w:val="•"/>
      <w:lvlJc w:val="left"/>
      <w:pPr>
        <w:ind w:left="5388" w:hanging="684"/>
      </w:pPr>
      <w:rPr>
        <w:rFonts w:hint="default"/>
      </w:rPr>
    </w:lvl>
    <w:lvl w:ilvl="5">
      <w:start w:val="1"/>
      <w:numFmt w:val="bullet"/>
      <w:lvlText w:val="•"/>
      <w:lvlJc w:val="left"/>
      <w:pPr>
        <w:ind w:left="6250" w:hanging="684"/>
      </w:pPr>
      <w:rPr>
        <w:rFonts w:hint="default"/>
      </w:rPr>
    </w:lvl>
    <w:lvl w:ilvl="6">
      <w:start w:val="1"/>
      <w:numFmt w:val="bullet"/>
      <w:lvlText w:val="•"/>
      <w:lvlJc w:val="left"/>
      <w:pPr>
        <w:ind w:left="7112" w:hanging="684"/>
      </w:pPr>
      <w:rPr>
        <w:rFonts w:hint="default"/>
      </w:rPr>
    </w:lvl>
    <w:lvl w:ilvl="7">
      <w:start w:val="1"/>
      <w:numFmt w:val="bullet"/>
      <w:lvlText w:val="•"/>
      <w:lvlJc w:val="left"/>
      <w:pPr>
        <w:ind w:left="7974" w:hanging="684"/>
      </w:pPr>
      <w:rPr>
        <w:rFonts w:hint="default"/>
      </w:rPr>
    </w:lvl>
    <w:lvl w:ilvl="8">
      <w:start w:val="1"/>
      <w:numFmt w:val="bullet"/>
      <w:lvlText w:val="•"/>
      <w:lvlJc w:val="left"/>
      <w:pPr>
        <w:ind w:left="8836" w:hanging="684"/>
      </w:pPr>
      <w:rPr>
        <w:rFonts w:hint="default"/>
      </w:rPr>
    </w:lvl>
  </w:abstractNum>
  <w:abstractNum w:abstractNumId="23">
    <w:multiLevelType w:val="hybridMultilevel"/>
    <w:lvl w:ilvl="0">
      <w:start w:val="387"/>
      <w:numFmt w:val="decimal"/>
      <w:lvlText w:val="%1"/>
      <w:lvlJc w:val="left"/>
      <w:pPr>
        <w:ind w:left="1937" w:hanging="684"/>
        <w:jc w:val="left"/>
      </w:pPr>
      <w:rPr>
        <w:rFonts w:hint="default" w:ascii="Cambria" w:hAnsi="Cambria" w:eastAsia="Cambria" w:cs="Cambria"/>
        <w:w w:val="103"/>
        <w:sz w:val="20"/>
        <w:szCs w:val="20"/>
      </w:rPr>
    </w:lvl>
    <w:lvl w:ilvl="1">
      <w:start w:val="1"/>
      <w:numFmt w:val="bullet"/>
      <w:lvlText w:val="•"/>
      <w:lvlJc w:val="left"/>
      <w:pPr>
        <w:ind w:left="2802" w:hanging="684"/>
      </w:pPr>
      <w:rPr>
        <w:rFonts w:hint="default"/>
      </w:rPr>
    </w:lvl>
    <w:lvl w:ilvl="2">
      <w:start w:val="1"/>
      <w:numFmt w:val="bullet"/>
      <w:lvlText w:val="•"/>
      <w:lvlJc w:val="left"/>
      <w:pPr>
        <w:ind w:left="3664" w:hanging="684"/>
      </w:pPr>
      <w:rPr>
        <w:rFonts w:hint="default"/>
      </w:rPr>
    </w:lvl>
    <w:lvl w:ilvl="3">
      <w:start w:val="1"/>
      <w:numFmt w:val="bullet"/>
      <w:lvlText w:val="•"/>
      <w:lvlJc w:val="left"/>
      <w:pPr>
        <w:ind w:left="4526" w:hanging="684"/>
      </w:pPr>
      <w:rPr>
        <w:rFonts w:hint="default"/>
      </w:rPr>
    </w:lvl>
    <w:lvl w:ilvl="4">
      <w:start w:val="1"/>
      <w:numFmt w:val="bullet"/>
      <w:lvlText w:val="•"/>
      <w:lvlJc w:val="left"/>
      <w:pPr>
        <w:ind w:left="5388" w:hanging="684"/>
      </w:pPr>
      <w:rPr>
        <w:rFonts w:hint="default"/>
      </w:rPr>
    </w:lvl>
    <w:lvl w:ilvl="5">
      <w:start w:val="1"/>
      <w:numFmt w:val="bullet"/>
      <w:lvlText w:val="•"/>
      <w:lvlJc w:val="left"/>
      <w:pPr>
        <w:ind w:left="6250" w:hanging="684"/>
      </w:pPr>
      <w:rPr>
        <w:rFonts w:hint="default"/>
      </w:rPr>
    </w:lvl>
    <w:lvl w:ilvl="6">
      <w:start w:val="1"/>
      <w:numFmt w:val="bullet"/>
      <w:lvlText w:val="•"/>
      <w:lvlJc w:val="left"/>
      <w:pPr>
        <w:ind w:left="7112" w:hanging="684"/>
      </w:pPr>
      <w:rPr>
        <w:rFonts w:hint="default"/>
      </w:rPr>
    </w:lvl>
    <w:lvl w:ilvl="7">
      <w:start w:val="1"/>
      <w:numFmt w:val="bullet"/>
      <w:lvlText w:val="•"/>
      <w:lvlJc w:val="left"/>
      <w:pPr>
        <w:ind w:left="7974" w:hanging="684"/>
      </w:pPr>
      <w:rPr>
        <w:rFonts w:hint="default"/>
      </w:rPr>
    </w:lvl>
    <w:lvl w:ilvl="8">
      <w:start w:val="1"/>
      <w:numFmt w:val="bullet"/>
      <w:lvlText w:val="•"/>
      <w:lvlJc w:val="left"/>
      <w:pPr>
        <w:ind w:left="8836" w:hanging="684"/>
      </w:pPr>
      <w:rPr>
        <w:rFonts w:hint="default"/>
      </w:rPr>
    </w:lvl>
  </w:abstractNum>
  <w:abstractNum w:abstractNumId="22">
    <w:multiLevelType w:val="hybridMultilevel"/>
    <w:lvl w:ilvl="0">
      <w:start w:val="375"/>
      <w:numFmt w:val="decimal"/>
      <w:lvlText w:val="%1"/>
      <w:lvlJc w:val="left"/>
      <w:pPr>
        <w:ind w:left="1937" w:hanging="684"/>
        <w:jc w:val="left"/>
      </w:pPr>
      <w:rPr>
        <w:rFonts w:hint="default" w:ascii="Cambria" w:hAnsi="Cambria" w:eastAsia="Cambria" w:cs="Cambria"/>
        <w:w w:val="103"/>
        <w:sz w:val="20"/>
        <w:szCs w:val="20"/>
      </w:rPr>
    </w:lvl>
    <w:lvl w:ilvl="1">
      <w:start w:val="1"/>
      <w:numFmt w:val="bullet"/>
      <w:lvlText w:val="•"/>
      <w:lvlJc w:val="left"/>
      <w:pPr>
        <w:ind w:left="2946" w:hanging="684"/>
      </w:pPr>
      <w:rPr>
        <w:rFonts w:hint="default"/>
      </w:rPr>
    </w:lvl>
    <w:lvl w:ilvl="2">
      <w:start w:val="1"/>
      <w:numFmt w:val="bullet"/>
      <w:lvlText w:val="•"/>
      <w:lvlJc w:val="left"/>
      <w:pPr>
        <w:ind w:left="3952" w:hanging="684"/>
      </w:pPr>
      <w:rPr>
        <w:rFonts w:hint="default"/>
      </w:rPr>
    </w:lvl>
    <w:lvl w:ilvl="3">
      <w:start w:val="1"/>
      <w:numFmt w:val="bullet"/>
      <w:lvlText w:val="•"/>
      <w:lvlJc w:val="left"/>
      <w:pPr>
        <w:ind w:left="4958" w:hanging="684"/>
      </w:pPr>
      <w:rPr>
        <w:rFonts w:hint="default"/>
      </w:rPr>
    </w:lvl>
    <w:lvl w:ilvl="4">
      <w:start w:val="1"/>
      <w:numFmt w:val="bullet"/>
      <w:lvlText w:val="•"/>
      <w:lvlJc w:val="left"/>
      <w:pPr>
        <w:ind w:left="5964" w:hanging="684"/>
      </w:pPr>
      <w:rPr>
        <w:rFonts w:hint="default"/>
      </w:rPr>
    </w:lvl>
    <w:lvl w:ilvl="5">
      <w:start w:val="1"/>
      <w:numFmt w:val="bullet"/>
      <w:lvlText w:val="•"/>
      <w:lvlJc w:val="left"/>
      <w:pPr>
        <w:ind w:left="6970" w:hanging="684"/>
      </w:pPr>
      <w:rPr>
        <w:rFonts w:hint="default"/>
      </w:rPr>
    </w:lvl>
    <w:lvl w:ilvl="6">
      <w:start w:val="1"/>
      <w:numFmt w:val="bullet"/>
      <w:lvlText w:val="•"/>
      <w:lvlJc w:val="left"/>
      <w:pPr>
        <w:ind w:left="7976" w:hanging="684"/>
      </w:pPr>
      <w:rPr>
        <w:rFonts w:hint="default"/>
      </w:rPr>
    </w:lvl>
    <w:lvl w:ilvl="7">
      <w:start w:val="1"/>
      <w:numFmt w:val="bullet"/>
      <w:lvlText w:val="•"/>
      <w:lvlJc w:val="left"/>
      <w:pPr>
        <w:ind w:left="8982" w:hanging="684"/>
      </w:pPr>
      <w:rPr>
        <w:rFonts w:hint="default"/>
      </w:rPr>
    </w:lvl>
    <w:lvl w:ilvl="8">
      <w:start w:val="1"/>
      <w:numFmt w:val="bullet"/>
      <w:lvlText w:val="•"/>
      <w:lvlJc w:val="left"/>
      <w:pPr>
        <w:ind w:left="9988" w:hanging="684"/>
      </w:pPr>
      <w:rPr>
        <w:rFonts w:hint="default"/>
      </w:rPr>
    </w:lvl>
  </w:abstractNum>
  <w:abstractNum w:abstractNumId="21">
    <w:multiLevelType w:val="hybridMultilevel"/>
    <w:lvl w:ilvl="0">
      <w:start w:val="361"/>
      <w:numFmt w:val="decimal"/>
      <w:lvlText w:val="%1"/>
      <w:lvlJc w:val="left"/>
      <w:pPr>
        <w:ind w:left="1937" w:hanging="684"/>
        <w:jc w:val="left"/>
      </w:pPr>
      <w:rPr>
        <w:rFonts w:hint="default" w:ascii="Cambria" w:hAnsi="Cambria" w:eastAsia="Cambria" w:cs="Cambria"/>
        <w:w w:val="103"/>
        <w:sz w:val="20"/>
        <w:szCs w:val="20"/>
      </w:rPr>
    </w:lvl>
    <w:lvl w:ilvl="1">
      <w:start w:val="1"/>
      <w:numFmt w:val="bullet"/>
      <w:lvlText w:val="•"/>
      <w:lvlJc w:val="left"/>
      <w:pPr>
        <w:ind w:left="2946" w:hanging="684"/>
      </w:pPr>
      <w:rPr>
        <w:rFonts w:hint="default"/>
      </w:rPr>
    </w:lvl>
    <w:lvl w:ilvl="2">
      <w:start w:val="1"/>
      <w:numFmt w:val="bullet"/>
      <w:lvlText w:val="•"/>
      <w:lvlJc w:val="left"/>
      <w:pPr>
        <w:ind w:left="3952" w:hanging="684"/>
      </w:pPr>
      <w:rPr>
        <w:rFonts w:hint="default"/>
      </w:rPr>
    </w:lvl>
    <w:lvl w:ilvl="3">
      <w:start w:val="1"/>
      <w:numFmt w:val="bullet"/>
      <w:lvlText w:val="•"/>
      <w:lvlJc w:val="left"/>
      <w:pPr>
        <w:ind w:left="4958" w:hanging="684"/>
      </w:pPr>
      <w:rPr>
        <w:rFonts w:hint="default"/>
      </w:rPr>
    </w:lvl>
    <w:lvl w:ilvl="4">
      <w:start w:val="1"/>
      <w:numFmt w:val="bullet"/>
      <w:lvlText w:val="•"/>
      <w:lvlJc w:val="left"/>
      <w:pPr>
        <w:ind w:left="5964" w:hanging="684"/>
      </w:pPr>
      <w:rPr>
        <w:rFonts w:hint="default"/>
      </w:rPr>
    </w:lvl>
    <w:lvl w:ilvl="5">
      <w:start w:val="1"/>
      <w:numFmt w:val="bullet"/>
      <w:lvlText w:val="•"/>
      <w:lvlJc w:val="left"/>
      <w:pPr>
        <w:ind w:left="6970" w:hanging="684"/>
      </w:pPr>
      <w:rPr>
        <w:rFonts w:hint="default"/>
      </w:rPr>
    </w:lvl>
    <w:lvl w:ilvl="6">
      <w:start w:val="1"/>
      <w:numFmt w:val="bullet"/>
      <w:lvlText w:val="•"/>
      <w:lvlJc w:val="left"/>
      <w:pPr>
        <w:ind w:left="7976" w:hanging="684"/>
      </w:pPr>
      <w:rPr>
        <w:rFonts w:hint="default"/>
      </w:rPr>
    </w:lvl>
    <w:lvl w:ilvl="7">
      <w:start w:val="1"/>
      <w:numFmt w:val="bullet"/>
      <w:lvlText w:val="•"/>
      <w:lvlJc w:val="left"/>
      <w:pPr>
        <w:ind w:left="8982" w:hanging="684"/>
      </w:pPr>
      <w:rPr>
        <w:rFonts w:hint="default"/>
      </w:rPr>
    </w:lvl>
    <w:lvl w:ilvl="8">
      <w:start w:val="1"/>
      <w:numFmt w:val="bullet"/>
      <w:lvlText w:val="•"/>
      <w:lvlJc w:val="left"/>
      <w:pPr>
        <w:ind w:left="9988" w:hanging="684"/>
      </w:pPr>
      <w:rPr>
        <w:rFonts w:hint="default"/>
      </w:rPr>
    </w:lvl>
  </w:abstractNum>
  <w:abstractNum w:abstractNumId="20">
    <w:multiLevelType w:val="hybridMultilevel"/>
    <w:lvl w:ilvl="0">
      <w:start w:val="357"/>
      <w:numFmt w:val="decimal"/>
      <w:lvlText w:val="%1"/>
      <w:lvlJc w:val="left"/>
      <w:pPr>
        <w:ind w:left="1937" w:hanging="684"/>
        <w:jc w:val="left"/>
      </w:pPr>
      <w:rPr>
        <w:rFonts w:hint="default" w:ascii="Cambria" w:hAnsi="Cambria" w:eastAsia="Cambria" w:cs="Cambria"/>
        <w:w w:val="103"/>
        <w:sz w:val="20"/>
        <w:szCs w:val="20"/>
      </w:rPr>
    </w:lvl>
    <w:lvl w:ilvl="1">
      <w:start w:val="1"/>
      <w:numFmt w:val="bullet"/>
      <w:lvlText w:val="•"/>
      <w:lvlJc w:val="left"/>
      <w:pPr>
        <w:ind w:left="2946" w:hanging="684"/>
      </w:pPr>
      <w:rPr>
        <w:rFonts w:hint="default"/>
      </w:rPr>
    </w:lvl>
    <w:lvl w:ilvl="2">
      <w:start w:val="1"/>
      <w:numFmt w:val="bullet"/>
      <w:lvlText w:val="•"/>
      <w:lvlJc w:val="left"/>
      <w:pPr>
        <w:ind w:left="3952" w:hanging="684"/>
      </w:pPr>
      <w:rPr>
        <w:rFonts w:hint="default"/>
      </w:rPr>
    </w:lvl>
    <w:lvl w:ilvl="3">
      <w:start w:val="1"/>
      <w:numFmt w:val="bullet"/>
      <w:lvlText w:val="•"/>
      <w:lvlJc w:val="left"/>
      <w:pPr>
        <w:ind w:left="4958" w:hanging="684"/>
      </w:pPr>
      <w:rPr>
        <w:rFonts w:hint="default"/>
      </w:rPr>
    </w:lvl>
    <w:lvl w:ilvl="4">
      <w:start w:val="1"/>
      <w:numFmt w:val="bullet"/>
      <w:lvlText w:val="•"/>
      <w:lvlJc w:val="left"/>
      <w:pPr>
        <w:ind w:left="5964" w:hanging="684"/>
      </w:pPr>
      <w:rPr>
        <w:rFonts w:hint="default"/>
      </w:rPr>
    </w:lvl>
    <w:lvl w:ilvl="5">
      <w:start w:val="1"/>
      <w:numFmt w:val="bullet"/>
      <w:lvlText w:val="•"/>
      <w:lvlJc w:val="left"/>
      <w:pPr>
        <w:ind w:left="6970" w:hanging="684"/>
      </w:pPr>
      <w:rPr>
        <w:rFonts w:hint="default"/>
      </w:rPr>
    </w:lvl>
    <w:lvl w:ilvl="6">
      <w:start w:val="1"/>
      <w:numFmt w:val="bullet"/>
      <w:lvlText w:val="•"/>
      <w:lvlJc w:val="left"/>
      <w:pPr>
        <w:ind w:left="7976" w:hanging="684"/>
      </w:pPr>
      <w:rPr>
        <w:rFonts w:hint="default"/>
      </w:rPr>
    </w:lvl>
    <w:lvl w:ilvl="7">
      <w:start w:val="1"/>
      <w:numFmt w:val="bullet"/>
      <w:lvlText w:val="•"/>
      <w:lvlJc w:val="left"/>
      <w:pPr>
        <w:ind w:left="8982" w:hanging="684"/>
      </w:pPr>
      <w:rPr>
        <w:rFonts w:hint="default"/>
      </w:rPr>
    </w:lvl>
    <w:lvl w:ilvl="8">
      <w:start w:val="1"/>
      <w:numFmt w:val="bullet"/>
      <w:lvlText w:val="•"/>
      <w:lvlJc w:val="left"/>
      <w:pPr>
        <w:ind w:left="9988" w:hanging="684"/>
      </w:pPr>
      <w:rPr>
        <w:rFonts w:hint="default"/>
      </w:rPr>
    </w:lvl>
  </w:abstractNum>
  <w:abstractNum w:abstractNumId="19">
    <w:multiLevelType w:val="hybridMultilevel"/>
    <w:lvl w:ilvl="0">
      <w:start w:val="354"/>
      <w:numFmt w:val="decimal"/>
      <w:lvlText w:val="%1"/>
      <w:lvlJc w:val="left"/>
      <w:pPr>
        <w:ind w:left="1937" w:hanging="684"/>
        <w:jc w:val="left"/>
      </w:pPr>
      <w:rPr>
        <w:rFonts w:hint="default" w:ascii="Cambria" w:hAnsi="Cambria" w:eastAsia="Cambria" w:cs="Cambria"/>
        <w:w w:val="103"/>
        <w:sz w:val="20"/>
        <w:szCs w:val="20"/>
      </w:rPr>
    </w:lvl>
    <w:lvl w:ilvl="1">
      <w:start w:val="1"/>
      <w:numFmt w:val="bullet"/>
      <w:lvlText w:val="•"/>
      <w:lvlJc w:val="left"/>
      <w:pPr>
        <w:ind w:left="2946" w:hanging="684"/>
      </w:pPr>
      <w:rPr>
        <w:rFonts w:hint="default"/>
      </w:rPr>
    </w:lvl>
    <w:lvl w:ilvl="2">
      <w:start w:val="1"/>
      <w:numFmt w:val="bullet"/>
      <w:lvlText w:val="•"/>
      <w:lvlJc w:val="left"/>
      <w:pPr>
        <w:ind w:left="3952" w:hanging="684"/>
      </w:pPr>
      <w:rPr>
        <w:rFonts w:hint="default"/>
      </w:rPr>
    </w:lvl>
    <w:lvl w:ilvl="3">
      <w:start w:val="1"/>
      <w:numFmt w:val="bullet"/>
      <w:lvlText w:val="•"/>
      <w:lvlJc w:val="left"/>
      <w:pPr>
        <w:ind w:left="4958" w:hanging="684"/>
      </w:pPr>
      <w:rPr>
        <w:rFonts w:hint="default"/>
      </w:rPr>
    </w:lvl>
    <w:lvl w:ilvl="4">
      <w:start w:val="1"/>
      <w:numFmt w:val="bullet"/>
      <w:lvlText w:val="•"/>
      <w:lvlJc w:val="left"/>
      <w:pPr>
        <w:ind w:left="5964" w:hanging="684"/>
      </w:pPr>
      <w:rPr>
        <w:rFonts w:hint="default"/>
      </w:rPr>
    </w:lvl>
    <w:lvl w:ilvl="5">
      <w:start w:val="1"/>
      <w:numFmt w:val="bullet"/>
      <w:lvlText w:val="•"/>
      <w:lvlJc w:val="left"/>
      <w:pPr>
        <w:ind w:left="6970" w:hanging="684"/>
      </w:pPr>
      <w:rPr>
        <w:rFonts w:hint="default"/>
      </w:rPr>
    </w:lvl>
    <w:lvl w:ilvl="6">
      <w:start w:val="1"/>
      <w:numFmt w:val="bullet"/>
      <w:lvlText w:val="•"/>
      <w:lvlJc w:val="left"/>
      <w:pPr>
        <w:ind w:left="7976" w:hanging="684"/>
      </w:pPr>
      <w:rPr>
        <w:rFonts w:hint="default"/>
      </w:rPr>
    </w:lvl>
    <w:lvl w:ilvl="7">
      <w:start w:val="1"/>
      <w:numFmt w:val="bullet"/>
      <w:lvlText w:val="•"/>
      <w:lvlJc w:val="left"/>
      <w:pPr>
        <w:ind w:left="8982" w:hanging="684"/>
      </w:pPr>
      <w:rPr>
        <w:rFonts w:hint="default"/>
      </w:rPr>
    </w:lvl>
    <w:lvl w:ilvl="8">
      <w:start w:val="1"/>
      <w:numFmt w:val="bullet"/>
      <w:lvlText w:val="•"/>
      <w:lvlJc w:val="left"/>
      <w:pPr>
        <w:ind w:left="9988" w:hanging="684"/>
      </w:pPr>
      <w:rPr>
        <w:rFonts w:hint="default"/>
      </w:rPr>
    </w:lvl>
  </w:abstractNum>
  <w:abstractNum w:abstractNumId="18">
    <w:multiLevelType w:val="hybridMultilevel"/>
    <w:lvl w:ilvl="0">
      <w:start w:val="346"/>
      <w:numFmt w:val="decimal"/>
      <w:lvlText w:val="%1"/>
      <w:lvlJc w:val="left"/>
      <w:pPr>
        <w:ind w:left="1937" w:hanging="684"/>
        <w:jc w:val="left"/>
      </w:pPr>
      <w:rPr>
        <w:rFonts w:hint="default" w:ascii="Cambria" w:hAnsi="Cambria" w:eastAsia="Cambria" w:cs="Cambria"/>
        <w:w w:val="103"/>
        <w:sz w:val="20"/>
        <w:szCs w:val="20"/>
      </w:rPr>
    </w:lvl>
    <w:lvl w:ilvl="1">
      <w:start w:val="1"/>
      <w:numFmt w:val="bullet"/>
      <w:lvlText w:val="•"/>
      <w:lvlJc w:val="left"/>
      <w:pPr>
        <w:ind w:left="2946" w:hanging="684"/>
      </w:pPr>
      <w:rPr>
        <w:rFonts w:hint="default"/>
      </w:rPr>
    </w:lvl>
    <w:lvl w:ilvl="2">
      <w:start w:val="1"/>
      <w:numFmt w:val="bullet"/>
      <w:lvlText w:val="•"/>
      <w:lvlJc w:val="left"/>
      <w:pPr>
        <w:ind w:left="3952" w:hanging="684"/>
      </w:pPr>
      <w:rPr>
        <w:rFonts w:hint="default"/>
      </w:rPr>
    </w:lvl>
    <w:lvl w:ilvl="3">
      <w:start w:val="1"/>
      <w:numFmt w:val="bullet"/>
      <w:lvlText w:val="•"/>
      <w:lvlJc w:val="left"/>
      <w:pPr>
        <w:ind w:left="4958" w:hanging="684"/>
      </w:pPr>
      <w:rPr>
        <w:rFonts w:hint="default"/>
      </w:rPr>
    </w:lvl>
    <w:lvl w:ilvl="4">
      <w:start w:val="1"/>
      <w:numFmt w:val="bullet"/>
      <w:lvlText w:val="•"/>
      <w:lvlJc w:val="left"/>
      <w:pPr>
        <w:ind w:left="5964" w:hanging="684"/>
      </w:pPr>
      <w:rPr>
        <w:rFonts w:hint="default"/>
      </w:rPr>
    </w:lvl>
    <w:lvl w:ilvl="5">
      <w:start w:val="1"/>
      <w:numFmt w:val="bullet"/>
      <w:lvlText w:val="•"/>
      <w:lvlJc w:val="left"/>
      <w:pPr>
        <w:ind w:left="6970" w:hanging="684"/>
      </w:pPr>
      <w:rPr>
        <w:rFonts w:hint="default"/>
      </w:rPr>
    </w:lvl>
    <w:lvl w:ilvl="6">
      <w:start w:val="1"/>
      <w:numFmt w:val="bullet"/>
      <w:lvlText w:val="•"/>
      <w:lvlJc w:val="left"/>
      <w:pPr>
        <w:ind w:left="7976" w:hanging="684"/>
      </w:pPr>
      <w:rPr>
        <w:rFonts w:hint="default"/>
      </w:rPr>
    </w:lvl>
    <w:lvl w:ilvl="7">
      <w:start w:val="1"/>
      <w:numFmt w:val="bullet"/>
      <w:lvlText w:val="•"/>
      <w:lvlJc w:val="left"/>
      <w:pPr>
        <w:ind w:left="8982" w:hanging="684"/>
      </w:pPr>
      <w:rPr>
        <w:rFonts w:hint="default"/>
      </w:rPr>
    </w:lvl>
    <w:lvl w:ilvl="8">
      <w:start w:val="1"/>
      <w:numFmt w:val="bullet"/>
      <w:lvlText w:val="•"/>
      <w:lvlJc w:val="left"/>
      <w:pPr>
        <w:ind w:left="9988" w:hanging="684"/>
      </w:pPr>
      <w:rPr>
        <w:rFonts w:hint="default"/>
      </w:rPr>
    </w:lvl>
  </w:abstractNum>
  <w:abstractNum w:abstractNumId="17">
    <w:multiLevelType w:val="hybridMultilevel"/>
    <w:lvl w:ilvl="0">
      <w:start w:val="339"/>
      <w:numFmt w:val="decimal"/>
      <w:lvlText w:val="%1"/>
      <w:lvlJc w:val="left"/>
      <w:pPr>
        <w:ind w:left="1937" w:hanging="684"/>
        <w:jc w:val="left"/>
      </w:pPr>
      <w:rPr>
        <w:rFonts w:hint="default" w:ascii="Cambria" w:hAnsi="Cambria" w:eastAsia="Cambria" w:cs="Cambria"/>
        <w:w w:val="103"/>
        <w:sz w:val="20"/>
        <w:szCs w:val="20"/>
      </w:rPr>
    </w:lvl>
    <w:lvl w:ilvl="1">
      <w:start w:val="1"/>
      <w:numFmt w:val="bullet"/>
      <w:lvlText w:val="•"/>
      <w:lvlJc w:val="left"/>
      <w:pPr>
        <w:ind w:left="2800" w:hanging="684"/>
      </w:pPr>
      <w:rPr>
        <w:rFonts w:hint="default"/>
      </w:rPr>
    </w:lvl>
    <w:lvl w:ilvl="2">
      <w:start w:val="1"/>
      <w:numFmt w:val="bullet"/>
      <w:lvlText w:val="•"/>
      <w:lvlJc w:val="left"/>
      <w:pPr>
        <w:ind w:left="3660" w:hanging="684"/>
      </w:pPr>
      <w:rPr>
        <w:rFonts w:hint="default"/>
      </w:rPr>
    </w:lvl>
    <w:lvl w:ilvl="3">
      <w:start w:val="1"/>
      <w:numFmt w:val="bullet"/>
      <w:lvlText w:val="•"/>
      <w:lvlJc w:val="left"/>
      <w:pPr>
        <w:ind w:left="4520" w:hanging="684"/>
      </w:pPr>
      <w:rPr>
        <w:rFonts w:hint="default"/>
      </w:rPr>
    </w:lvl>
    <w:lvl w:ilvl="4">
      <w:start w:val="1"/>
      <w:numFmt w:val="bullet"/>
      <w:lvlText w:val="•"/>
      <w:lvlJc w:val="left"/>
      <w:pPr>
        <w:ind w:left="5380" w:hanging="684"/>
      </w:pPr>
      <w:rPr>
        <w:rFonts w:hint="default"/>
      </w:rPr>
    </w:lvl>
    <w:lvl w:ilvl="5">
      <w:start w:val="1"/>
      <w:numFmt w:val="bullet"/>
      <w:lvlText w:val="•"/>
      <w:lvlJc w:val="left"/>
      <w:pPr>
        <w:ind w:left="6240" w:hanging="684"/>
      </w:pPr>
      <w:rPr>
        <w:rFonts w:hint="default"/>
      </w:rPr>
    </w:lvl>
    <w:lvl w:ilvl="6">
      <w:start w:val="1"/>
      <w:numFmt w:val="bullet"/>
      <w:lvlText w:val="•"/>
      <w:lvlJc w:val="left"/>
      <w:pPr>
        <w:ind w:left="7100" w:hanging="684"/>
      </w:pPr>
      <w:rPr>
        <w:rFonts w:hint="default"/>
      </w:rPr>
    </w:lvl>
    <w:lvl w:ilvl="7">
      <w:start w:val="1"/>
      <w:numFmt w:val="bullet"/>
      <w:lvlText w:val="•"/>
      <w:lvlJc w:val="left"/>
      <w:pPr>
        <w:ind w:left="7960" w:hanging="684"/>
      </w:pPr>
      <w:rPr>
        <w:rFonts w:hint="default"/>
      </w:rPr>
    </w:lvl>
    <w:lvl w:ilvl="8">
      <w:start w:val="1"/>
      <w:numFmt w:val="bullet"/>
      <w:lvlText w:val="•"/>
      <w:lvlJc w:val="left"/>
      <w:pPr>
        <w:ind w:left="8820" w:hanging="684"/>
      </w:pPr>
      <w:rPr>
        <w:rFonts w:hint="default"/>
      </w:rPr>
    </w:lvl>
  </w:abstractNum>
  <w:abstractNum w:abstractNumId="16">
    <w:multiLevelType w:val="hybridMultilevel"/>
    <w:lvl w:ilvl="0">
      <w:start w:val="336"/>
      <w:numFmt w:val="decimal"/>
      <w:lvlText w:val="%1"/>
      <w:lvlJc w:val="left"/>
      <w:pPr>
        <w:ind w:left="1937" w:hanging="684"/>
        <w:jc w:val="left"/>
      </w:pPr>
      <w:rPr>
        <w:rFonts w:hint="default" w:ascii="Cambria" w:hAnsi="Cambria" w:eastAsia="Cambria" w:cs="Cambria"/>
        <w:w w:val="103"/>
        <w:sz w:val="20"/>
        <w:szCs w:val="20"/>
      </w:rPr>
    </w:lvl>
    <w:lvl w:ilvl="1">
      <w:start w:val="1"/>
      <w:numFmt w:val="bullet"/>
      <w:lvlText w:val="•"/>
      <w:lvlJc w:val="left"/>
      <w:pPr>
        <w:ind w:left="2800" w:hanging="684"/>
      </w:pPr>
      <w:rPr>
        <w:rFonts w:hint="default"/>
      </w:rPr>
    </w:lvl>
    <w:lvl w:ilvl="2">
      <w:start w:val="1"/>
      <w:numFmt w:val="bullet"/>
      <w:lvlText w:val="•"/>
      <w:lvlJc w:val="left"/>
      <w:pPr>
        <w:ind w:left="3660" w:hanging="684"/>
      </w:pPr>
      <w:rPr>
        <w:rFonts w:hint="default"/>
      </w:rPr>
    </w:lvl>
    <w:lvl w:ilvl="3">
      <w:start w:val="1"/>
      <w:numFmt w:val="bullet"/>
      <w:lvlText w:val="•"/>
      <w:lvlJc w:val="left"/>
      <w:pPr>
        <w:ind w:left="4520" w:hanging="684"/>
      </w:pPr>
      <w:rPr>
        <w:rFonts w:hint="default"/>
      </w:rPr>
    </w:lvl>
    <w:lvl w:ilvl="4">
      <w:start w:val="1"/>
      <w:numFmt w:val="bullet"/>
      <w:lvlText w:val="•"/>
      <w:lvlJc w:val="left"/>
      <w:pPr>
        <w:ind w:left="5380" w:hanging="684"/>
      </w:pPr>
      <w:rPr>
        <w:rFonts w:hint="default"/>
      </w:rPr>
    </w:lvl>
    <w:lvl w:ilvl="5">
      <w:start w:val="1"/>
      <w:numFmt w:val="bullet"/>
      <w:lvlText w:val="•"/>
      <w:lvlJc w:val="left"/>
      <w:pPr>
        <w:ind w:left="6240" w:hanging="684"/>
      </w:pPr>
      <w:rPr>
        <w:rFonts w:hint="default"/>
      </w:rPr>
    </w:lvl>
    <w:lvl w:ilvl="6">
      <w:start w:val="1"/>
      <w:numFmt w:val="bullet"/>
      <w:lvlText w:val="•"/>
      <w:lvlJc w:val="left"/>
      <w:pPr>
        <w:ind w:left="7100" w:hanging="684"/>
      </w:pPr>
      <w:rPr>
        <w:rFonts w:hint="default"/>
      </w:rPr>
    </w:lvl>
    <w:lvl w:ilvl="7">
      <w:start w:val="1"/>
      <w:numFmt w:val="bullet"/>
      <w:lvlText w:val="•"/>
      <w:lvlJc w:val="left"/>
      <w:pPr>
        <w:ind w:left="7960" w:hanging="684"/>
      </w:pPr>
      <w:rPr>
        <w:rFonts w:hint="default"/>
      </w:rPr>
    </w:lvl>
    <w:lvl w:ilvl="8">
      <w:start w:val="1"/>
      <w:numFmt w:val="bullet"/>
      <w:lvlText w:val="•"/>
      <w:lvlJc w:val="left"/>
      <w:pPr>
        <w:ind w:left="8820" w:hanging="684"/>
      </w:pPr>
      <w:rPr>
        <w:rFonts w:hint="default"/>
      </w:rPr>
    </w:lvl>
  </w:abstractNum>
  <w:abstractNum w:abstractNumId="15">
    <w:multiLevelType w:val="hybridMultilevel"/>
    <w:lvl w:ilvl="0">
      <w:start w:val="333"/>
      <w:numFmt w:val="decimal"/>
      <w:lvlText w:val="%1"/>
      <w:lvlJc w:val="left"/>
      <w:pPr>
        <w:ind w:left="1937" w:hanging="684"/>
        <w:jc w:val="left"/>
      </w:pPr>
      <w:rPr>
        <w:rFonts w:hint="default" w:ascii="Cambria" w:hAnsi="Cambria" w:eastAsia="Cambria" w:cs="Cambria"/>
        <w:w w:val="103"/>
        <w:sz w:val="20"/>
        <w:szCs w:val="20"/>
      </w:rPr>
    </w:lvl>
    <w:lvl w:ilvl="1">
      <w:start w:val="1"/>
      <w:numFmt w:val="bullet"/>
      <w:lvlText w:val="•"/>
      <w:lvlJc w:val="left"/>
      <w:pPr>
        <w:ind w:left="2800" w:hanging="684"/>
      </w:pPr>
      <w:rPr>
        <w:rFonts w:hint="default"/>
      </w:rPr>
    </w:lvl>
    <w:lvl w:ilvl="2">
      <w:start w:val="1"/>
      <w:numFmt w:val="bullet"/>
      <w:lvlText w:val="•"/>
      <w:lvlJc w:val="left"/>
      <w:pPr>
        <w:ind w:left="3660" w:hanging="684"/>
      </w:pPr>
      <w:rPr>
        <w:rFonts w:hint="default"/>
      </w:rPr>
    </w:lvl>
    <w:lvl w:ilvl="3">
      <w:start w:val="1"/>
      <w:numFmt w:val="bullet"/>
      <w:lvlText w:val="•"/>
      <w:lvlJc w:val="left"/>
      <w:pPr>
        <w:ind w:left="4520" w:hanging="684"/>
      </w:pPr>
      <w:rPr>
        <w:rFonts w:hint="default"/>
      </w:rPr>
    </w:lvl>
    <w:lvl w:ilvl="4">
      <w:start w:val="1"/>
      <w:numFmt w:val="bullet"/>
      <w:lvlText w:val="•"/>
      <w:lvlJc w:val="left"/>
      <w:pPr>
        <w:ind w:left="5380" w:hanging="684"/>
      </w:pPr>
      <w:rPr>
        <w:rFonts w:hint="default"/>
      </w:rPr>
    </w:lvl>
    <w:lvl w:ilvl="5">
      <w:start w:val="1"/>
      <w:numFmt w:val="bullet"/>
      <w:lvlText w:val="•"/>
      <w:lvlJc w:val="left"/>
      <w:pPr>
        <w:ind w:left="6240" w:hanging="684"/>
      </w:pPr>
      <w:rPr>
        <w:rFonts w:hint="default"/>
      </w:rPr>
    </w:lvl>
    <w:lvl w:ilvl="6">
      <w:start w:val="1"/>
      <w:numFmt w:val="bullet"/>
      <w:lvlText w:val="•"/>
      <w:lvlJc w:val="left"/>
      <w:pPr>
        <w:ind w:left="7100" w:hanging="684"/>
      </w:pPr>
      <w:rPr>
        <w:rFonts w:hint="default"/>
      </w:rPr>
    </w:lvl>
    <w:lvl w:ilvl="7">
      <w:start w:val="1"/>
      <w:numFmt w:val="bullet"/>
      <w:lvlText w:val="•"/>
      <w:lvlJc w:val="left"/>
      <w:pPr>
        <w:ind w:left="7960" w:hanging="684"/>
      </w:pPr>
      <w:rPr>
        <w:rFonts w:hint="default"/>
      </w:rPr>
    </w:lvl>
    <w:lvl w:ilvl="8">
      <w:start w:val="1"/>
      <w:numFmt w:val="bullet"/>
      <w:lvlText w:val="•"/>
      <w:lvlJc w:val="left"/>
      <w:pPr>
        <w:ind w:left="8820" w:hanging="684"/>
      </w:pPr>
      <w:rPr>
        <w:rFonts w:hint="default"/>
      </w:rPr>
    </w:lvl>
  </w:abstractNum>
  <w:abstractNum w:abstractNumId="14">
    <w:multiLevelType w:val="hybridMultilevel"/>
    <w:lvl w:ilvl="0">
      <w:start w:val="330"/>
      <w:numFmt w:val="decimal"/>
      <w:lvlText w:val="%1"/>
      <w:lvlJc w:val="left"/>
      <w:pPr>
        <w:ind w:left="1937" w:hanging="684"/>
        <w:jc w:val="left"/>
      </w:pPr>
      <w:rPr>
        <w:rFonts w:hint="default" w:ascii="Cambria" w:hAnsi="Cambria" w:eastAsia="Cambria" w:cs="Cambria"/>
        <w:w w:val="103"/>
        <w:sz w:val="20"/>
        <w:szCs w:val="20"/>
      </w:rPr>
    </w:lvl>
    <w:lvl w:ilvl="1">
      <w:start w:val="1"/>
      <w:numFmt w:val="bullet"/>
      <w:lvlText w:val="•"/>
      <w:lvlJc w:val="left"/>
      <w:pPr>
        <w:ind w:left="2800" w:hanging="684"/>
      </w:pPr>
      <w:rPr>
        <w:rFonts w:hint="default"/>
      </w:rPr>
    </w:lvl>
    <w:lvl w:ilvl="2">
      <w:start w:val="1"/>
      <w:numFmt w:val="bullet"/>
      <w:lvlText w:val="•"/>
      <w:lvlJc w:val="left"/>
      <w:pPr>
        <w:ind w:left="3660" w:hanging="684"/>
      </w:pPr>
      <w:rPr>
        <w:rFonts w:hint="default"/>
      </w:rPr>
    </w:lvl>
    <w:lvl w:ilvl="3">
      <w:start w:val="1"/>
      <w:numFmt w:val="bullet"/>
      <w:lvlText w:val="•"/>
      <w:lvlJc w:val="left"/>
      <w:pPr>
        <w:ind w:left="4520" w:hanging="684"/>
      </w:pPr>
      <w:rPr>
        <w:rFonts w:hint="default"/>
      </w:rPr>
    </w:lvl>
    <w:lvl w:ilvl="4">
      <w:start w:val="1"/>
      <w:numFmt w:val="bullet"/>
      <w:lvlText w:val="•"/>
      <w:lvlJc w:val="left"/>
      <w:pPr>
        <w:ind w:left="5380" w:hanging="684"/>
      </w:pPr>
      <w:rPr>
        <w:rFonts w:hint="default"/>
      </w:rPr>
    </w:lvl>
    <w:lvl w:ilvl="5">
      <w:start w:val="1"/>
      <w:numFmt w:val="bullet"/>
      <w:lvlText w:val="•"/>
      <w:lvlJc w:val="left"/>
      <w:pPr>
        <w:ind w:left="6240" w:hanging="684"/>
      </w:pPr>
      <w:rPr>
        <w:rFonts w:hint="default"/>
      </w:rPr>
    </w:lvl>
    <w:lvl w:ilvl="6">
      <w:start w:val="1"/>
      <w:numFmt w:val="bullet"/>
      <w:lvlText w:val="•"/>
      <w:lvlJc w:val="left"/>
      <w:pPr>
        <w:ind w:left="7100" w:hanging="684"/>
      </w:pPr>
      <w:rPr>
        <w:rFonts w:hint="default"/>
      </w:rPr>
    </w:lvl>
    <w:lvl w:ilvl="7">
      <w:start w:val="1"/>
      <w:numFmt w:val="bullet"/>
      <w:lvlText w:val="•"/>
      <w:lvlJc w:val="left"/>
      <w:pPr>
        <w:ind w:left="7960" w:hanging="684"/>
      </w:pPr>
      <w:rPr>
        <w:rFonts w:hint="default"/>
      </w:rPr>
    </w:lvl>
    <w:lvl w:ilvl="8">
      <w:start w:val="1"/>
      <w:numFmt w:val="bullet"/>
      <w:lvlText w:val="•"/>
      <w:lvlJc w:val="left"/>
      <w:pPr>
        <w:ind w:left="8820" w:hanging="684"/>
      </w:pPr>
      <w:rPr>
        <w:rFonts w:hint="default"/>
      </w:rPr>
    </w:lvl>
  </w:abstractNum>
  <w:abstractNum w:abstractNumId="13">
    <w:multiLevelType w:val="hybridMultilevel"/>
    <w:lvl w:ilvl="0">
      <w:start w:val="322"/>
      <w:numFmt w:val="decimal"/>
      <w:lvlText w:val="%1"/>
      <w:lvlJc w:val="left"/>
      <w:pPr>
        <w:ind w:left="1937" w:hanging="684"/>
        <w:jc w:val="left"/>
      </w:pPr>
      <w:rPr>
        <w:rFonts w:hint="default" w:ascii="Cambria" w:hAnsi="Cambria" w:eastAsia="Cambria" w:cs="Cambria"/>
        <w:w w:val="103"/>
        <w:sz w:val="20"/>
        <w:szCs w:val="20"/>
      </w:rPr>
    </w:lvl>
    <w:lvl w:ilvl="1">
      <w:start w:val="1"/>
      <w:numFmt w:val="bullet"/>
      <w:lvlText w:val="•"/>
      <w:lvlJc w:val="left"/>
      <w:pPr>
        <w:ind w:left="2800" w:hanging="684"/>
      </w:pPr>
      <w:rPr>
        <w:rFonts w:hint="default"/>
      </w:rPr>
    </w:lvl>
    <w:lvl w:ilvl="2">
      <w:start w:val="1"/>
      <w:numFmt w:val="bullet"/>
      <w:lvlText w:val="•"/>
      <w:lvlJc w:val="left"/>
      <w:pPr>
        <w:ind w:left="3660" w:hanging="684"/>
      </w:pPr>
      <w:rPr>
        <w:rFonts w:hint="default"/>
      </w:rPr>
    </w:lvl>
    <w:lvl w:ilvl="3">
      <w:start w:val="1"/>
      <w:numFmt w:val="bullet"/>
      <w:lvlText w:val="•"/>
      <w:lvlJc w:val="left"/>
      <w:pPr>
        <w:ind w:left="4520" w:hanging="684"/>
      </w:pPr>
      <w:rPr>
        <w:rFonts w:hint="default"/>
      </w:rPr>
    </w:lvl>
    <w:lvl w:ilvl="4">
      <w:start w:val="1"/>
      <w:numFmt w:val="bullet"/>
      <w:lvlText w:val="•"/>
      <w:lvlJc w:val="left"/>
      <w:pPr>
        <w:ind w:left="5380" w:hanging="684"/>
      </w:pPr>
      <w:rPr>
        <w:rFonts w:hint="default"/>
      </w:rPr>
    </w:lvl>
    <w:lvl w:ilvl="5">
      <w:start w:val="1"/>
      <w:numFmt w:val="bullet"/>
      <w:lvlText w:val="•"/>
      <w:lvlJc w:val="left"/>
      <w:pPr>
        <w:ind w:left="6240" w:hanging="684"/>
      </w:pPr>
      <w:rPr>
        <w:rFonts w:hint="default"/>
      </w:rPr>
    </w:lvl>
    <w:lvl w:ilvl="6">
      <w:start w:val="1"/>
      <w:numFmt w:val="bullet"/>
      <w:lvlText w:val="•"/>
      <w:lvlJc w:val="left"/>
      <w:pPr>
        <w:ind w:left="7100" w:hanging="684"/>
      </w:pPr>
      <w:rPr>
        <w:rFonts w:hint="default"/>
      </w:rPr>
    </w:lvl>
    <w:lvl w:ilvl="7">
      <w:start w:val="1"/>
      <w:numFmt w:val="bullet"/>
      <w:lvlText w:val="•"/>
      <w:lvlJc w:val="left"/>
      <w:pPr>
        <w:ind w:left="7960" w:hanging="684"/>
      </w:pPr>
      <w:rPr>
        <w:rFonts w:hint="default"/>
      </w:rPr>
    </w:lvl>
    <w:lvl w:ilvl="8">
      <w:start w:val="1"/>
      <w:numFmt w:val="bullet"/>
      <w:lvlText w:val="•"/>
      <w:lvlJc w:val="left"/>
      <w:pPr>
        <w:ind w:left="8820" w:hanging="684"/>
      </w:pPr>
      <w:rPr>
        <w:rFonts w:hint="default"/>
      </w:rPr>
    </w:lvl>
  </w:abstractNum>
  <w:abstractNum w:abstractNumId="12">
    <w:multiLevelType w:val="hybridMultilevel"/>
    <w:lvl w:ilvl="0">
      <w:start w:val="317"/>
      <w:numFmt w:val="decimal"/>
      <w:lvlText w:val="%1"/>
      <w:lvlJc w:val="left"/>
      <w:pPr>
        <w:ind w:left="1937" w:hanging="684"/>
        <w:jc w:val="left"/>
      </w:pPr>
      <w:rPr>
        <w:rFonts w:hint="default" w:ascii="Cambria" w:hAnsi="Cambria" w:eastAsia="Cambria" w:cs="Cambria"/>
        <w:w w:val="103"/>
        <w:sz w:val="20"/>
        <w:szCs w:val="20"/>
      </w:rPr>
    </w:lvl>
    <w:lvl w:ilvl="1">
      <w:start w:val="1"/>
      <w:numFmt w:val="bullet"/>
      <w:lvlText w:val="•"/>
      <w:lvlJc w:val="left"/>
      <w:pPr>
        <w:ind w:left="2800" w:hanging="684"/>
      </w:pPr>
      <w:rPr>
        <w:rFonts w:hint="default"/>
      </w:rPr>
    </w:lvl>
    <w:lvl w:ilvl="2">
      <w:start w:val="1"/>
      <w:numFmt w:val="bullet"/>
      <w:lvlText w:val="•"/>
      <w:lvlJc w:val="left"/>
      <w:pPr>
        <w:ind w:left="3660" w:hanging="684"/>
      </w:pPr>
      <w:rPr>
        <w:rFonts w:hint="default"/>
      </w:rPr>
    </w:lvl>
    <w:lvl w:ilvl="3">
      <w:start w:val="1"/>
      <w:numFmt w:val="bullet"/>
      <w:lvlText w:val="•"/>
      <w:lvlJc w:val="left"/>
      <w:pPr>
        <w:ind w:left="4520" w:hanging="684"/>
      </w:pPr>
      <w:rPr>
        <w:rFonts w:hint="default"/>
      </w:rPr>
    </w:lvl>
    <w:lvl w:ilvl="4">
      <w:start w:val="1"/>
      <w:numFmt w:val="bullet"/>
      <w:lvlText w:val="•"/>
      <w:lvlJc w:val="left"/>
      <w:pPr>
        <w:ind w:left="5380" w:hanging="684"/>
      </w:pPr>
      <w:rPr>
        <w:rFonts w:hint="default"/>
      </w:rPr>
    </w:lvl>
    <w:lvl w:ilvl="5">
      <w:start w:val="1"/>
      <w:numFmt w:val="bullet"/>
      <w:lvlText w:val="•"/>
      <w:lvlJc w:val="left"/>
      <w:pPr>
        <w:ind w:left="6240" w:hanging="684"/>
      </w:pPr>
      <w:rPr>
        <w:rFonts w:hint="default"/>
      </w:rPr>
    </w:lvl>
    <w:lvl w:ilvl="6">
      <w:start w:val="1"/>
      <w:numFmt w:val="bullet"/>
      <w:lvlText w:val="•"/>
      <w:lvlJc w:val="left"/>
      <w:pPr>
        <w:ind w:left="7100" w:hanging="684"/>
      </w:pPr>
      <w:rPr>
        <w:rFonts w:hint="default"/>
      </w:rPr>
    </w:lvl>
    <w:lvl w:ilvl="7">
      <w:start w:val="1"/>
      <w:numFmt w:val="bullet"/>
      <w:lvlText w:val="•"/>
      <w:lvlJc w:val="left"/>
      <w:pPr>
        <w:ind w:left="7960" w:hanging="684"/>
      </w:pPr>
      <w:rPr>
        <w:rFonts w:hint="default"/>
      </w:rPr>
    </w:lvl>
    <w:lvl w:ilvl="8">
      <w:start w:val="1"/>
      <w:numFmt w:val="bullet"/>
      <w:lvlText w:val="•"/>
      <w:lvlJc w:val="left"/>
      <w:pPr>
        <w:ind w:left="8820" w:hanging="684"/>
      </w:pPr>
      <w:rPr>
        <w:rFonts w:hint="default"/>
      </w:rPr>
    </w:lvl>
  </w:abstractNum>
  <w:abstractNum w:abstractNumId="11">
    <w:multiLevelType w:val="hybridMultilevel"/>
    <w:lvl w:ilvl="0">
      <w:start w:val="314"/>
      <w:numFmt w:val="decimal"/>
      <w:lvlText w:val="%1"/>
      <w:lvlJc w:val="left"/>
      <w:pPr>
        <w:ind w:left="1937" w:hanging="684"/>
        <w:jc w:val="left"/>
      </w:pPr>
      <w:rPr>
        <w:rFonts w:hint="default" w:ascii="Cambria" w:hAnsi="Cambria" w:eastAsia="Cambria" w:cs="Cambria"/>
        <w:w w:val="103"/>
        <w:sz w:val="20"/>
        <w:szCs w:val="20"/>
      </w:rPr>
    </w:lvl>
    <w:lvl w:ilvl="1">
      <w:start w:val="1"/>
      <w:numFmt w:val="bullet"/>
      <w:lvlText w:val="•"/>
      <w:lvlJc w:val="left"/>
      <w:pPr>
        <w:ind w:left="2800" w:hanging="684"/>
      </w:pPr>
      <w:rPr>
        <w:rFonts w:hint="default"/>
      </w:rPr>
    </w:lvl>
    <w:lvl w:ilvl="2">
      <w:start w:val="1"/>
      <w:numFmt w:val="bullet"/>
      <w:lvlText w:val="•"/>
      <w:lvlJc w:val="left"/>
      <w:pPr>
        <w:ind w:left="3660" w:hanging="684"/>
      </w:pPr>
      <w:rPr>
        <w:rFonts w:hint="default"/>
      </w:rPr>
    </w:lvl>
    <w:lvl w:ilvl="3">
      <w:start w:val="1"/>
      <w:numFmt w:val="bullet"/>
      <w:lvlText w:val="•"/>
      <w:lvlJc w:val="left"/>
      <w:pPr>
        <w:ind w:left="4520" w:hanging="684"/>
      </w:pPr>
      <w:rPr>
        <w:rFonts w:hint="default"/>
      </w:rPr>
    </w:lvl>
    <w:lvl w:ilvl="4">
      <w:start w:val="1"/>
      <w:numFmt w:val="bullet"/>
      <w:lvlText w:val="•"/>
      <w:lvlJc w:val="left"/>
      <w:pPr>
        <w:ind w:left="5380" w:hanging="684"/>
      </w:pPr>
      <w:rPr>
        <w:rFonts w:hint="default"/>
      </w:rPr>
    </w:lvl>
    <w:lvl w:ilvl="5">
      <w:start w:val="1"/>
      <w:numFmt w:val="bullet"/>
      <w:lvlText w:val="•"/>
      <w:lvlJc w:val="left"/>
      <w:pPr>
        <w:ind w:left="6240" w:hanging="684"/>
      </w:pPr>
      <w:rPr>
        <w:rFonts w:hint="default"/>
      </w:rPr>
    </w:lvl>
    <w:lvl w:ilvl="6">
      <w:start w:val="1"/>
      <w:numFmt w:val="bullet"/>
      <w:lvlText w:val="•"/>
      <w:lvlJc w:val="left"/>
      <w:pPr>
        <w:ind w:left="7100" w:hanging="684"/>
      </w:pPr>
      <w:rPr>
        <w:rFonts w:hint="default"/>
      </w:rPr>
    </w:lvl>
    <w:lvl w:ilvl="7">
      <w:start w:val="1"/>
      <w:numFmt w:val="bullet"/>
      <w:lvlText w:val="•"/>
      <w:lvlJc w:val="left"/>
      <w:pPr>
        <w:ind w:left="7960" w:hanging="684"/>
      </w:pPr>
      <w:rPr>
        <w:rFonts w:hint="default"/>
      </w:rPr>
    </w:lvl>
    <w:lvl w:ilvl="8">
      <w:start w:val="1"/>
      <w:numFmt w:val="bullet"/>
      <w:lvlText w:val="•"/>
      <w:lvlJc w:val="left"/>
      <w:pPr>
        <w:ind w:left="8820" w:hanging="684"/>
      </w:pPr>
      <w:rPr>
        <w:rFonts w:hint="default"/>
      </w:rPr>
    </w:lvl>
  </w:abstractNum>
  <w:abstractNum w:abstractNumId="10">
    <w:multiLevelType w:val="hybridMultilevel"/>
    <w:lvl w:ilvl="0">
      <w:start w:val="134"/>
      <w:numFmt w:val="decimal"/>
      <w:lvlText w:val="%1"/>
      <w:lvlJc w:val="left"/>
      <w:pPr>
        <w:ind w:left="1937" w:hanging="684"/>
        <w:jc w:val="left"/>
      </w:pPr>
      <w:rPr>
        <w:rFonts w:hint="default" w:ascii="Cambria" w:hAnsi="Cambria" w:eastAsia="Cambria" w:cs="Cambria"/>
        <w:w w:val="103"/>
        <w:sz w:val="20"/>
        <w:szCs w:val="20"/>
      </w:rPr>
    </w:lvl>
    <w:lvl w:ilvl="1">
      <w:start w:val="1"/>
      <w:numFmt w:val="bullet"/>
      <w:lvlText w:val="•"/>
      <w:lvlJc w:val="left"/>
      <w:pPr>
        <w:ind w:left="2800" w:hanging="684"/>
      </w:pPr>
      <w:rPr>
        <w:rFonts w:hint="default"/>
      </w:rPr>
    </w:lvl>
    <w:lvl w:ilvl="2">
      <w:start w:val="1"/>
      <w:numFmt w:val="bullet"/>
      <w:lvlText w:val="•"/>
      <w:lvlJc w:val="left"/>
      <w:pPr>
        <w:ind w:left="3660" w:hanging="684"/>
      </w:pPr>
      <w:rPr>
        <w:rFonts w:hint="default"/>
      </w:rPr>
    </w:lvl>
    <w:lvl w:ilvl="3">
      <w:start w:val="1"/>
      <w:numFmt w:val="bullet"/>
      <w:lvlText w:val="•"/>
      <w:lvlJc w:val="left"/>
      <w:pPr>
        <w:ind w:left="4520" w:hanging="684"/>
      </w:pPr>
      <w:rPr>
        <w:rFonts w:hint="default"/>
      </w:rPr>
    </w:lvl>
    <w:lvl w:ilvl="4">
      <w:start w:val="1"/>
      <w:numFmt w:val="bullet"/>
      <w:lvlText w:val="•"/>
      <w:lvlJc w:val="left"/>
      <w:pPr>
        <w:ind w:left="5380" w:hanging="684"/>
      </w:pPr>
      <w:rPr>
        <w:rFonts w:hint="default"/>
      </w:rPr>
    </w:lvl>
    <w:lvl w:ilvl="5">
      <w:start w:val="1"/>
      <w:numFmt w:val="bullet"/>
      <w:lvlText w:val="•"/>
      <w:lvlJc w:val="left"/>
      <w:pPr>
        <w:ind w:left="6240" w:hanging="684"/>
      </w:pPr>
      <w:rPr>
        <w:rFonts w:hint="default"/>
      </w:rPr>
    </w:lvl>
    <w:lvl w:ilvl="6">
      <w:start w:val="1"/>
      <w:numFmt w:val="bullet"/>
      <w:lvlText w:val="•"/>
      <w:lvlJc w:val="left"/>
      <w:pPr>
        <w:ind w:left="7100" w:hanging="684"/>
      </w:pPr>
      <w:rPr>
        <w:rFonts w:hint="default"/>
      </w:rPr>
    </w:lvl>
    <w:lvl w:ilvl="7">
      <w:start w:val="1"/>
      <w:numFmt w:val="bullet"/>
      <w:lvlText w:val="•"/>
      <w:lvlJc w:val="left"/>
      <w:pPr>
        <w:ind w:left="7960" w:hanging="684"/>
      </w:pPr>
      <w:rPr>
        <w:rFonts w:hint="default"/>
      </w:rPr>
    </w:lvl>
    <w:lvl w:ilvl="8">
      <w:start w:val="1"/>
      <w:numFmt w:val="bullet"/>
      <w:lvlText w:val="•"/>
      <w:lvlJc w:val="left"/>
      <w:pPr>
        <w:ind w:left="8820" w:hanging="684"/>
      </w:pPr>
      <w:rPr>
        <w:rFonts w:hint="default"/>
      </w:rPr>
    </w:lvl>
  </w:abstractNum>
  <w:abstractNum w:abstractNumId="9">
    <w:multiLevelType w:val="hybridMultilevel"/>
    <w:lvl w:ilvl="0">
      <w:start w:val="92"/>
      <w:numFmt w:val="decimal"/>
      <w:lvlText w:val="%1"/>
      <w:lvlJc w:val="left"/>
      <w:pPr>
        <w:ind w:left="1937" w:hanging="569"/>
        <w:jc w:val="right"/>
      </w:pPr>
      <w:rPr>
        <w:rFonts w:hint="default" w:ascii="Cambria" w:hAnsi="Cambria" w:eastAsia="Cambria" w:cs="Cambria"/>
        <w:w w:val="103"/>
        <w:sz w:val="20"/>
        <w:szCs w:val="20"/>
      </w:rPr>
    </w:lvl>
    <w:lvl w:ilvl="1">
      <w:start w:val="1"/>
      <w:numFmt w:val="bullet"/>
      <w:lvlText w:val="•"/>
      <w:lvlJc w:val="left"/>
      <w:pPr>
        <w:ind w:left="2946" w:hanging="569"/>
      </w:pPr>
      <w:rPr>
        <w:rFonts w:hint="default"/>
      </w:rPr>
    </w:lvl>
    <w:lvl w:ilvl="2">
      <w:start w:val="1"/>
      <w:numFmt w:val="bullet"/>
      <w:lvlText w:val="•"/>
      <w:lvlJc w:val="left"/>
      <w:pPr>
        <w:ind w:left="3952" w:hanging="569"/>
      </w:pPr>
      <w:rPr>
        <w:rFonts w:hint="default"/>
      </w:rPr>
    </w:lvl>
    <w:lvl w:ilvl="3">
      <w:start w:val="1"/>
      <w:numFmt w:val="bullet"/>
      <w:lvlText w:val="•"/>
      <w:lvlJc w:val="left"/>
      <w:pPr>
        <w:ind w:left="4958" w:hanging="569"/>
      </w:pPr>
      <w:rPr>
        <w:rFonts w:hint="default"/>
      </w:rPr>
    </w:lvl>
    <w:lvl w:ilvl="4">
      <w:start w:val="1"/>
      <w:numFmt w:val="bullet"/>
      <w:lvlText w:val="•"/>
      <w:lvlJc w:val="left"/>
      <w:pPr>
        <w:ind w:left="5964" w:hanging="569"/>
      </w:pPr>
      <w:rPr>
        <w:rFonts w:hint="default"/>
      </w:rPr>
    </w:lvl>
    <w:lvl w:ilvl="5">
      <w:start w:val="1"/>
      <w:numFmt w:val="bullet"/>
      <w:lvlText w:val="•"/>
      <w:lvlJc w:val="left"/>
      <w:pPr>
        <w:ind w:left="6970" w:hanging="569"/>
      </w:pPr>
      <w:rPr>
        <w:rFonts w:hint="default"/>
      </w:rPr>
    </w:lvl>
    <w:lvl w:ilvl="6">
      <w:start w:val="1"/>
      <w:numFmt w:val="bullet"/>
      <w:lvlText w:val="•"/>
      <w:lvlJc w:val="left"/>
      <w:pPr>
        <w:ind w:left="7976" w:hanging="569"/>
      </w:pPr>
      <w:rPr>
        <w:rFonts w:hint="default"/>
      </w:rPr>
    </w:lvl>
    <w:lvl w:ilvl="7">
      <w:start w:val="1"/>
      <w:numFmt w:val="bullet"/>
      <w:lvlText w:val="•"/>
      <w:lvlJc w:val="left"/>
      <w:pPr>
        <w:ind w:left="8982" w:hanging="569"/>
      </w:pPr>
      <w:rPr>
        <w:rFonts w:hint="default"/>
      </w:rPr>
    </w:lvl>
    <w:lvl w:ilvl="8">
      <w:start w:val="1"/>
      <w:numFmt w:val="bullet"/>
      <w:lvlText w:val="•"/>
      <w:lvlJc w:val="left"/>
      <w:pPr>
        <w:ind w:left="9988" w:hanging="569"/>
      </w:pPr>
      <w:rPr>
        <w:rFonts w:hint="default"/>
      </w:rPr>
    </w:lvl>
  </w:abstractNum>
  <w:abstractNum w:abstractNumId="8">
    <w:multiLevelType w:val="hybridMultilevel"/>
    <w:lvl w:ilvl="0">
      <w:start w:val="48"/>
      <w:numFmt w:val="decimal"/>
      <w:lvlText w:val="%1"/>
      <w:lvlJc w:val="left"/>
      <w:pPr>
        <w:ind w:left="1937" w:hanging="569"/>
        <w:jc w:val="left"/>
      </w:pPr>
      <w:rPr>
        <w:rFonts w:hint="default" w:ascii="Cambria" w:hAnsi="Cambria" w:eastAsia="Cambria" w:cs="Cambria"/>
        <w:w w:val="103"/>
        <w:sz w:val="20"/>
        <w:szCs w:val="20"/>
      </w:rPr>
    </w:lvl>
    <w:lvl w:ilvl="1">
      <w:start w:val="1"/>
      <w:numFmt w:val="bullet"/>
      <w:lvlText w:val="•"/>
      <w:lvlJc w:val="left"/>
      <w:pPr>
        <w:ind w:left="2946" w:hanging="569"/>
      </w:pPr>
      <w:rPr>
        <w:rFonts w:hint="default"/>
      </w:rPr>
    </w:lvl>
    <w:lvl w:ilvl="2">
      <w:start w:val="1"/>
      <w:numFmt w:val="bullet"/>
      <w:lvlText w:val="•"/>
      <w:lvlJc w:val="left"/>
      <w:pPr>
        <w:ind w:left="3952" w:hanging="569"/>
      </w:pPr>
      <w:rPr>
        <w:rFonts w:hint="default"/>
      </w:rPr>
    </w:lvl>
    <w:lvl w:ilvl="3">
      <w:start w:val="1"/>
      <w:numFmt w:val="bullet"/>
      <w:lvlText w:val="•"/>
      <w:lvlJc w:val="left"/>
      <w:pPr>
        <w:ind w:left="4958" w:hanging="569"/>
      </w:pPr>
      <w:rPr>
        <w:rFonts w:hint="default"/>
      </w:rPr>
    </w:lvl>
    <w:lvl w:ilvl="4">
      <w:start w:val="1"/>
      <w:numFmt w:val="bullet"/>
      <w:lvlText w:val="•"/>
      <w:lvlJc w:val="left"/>
      <w:pPr>
        <w:ind w:left="5964" w:hanging="569"/>
      </w:pPr>
      <w:rPr>
        <w:rFonts w:hint="default"/>
      </w:rPr>
    </w:lvl>
    <w:lvl w:ilvl="5">
      <w:start w:val="1"/>
      <w:numFmt w:val="bullet"/>
      <w:lvlText w:val="•"/>
      <w:lvlJc w:val="left"/>
      <w:pPr>
        <w:ind w:left="6970" w:hanging="569"/>
      </w:pPr>
      <w:rPr>
        <w:rFonts w:hint="default"/>
      </w:rPr>
    </w:lvl>
    <w:lvl w:ilvl="6">
      <w:start w:val="1"/>
      <w:numFmt w:val="bullet"/>
      <w:lvlText w:val="•"/>
      <w:lvlJc w:val="left"/>
      <w:pPr>
        <w:ind w:left="7976" w:hanging="569"/>
      </w:pPr>
      <w:rPr>
        <w:rFonts w:hint="default"/>
      </w:rPr>
    </w:lvl>
    <w:lvl w:ilvl="7">
      <w:start w:val="1"/>
      <w:numFmt w:val="bullet"/>
      <w:lvlText w:val="•"/>
      <w:lvlJc w:val="left"/>
      <w:pPr>
        <w:ind w:left="8982" w:hanging="569"/>
      </w:pPr>
      <w:rPr>
        <w:rFonts w:hint="default"/>
      </w:rPr>
    </w:lvl>
    <w:lvl w:ilvl="8">
      <w:start w:val="1"/>
      <w:numFmt w:val="bullet"/>
      <w:lvlText w:val="•"/>
      <w:lvlJc w:val="left"/>
      <w:pPr>
        <w:ind w:left="9988" w:hanging="569"/>
      </w:pPr>
      <w:rPr>
        <w:rFonts w:hint="default"/>
      </w:rPr>
    </w:lvl>
  </w:abstractNum>
  <w:abstractNum w:abstractNumId="7">
    <w:multiLevelType w:val="hybridMultilevel"/>
    <w:lvl w:ilvl="0">
      <w:start w:val="39"/>
      <w:numFmt w:val="decimal"/>
      <w:lvlText w:val="%1"/>
      <w:lvlJc w:val="left"/>
      <w:pPr>
        <w:ind w:left="1937" w:hanging="569"/>
        <w:jc w:val="left"/>
      </w:pPr>
      <w:rPr>
        <w:rFonts w:hint="default" w:ascii="Cambria" w:hAnsi="Cambria" w:eastAsia="Cambria" w:cs="Cambria"/>
        <w:w w:val="103"/>
        <w:sz w:val="20"/>
        <w:szCs w:val="20"/>
      </w:rPr>
    </w:lvl>
    <w:lvl w:ilvl="1">
      <w:start w:val="1"/>
      <w:numFmt w:val="bullet"/>
      <w:lvlText w:val="•"/>
      <w:lvlJc w:val="left"/>
      <w:pPr>
        <w:ind w:left="2946" w:hanging="569"/>
      </w:pPr>
      <w:rPr>
        <w:rFonts w:hint="default"/>
      </w:rPr>
    </w:lvl>
    <w:lvl w:ilvl="2">
      <w:start w:val="1"/>
      <w:numFmt w:val="bullet"/>
      <w:lvlText w:val="•"/>
      <w:lvlJc w:val="left"/>
      <w:pPr>
        <w:ind w:left="3952" w:hanging="569"/>
      </w:pPr>
      <w:rPr>
        <w:rFonts w:hint="default"/>
      </w:rPr>
    </w:lvl>
    <w:lvl w:ilvl="3">
      <w:start w:val="1"/>
      <w:numFmt w:val="bullet"/>
      <w:lvlText w:val="•"/>
      <w:lvlJc w:val="left"/>
      <w:pPr>
        <w:ind w:left="4958" w:hanging="569"/>
      </w:pPr>
      <w:rPr>
        <w:rFonts w:hint="default"/>
      </w:rPr>
    </w:lvl>
    <w:lvl w:ilvl="4">
      <w:start w:val="1"/>
      <w:numFmt w:val="bullet"/>
      <w:lvlText w:val="•"/>
      <w:lvlJc w:val="left"/>
      <w:pPr>
        <w:ind w:left="5964" w:hanging="569"/>
      </w:pPr>
      <w:rPr>
        <w:rFonts w:hint="default"/>
      </w:rPr>
    </w:lvl>
    <w:lvl w:ilvl="5">
      <w:start w:val="1"/>
      <w:numFmt w:val="bullet"/>
      <w:lvlText w:val="•"/>
      <w:lvlJc w:val="left"/>
      <w:pPr>
        <w:ind w:left="6970" w:hanging="569"/>
      </w:pPr>
      <w:rPr>
        <w:rFonts w:hint="default"/>
      </w:rPr>
    </w:lvl>
    <w:lvl w:ilvl="6">
      <w:start w:val="1"/>
      <w:numFmt w:val="bullet"/>
      <w:lvlText w:val="•"/>
      <w:lvlJc w:val="left"/>
      <w:pPr>
        <w:ind w:left="7976" w:hanging="569"/>
      </w:pPr>
      <w:rPr>
        <w:rFonts w:hint="default"/>
      </w:rPr>
    </w:lvl>
    <w:lvl w:ilvl="7">
      <w:start w:val="1"/>
      <w:numFmt w:val="bullet"/>
      <w:lvlText w:val="•"/>
      <w:lvlJc w:val="left"/>
      <w:pPr>
        <w:ind w:left="8982" w:hanging="569"/>
      </w:pPr>
      <w:rPr>
        <w:rFonts w:hint="default"/>
      </w:rPr>
    </w:lvl>
    <w:lvl w:ilvl="8">
      <w:start w:val="1"/>
      <w:numFmt w:val="bullet"/>
      <w:lvlText w:val="•"/>
      <w:lvlJc w:val="left"/>
      <w:pPr>
        <w:ind w:left="9988" w:hanging="569"/>
      </w:pPr>
      <w:rPr>
        <w:rFonts w:hint="default"/>
      </w:rPr>
    </w:lvl>
  </w:abstractNum>
  <w:abstractNum w:abstractNumId="6">
    <w:multiLevelType w:val="hybridMultilevel"/>
    <w:lvl w:ilvl="0">
      <w:start w:val="21"/>
      <w:numFmt w:val="decimal"/>
      <w:lvlText w:val="%1"/>
      <w:lvlJc w:val="left"/>
      <w:pPr>
        <w:ind w:left="1937" w:hanging="569"/>
        <w:jc w:val="left"/>
      </w:pPr>
      <w:rPr>
        <w:rFonts w:hint="default" w:ascii="Cambria" w:hAnsi="Cambria" w:eastAsia="Cambria" w:cs="Cambria"/>
        <w:w w:val="103"/>
        <w:sz w:val="20"/>
        <w:szCs w:val="20"/>
      </w:rPr>
    </w:lvl>
    <w:lvl w:ilvl="1">
      <w:start w:val="1"/>
      <w:numFmt w:val="bullet"/>
      <w:lvlText w:val="•"/>
      <w:lvlJc w:val="left"/>
      <w:pPr>
        <w:ind w:left="2802" w:hanging="569"/>
      </w:pPr>
      <w:rPr>
        <w:rFonts w:hint="default"/>
      </w:rPr>
    </w:lvl>
    <w:lvl w:ilvl="2">
      <w:start w:val="1"/>
      <w:numFmt w:val="bullet"/>
      <w:lvlText w:val="•"/>
      <w:lvlJc w:val="left"/>
      <w:pPr>
        <w:ind w:left="3664" w:hanging="569"/>
      </w:pPr>
      <w:rPr>
        <w:rFonts w:hint="default"/>
      </w:rPr>
    </w:lvl>
    <w:lvl w:ilvl="3">
      <w:start w:val="1"/>
      <w:numFmt w:val="bullet"/>
      <w:lvlText w:val="•"/>
      <w:lvlJc w:val="left"/>
      <w:pPr>
        <w:ind w:left="4526" w:hanging="569"/>
      </w:pPr>
      <w:rPr>
        <w:rFonts w:hint="default"/>
      </w:rPr>
    </w:lvl>
    <w:lvl w:ilvl="4">
      <w:start w:val="1"/>
      <w:numFmt w:val="bullet"/>
      <w:lvlText w:val="•"/>
      <w:lvlJc w:val="left"/>
      <w:pPr>
        <w:ind w:left="5388" w:hanging="569"/>
      </w:pPr>
      <w:rPr>
        <w:rFonts w:hint="default"/>
      </w:rPr>
    </w:lvl>
    <w:lvl w:ilvl="5">
      <w:start w:val="1"/>
      <w:numFmt w:val="bullet"/>
      <w:lvlText w:val="•"/>
      <w:lvlJc w:val="left"/>
      <w:pPr>
        <w:ind w:left="6250" w:hanging="569"/>
      </w:pPr>
      <w:rPr>
        <w:rFonts w:hint="default"/>
      </w:rPr>
    </w:lvl>
    <w:lvl w:ilvl="6">
      <w:start w:val="1"/>
      <w:numFmt w:val="bullet"/>
      <w:lvlText w:val="•"/>
      <w:lvlJc w:val="left"/>
      <w:pPr>
        <w:ind w:left="7112" w:hanging="569"/>
      </w:pPr>
      <w:rPr>
        <w:rFonts w:hint="default"/>
      </w:rPr>
    </w:lvl>
    <w:lvl w:ilvl="7">
      <w:start w:val="1"/>
      <w:numFmt w:val="bullet"/>
      <w:lvlText w:val="•"/>
      <w:lvlJc w:val="left"/>
      <w:pPr>
        <w:ind w:left="7974" w:hanging="569"/>
      </w:pPr>
      <w:rPr>
        <w:rFonts w:hint="default"/>
      </w:rPr>
    </w:lvl>
    <w:lvl w:ilvl="8">
      <w:start w:val="1"/>
      <w:numFmt w:val="bullet"/>
      <w:lvlText w:val="•"/>
      <w:lvlJc w:val="left"/>
      <w:pPr>
        <w:ind w:left="8836" w:hanging="569"/>
      </w:pPr>
      <w:rPr>
        <w:rFonts w:hint="default"/>
      </w:rPr>
    </w:lvl>
  </w:abstractNum>
  <w:abstractNum w:abstractNumId="5">
    <w:multiLevelType w:val="hybridMultilevel"/>
    <w:lvl w:ilvl="0">
      <w:start w:val="14"/>
      <w:numFmt w:val="decimal"/>
      <w:lvlText w:val="%1"/>
      <w:lvlJc w:val="left"/>
      <w:pPr>
        <w:ind w:left="1937" w:hanging="569"/>
        <w:jc w:val="left"/>
      </w:pPr>
      <w:rPr>
        <w:rFonts w:hint="default" w:ascii="Cambria" w:hAnsi="Cambria" w:eastAsia="Cambria" w:cs="Cambria"/>
        <w:w w:val="103"/>
        <w:sz w:val="20"/>
        <w:szCs w:val="20"/>
      </w:rPr>
    </w:lvl>
    <w:lvl w:ilvl="1">
      <w:start w:val="1"/>
      <w:numFmt w:val="bullet"/>
      <w:lvlText w:val="•"/>
      <w:lvlJc w:val="left"/>
      <w:pPr>
        <w:ind w:left="2802" w:hanging="569"/>
      </w:pPr>
      <w:rPr>
        <w:rFonts w:hint="default"/>
      </w:rPr>
    </w:lvl>
    <w:lvl w:ilvl="2">
      <w:start w:val="1"/>
      <w:numFmt w:val="bullet"/>
      <w:lvlText w:val="•"/>
      <w:lvlJc w:val="left"/>
      <w:pPr>
        <w:ind w:left="3664" w:hanging="569"/>
      </w:pPr>
      <w:rPr>
        <w:rFonts w:hint="default"/>
      </w:rPr>
    </w:lvl>
    <w:lvl w:ilvl="3">
      <w:start w:val="1"/>
      <w:numFmt w:val="bullet"/>
      <w:lvlText w:val="•"/>
      <w:lvlJc w:val="left"/>
      <w:pPr>
        <w:ind w:left="4526" w:hanging="569"/>
      </w:pPr>
      <w:rPr>
        <w:rFonts w:hint="default"/>
      </w:rPr>
    </w:lvl>
    <w:lvl w:ilvl="4">
      <w:start w:val="1"/>
      <w:numFmt w:val="bullet"/>
      <w:lvlText w:val="•"/>
      <w:lvlJc w:val="left"/>
      <w:pPr>
        <w:ind w:left="5388" w:hanging="569"/>
      </w:pPr>
      <w:rPr>
        <w:rFonts w:hint="default"/>
      </w:rPr>
    </w:lvl>
    <w:lvl w:ilvl="5">
      <w:start w:val="1"/>
      <w:numFmt w:val="bullet"/>
      <w:lvlText w:val="•"/>
      <w:lvlJc w:val="left"/>
      <w:pPr>
        <w:ind w:left="6250" w:hanging="569"/>
      </w:pPr>
      <w:rPr>
        <w:rFonts w:hint="default"/>
      </w:rPr>
    </w:lvl>
    <w:lvl w:ilvl="6">
      <w:start w:val="1"/>
      <w:numFmt w:val="bullet"/>
      <w:lvlText w:val="•"/>
      <w:lvlJc w:val="left"/>
      <w:pPr>
        <w:ind w:left="7112" w:hanging="569"/>
      </w:pPr>
      <w:rPr>
        <w:rFonts w:hint="default"/>
      </w:rPr>
    </w:lvl>
    <w:lvl w:ilvl="7">
      <w:start w:val="1"/>
      <w:numFmt w:val="bullet"/>
      <w:lvlText w:val="•"/>
      <w:lvlJc w:val="left"/>
      <w:pPr>
        <w:ind w:left="7974" w:hanging="569"/>
      </w:pPr>
      <w:rPr>
        <w:rFonts w:hint="default"/>
      </w:rPr>
    </w:lvl>
    <w:lvl w:ilvl="8">
      <w:start w:val="1"/>
      <w:numFmt w:val="bullet"/>
      <w:lvlText w:val="•"/>
      <w:lvlJc w:val="left"/>
      <w:pPr>
        <w:ind w:left="8836" w:hanging="569"/>
      </w:pPr>
      <w:rPr>
        <w:rFonts w:hint="default"/>
      </w:rPr>
    </w:lvl>
  </w:abstractNum>
  <w:abstractNum w:abstractNumId="4">
    <w:multiLevelType w:val="hybridMultilevel"/>
    <w:lvl w:ilvl="0">
      <w:start w:val="6"/>
      <w:numFmt w:val="decimal"/>
      <w:lvlText w:val="%1"/>
      <w:lvlJc w:val="left"/>
      <w:pPr>
        <w:ind w:left="1937" w:hanging="454"/>
        <w:jc w:val="right"/>
      </w:pPr>
      <w:rPr>
        <w:rFonts w:hint="default" w:ascii="Cambria" w:hAnsi="Cambria" w:eastAsia="Cambria" w:cs="Cambria"/>
        <w:w w:val="103"/>
        <w:sz w:val="20"/>
        <w:szCs w:val="20"/>
      </w:rPr>
    </w:lvl>
    <w:lvl w:ilvl="1">
      <w:start w:val="1"/>
      <w:numFmt w:val="bullet"/>
      <w:lvlText w:val="•"/>
      <w:lvlJc w:val="left"/>
      <w:pPr>
        <w:ind w:left="2802" w:hanging="454"/>
      </w:pPr>
      <w:rPr>
        <w:rFonts w:hint="default"/>
      </w:rPr>
    </w:lvl>
    <w:lvl w:ilvl="2">
      <w:start w:val="1"/>
      <w:numFmt w:val="bullet"/>
      <w:lvlText w:val="•"/>
      <w:lvlJc w:val="left"/>
      <w:pPr>
        <w:ind w:left="3664" w:hanging="454"/>
      </w:pPr>
      <w:rPr>
        <w:rFonts w:hint="default"/>
      </w:rPr>
    </w:lvl>
    <w:lvl w:ilvl="3">
      <w:start w:val="1"/>
      <w:numFmt w:val="bullet"/>
      <w:lvlText w:val="•"/>
      <w:lvlJc w:val="left"/>
      <w:pPr>
        <w:ind w:left="4526" w:hanging="454"/>
      </w:pPr>
      <w:rPr>
        <w:rFonts w:hint="default"/>
      </w:rPr>
    </w:lvl>
    <w:lvl w:ilvl="4">
      <w:start w:val="1"/>
      <w:numFmt w:val="bullet"/>
      <w:lvlText w:val="•"/>
      <w:lvlJc w:val="left"/>
      <w:pPr>
        <w:ind w:left="5388" w:hanging="454"/>
      </w:pPr>
      <w:rPr>
        <w:rFonts w:hint="default"/>
      </w:rPr>
    </w:lvl>
    <w:lvl w:ilvl="5">
      <w:start w:val="1"/>
      <w:numFmt w:val="bullet"/>
      <w:lvlText w:val="•"/>
      <w:lvlJc w:val="left"/>
      <w:pPr>
        <w:ind w:left="6250" w:hanging="454"/>
      </w:pPr>
      <w:rPr>
        <w:rFonts w:hint="default"/>
      </w:rPr>
    </w:lvl>
    <w:lvl w:ilvl="6">
      <w:start w:val="1"/>
      <w:numFmt w:val="bullet"/>
      <w:lvlText w:val="•"/>
      <w:lvlJc w:val="left"/>
      <w:pPr>
        <w:ind w:left="7112" w:hanging="454"/>
      </w:pPr>
      <w:rPr>
        <w:rFonts w:hint="default"/>
      </w:rPr>
    </w:lvl>
    <w:lvl w:ilvl="7">
      <w:start w:val="1"/>
      <w:numFmt w:val="bullet"/>
      <w:lvlText w:val="•"/>
      <w:lvlJc w:val="left"/>
      <w:pPr>
        <w:ind w:left="7974" w:hanging="454"/>
      </w:pPr>
      <w:rPr>
        <w:rFonts w:hint="default"/>
      </w:rPr>
    </w:lvl>
    <w:lvl w:ilvl="8">
      <w:start w:val="1"/>
      <w:numFmt w:val="bullet"/>
      <w:lvlText w:val="•"/>
      <w:lvlJc w:val="left"/>
      <w:pPr>
        <w:ind w:left="8836" w:hanging="454"/>
      </w:pPr>
      <w:rPr>
        <w:rFonts w:hint="default"/>
      </w:rPr>
    </w:lvl>
  </w:abstractNum>
  <w:abstractNum w:abstractNumId="3">
    <w:multiLevelType w:val="hybridMultilevel"/>
    <w:lvl w:ilvl="0">
      <w:start w:val="1"/>
      <w:numFmt w:val="decimal"/>
      <w:lvlText w:val="%1"/>
      <w:lvlJc w:val="left"/>
      <w:pPr>
        <w:ind w:left="1937" w:hanging="454"/>
        <w:jc w:val="left"/>
      </w:pPr>
      <w:rPr>
        <w:rFonts w:hint="default" w:ascii="Cambria" w:hAnsi="Cambria" w:eastAsia="Cambria" w:cs="Cambria"/>
        <w:w w:val="103"/>
        <w:sz w:val="20"/>
        <w:szCs w:val="20"/>
      </w:rPr>
    </w:lvl>
    <w:lvl w:ilvl="1">
      <w:start w:val="1"/>
      <w:numFmt w:val="bullet"/>
      <w:lvlText w:val="•"/>
      <w:lvlJc w:val="left"/>
      <w:pPr>
        <w:ind w:left="2802" w:hanging="454"/>
      </w:pPr>
      <w:rPr>
        <w:rFonts w:hint="default"/>
      </w:rPr>
    </w:lvl>
    <w:lvl w:ilvl="2">
      <w:start w:val="1"/>
      <w:numFmt w:val="bullet"/>
      <w:lvlText w:val="•"/>
      <w:lvlJc w:val="left"/>
      <w:pPr>
        <w:ind w:left="3664" w:hanging="454"/>
      </w:pPr>
      <w:rPr>
        <w:rFonts w:hint="default"/>
      </w:rPr>
    </w:lvl>
    <w:lvl w:ilvl="3">
      <w:start w:val="1"/>
      <w:numFmt w:val="bullet"/>
      <w:lvlText w:val="•"/>
      <w:lvlJc w:val="left"/>
      <w:pPr>
        <w:ind w:left="4526" w:hanging="454"/>
      </w:pPr>
      <w:rPr>
        <w:rFonts w:hint="default"/>
      </w:rPr>
    </w:lvl>
    <w:lvl w:ilvl="4">
      <w:start w:val="1"/>
      <w:numFmt w:val="bullet"/>
      <w:lvlText w:val="•"/>
      <w:lvlJc w:val="left"/>
      <w:pPr>
        <w:ind w:left="5388" w:hanging="454"/>
      </w:pPr>
      <w:rPr>
        <w:rFonts w:hint="default"/>
      </w:rPr>
    </w:lvl>
    <w:lvl w:ilvl="5">
      <w:start w:val="1"/>
      <w:numFmt w:val="bullet"/>
      <w:lvlText w:val="•"/>
      <w:lvlJc w:val="left"/>
      <w:pPr>
        <w:ind w:left="6250" w:hanging="454"/>
      </w:pPr>
      <w:rPr>
        <w:rFonts w:hint="default"/>
      </w:rPr>
    </w:lvl>
    <w:lvl w:ilvl="6">
      <w:start w:val="1"/>
      <w:numFmt w:val="bullet"/>
      <w:lvlText w:val="•"/>
      <w:lvlJc w:val="left"/>
      <w:pPr>
        <w:ind w:left="7112" w:hanging="454"/>
      </w:pPr>
      <w:rPr>
        <w:rFonts w:hint="default"/>
      </w:rPr>
    </w:lvl>
    <w:lvl w:ilvl="7">
      <w:start w:val="1"/>
      <w:numFmt w:val="bullet"/>
      <w:lvlText w:val="•"/>
      <w:lvlJc w:val="left"/>
      <w:pPr>
        <w:ind w:left="7974" w:hanging="454"/>
      </w:pPr>
      <w:rPr>
        <w:rFonts w:hint="default"/>
      </w:rPr>
    </w:lvl>
    <w:lvl w:ilvl="8">
      <w:start w:val="1"/>
      <w:numFmt w:val="bullet"/>
      <w:lvlText w:val="•"/>
      <w:lvlJc w:val="left"/>
      <w:pPr>
        <w:ind w:left="8836" w:hanging="454"/>
      </w:pPr>
      <w:rPr>
        <w:rFonts w:hint="default"/>
      </w:rPr>
    </w:lvl>
  </w:abstractNum>
  <w:abstractNum w:abstractNumId="2">
    <w:multiLevelType w:val="hybridMultilevel"/>
    <w:lvl w:ilvl="0">
      <w:start w:val="1"/>
      <w:numFmt w:val="decimal"/>
      <w:lvlText w:val="%1)"/>
      <w:lvlJc w:val="left"/>
      <w:pPr>
        <w:ind w:left="144" w:hanging="215"/>
        <w:jc w:val="left"/>
      </w:pPr>
      <w:rPr>
        <w:rFonts w:hint="default" w:ascii="Arial" w:hAnsi="Arial" w:eastAsia="Arial" w:cs="Arial"/>
        <w:spacing w:val="-30"/>
        <w:w w:val="100"/>
        <w:sz w:val="24"/>
        <w:szCs w:val="24"/>
      </w:rPr>
    </w:lvl>
    <w:lvl w:ilvl="1">
      <w:start w:val="1"/>
      <w:numFmt w:val="bullet"/>
      <w:lvlText w:val=""/>
      <w:lvlJc w:val="left"/>
      <w:pPr>
        <w:ind w:left="864" w:hanging="349"/>
      </w:pPr>
      <w:rPr>
        <w:rFonts w:hint="default" w:ascii="Symbol" w:hAnsi="Symbol" w:eastAsia="Symbol" w:cs="Symbol"/>
        <w:w w:val="100"/>
        <w:sz w:val="24"/>
        <w:szCs w:val="24"/>
      </w:rPr>
    </w:lvl>
    <w:lvl w:ilvl="2">
      <w:start w:val="1"/>
      <w:numFmt w:val="bullet"/>
      <w:lvlText w:val="•"/>
      <w:lvlJc w:val="left"/>
      <w:pPr>
        <w:ind w:left="1924" w:hanging="349"/>
      </w:pPr>
      <w:rPr>
        <w:rFonts w:hint="default"/>
      </w:rPr>
    </w:lvl>
    <w:lvl w:ilvl="3">
      <w:start w:val="1"/>
      <w:numFmt w:val="bullet"/>
      <w:lvlText w:val="•"/>
      <w:lvlJc w:val="left"/>
      <w:pPr>
        <w:ind w:left="2988" w:hanging="349"/>
      </w:pPr>
      <w:rPr>
        <w:rFonts w:hint="default"/>
      </w:rPr>
    </w:lvl>
    <w:lvl w:ilvl="4">
      <w:start w:val="1"/>
      <w:numFmt w:val="bullet"/>
      <w:lvlText w:val="•"/>
      <w:lvlJc w:val="left"/>
      <w:pPr>
        <w:ind w:left="4053" w:hanging="349"/>
      </w:pPr>
      <w:rPr>
        <w:rFonts w:hint="default"/>
      </w:rPr>
    </w:lvl>
    <w:lvl w:ilvl="5">
      <w:start w:val="1"/>
      <w:numFmt w:val="bullet"/>
      <w:lvlText w:val="•"/>
      <w:lvlJc w:val="left"/>
      <w:pPr>
        <w:ind w:left="5117" w:hanging="349"/>
      </w:pPr>
      <w:rPr>
        <w:rFonts w:hint="default"/>
      </w:rPr>
    </w:lvl>
    <w:lvl w:ilvl="6">
      <w:start w:val="1"/>
      <w:numFmt w:val="bullet"/>
      <w:lvlText w:val="•"/>
      <w:lvlJc w:val="left"/>
      <w:pPr>
        <w:ind w:left="6182" w:hanging="349"/>
      </w:pPr>
      <w:rPr>
        <w:rFonts w:hint="default"/>
      </w:rPr>
    </w:lvl>
    <w:lvl w:ilvl="7">
      <w:start w:val="1"/>
      <w:numFmt w:val="bullet"/>
      <w:lvlText w:val="•"/>
      <w:lvlJc w:val="left"/>
      <w:pPr>
        <w:ind w:left="7246" w:hanging="349"/>
      </w:pPr>
      <w:rPr>
        <w:rFonts w:hint="default"/>
      </w:rPr>
    </w:lvl>
    <w:lvl w:ilvl="8">
      <w:start w:val="1"/>
      <w:numFmt w:val="bullet"/>
      <w:lvlText w:val="•"/>
      <w:lvlJc w:val="left"/>
      <w:pPr>
        <w:ind w:left="8311" w:hanging="349"/>
      </w:pPr>
      <w:rPr>
        <w:rFonts w:hint="default"/>
      </w:rPr>
    </w:lvl>
  </w:abstractNum>
  <w:abstractNum w:abstractNumId="1">
    <w:multiLevelType w:val="hybridMultilevel"/>
    <w:lvl w:ilvl="0">
      <w:start w:val="1"/>
      <w:numFmt w:val="decimal"/>
      <w:lvlText w:val="%1)"/>
      <w:lvlJc w:val="left"/>
      <w:pPr>
        <w:ind w:left="504" w:hanging="360"/>
        <w:jc w:val="left"/>
      </w:pPr>
      <w:rPr>
        <w:rFonts w:hint="default" w:ascii="Arial" w:hAnsi="Arial" w:eastAsia="Arial" w:cs="Arial"/>
        <w:w w:val="100"/>
        <w:sz w:val="24"/>
        <w:szCs w:val="24"/>
      </w:rPr>
    </w:lvl>
    <w:lvl w:ilvl="1">
      <w:start w:val="1"/>
      <w:numFmt w:val="bullet"/>
      <w:lvlText w:val=""/>
      <w:lvlJc w:val="left"/>
      <w:pPr>
        <w:ind w:left="864" w:hanging="360"/>
      </w:pPr>
      <w:rPr>
        <w:rFonts w:hint="default" w:ascii="Symbol" w:hAnsi="Symbol" w:eastAsia="Symbol" w:cs="Symbol"/>
        <w:w w:val="100"/>
        <w:sz w:val="24"/>
        <w:szCs w:val="24"/>
      </w:rPr>
    </w:lvl>
    <w:lvl w:ilvl="2">
      <w:start w:val="1"/>
      <w:numFmt w:val="bullet"/>
      <w:lvlText w:val="•"/>
      <w:lvlJc w:val="left"/>
      <w:pPr>
        <w:ind w:left="1924" w:hanging="360"/>
      </w:pPr>
      <w:rPr>
        <w:rFonts w:hint="default"/>
      </w:rPr>
    </w:lvl>
    <w:lvl w:ilvl="3">
      <w:start w:val="1"/>
      <w:numFmt w:val="bullet"/>
      <w:lvlText w:val="•"/>
      <w:lvlJc w:val="left"/>
      <w:pPr>
        <w:ind w:left="2988" w:hanging="360"/>
      </w:pPr>
      <w:rPr>
        <w:rFonts w:hint="default"/>
      </w:rPr>
    </w:lvl>
    <w:lvl w:ilvl="4">
      <w:start w:val="1"/>
      <w:numFmt w:val="bullet"/>
      <w:lvlText w:val="•"/>
      <w:lvlJc w:val="left"/>
      <w:pPr>
        <w:ind w:left="4053" w:hanging="360"/>
      </w:pPr>
      <w:rPr>
        <w:rFonts w:hint="default"/>
      </w:rPr>
    </w:lvl>
    <w:lvl w:ilvl="5">
      <w:start w:val="1"/>
      <w:numFmt w:val="bullet"/>
      <w:lvlText w:val="•"/>
      <w:lvlJc w:val="left"/>
      <w:pPr>
        <w:ind w:left="5117" w:hanging="360"/>
      </w:pPr>
      <w:rPr>
        <w:rFonts w:hint="default"/>
      </w:rPr>
    </w:lvl>
    <w:lvl w:ilvl="6">
      <w:start w:val="1"/>
      <w:numFmt w:val="bullet"/>
      <w:lvlText w:val="•"/>
      <w:lvlJc w:val="left"/>
      <w:pPr>
        <w:ind w:left="6182" w:hanging="360"/>
      </w:pPr>
      <w:rPr>
        <w:rFonts w:hint="default"/>
      </w:rPr>
    </w:lvl>
    <w:lvl w:ilvl="7">
      <w:start w:val="1"/>
      <w:numFmt w:val="bullet"/>
      <w:lvlText w:val="•"/>
      <w:lvlJc w:val="left"/>
      <w:pPr>
        <w:ind w:left="7246" w:hanging="360"/>
      </w:pPr>
      <w:rPr>
        <w:rFonts w:hint="default"/>
      </w:rPr>
    </w:lvl>
    <w:lvl w:ilvl="8">
      <w:start w:val="1"/>
      <w:numFmt w:val="bullet"/>
      <w:lvlText w:val="•"/>
      <w:lvlJc w:val="left"/>
      <w:pPr>
        <w:ind w:left="8311" w:hanging="360"/>
      </w:pPr>
      <w:rPr>
        <w:rFonts w:hint="default"/>
      </w:rPr>
    </w:lvl>
  </w:abstractNum>
  <w:abstractNum w:abstractNumId="0">
    <w:multiLevelType w:val="hybridMultilevel"/>
    <w:lvl w:ilvl="0">
      <w:start w:val="1"/>
      <w:numFmt w:val="bullet"/>
      <w:lvlText w:val="!"/>
      <w:lvlJc w:val="left"/>
      <w:pPr>
        <w:ind w:left="504" w:hanging="360"/>
      </w:pPr>
      <w:rPr>
        <w:rFonts w:hint="default" w:ascii="Arial" w:hAnsi="Arial" w:eastAsia="Arial" w:cs="Arial"/>
        <w:w w:val="320"/>
        <w:sz w:val="24"/>
        <w:szCs w:val="24"/>
      </w:rPr>
    </w:lvl>
    <w:lvl w:ilvl="1">
      <w:start w:val="1"/>
      <w:numFmt w:val="bullet"/>
      <w:lvlText w:val=""/>
      <w:lvlJc w:val="left"/>
      <w:pPr>
        <w:ind w:left="1584" w:hanging="360"/>
      </w:pPr>
      <w:rPr>
        <w:rFonts w:hint="default" w:ascii="Symbol" w:hAnsi="Symbol" w:eastAsia="Symbol" w:cs="Symbol"/>
        <w:w w:val="100"/>
        <w:sz w:val="24"/>
        <w:szCs w:val="24"/>
      </w:rPr>
    </w:lvl>
    <w:lvl w:ilvl="2">
      <w:start w:val="1"/>
      <w:numFmt w:val="bullet"/>
      <w:lvlText w:val="•"/>
      <w:lvlJc w:val="left"/>
      <w:pPr>
        <w:ind w:left="2564" w:hanging="360"/>
      </w:pPr>
      <w:rPr>
        <w:rFonts w:hint="default"/>
      </w:rPr>
    </w:lvl>
    <w:lvl w:ilvl="3">
      <w:start w:val="1"/>
      <w:numFmt w:val="bullet"/>
      <w:lvlText w:val="•"/>
      <w:lvlJc w:val="left"/>
      <w:pPr>
        <w:ind w:left="3548" w:hanging="360"/>
      </w:pPr>
      <w:rPr>
        <w:rFonts w:hint="default"/>
      </w:rPr>
    </w:lvl>
    <w:lvl w:ilvl="4">
      <w:start w:val="1"/>
      <w:numFmt w:val="bullet"/>
      <w:lvlText w:val="•"/>
      <w:lvlJc w:val="left"/>
      <w:pPr>
        <w:ind w:left="4533" w:hanging="360"/>
      </w:pPr>
      <w:rPr>
        <w:rFonts w:hint="default"/>
      </w:rPr>
    </w:lvl>
    <w:lvl w:ilvl="5">
      <w:start w:val="1"/>
      <w:numFmt w:val="bullet"/>
      <w:lvlText w:val="•"/>
      <w:lvlJc w:val="left"/>
      <w:pPr>
        <w:ind w:left="5517" w:hanging="360"/>
      </w:pPr>
      <w:rPr>
        <w:rFonts w:hint="default"/>
      </w:rPr>
    </w:lvl>
    <w:lvl w:ilvl="6">
      <w:start w:val="1"/>
      <w:numFmt w:val="bullet"/>
      <w:lvlText w:val="•"/>
      <w:lvlJc w:val="left"/>
      <w:pPr>
        <w:ind w:left="6502" w:hanging="360"/>
      </w:pPr>
      <w:rPr>
        <w:rFonts w:hint="default"/>
      </w:rPr>
    </w:lvl>
    <w:lvl w:ilvl="7">
      <w:start w:val="1"/>
      <w:numFmt w:val="bullet"/>
      <w:lvlText w:val="•"/>
      <w:lvlJc w:val="left"/>
      <w:pPr>
        <w:ind w:left="7486" w:hanging="360"/>
      </w:pPr>
      <w:rPr>
        <w:rFonts w:hint="default"/>
      </w:rPr>
    </w:lvl>
    <w:lvl w:ilvl="8">
      <w:start w:val="1"/>
      <w:numFmt w:val="bullet"/>
      <w:lvlText w:val="•"/>
      <w:lvlJc w:val="left"/>
      <w:pPr>
        <w:ind w:left="8471" w:hanging="360"/>
      </w:pPr>
      <w:rPr>
        <w:rFonts w:hint="default"/>
      </w:rPr>
    </w:lvl>
  </w:abstractNum>
  <w:num w:numId="27">
    <w:abstractNumId w:val="26"/>
  </w:num>
  <w:num w:numId="26">
    <w:abstractNumId w:val="25"/>
  </w:num>
  <w:num w:numId="25">
    <w:abstractNumId w:val="24"/>
  </w:num>
  <w:num w:numId="24">
    <w:abstractNumId w:val="23"/>
  </w:num>
  <w:num w:numId="23">
    <w:abstractNumId w:val="22"/>
  </w:num>
  <w:num w:numId="22">
    <w:abstractNumId w:val="21"/>
  </w:num>
  <w:num w:numId="21">
    <w:abstractNumId w:val="20"/>
  </w:num>
  <w:num w:numId="20">
    <w:abstractNumId w:val="19"/>
  </w:num>
  <w:num w:numId="19">
    <w:abstractNumId w:val="18"/>
  </w:num>
  <w:num w:numId="18">
    <w:abstractNumId w:val="17"/>
  </w:num>
  <w:num w:numId="17">
    <w:abstractNumId w:val="16"/>
  </w:num>
  <w:num w:numId="16">
    <w:abstractNumId w:val="15"/>
  </w:num>
  <w:num w:numId="15">
    <w:abstractNumId w:val="14"/>
  </w:num>
  <w:num w:numId="14">
    <w:abstractNumId w:val="13"/>
  </w:num>
  <w:num w:numId="13">
    <w:abstractNumId w:val="12"/>
  </w:num>
  <w:num w:numId="12">
    <w:abstractNumId w:val="11"/>
  </w:num>
  <w:num w:numId="11">
    <w:abstractNumId w:val="10"/>
  </w:num>
  <w:num w:numId="10">
    <w:abstractNumId w:val="9"/>
  </w:num>
  <w:num w:numId="9">
    <w:abstractNumId w:val="8"/>
  </w:num>
  <w:num w:numId="8">
    <w:abstractNumId w:val="7"/>
  </w:num>
  <w:num w:numId="7">
    <w:abstractNumId w:val="6"/>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Arial" w:hAnsi="Arial" w:eastAsia="Arial" w:cs="Arial"/>
    </w:rPr>
  </w:style>
  <w:style w:styleId="TOC1" w:type="paragraph">
    <w:name w:val="TOC 1"/>
    <w:basedOn w:val="Normal"/>
    <w:uiPriority w:val="1"/>
    <w:qFormat/>
    <w:pPr>
      <w:spacing w:before="141"/>
      <w:ind w:right="1341"/>
      <w:jc w:val="center"/>
    </w:pPr>
    <w:rPr>
      <w:rFonts w:ascii="Arial" w:hAnsi="Arial" w:eastAsia="Arial" w:cs="Arial"/>
      <w:sz w:val="24"/>
      <w:szCs w:val="24"/>
    </w:rPr>
  </w:style>
  <w:style w:styleId="TOC2" w:type="paragraph">
    <w:name w:val="TOC 2"/>
    <w:basedOn w:val="Normal"/>
    <w:uiPriority w:val="1"/>
    <w:qFormat/>
    <w:pPr>
      <w:spacing w:before="141"/>
      <w:ind w:left="477"/>
    </w:pPr>
    <w:rPr>
      <w:rFonts w:ascii="Arial" w:hAnsi="Arial" w:eastAsia="Arial" w:cs="Arial"/>
      <w:sz w:val="24"/>
      <w:szCs w:val="24"/>
    </w:rPr>
  </w:style>
  <w:style w:styleId="BodyText" w:type="paragraph">
    <w:name w:val="Body Text"/>
    <w:basedOn w:val="Normal"/>
    <w:uiPriority w:val="1"/>
    <w:qFormat/>
    <w:pPr/>
    <w:rPr>
      <w:rFonts w:ascii="Arial" w:hAnsi="Arial" w:eastAsia="Arial" w:cs="Arial"/>
      <w:sz w:val="24"/>
      <w:szCs w:val="24"/>
    </w:rPr>
  </w:style>
  <w:style w:styleId="Heading1" w:type="paragraph">
    <w:name w:val="Heading 1"/>
    <w:basedOn w:val="Normal"/>
    <w:uiPriority w:val="1"/>
    <w:qFormat/>
    <w:pPr>
      <w:spacing w:before="70"/>
      <w:ind w:left="144"/>
      <w:jc w:val="both"/>
      <w:outlineLvl w:val="1"/>
    </w:pPr>
    <w:rPr>
      <w:rFonts w:ascii="Arial" w:hAnsi="Arial" w:eastAsia="Arial" w:cs="Arial"/>
      <w:b/>
      <w:bCs/>
      <w:sz w:val="24"/>
      <w:szCs w:val="24"/>
    </w:rPr>
  </w:style>
  <w:style w:styleId="ListParagraph" w:type="paragraph">
    <w:name w:val="List Paragraph"/>
    <w:basedOn w:val="Normal"/>
    <w:uiPriority w:val="1"/>
    <w:qFormat/>
    <w:pPr>
      <w:spacing w:before="136"/>
      <w:ind w:left="1937" w:hanging="684"/>
    </w:pPr>
    <w:rPr>
      <w:rFonts w:ascii="Times New Roman" w:hAnsi="Times New Roman" w:eastAsia="Times New Roman" w:cs="Times New Roman"/>
    </w:rPr>
  </w:style>
  <w:style w:styleId="TableParagraph" w:type="paragraph">
    <w:name w:val="Table Paragraph"/>
    <w:basedOn w:val="Normal"/>
    <w:uiPriority w:val="1"/>
    <w:qFormat/>
    <w:pPr/>
    <w:rPr>
      <w:rFonts w:ascii="Arial" w:hAnsi="Arial" w:eastAsia="Arial" w:cs="Arial"/>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png"/><Relationship Id="rId6" Type="http://schemas.openxmlformats.org/officeDocument/2006/relationships/image" Target="media/image2.jpeg"/><Relationship Id="rId7" Type="http://schemas.openxmlformats.org/officeDocument/2006/relationships/image" Target="media/image3.png"/><Relationship Id="rId8" Type="http://schemas.openxmlformats.org/officeDocument/2006/relationships/header" Target="header1.xml"/><Relationship Id="rId9" Type="http://schemas.openxmlformats.org/officeDocument/2006/relationships/image" Target="media/image4.png"/><Relationship Id="rId10" Type="http://schemas.openxmlformats.org/officeDocument/2006/relationships/footer" Target="footer1.xml"/><Relationship Id="rId11" Type="http://schemas.openxmlformats.org/officeDocument/2006/relationships/footer" Target="footer2.xml"/><Relationship Id="rId12" Type="http://schemas.openxmlformats.org/officeDocument/2006/relationships/footer" Target="footer3.xml"/><Relationship Id="rId13" Type="http://schemas.openxmlformats.org/officeDocument/2006/relationships/footer" Target="footer4.xml"/><Relationship Id="rId14" Type="http://schemas.openxmlformats.org/officeDocument/2006/relationships/footer" Target="footer5.xml"/><Relationship Id="rId15" Type="http://schemas.openxmlformats.org/officeDocument/2006/relationships/footer" Target="footer6.xml"/><Relationship Id="rId16" Type="http://schemas.openxmlformats.org/officeDocument/2006/relationships/footer" Target="footer7.xml"/><Relationship Id="rId17" Type="http://schemas.openxmlformats.org/officeDocument/2006/relationships/footer" Target="footer8.xml"/><Relationship Id="rId18" Type="http://schemas.openxmlformats.org/officeDocument/2006/relationships/footer" Target="footer9.xml"/><Relationship Id="rId19" Type="http://schemas.openxmlformats.org/officeDocument/2006/relationships/footer" Target="footer10.xml"/><Relationship Id="rId20" Type="http://schemas.openxmlformats.org/officeDocument/2006/relationships/footer" Target="footer11.xml"/><Relationship Id="rId21" Type="http://schemas.openxmlformats.org/officeDocument/2006/relationships/footer" Target="footer12.xml"/><Relationship Id="rId22" Type="http://schemas.openxmlformats.org/officeDocument/2006/relationships/footer" Target="footer13.xml"/><Relationship Id="rId23" Type="http://schemas.openxmlformats.org/officeDocument/2006/relationships/hyperlink" Target="http://www.iris-kidney.com/education/en/education07.shtml" TargetMode="External"/><Relationship Id="rId24" Type="http://schemas.openxmlformats.org/officeDocument/2006/relationships/hyperlink" Target="http://www.iris-kidney.com/about/en/index.shtml" TargetMode="External"/><Relationship Id="rId25" Type="http://schemas.openxmlformats.org/officeDocument/2006/relationships/footer" Target="footer14.xml"/><Relationship Id="rId26" Type="http://schemas.openxmlformats.org/officeDocument/2006/relationships/footer" Target="footer15.xml"/><Relationship Id="rId27" Type="http://schemas.openxmlformats.org/officeDocument/2006/relationships/hyperlink" Target="http://www.who.int/topics/risk_factors/es/" TargetMode="External"/><Relationship Id="rId28" Type="http://schemas.openxmlformats.org/officeDocument/2006/relationships/header" Target="header2.xml"/><Relationship Id="rId29" Type="http://schemas.openxmlformats.org/officeDocument/2006/relationships/footer" Target="footer16.xml"/><Relationship Id="rId30" Type="http://schemas.openxmlformats.org/officeDocument/2006/relationships/image" Target="media/image6.png"/><Relationship Id="rId31" Type="http://schemas.openxmlformats.org/officeDocument/2006/relationships/image" Target="media/image7.png"/><Relationship Id="rId32" Type="http://schemas.openxmlformats.org/officeDocument/2006/relationships/image" Target="media/image8.png"/><Relationship Id="rId33" Type="http://schemas.openxmlformats.org/officeDocument/2006/relationships/image" Target="media/image9.png"/><Relationship Id="rId34" Type="http://schemas.openxmlformats.org/officeDocument/2006/relationships/image" Target="media/image10.png"/><Relationship Id="rId35" Type="http://schemas.openxmlformats.org/officeDocument/2006/relationships/image" Target="media/image11.png"/><Relationship Id="rId36" Type="http://schemas.openxmlformats.org/officeDocument/2006/relationships/image" Target="media/image12.png"/><Relationship Id="rId37" Type="http://schemas.openxmlformats.org/officeDocument/2006/relationships/image" Target="media/image13.png"/><Relationship Id="rId38" Type="http://schemas.openxmlformats.org/officeDocument/2006/relationships/image" Target="media/image14.png"/><Relationship Id="rId39" Type="http://schemas.openxmlformats.org/officeDocument/2006/relationships/image" Target="media/image15.png"/><Relationship Id="rId40" Type="http://schemas.openxmlformats.org/officeDocument/2006/relationships/image" Target="media/image16.png"/><Relationship Id="rId41" Type="http://schemas.openxmlformats.org/officeDocument/2006/relationships/image" Target="media/image17.png"/><Relationship Id="rId42" Type="http://schemas.openxmlformats.org/officeDocument/2006/relationships/image" Target="media/image18.png"/><Relationship Id="rId43" Type="http://schemas.openxmlformats.org/officeDocument/2006/relationships/image" Target="media/image19.png"/><Relationship Id="rId44" Type="http://schemas.openxmlformats.org/officeDocument/2006/relationships/image" Target="media/image20.png"/><Relationship Id="rId45" Type="http://schemas.openxmlformats.org/officeDocument/2006/relationships/image" Target="media/image21.png"/><Relationship Id="rId46" Type="http://schemas.openxmlformats.org/officeDocument/2006/relationships/image" Target="media/image22.png"/><Relationship Id="rId47" Type="http://schemas.openxmlformats.org/officeDocument/2006/relationships/image" Target="media/image23.png"/><Relationship Id="rId48" Type="http://schemas.openxmlformats.org/officeDocument/2006/relationships/image" Target="media/image24.png"/><Relationship Id="rId49" Type="http://schemas.openxmlformats.org/officeDocument/2006/relationships/image" Target="media/image25.png"/><Relationship Id="rId50" Type="http://schemas.openxmlformats.org/officeDocument/2006/relationships/hyperlink" Target="http://admin-apps.webofknowledge.com/JCR/JCR?RQ=RECORD&amp;amp;rank=75&amp;amp;journal=JAVMA-J%2BAM%2BVET%2BMED%2BA" TargetMode="External"/><Relationship Id="rId51" Type="http://schemas.openxmlformats.org/officeDocument/2006/relationships/header" Target="header3.xml"/><Relationship Id="rId52" Type="http://schemas.openxmlformats.org/officeDocument/2006/relationships/footer" Target="footer17.xml"/><Relationship Id="rId53" Type="http://schemas.openxmlformats.org/officeDocument/2006/relationships/image" Target="media/image26.jpeg"/><Relationship Id="rId54" Type="http://schemas.openxmlformats.org/officeDocument/2006/relationships/image" Target="media/image27.png"/><Relationship Id="rId55" Type="http://schemas.openxmlformats.org/officeDocument/2006/relationships/image" Target="media/image28.png"/><Relationship Id="rId56" Type="http://schemas.openxmlformats.org/officeDocument/2006/relationships/image" Target="media/image29.png"/><Relationship Id="rId57" Type="http://schemas.openxmlformats.org/officeDocument/2006/relationships/image" Target="media/image30.png"/><Relationship Id="rId58" Type="http://schemas.openxmlformats.org/officeDocument/2006/relationships/image" Target="media/image31.png"/><Relationship Id="rId59" Type="http://schemas.openxmlformats.org/officeDocument/2006/relationships/image" Target="media/image32.png"/><Relationship Id="rId60" Type="http://schemas.openxmlformats.org/officeDocument/2006/relationships/image" Target="media/image33.png"/><Relationship Id="rId61" Type="http://schemas.openxmlformats.org/officeDocument/2006/relationships/image" Target="media/image34.png"/><Relationship Id="rId62" Type="http://schemas.openxmlformats.org/officeDocument/2006/relationships/hyperlink" Target="http://mc.manuscriptcentral.com/javma" TargetMode="External"/><Relationship Id="rId63" Type="http://schemas.openxmlformats.org/officeDocument/2006/relationships/header" Target="header4.xml"/><Relationship Id="rId64" Type="http://schemas.openxmlformats.org/officeDocument/2006/relationships/footer" Target="footer18.xml"/><Relationship Id="rId65" Type="http://schemas.openxmlformats.org/officeDocument/2006/relationships/header" Target="header5.xml"/><Relationship Id="rId66" Type="http://schemas.openxmlformats.org/officeDocument/2006/relationships/footer" Target="footer19.xml"/><Relationship Id="rId67" Type="http://schemas.openxmlformats.org/officeDocument/2006/relationships/header" Target="header6.xml"/><Relationship Id="rId68" Type="http://schemas.openxmlformats.org/officeDocument/2006/relationships/footer" Target="footer20.xml"/><Relationship Id="rId69" Type="http://schemas.openxmlformats.org/officeDocument/2006/relationships/header" Target="header7.xml"/><Relationship Id="rId70" Type="http://schemas.openxmlformats.org/officeDocument/2006/relationships/footer" Target="footer21.xml"/><Relationship Id="rId71" Type="http://schemas.openxmlformats.org/officeDocument/2006/relationships/header" Target="header8.xml"/><Relationship Id="rId72" Type="http://schemas.openxmlformats.org/officeDocument/2006/relationships/footer" Target="footer22.xml"/><Relationship Id="rId73" Type="http://schemas.openxmlformats.org/officeDocument/2006/relationships/header" Target="header9.xml"/><Relationship Id="rId74" Type="http://schemas.openxmlformats.org/officeDocument/2006/relationships/footer" Target="footer23.xml"/><Relationship Id="rId75" Type="http://schemas.openxmlformats.org/officeDocument/2006/relationships/header" Target="header10.xml"/><Relationship Id="rId76" Type="http://schemas.openxmlformats.org/officeDocument/2006/relationships/footer" Target="footer24.xml"/><Relationship Id="rId77" Type="http://schemas.openxmlformats.org/officeDocument/2006/relationships/header" Target="header11.xml"/><Relationship Id="rId78" Type="http://schemas.openxmlformats.org/officeDocument/2006/relationships/footer" Target="footer25.xml"/><Relationship Id="rId79" Type="http://schemas.openxmlformats.org/officeDocument/2006/relationships/header" Target="header12.xml"/><Relationship Id="rId80" Type="http://schemas.openxmlformats.org/officeDocument/2006/relationships/footer" Target="footer26.xml"/><Relationship Id="rId81" Type="http://schemas.openxmlformats.org/officeDocument/2006/relationships/header" Target="header13.xml"/><Relationship Id="rId82" Type="http://schemas.openxmlformats.org/officeDocument/2006/relationships/footer" Target="footer27.xml"/><Relationship Id="rId83" Type="http://schemas.openxmlformats.org/officeDocument/2006/relationships/header" Target="header14.xml"/><Relationship Id="rId84" Type="http://schemas.openxmlformats.org/officeDocument/2006/relationships/footer" Target="footer28.xml"/><Relationship Id="rId85" Type="http://schemas.openxmlformats.org/officeDocument/2006/relationships/header" Target="header15.xml"/><Relationship Id="rId86" Type="http://schemas.openxmlformats.org/officeDocument/2006/relationships/footer" Target="footer29.xml"/><Relationship Id="rId87" Type="http://schemas.openxmlformats.org/officeDocument/2006/relationships/header" Target="header16.xml"/><Relationship Id="rId88" Type="http://schemas.openxmlformats.org/officeDocument/2006/relationships/footer" Target="footer30.xml"/><Relationship Id="rId89" Type="http://schemas.openxmlformats.org/officeDocument/2006/relationships/header" Target="header17.xml"/><Relationship Id="rId90" Type="http://schemas.openxmlformats.org/officeDocument/2006/relationships/footer" Target="footer31.xml"/><Relationship Id="rId91" Type="http://schemas.openxmlformats.org/officeDocument/2006/relationships/header" Target="header18.xml"/><Relationship Id="rId92" Type="http://schemas.openxmlformats.org/officeDocument/2006/relationships/footer" Target="footer32.xml"/><Relationship Id="rId93" Type="http://schemas.openxmlformats.org/officeDocument/2006/relationships/header" Target="header19.xml"/><Relationship Id="rId94" Type="http://schemas.openxmlformats.org/officeDocument/2006/relationships/footer" Target="footer33.xml"/><Relationship Id="rId95" Type="http://schemas.openxmlformats.org/officeDocument/2006/relationships/numbering" Target="numbering.xml"/></Relationships>

</file>

<file path=word/_rels/footer1.xml.rels><?xml version="1.0" encoding="UTF-8" standalone="yes"?>
<Relationships xmlns="http://schemas.openxmlformats.org/package/2006/relationships"><Relationship Id="rId1" Type="http://schemas.openxmlformats.org/officeDocument/2006/relationships/image" Target="media/image5.png"/></Relationships>

</file>

<file path=word/_rels/footer10.xml.rels><?xml version="1.0" encoding="UTF-8" standalone="yes"?>
<Relationships xmlns="http://schemas.openxmlformats.org/package/2006/relationships"><Relationship Id="rId1" Type="http://schemas.openxmlformats.org/officeDocument/2006/relationships/image" Target="media/image5.png"/></Relationships>

</file>

<file path=word/_rels/footer11.xml.rels><?xml version="1.0" encoding="UTF-8" standalone="yes"?>
<Relationships xmlns="http://schemas.openxmlformats.org/package/2006/relationships"><Relationship Id="rId1" Type="http://schemas.openxmlformats.org/officeDocument/2006/relationships/image" Target="media/image5.png"/></Relationships>

</file>

<file path=word/_rels/footer12.xml.rels><?xml version="1.0" encoding="UTF-8" standalone="yes"?>
<Relationships xmlns="http://schemas.openxmlformats.org/package/2006/relationships"><Relationship Id="rId1" Type="http://schemas.openxmlformats.org/officeDocument/2006/relationships/image" Target="media/image5.png"/></Relationships>

</file>

<file path=word/_rels/footer13.xml.rels><?xml version="1.0" encoding="UTF-8" standalone="yes"?>
<Relationships xmlns="http://schemas.openxmlformats.org/package/2006/relationships"><Relationship Id="rId1" Type="http://schemas.openxmlformats.org/officeDocument/2006/relationships/image" Target="media/image5.png"/></Relationships>

</file>

<file path=word/_rels/footer14.xml.rels><?xml version="1.0" encoding="UTF-8" standalone="yes"?>
<Relationships xmlns="http://schemas.openxmlformats.org/package/2006/relationships"><Relationship Id="rId1" Type="http://schemas.openxmlformats.org/officeDocument/2006/relationships/image" Target="media/image5.png"/></Relationships>

</file>

<file path=word/_rels/footer15.xml.rels><?xml version="1.0" encoding="UTF-8" standalone="yes"?>
<Relationships xmlns="http://schemas.openxmlformats.org/package/2006/relationships"><Relationship Id="rId1" Type="http://schemas.openxmlformats.org/officeDocument/2006/relationships/image" Target="media/image5.png"/></Relationships>

</file>

<file path=word/_rels/footer2.xml.rels><?xml version="1.0" encoding="UTF-8" standalone="yes"?>
<Relationships xmlns="http://schemas.openxmlformats.org/package/2006/relationships"><Relationship Id="rId1" Type="http://schemas.openxmlformats.org/officeDocument/2006/relationships/image" Target="media/image5.png"/></Relationships>

</file>

<file path=word/_rels/footer3.xml.rels><?xml version="1.0" encoding="UTF-8" standalone="yes"?>
<Relationships xmlns="http://schemas.openxmlformats.org/package/2006/relationships"><Relationship Id="rId1" Type="http://schemas.openxmlformats.org/officeDocument/2006/relationships/image" Target="media/image5.png"/></Relationships>

</file>

<file path=word/_rels/footer4.xml.rels><?xml version="1.0" encoding="UTF-8" standalone="yes"?>
<Relationships xmlns="http://schemas.openxmlformats.org/package/2006/relationships"><Relationship Id="rId1" Type="http://schemas.openxmlformats.org/officeDocument/2006/relationships/image" Target="media/image5.png"/></Relationships>

</file>

<file path=word/_rels/footer5.xml.rels><?xml version="1.0" encoding="UTF-8" standalone="yes"?>
<Relationships xmlns="http://schemas.openxmlformats.org/package/2006/relationships"><Relationship Id="rId1" Type="http://schemas.openxmlformats.org/officeDocument/2006/relationships/image" Target="media/image5.png"/></Relationships>

</file>

<file path=word/_rels/footer6.xml.rels><?xml version="1.0" encoding="UTF-8" standalone="yes"?>
<Relationships xmlns="http://schemas.openxmlformats.org/package/2006/relationships"><Relationship Id="rId1" Type="http://schemas.openxmlformats.org/officeDocument/2006/relationships/image" Target="media/image5.png"/></Relationships>

</file>

<file path=word/_rels/footer7.xml.rels><?xml version="1.0" encoding="UTF-8" standalone="yes"?>
<Relationships xmlns="http://schemas.openxmlformats.org/package/2006/relationships"><Relationship Id="rId1" Type="http://schemas.openxmlformats.org/officeDocument/2006/relationships/image" Target="media/image5.png"/></Relationships>

</file>

<file path=word/_rels/footer8.xml.rels><?xml version="1.0" encoding="UTF-8" standalone="yes"?>
<Relationships xmlns="http://schemas.openxmlformats.org/package/2006/relationships"><Relationship Id="rId1" Type="http://schemas.openxmlformats.org/officeDocument/2006/relationships/image" Target="media/image5.png"/></Relationships>

</file>

<file path=word/_rels/footer9.xml.rels><?xml version="1.0" encoding="UTF-8" standalone="yes"?>
<Relationships xmlns="http://schemas.openxmlformats.org/package/2006/relationships"><Relationship Id="rId1" Type="http://schemas.openxmlformats.org/officeDocument/2006/relationships/image" Target="media/image5.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2017-05-25T03:15:00Z</dcterms:created>
  <dcterms:modified xsi:type="dcterms:W3CDTF">2017-05-25T03:15:00Z</dcterms:modified>
</cp:coreProperties>
</file>